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021"/>
        <w:gridCol w:w="1630"/>
        <w:gridCol w:w="5663"/>
        <w:gridCol w:w="3377"/>
        <w:gridCol w:w="3401"/>
        <w:gridCol w:w="1918"/>
        <w:gridCol w:w="1276"/>
        <w:gridCol w:w="3513"/>
      </w:tblGrid>
      <w:tr w:rsidR="0085319C" w:rsidRPr="005E78BB" w14:paraId="4FF19E4C" w14:textId="77777777" w:rsidTr="00E92AE6">
        <w:trPr>
          <w:trHeight w:val="454"/>
          <w:tblHeader/>
        </w:trPr>
        <w:tc>
          <w:tcPr>
            <w:tcW w:w="562" w:type="dxa"/>
            <w:shd w:val="clear" w:color="auto" w:fill="BFBFBF" w:themeFill="background1" w:themeFillShade="BF"/>
            <w:noWrap/>
            <w:vAlign w:val="center"/>
            <w:hideMark/>
          </w:tcPr>
          <w:p w14:paraId="0E57B81A"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bookmarkStart w:id="0" w:name="_GoBack"/>
            <w:bookmarkEnd w:id="0"/>
            <w:r w:rsidRPr="005E78BB">
              <w:rPr>
                <w:rFonts w:ascii="Calibri" w:eastAsia="Times New Roman" w:hAnsi="Calibri" w:cs="Calibri"/>
                <w:b/>
                <w:bCs/>
                <w:color w:val="000000"/>
                <w:sz w:val="18"/>
                <w:szCs w:val="18"/>
                <w:lang w:eastAsia="pl-PL"/>
              </w:rPr>
              <w:t>l.p.</w:t>
            </w:r>
          </w:p>
        </w:tc>
        <w:tc>
          <w:tcPr>
            <w:tcW w:w="1021" w:type="dxa"/>
            <w:shd w:val="clear" w:color="auto" w:fill="BFBFBF" w:themeFill="background1" w:themeFillShade="BF"/>
            <w:vAlign w:val="center"/>
          </w:tcPr>
          <w:p w14:paraId="78F91707" w14:textId="776C5ADA" w:rsidR="0085319C" w:rsidRPr="005E78BB" w:rsidRDefault="0085319C" w:rsidP="0085319C">
            <w:pPr>
              <w:ind w:firstLine="0"/>
              <w:jc w:val="center"/>
              <w:rPr>
                <w:rFonts w:ascii="Calibri" w:eastAsia="Times New Roman" w:hAnsi="Calibri" w:cs="Calibri"/>
                <w:b/>
                <w:bCs/>
                <w:color w:val="000000"/>
                <w:sz w:val="18"/>
                <w:szCs w:val="18"/>
                <w:lang w:eastAsia="pl-PL"/>
              </w:rPr>
            </w:pPr>
            <w:r>
              <w:rPr>
                <w:rFonts w:ascii="Calibri" w:hAnsi="Calibri" w:cs="Calibri"/>
                <w:b/>
                <w:bCs/>
                <w:color w:val="000000"/>
                <w:sz w:val="18"/>
                <w:szCs w:val="18"/>
              </w:rPr>
              <w:t>Nazwa instytucji/ osoba fizyczna</w:t>
            </w:r>
          </w:p>
        </w:tc>
        <w:tc>
          <w:tcPr>
            <w:tcW w:w="1630" w:type="dxa"/>
            <w:shd w:val="clear" w:color="auto" w:fill="BFBFBF" w:themeFill="background1" w:themeFillShade="BF"/>
            <w:vAlign w:val="center"/>
            <w:hideMark/>
          </w:tcPr>
          <w:p w14:paraId="33FAA55B"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Część dokumentu którego dotyczy uwaga</w:t>
            </w:r>
          </w:p>
        </w:tc>
        <w:tc>
          <w:tcPr>
            <w:tcW w:w="5663" w:type="dxa"/>
            <w:shd w:val="clear" w:color="auto" w:fill="BFBFBF" w:themeFill="background1" w:themeFillShade="BF"/>
            <w:noWrap/>
            <w:vAlign w:val="center"/>
            <w:hideMark/>
          </w:tcPr>
          <w:p w14:paraId="31A66B34"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Treść uwagi/wniosku</w:t>
            </w:r>
          </w:p>
        </w:tc>
        <w:tc>
          <w:tcPr>
            <w:tcW w:w="3377" w:type="dxa"/>
            <w:shd w:val="clear" w:color="auto" w:fill="BFBFBF" w:themeFill="background1" w:themeFillShade="BF"/>
            <w:noWrap/>
            <w:vAlign w:val="center"/>
            <w:hideMark/>
          </w:tcPr>
          <w:p w14:paraId="586B66E2"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Proponowane zmiany</w:t>
            </w:r>
          </w:p>
        </w:tc>
        <w:tc>
          <w:tcPr>
            <w:tcW w:w="3401" w:type="dxa"/>
            <w:shd w:val="clear" w:color="auto" w:fill="BFBFBF" w:themeFill="background1" w:themeFillShade="BF"/>
            <w:noWrap/>
            <w:vAlign w:val="center"/>
            <w:hideMark/>
          </w:tcPr>
          <w:p w14:paraId="2B56C066"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Uzasadnienie proponowanych zmian</w:t>
            </w:r>
          </w:p>
        </w:tc>
        <w:tc>
          <w:tcPr>
            <w:tcW w:w="1918" w:type="dxa"/>
            <w:shd w:val="clear" w:color="auto" w:fill="BFBFBF" w:themeFill="background1" w:themeFillShade="BF"/>
            <w:noWrap/>
            <w:vAlign w:val="center"/>
            <w:hideMark/>
          </w:tcPr>
          <w:p w14:paraId="51640F16" w14:textId="77777777" w:rsidR="0085319C"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Załącznik do uwagi/</w:t>
            </w:r>
          </w:p>
          <w:p w14:paraId="3A1FC9CB" w14:textId="470CCEBD"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wniosku</w:t>
            </w:r>
          </w:p>
        </w:tc>
        <w:tc>
          <w:tcPr>
            <w:tcW w:w="1276" w:type="dxa"/>
            <w:shd w:val="clear" w:color="auto" w:fill="BFBFBF" w:themeFill="background1" w:themeFillShade="BF"/>
            <w:noWrap/>
            <w:vAlign w:val="center"/>
            <w:hideMark/>
          </w:tcPr>
          <w:p w14:paraId="708D482F"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Sposób rozpatrzenia uwagi</w:t>
            </w:r>
          </w:p>
        </w:tc>
        <w:tc>
          <w:tcPr>
            <w:tcW w:w="3513" w:type="dxa"/>
            <w:shd w:val="clear" w:color="auto" w:fill="BFBFBF" w:themeFill="background1" w:themeFillShade="BF"/>
            <w:noWrap/>
            <w:vAlign w:val="center"/>
            <w:hideMark/>
          </w:tcPr>
          <w:p w14:paraId="7717324D" w14:textId="77777777" w:rsidR="0085319C" w:rsidRPr="005E78BB" w:rsidRDefault="0085319C" w:rsidP="0085319C">
            <w:pPr>
              <w:ind w:firstLine="0"/>
              <w:jc w:val="center"/>
              <w:rPr>
                <w:rFonts w:ascii="Calibri" w:eastAsia="Times New Roman" w:hAnsi="Calibri" w:cs="Calibri"/>
                <w:b/>
                <w:bCs/>
                <w:color w:val="000000"/>
                <w:sz w:val="18"/>
                <w:szCs w:val="18"/>
                <w:lang w:eastAsia="pl-PL"/>
              </w:rPr>
            </w:pPr>
            <w:r w:rsidRPr="005E78BB">
              <w:rPr>
                <w:rFonts w:ascii="Calibri" w:eastAsia="Times New Roman" w:hAnsi="Calibri" w:cs="Calibri"/>
                <w:b/>
                <w:bCs/>
                <w:color w:val="000000"/>
                <w:sz w:val="18"/>
                <w:szCs w:val="18"/>
                <w:lang w:eastAsia="pl-PL"/>
              </w:rPr>
              <w:t>Uzasadnienie sposobu rozpatrzenia uwagi</w:t>
            </w:r>
          </w:p>
        </w:tc>
      </w:tr>
      <w:tr w:rsidR="0085319C" w:rsidRPr="005E78BB" w14:paraId="3B34BC0C" w14:textId="77777777" w:rsidTr="00E92AE6">
        <w:trPr>
          <w:trHeight w:val="454"/>
        </w:trPr>
        <w:tc>
          <w:tcPr>
            <w:tcW w:w="562" w:type="dxa"/>
            <w:shd w:val="clear" w:color="auto" w:fill="auto"/>
            <w:hideMark/>
          </w:tcPr>
          <w:p w14:paraId="035299D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w:t>
            </w:r>
          </w:p>
        </w:tc>
        <w:tc>
          <w:tcPr>
            <w:tcW w:w="1021" w:type="dxa"/>
          </w:tcPr>
          <w:p w14:paraId="0E57EA9F" w14:textId="12E65BF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hideMark/>
          </w:tcPr>
          <w:p w14:paraId="02FAD7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WIELKOŚCI EMISJI I STĘŻEŃ SUBSTANCJI PRIORYTETOWYCH OKREŚLONYCH W PRZEPISACH WYDANYCH NA PODSTAWIE ART. 114 USTAWY PR.W. ORAZ INNYCH SUBSTANCJI POWODUJĄCYCH ZANIECZYSZCZENIE, DLA KTÓRYCH ZOSTAŁY OKREŚLONE ŚRODOWISKOWE NORMY JAKOŚCI</w:t>
            </w:r>
          </w:p>
        </w:tc>
        <w:tc>
          <w:tcPr>
            <w:tcW w:w="5663" w:type="dxa"/>
            <w:shd w:val="clear" w:color="auto" w:fill="auto"/>
            <w:hideMark/>
          </w:tcPr>
          <w:p w14:paraId="6C1D41E5" w14:textId="365D7C3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Wydaje się, że w toku prac nad propozycjami działań technicznych, w szczególności polegających na przegradzaniu</w:t>
            </w:r>
            <w:r w:rsidRPr="005E78BB">
              <w:rPr>
                <w:rFonts w:ascii="Calibri" w:eastAsia="Times New Roman" w:hAnsi="Calibri" w:cs="Calibri"/>
                <w:color w:val="000000"/>
                <w:sz w:val="18"/>
                <w:szCs w:val="18"/>
                <w:lang w:eastAsia="pl-PL"/>
              </w:rPr>
              <w:br/>
              <w:t>rzek (budowaniu tam), za mało argumentuje się w kierunku uzasadnienia takich projektów. Uzasadnienie realizacji</w:t>
            </w:r>
            <w:r w:rsidRPr="005E78BB">
              <w:rPr>
                <w:rFonts w:ascii="Calibri" w:eastAsia="Times New Roman" w:hAnsi="Calibri" w:cs="Calibri"/>
                <w:color w:val="000000"/>
                <w:sz w:val="18"/>
                <w:szCs w:val="18"/>
                <w:lang w:eastAsia="pl-PL"/>
              </w:rPr>
              <w:br/>
              <w:t>takich przedsięwzięć celami środowiskowymi wydaje się co najmniej wątpliwe w świetle opinii i raportów przedstawianych</w:t>
            </w:r>
            <w:r w:rsidRPr="005E78BB">
              <w:rPr>
                <w:rFonts w:ascii="Calibri" w:eastAsia="Times New Roman" w:hAnsi="Calibri" w:cs="Calibri"/>
                <w:color w:val="000000"/>
                <w:sz w:val="18"/>
                <w:szCs w:val="18"/>
                <w:lang w:eastAsia="pl-PL"/>
              </w:rPr>
              <w:br/>
              <w:t>przez organizacje ekologiczne i inne. Tendencja na świecie jest raczej odwrotna, chyba że za przykład bierzemy Chiny i ich</w:t>
            </w:r>
            <w:r w:rsidRPr="005E78BB">
              <w:rPr>
                <w:rFonts w:ascii="Calibri" w:eastAsia="Times New Roman" w:hAnsi="Calibri" w:cs="Calibri"/>
                <w:color w:val="000000"/>
                <w:sz w:val="18"/>
                <w:szCs w:val="18"/>
                <w:lang w:eastAsia="pl-PL"/>
              </w:rPr>
              <w:br/>
              <w:t>niszczycielską działalność na rzekach przepływających przez ich terytorium.</w:t>
            </w:r>
            <w:r w:rsidRPr="005E78BB">
              <w:rPr>
                <w:rFonts w:ascii="Calibri" w:eastAsia="Times New Roman" w:hAnsi="Calibri" w:cs="Calibri"/>
                <w:color w:val="000000"/>
                <w:sz w:val="18"/>
                <w:szCs w:val="18"/>
                <w:lang w:eastAsia="pl-PL"/>
              </w:rPr>
              <w:br/>
              <w:t>Dla przykładu- projektowana zapora na Wiśle w Siarzewie:</w:t>
            </w:r>
            <w:r w:rsidRPr="005E78BB">
              <w:rPr>
                <w:rFonts w:ascii="Calibri" w:eastAsia="Times New Roman" w:hAnsi="Calibri" w:cs="Calibri"/>
                <w:color w:val="000000"/>
                <w:sz w:val="18"/>
                <w:szCs w:val="18"/>
                <w:lang w:eastAsia="pl-PL"/>
              </w:rPr>
              <w:br/>
              <w:t xml:space="preserve">Najczęściej pojawiającym się argumentem za budową  (podnoszonym przez Ministerstwo Infrastruktury i PGW Wody Polskie) </w:t>
            </w:r>
            <w:r w:rsidRPr="005E78BB">
              <w:rPr>
                <w:rFonts w:ascii="Calibri" w:eastAsia="Times New Roman" w:hAnsi="Calibri" w:cs="Calibri"/>
                <w:color w:val="000000"/>
                <w:sz w:val="18"/>
                <w:szCs w:val="18"/>
                <w:lang w:eastAsia="pl-PL"/>
              </w:rPr>
              <w:br/>
              <w:t xml:space="preserve">jest konieczność "podparcia" zapory we Włocławku, której w innym wypadku grozi katastrofa budowlana (utrata stateczności). </w:t>
            </w:r>
            <w:r w:rsidRPr="005E78BB">
              <w:rPr>
                <w:rFonts w:ascii="Calibri" w:eastAsia="Times New Roman" w:hAnsi="Calibri" w:cs="Calibri"/>
                <w:color w:val="000000"/>
                <w:sz w:val="18"/>
                <w:szCs w:val="18"/>
                <w:lang w:eastAsia="pl-PL"/>
              </w:rPr>
              <w:br/>
              <w:t>Otóż Szanowni Państwo, zasady logiki każą przypuszczać, że w niedługim czasie po wybudowaniu zaporę w Siarzewie również trzeba będzie "podeprzeć" kolejną zaporą...i tak będziemy kontynuować tę zabawę aż do Zatoki Gdańskiej. Czy taka polityka ma racjonalne</w:t>
            </w:r>
            <w:r w:rsidRPr="005E78BB">
              <w:rPr>
                <w:rFonts w:ascii="Calibri" w:eastAsia="Times New Roman" w:hAnsi="Calibri" w:cs="Calibri"/>
                <w:color w:val="000000"/>
                <w:sz w:val="18"/>
                <w:szCs w:val="18"/>
                <w:lang w:eastAsia="pl-PL"/>
              </w:rPr>
              <w:br/>
              <w:t>uzasadnienie? Tego typu wątpliwości powinny być omawiane i wyjaśniane, a mam wrażenie, że pomija się je w debacie publicznej, bo są niewygodne. To dotyczy w zasadzie wszystkich propozycji zapór i budowy dużych zbiorników retencyjnych w kraju.</w:t>
            </w:r>
            <w:r w:rsidRPr="005E78BB">
              <w:rPr>
                <w:rFonts w:ascii="Calibri" w:eastAsia="Times New Roman" w:hAnsi="Calibri" w:cs="Calibri"/>
                <w:color w:val="000000"/>
                <w:sz w:val="18"/>
                <w:szCs w:val="18"/>
                <w:lang w:eastAsia="pl-PL"/>
              </w:rPr>
              <w:br/>
              <w:t>Dlaczego nie są rozważane rozwiązania alternatywne, w tym np.:</w:t>
            </w:r>
            <w:r w:rsidRPr="005E78BB">
              <w:rPr>
                <w:rFonts w:ascii="Calibri" w:eastAsia="Times New Roman" w:hAnsi="Calibri" w:cs="Calibri"/>
                <w:color w:val="000000"/>
                <w:sz w:val="18"/>
                <w:szCs w:val="18"/>
                <w:lang w:eastAsia="pl-PL"/>
              </w:rPr>
              <w:br/>
              <w:t xml:space="preserve">- budowa zapór/zbiorników niejako równolegle (obok) do rzeki, tak żeby nie przegradzać głównego koryta rzek. </w:t>
            </w:r>
            <w:r w:rsidRPr="005E78BB">
              <w:rPr>
                <w:rFonts w:ascii="Calibri" w:eastAsia="Times New Roman" w:hAnsi="Calibri" w:cs="Calibri"/>
                <w:color w:val="000000"/>
                <w:sz w:val="18"/>
                <w:szCs w:val="18"/>
                <w:lang w:eastAsia="pl-PL"/>
              </w:rPr>
              <w:br/>
              <w:t>Jeśli jest to złe rozwiązanie to proszę wyjaśnić dlaczego, a jeśli jest dobre- to dlaczego nie bierze się go pod uwagę?</w:t>
            </w:r>
          </w:p>
        </w:tc>
        <w:tc>
          <w:tcPr>
            <w:tcW w:w="3377" w:type="dxa"/>
            <w:shd w:val="clear" w:color="auto" w:fill="auto"/>
            <w:hideMark/>
          </w:tcPr>
          <w:p w14:paraId="3975CD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punkt 1 odnosi się w głównej mierze do propozycji budowy zapory na Wiśle w Siarzewie oraz projektowanych</w:t>
            </w:r>
            <w:r w:rsidRPr="005E78BB">
              <w:rPr>
                <w:rFonts w:ascii="Calibri" w:eastAsia="Times New Roman" w:hAnsi="Calibri" w:cs="Calibri"/>
                <w:color w:val="000000"/>
                <w:sz w:val="18"/>
                <w:szCs w:val="18"/>
                <w:lang w:eastAsia="pl-PL"/>
              </w:rPr>
              <w:br/>
              <w:t xml:space="preserve">sztucznych zbiorników retencyjnych w dorzeczu Wisły (m.in. Kąty-Myscowa). Od razu powiem, że nie jestem zdeklarowanym </w:t>
            </w:r>
            <w:r w:rsidRPr="005E78BB">
              <w:rPr>
                <w:rFonts w:ascii="Calibri" w:eastAsia="Times New Roman" w:hAnsi="Calibri" w:cs="Calibri"/>
                <w:color w:val="000000"/>
                <w:sz w:val="18"/>
                <w:szCs w:val="18"/>
                <w:lang w:eastAsia="pl-PL"/>
              </w:rPr>
              <w:br/>
              <w:t xml:space="preserve">przeciwnikiem tych propozycji (np. projekty kompensacji przyrodniczej dla inwestycji w Siarzewie wyglądają imponująco), </w:t>
            </w:r>
            <w:r w:rsidRPr="005E78BB">
              <w:rPr>
                <w:rFonts w:ascii="Calibri" w:eastAsia="Times New Roman" w:hAnsi="Calibri" w:cs="Calibri"/>
                <w:color w:val="000000"/>
                <w:sz w:val="18"/>
                <w:szCs w:val="18"/>
                <w:lang w:eastAsia="pl-PL"/>
              </w:rPr>
              <w:br/>
              <w:t xml:space="preserve">ale....ale rozumiem też argumenty organizacji ekologicznych i nie jestem do końca przekonany o zasadności wybranych </w:t>
            </w:r>
            <w:r w:rsidRPr="005E78BB">
              <w:rPr>
                <w:rFonts w:ascii="Calibri" w:eastAsia="Times New Roman" w:hAnsi="Calibri" w:cs="Calibri"/>
                <w:color w:val="000000"/>
                <w:sz w:val="18"/>
                <w:szCs w:val="18"/>
                <w:lang w:eastAsia="pl-PL"/>
              </w:rPr>
              <w:br/>
              <w:t xml:space="preserve">rozwiązań. </w:t>
            </w:r>
          </w:p>
        </w:tc>
        <w:tc>
          <w:tcPr>
            <w:tcW w:w="3401" w:type="dxa"/>
            <w:shd w:val="clear" w:color="auto" w:fill="auto"/>
            <w:hideMark/>
          </w:tcPr>
          <w:p w14:paraId="775F59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Dlatego uważam, że opinia publiczna powinna usłyszeć, jak strona państwowa wyjaśnia wątpliwości i argumentuje,</w:t>
            </w:r>
            <w:r w:rsidRPr="005E78BB">
              <w:rPr>
                <w:rFonts w:ascii="Calibri" w:eastAsia="Times New Roman" w:hAnsi="Calibri" w:cs="Calibri"/>
                <w:color w:val="000000"/>
                <w:sz w:val="18"/>
                <w:szCs w:val="18"/>
                <w:lang w:eastAsia="pl-PL"/>
              </w:rPr>
              <w:br/>
              <w:t xml:space="preserve">dlaczego propozycje organizacji pozarządowych nie mogą być w danych okolicznościach zastosowane. </w:t>
            </w:r>
          </w:p>
        </w:tc>
        <w:tc>
          <w:tcPr>
            <w:tcW w:w="1918" w:type="dxa"/>
            <w:shd w:val="clear" w:color="auto" w:fill="auto"/>
            <w:hideMark/>
          </w:tcPr>
          <w:p w14:paraId="200AE1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C6B49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E76C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wprost konsultowanego dokumentu, a sposobu przygotowania i realizacji inwestycji.</w:t>
            </w:r>
          </w:p>
        </w:tc>
      </w:tr>
      <w:tr w:rsidR="0085319C" w:rsidRPr="005E78BB" w14:paraId="1CD1BA5B" w14:textId="77777777" w:rsidTr="00E92AE6">
        <w:trPr>
          <w:trHeight w:val="454"/>
        </w:trPr>
        <w:tc>
          <w:tcPr>
            <w:tcW w:w="562" w:type="dxa"/>
            <w:shd w:val="clear" w:color="auto" w:fill="auto"/>
            <w:hideMark/>
          </w:tcPr>
          <w:p w14:paraId="711EDBC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w:t>
            </w:r>
          </w:p>
        </w:tc>
        <w:tc>
          <w:tcPr>
            <w:tcW w:w="1021" w:type="dxa"/>
          </w:tcPr>
          <w:p w14:paraId="2555CD83" w14:textId="2A63462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hideMark/>
          </w:tcPr>
          <w:p w14:paraId="66BFB0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WIELKOŚCI EMISJI I STĘŻEŃ SUBSTANCJI PRIORYTETOWYCH OKREŚLONYCH W PRZEPISACH WYDANYCH NA PODSTAWIE ART. 114 USTAWY PR.W. ORAZ INNYCH SUBSTANCJI POWODUJĄCYCH ZANIECZYSZCZENIE, DLA KTÓRYCH ZOSTAŁY OKREŚLONE ŚRODOWISKOWE NORMY JAKOŚCI</w:t>
            </w:r>
          </w:p>
        </w:tc>
        <w:tc>
          <w:tcPr>
            <w:tcW w:w="5663" w:type="dxa"/>
            <w:shd w:val="clear" w:color="auto" w:fill="auto"/>
            <w:hideMark/>
          </w:tcPr>
          <w:p w14:paraId="62EA01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celu odtwarzania zasobów wodnych w kraju, w sposób masowy powinna zostać zastosowana polityka budowy urządzeń</w:t>
            </w:r>
            <w:r w:rsidRPr="005E78BB">
              <w:rPr>
                <w:rFonts w:ascii="Calibri" w:eastAsia="Times New Roman" w:hAnsi="Calibri" w:cs="Calibri"/>
                <w:color w:val="000000"/>
                <w:sz w:val="18"/>
                <w:szCs w:val="18"/>
                <w:lang w:eastAsia="pl-PL"/>
              </w:rPr>
              <w:br/>
              <w:t>służących podpiętrzania jezior w kraju, jednocześnie z zapewnieniem organizmom wodnym możliwości kontynuowania wędrówek</w:t>
            </w:r>
            <w:r w:rsidRPr="005E78BB">
              <w:rPr>
                <w:rFonts w:ascii="Calibri" w:eastAsia="Times New Roman" w:hAnsi="Calibri" w:cs="Calibri"/>
                <w:color w:val="000000"/>
                <w:sz w:val="18"/>
                <w:szCs w:val="18"/>
                <w:lang w:eastAsia="pl-PL"/>
              </w:rPr>
              <w:br/>
              <w:t xml:space="preserve">(koryta obejścia, przepławki). </w:t>
            </w:r>
          </w:p>
        </w:tc>
        <w:tc>
          <w:tcPr>
            <w:tcW w:w="3377" w:type="dxa"/>
            <w:shd w:val="clear" w:color="auto" w:fill="auto"/>
            <w:hideMark/>
          </w:tcPr>
          <w:p w14:paraId="46556D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ostatnich latach na skutek działalności człowieka oraz zmian klimatu znacznie pogłębiły się problemy</w:t>
            </w:r>
            <w:r w:rsidRPr="005E78BB">
              <w:rPr>
                <w:rFonts w:ascii="Calibri" w:eastAsia="Times New Roman" w:hAnsi="Calibri" w:cs="Calibri"/>
                <w:color w:val="000000"/>
                <w:sz w:val="18"/>
                <w:szCs w:val="18"/>
                <w:lang w:eastAsia="pl-PL"/>
              </w:rPr>
              <w:br/>
              <w:t>związane z utratą zasobów wodnych w zasadzie w całej Polsce, w tym szczególnie na Warmii i Mazurach, a także w drastycznej skali</w:t>
            </w:r>
            <w:r w:rsidRPr="005E78BB">
              <w:rPr>
                <w:rFonts w:ascii="Calibri" w:eastAsia="Times New Roman" w:hAnsi="Calibri" w:cs="Calibri"/>
                <w:color w:val="000000"/>
                <w:sz w:val="18"/>
                <w:szCs w:val="18"/>
                <w:lang w:eastAsia="pl-PL"/>
              </w:rPr>
              <w:br/>
              <w:t xml:space="preserve">w centralnej i zachodniej Polsce. </w:t>
            </w:r>
          </w:p>
        </w:tc>
        <w:tc>
          <w:tcPr>
            <w:tcW w:w="3401" w:type="dxa"/>
            <w:shd w:val="clear" w:color="auto" w:fill="auto"/>
            <w:hideMark/>
          </w:tcPr>
          <w:p w14:paraId="5665CD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Podpiętrzanie jezior  to stosunkowo prosty (i znacznie tańszy od budowania sztucznych zbiorników) sposób na szybkie odbudowanie zasobów wodnych w jeziorach i ogromne zwiększenie zasobów wodnych w kraju.</w:t>
            </w:r>
          </w:p>
        </w:tc>
        <w:tc>
          <w:tcPr>
            <w:tcW w:w="1918" w:type="dxa"/>
            <w:shd w:val="clear" w:color="auto" w:fill="auto"/>
            <w:hideMark/>
          </w:tcPr>
          <w:p w14:paraId="1A85886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FCF13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62B791B" w14:textId="75C405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Trudno się nie zgodzić z autorem wniosku w kwestii znaczenia potencjału retencyjnego jezior. Niemniej błędnym jest stwierdzenie, że jest to prosty i możliwy do zastosowania na masową skalę (co podkreśla autor wniosku) sposób na rozwiązanie problemów z deficytami wodnymi kraju.</w:t>
            </w:r>
            <w:r w:rsidRPr="005E78BB">
              <w:rPr>
                <w:rFonts w:ascii="Calibri" w:eastAsia="Times New Roman" w:hAnsi="Calibri" w:cs="Calibri"/>
                <w:color w:val="000000"/>
                <w:sz w:val="18"/>
                <w:szCs w:val="18"/>
                <w:lang w:eastAsia="pl-PL"/>
              </w:rPr>
              <w:br/>
              <w:t>Jeziora to przede wszystkim złożone systemy przyrodnicze o nierzadko bardzo chwiejnej, wykształconej na przestrzeni kilkudziesięciu lat, równowadze hydrobiologicznej. Każda ingerencja w zmianę sezonowych cykli wahań poziomów wody wiąże się, szczególnie w pierwszych kilku latach funkcjonowania piętrzenia, z gwałtownym zaburzeniem tej równowagi. Dla zachowania dobrego stanu elementów biologicznych jeziora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jeziornej) nie wystarczy, jak sugeruje autor wniosku, zapewnić ciągłości biologicznej i morfologicznej (np. przepławki). Największe zmiany (nie zawsze korzystne) zachodzą w strefach brzegowych jezior. Może nastąpić częściowe zniszczenie lub przekształcenie, kluczowych dla funkcjonowania większości organizmów wodnych, stref litoralnych.</w:t>
            </w:r>
            <w:r w:rsidRPr="005E78BB">
              <w:rPr>
                <w:rFonts w:ascii="Calibri" w:eastAsia="Times New Roman" w:hAnsi="Calibri" w:cs="Calibri"/>
                <w:color w:val="000000"/>
                <w:sz w:val="18"/>
                <w:szCs w:val="18"/>
                <w:lang w:eastAsia="pl-PL"/>
              </w:rPr>
              <w:br/>
              <w:t xml:space="preserve">Zniszczenie istniejących już refugiów, tarlisk, zmiany warunków fotycznych i zanik nierzadko cennych gatunków makrofitów, spadek bioróżnorodności, zamieranie części zalanej roślinności i wzmożone procesy gnilne </w:t>
            </w:r>
            <w:r w:rsidRPr="005E78BB">
              <w:rPr>
                <w:rFonts w:ascii="Calibri" w:eastAsia="Times New Roman" w:hAnsi="Calibri" w:cs="Calibri"/>
                <w:color w:val="000000"/>
                <w:sz w:val="18"/>
                <w:szCs w:val="18"/>
                <w:lang w:eastAsia="pl-PL"/>
              </w:rPr>
              <w:lastRenderedPageBreak/>
              <w:t>- skutkujące wtórnym zasileniem jeziora w biogeny i wzrostem udziału matrii organicznej w substracie dna, tym samym uniemożliwienie prawidłowego rozwoju cennym zbiorowiskom np. Nympheion, Potamion (3150), to tylko wybrane przykłady niekorzystnych zmian z jakimi należy się liczyć w przypadku podpiętrzania jezior. Zaburzeniu ulegają także warunki gruntowo wodne w wodozależnych siedliskach lądowych zlokalizowanych w zlewniach piętrzonych jezior, szczególnie na obszarach rozległych dolin jeziornych (ciągi jezior rynnowych). Dla takich zbiorowisk okresowe przesuszenie jest nierzadko równie istotne dla prawidłowego funkcjonowania, jak czasowe uwilgotnienie.</w:t>
            </w:r>
            <w:r w:rsidRPr="005E78BB">
              <w:rPr>
                <w:rFonts w:ascii="Calibri" w:eastAsia="Times New Roman" w:hAnsi="Calibri" w:cs="Calibri"/>
                <w:color w:val="000000"/>
                <w:sz w:val="18"/>
                <w:szCs w:val="18"/>
                <w:lang w:eastAsia="pl-PL"/>
              </w:rPr>
              <w:br/>
              <w:t>Kolejnym problemem, doskonale widocznym w zbiornikach zaporowych jest ograniczenie odpływu biogenów i wnoszonej rzekami zawiesiny, co skutkuje zachwianiem bilansu materii, w tym biogenów wewnątrz zbiornika. Ujmując to w dużym uproszczeniu, jezioro staje się osadnikiem, a procesy eutrofizacji ulegają gwałtownemu przyśpieszeniu.</w:t>
            </w:r>
            <w:r w:rsidRPr="005E78BB">
              <w:rPr>
                <w:rFonts w:ascii="Calibri" w:eastAsia="Times New Roman" w:hAnsi="Calibri" w:cs="Calibri"/>
                <w:color w:val="000000"/>
                <w:sz w:val="18"/>
                <w:szCs w:val="18"/>
                <w:lang w:eastAsia="pl-PL"/>
              </w:rPr>
              <w:br/>
              <w:t>Problemów koniecznych do rozwiązania przy podpiętrzaniu jezior jest oczywiście znacznie więcej. Z aspektów przyrodniczych to chociażby zaburzenie reżimu hydrologicznego obszarów mokradłowych (często chronionych, dla których podniesienie poziomu wody nie zawsze jest korzystne), z aspektów społeczno-gospodarczych należy wskazać np. kwestie własnościowe zalanych gruntów.</w:t>
            </w:r>
            <w:r w:rsidRPr="005E78BB">
              <w:rPr>
                <w:rFonts w:ascii="Calibri" w:eastAsia="Times New Roman" w:hAnsi="Calibri" w:cs="Calibri"/>
                <w:color w:val="000000"/>
                <w:sz w:val="18"/>
                <w:szCs w:val="18"/>
                <w:lang w:eastAsia="pl-PL"/>
              </w:rPr>
              <w:br/>
              <w:t xml:space="preserve">Nieco bezpieczniejszym dla ekosystemów jezior rozwiązaniem jest stabilizacja poziomów wody. Należy mieć zatem na uwadze, w przypadku stabilizacji poziomów wód jezior należy każdorazowo podejmować decyzje indywidualnie dla każdego z nich. Rozwiązania tego typu zostały ujęte m.in. w Planach Przeciwdziałania Skutkom Suszy i w Krajowym Programie Renaturyzacji Wód Powierzchniowych i częściowo zaimplementowane do IIaPGW. Należy w tym kontekście podkreślić, że zasadniczym celem Planów gospodarowania wodami na obszarach dorzeczy nie jest przeciwdziałanie deficytom wodnym, a przywrócenie lub utrzymanie dobrego stanu jednolitych części wód, w tym w szczególności dobrego stanu elementów biologicznych (m.in. tak wrażliwych na zmiany poziomów wód jak: makrozoobentos lub makrofity, czy też częściowo zależny od zasilania wewnętrznego i zewnętrznego w biogeny - fitoplankton). Działania z zakresu Planu Przeciwdziałania Skutkom Suszy zostały implementowane do </w:t>
            </w:r>
            <w:r w:rsidRPr="005E78BB">
              <w:rPr>
                <w:rFonts w:ascii="Calibri" w:eastAsia="Times New Roman" w:hAnsi="Calibri" w:cs="Calibri"/>
                <w:color w:val="000000"/>
                <w:sz w:val="18"/>
                <w:szCs w:val="18"/>
                <w:lang w:eastAsia="pl-PL"/>
              </w:rPr>
              <w:lastRenderedPageBreak/>
              <w:t>katalogu działań krajowych (załącznik do projektów IIaPGW), wskazane do realizacji na szczeblu krajowym, jako działania mające na celu minimalizację skutków suszy i jako takie należy je traktować. W przypadku działań wskazanych w Krajowym Programie Renaturyzacji Wód Powierzchniowych, należy traktować je jako wskazania do realizacji na poszczególnych jeziorach. W IIaPGW, ze względu na indywidualny charakter ekosystemów jeziornych, działania z zakresu stabilizacji poziomów wód jezior mogą być realizowane w ramach działań z grup LWC_01 oraz LWC_02, tj. opracowanie oraz realizacja indywidualnych programów działań renaturyzacyjnych lub rekultywacyjnych. W tym przypadku, o rzeczywistej konieczności podjęcia ww. działań decydować winny każdorazowo rozbudowane analizy stanu danego ekosystemu. Ponadto stabilizacja poziomu wód jeziornych pojawia się również niejednokrotnie w działaniach proponowanych dla obszarów chronionych.</w:t>
            </w:r>
          </w:p>
        </w:tc>
      </w:tr>
      <w:tr w:rsidR="0085319C" w:rsidRPr="005E78BB" w14:paraId="5E5EC847" w14:textId="77777777" w:rsidTr="00E92AE6">
        <w:trPr>
          <w:trHeight w:val="454"/>
        </w:trPr>
        <w:tc>
          <w:tcPr>
            <w:tcW w:w="562" w:type="dxa"/>
            <w:shd w:val="clear" w:color="auto" w:fill="auto"/>
            <w:hideMark/>
          </w:tcPr>
          <w:p w14:paraId="34E6FBB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3</w:t>
            </w:r>
          </w:p>
        </w:tc>
        <w:tc>
          <w:tcPr>
            <w:tcW w:w="1021" w:type="dxa"/>
          </w:tcPr>
          <w:p w14:paraId="6372D6AD" w14:textId="3D88540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hideMark/>
          </w:tcPr>
          <w:p w14:paraId="4A6F29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WIELKOŚCI EMISJI I STĘŻEŃ SUBSTANCJI PRIORYTETOWYCH OKREŚLONYCH W PRZEPISACH WYDANYCH NA PODSTAWIE ART. 114 USTAWY PR.W. ORAZ INNYCH SUBSTANCJI POWODUJĄCYCH ZANIECZYSZCZENIE, DLA KTÓRYCH ZOSTAŁY OKREŚLONE ŚRODOWISKOWE NORMY JAKOŚCI</w:t>
            </w:r>
          </w:p>
        </w:tc>
        <w:tc>
          <w:tcPr>
            <w:tcW w:w="5663" w:type="dxa"/>
            <w:shd w:val="clear" w:color="auto" w:fill="auto"/>
            <w:hideMark/>
          </w:tcPr>
          <w:p w14:paraId="259602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zwiększyć nacisk (i liczbę projektów) na wdrażanie projektów tzw. małej retencji.  </w:t>
            </w:r>
          </w:p>
        </w:tc>
        <w:tc>
          <w:tcPr>
            <w:tcW w:w="3377" w:type="dxa"/>
            <w:shd w:val="clear" w:color="auto" w:fill="auto"/>
            <w:hideMark/>
          </w:tcPr>
          <w:p w14:paraId="06DEA4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Świetną i wręcz modelową robotę w tym zakresie robią od lat Lasy Państwowe</w:t>
            </w:r>
          </w:p>
        </w:tc>
        <w:tc>
          <w:tcPr>
            <w:tcW w:w="3401" w:type="dxa"/>
            <w:shd w:val="clear" w:color="auto" w:fill="auto"/>
            <w:hideMark/>
          </w:tcPr>
          <w:p w14:paraId="2646BF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kopiować i intensyfikować takie działania na pozostałych obszarach, m.in. rolniczych.</w:t>
            </w:r>
          </w:p>
        </w:tc>
        <w:tc>
          <w:tcPr>
            <w:tcW w:w="1918" w:type="dxa"/>
            <w:shd w:val="clear" w:color="auto" w:fill="auto"/>
            <w:hideMark/>
          </w:tcPr>
          <w:p w14:paraId="033C35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D073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FD66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ukierunkowane na zwiększanie retencji stanowią przedmiot Planów przeciwdziałania skutkom suszy, realizacja których uwzględniona została w IIaPGW w formie działania na poziomie krajowym (lp. 146 katalogu krajowego). Ponadto w ramach przeciwdziałania presji ze źródeł rolniczych w ramach działania "Promocja działań wynikających ze: „Zbioru zaleceń dobrej praktyki rolniczej” dla ograniczenia zanieczyszczenia wód związkami azotu i fosforu, których źródłem jest działalność rolnicza, w tym w szczególności działania ograniczające migrację biogenów wraz ze spływem powierzchniowym (przeciwdziałanie erozji, strefy buforowe i inne)." zawarta jest także promocja tworzenia śródpolnych oczek, które zapewnią retencję i jednocześnie ochronią wody powierzchniowem przed narmiernym wypłukiwaniem biogenów do wód powierzchniowych.</w:t>
            </w:r>
          </w:p>
        </w:tc>
      </w:tr>
      <w:tr w:rsidR="0085319C" w:rsidRPr="005E78BB" w14:paraId="750CFED4" w14:textId="77777777" w:rsidTr="00E92AE6">
        <w:trPr>
          <w:trHeight w:val="454"/>
        </w:trPr>
        <w:tc>
          <w:tcPr>
            <w:tcW w:w="562" w:type="dxa"/>
            <w:shd w:val="clear" w:color="auto" w:fill="auto"/>
            <w:hideMark/>
          </w:tcPr>
          <w:p w14:paraId="75362F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w:t>
            </w:r>
          </w:p>
        </w:tc>
        <w:tc>
          <w:tcPr>
            <w:tcW w:w="1021" w:type="dxa"/>
          </w:tcPr>
          <w:p w14:paraId="41CEB9D7" w14:textId="320CCA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30" w:type="dxa"/>
            <w:shd w:val="clear" w:color="auto" w:fill="auto"/>
            <w:hideMark/>
          </w:tcPr>
          <w:p w14:paraId="18AD5E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E02536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 wstępnej analizie IIaPGW dla Dorzecza Wisły  nie udało mi się znaleźć odniesienia do klasyfikacji stanu chemicznego jcw. Czy w związku z powyższych od 1 stycznia 2022 będą obowiązywały załączniki załączone w poniższym akcie prawnym?</w:t>
            </w:r>
            <w:r w:rsidRPr="005E78BB">
              <w:rPr>
                <w:rFonts w:ascii="Calibri" w:eastAsia="Times New Roman" w:hAnsi="Calibri" w:cs="Calibri"/>
                <w:color w:val="000000"/>
                <w:sz w:val="18"/>
                <w:szCs w:val="18"/>
                <w:lang w:eastAsia="pl-PL"/>
              </w:rPr>
              <w:br/>
              <w:t>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4A46E1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C41E2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69601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3C80F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F6D9C4" w14:textId="3A81B9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Środowiskowe normy jakości dla substancji priorytetowych oraz dla innych zanieczyszczeń nie uległy zmianie w nowym rozporządzeniu klasyfikacyjnym (obowiązujące rozporządzenie z dnia 25 czerwca 2021 r., Dz.U. z 2021 r. poz. 1475). Stan chemiczny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oceniany na podstawie wielkości stężeń substancji priorytetowych oraz innych zanieczyszczeń, dla których zostały określone w rozporządzeniu środowiskowe normy jakości. Zgodnie z załącznikiem do rozporządzenia wykonuje się ocenę stanu chemicznego przez nadanie odpowiedniej klasy stanu </w:t>
            </w:r>
            <w:r w:rsidRPr="005E78BB">
              <w:rPr>
                <w:rFonts w:ascii="Calibri" w:eastAsia="Times New Roman" w:hAnsi="Calibri" w:cs="Calibri"/>
                <w:color w:val="000000"/>
                <w:sz w:val="18"/>
                <w:szCs w:val="18"/>
                <w:lang w:eastAsia="pl-PL"/>
              </w:rPr>
              <w:lastRenderedPageBreak/>
              <w:t>chemicznego. Od 1 stycznia 2022 r. procedura oceny stanu chemicznego nie ulega zmianie.</w:t>
            </w:r>
          </w:p>
        </w:tc>
      </w:tr>
      <w:tr w:rsidR="0085319C" w:rsidRPr="005E78BB" w14:paraId="797FCFE5" w14:textId="77777777" w:rsidTr="00E92AE6">
        <w:trPr>
          <w:trHeight w:val="454"/>
        </w:trPr>
        <w:tc>
          <w:tcPr>
            <w:tcW w:w="562" w:type="dxa"/>
            <w:shd w:val="clear" w:color="auto" w:fill="auto"/>
            <w:hideMark/>
          </w:tcPr>
          <w:p w14:paraId="0E9907E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w:t>
            </w:r>
          </w:p>
        </w:tc>
        <w:tc>
          <w:tcPr>
            <w:tcW w:w="1021" w:type="dxa"/>
          </w:tcPr>
          <w:p w14:paraId="7D33D57C" w14:textId="2FCA9CF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Eko Thinktank - organizacja</w:t>
            </w:r>
          </w:p>
        </w:tc>
        <w:tc>
          <w:tcPr>
            <w:tcW w:w="1630" w:type="dxa"/>
            <w:shd w:val="clear" w:color="auto" w:fill="auto"/>
            <w:hideMark/>
          </w:tcPr>
          <w:p w14:paraId="4BF76086" w14:textId="0A30B68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w:t>
            </w:r>
          </w:p>
        </w:tc>
        <w:tc>
          <w:tcPr>
            <w:tcW w:w="5663" w:type="dxa"/>
            <w:shd w:val="clear" w:color="auto" w:fill="auto"/>
            <w:hideMark/>
          </w:tcPr>
          <w:p w14:paraId="6C3ED4A9" w14:textId="456DFCB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rozdziałem 3.3.1 PGW "Wszystkie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w Polsce wskazane są jako</w:t>
            </w:r>
            <w:r w:rsidRPr="005E78BB">
              <w:rPr>
                <w:rFonts w:ascii="Calibri" w:eastAsia="Times New Roman" w:hAnsi="Calibri" w:cs="Calibri"/>
                <w:color w:val="000000"/>
                <w:sz w:val="18"/>
                <w:szCs w:val="18"/>
                <w:lang w:eastAsia="pl-PL"/>
              </w:rPr>
              <w:br w:type="page"/>
              <w:t>przeznaczone do poboru wody na potrzeby zaopatrzenia ludności w wodę przeznaczoną do spożycia</w:t>
            </w:r>
            <w:r w:rsidRPr="005E78BB">
              <w:rPr>
                <w:rFonts w:ascii="Calibri" w:eastAsia="Times New Roman" w:hAnsi="Calibri" w:cs="Calibri"/>
                <w:color w:val="000000"/>
                <w:sz w:val="18"/>
                <w:szCs w:val="18"/>
                <w:lang w:eastAsia="pl-PL"/>
              </w:rPr>
              <w:br w:type="page"/>
              <w:t xml:space="preserve">przez ludzi". Jednakże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cele środowiskowe przedstawione w rozdz. 3.3.1 nie uwzględniają tego aspektu.</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1714B62" w14:textId="23E314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Określić w planach jakie są cele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wskazane są jako przeznaczone do poboru wody na potrzeby zaopatrzenia ludności w wodę przeznaczoną do spożycia przez ludzi lub wyjaśnić powód tego braku. </w:t>
            </w:r>
          </w:p>
        </w:tc>
        <w:tc>
          <w:tcPr>
            <w:tcW w:w="3401" w:type="dxa"/>
            <w:shd w:val="clear" w:color="auto" w:fill="auto"/>
            <w:hideMark/>
          </w:tcPr>
          <w:p w14:paraId="3265CF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Niezgodność pomiędzy rozdzialem 3.3.1 i 8.2</w:t>
            </w:r>
          </w:p>
        </w:tc>
        <w:tc>
          <w:tcPr>
            <w:tcW w:w="1918" w:type="dxa"/>
            <w:shd w:val="clear" w:color="auto" w:fill="auto"/>
            <w:hideMark/>
          </w:tcPr>
          <w:p w14:paraId="06CFDC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5768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524077" w14:textId="313466D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Analiza rozdziałów nt 3.3.1 i nr 8.2 w IIaPGW nie wykazała niezgodności merytorycznych. Jako obszar chroniony rozumie się jednolite części wód przeznaczone do poboru wody na potrzeby zaopatrzenia ludności w wodę przeznaczoną do spożycia przez ludzi. W przypadku jednolitych części wó podziemnych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wszystkie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są obszarami chronionymi. W związku z tym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są te same cele środowiskowe wskazane w art. 59 ustawy z dnia 20 lipca 2017 r. - Prawo wodne (dalej także: ust. pr. w.). Zgodnie z art. 61 ust. pr. w. cel środowiskowy dla obszarów chronionych realizuje się przez podejmowanie działań zawartych w planie gospodarowania wodami na obszarze dorzecza. Według art.71 ww. ustawy dla jednolitych części wód przeznaczonych do poboru wody na potrzeby zaopatrzenia ludności w wodę przeznaczoną do spożycia przez ludzi realizuje się cele środowiskowe, o których mowa w art. 56, art. 57, art. 59 ww. ustawy. Art. 59 ust. pr. w. wskazuje konkretne cele środowiskowe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w:t>
            </w:r>
          </w:p>
        </w:tc>
      </w:tr>
      <w:tr w:rsidR="0085319C" w:rsidRPr="005E78BB" w14:paraId="70039842" w14:textId="77777777" w:rsidTr="00E92AE6">
        <w:trPr>
          <w:trHeight w:val="454"/>
        </w:trPr>
        <w:tc>
          <w:tcPr>
            <w:tcW w:w="562" w:type="dxa"/>
            <w:shd w:val="clear" w:color="auto" w:fill="auto"/>
            <w:hideMark/>
          </w:tcPr>
          <w:p w14:paraId="37578D0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w:t>
            </w:r>
          </w:p>
        </w:tc>
        <w:tc>
          <w:tcPr>
            <w:tcW w:w="1021" w:type="dxa"/>
          </w:tcPr>
          <w:p w14:paraId="243BD495" w14:textId="0AF45D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Mariusz Grudziński</w:t>
            </w:r>
          </w:p>
        </w:tc>
        <w:tc>
          <w:tcPr>
            <w:tcW w:w="1630" w:type="dxa"/>
            <w:shd w:val="clear" w:color="auto" w:fill="auto"/>
            <w:hideMark/>
          </w:tcPr>
          <w:p w14:paraId="304C62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DOTYCZĄCE PROGNOZOWANYCH ZMIAN KLIMATU</w:t>
            </w:r>
          </w:p>
        </w:tc>
        <w:tc>
          <w:tcPr>
            <w:tcW w:w="5663" w:type="dxa"/>
            <w:shd w:val="clear" w:color="auto" w:fill="auto"/>
            <w:hideMark/>
          </w:tcPr>
          <w:p w14:paraId="7D6594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Dzień Dobry. Uważam że bardziej należny się pochylić nad tą częścią. Uważam że jest za bardzo optymistyczna jeśli chodzi o wpływ zmian klimatu.</w:t>
            </w:r>
          </w:p>
        </w:tc>
        <w:tc>
          <w:tcPr>
            <w:tcW w:w="3377" w:type="dxa"/>
            <w:shd w:val="clear" w:color="auto" w:fill="auto"/>
            <w:hideMark/>
          </w:tcPr>
          <w:p w14:paraId="3D0567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Zwiększenie ilości informacji.</w:t>
            </w:r>
          </w:p>
        </w:tc>
        <w:tc>
          <w:tcPr>
            <w:tcW w:w="3401" w:type="dxa"/>
            <w:shd w:val="clear" w:color="auto" w:fill="auto"/>
            <w:hideMark/>
          </w:tcPr>
          <w:p w14:paraId="13736F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Brałem udział w konsultacjach m.in. Miejskich Planów Adaptacyjnych z których wynika że zmiany klimatu będą miały ogromny wpływ na zasobność wód i suszę. </w:t>
            </w:r>
          </w:p>
        </w:tc>
        <w:tc>
          <w:tcPr>
            <w:tcW w:w="1918" w:type="dxa"/>
            <w:shd w:val="clear" w:color="auto" w:fill="auto"/>
            <w:hideMark/>
          </w:tcPr>
          <w:p w14:paraId="4E88DD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AD63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C1D4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Miejskie Plany Adaptacji do Zmian klimatu są dokumentami strategicznymi przygotowanymi na długi horyzont czasowy, a IIaPGW jest dokumentem planistycznym przygotowanym dla najbliższych 6 lat. W krótkim okresie (6 lat) skala zmian klimatu - zgodnie z prognozami - nie będzie znacząco różna w relacji do danych za ostatnie 10 lat, w długim okresie - do końca wieku, zmiany będą mieć charakter znaczący względem określonych komponentów. Zatem opis zmian klimatu zawarty w dokumencie z powodu przedziału czasowego, ma charakter ograniczony czasowo - stąd jego "łagodny" wydźwięk.</w:t>
            </w:r>
            <w:r w:rsidRPr="005E78BB">
              <w:rPr>
                <w:rFonts w:ascii="Calibri" w:eastAsia="Times New Roman" w:hAnsi="Calibri" w:cs="Calibri"/>
                <w:color w:val="000000"/>
                <w:sz w:val="18"/>
                <w:szCs w:val="18"/>
                <w:lang w:eastAsia="pl-PL"/>
              </w:rPr>
              <w:br/>
              <w:t>IIaPGW poza wskazaniem informacji dotyczących potencjalnych zmian klimatu na poziomie poszczególnych regionów wodnych prezentuje również widoczne skutki w obszarze gospodarki wodnej związane właśnie ze zmianami klimatu (Rozdział 4, podsumowanie). Elementy te uwzględniane były w procesie tworzenia zestawów działań.</w:t>
            </w:r>
          </w:p>
        </w:tc>
      </w:tr>
      <w:tr w:rsidR="0085319C" w:rsidRPr="005E78BB" w14:paraId="66BF4A0B" w14:textId="77777777" w:rsidTr="00E92AE6">
        <w:trPr>
          <w:trHeight w:val="454"/>
        </w:trPr>
        <w:tc>
          <w:tcPr>
            <w:tcW w:w="562" w:type="dxa"/>
            <w:shd w:val="clear" w:color="auto" w:fill="auto"/>
            <w:hideMark/>
          </w:tcPr>
          <w:p w14:paraId="54F50BE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w:t>
            </w:r>
          </w:p>
        </w:tc>
        <w:tc>
          <w:tcPr>
            <w:tcW w:w="1021" w:type="dxa"/>
          </w:tcPr>
          <w:p w14:paraId="7456ABA0" w14:textId="5BA8C44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Sądeckie Wodociągi Sp. z o.o.</w:t>
            </w:r>
          </w:p>
        </w:tc>
        <w:tc>
          <w:tcPr>
            <w:tcW w:w="1630" w:type="dxa"/>
            <w:shd w:val="clear" w:color="auto" w:fill="auto"/>
            <w:hideMark/>
          </w:tcPr>
          <w:p w14:paraId="72BDA0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6FC190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Dodanie działania polegającego na udrożnieniu koryta rzeki Dunajec poprzez likwidację istniejących odsypisk rumowiska w km 112+500 - 114+500 na obszarze gmin: Nowy Sącz, Stary Sącz, Chełmiec i Podegrodzie, powiat nowosądecki, województwo małopolskie.</w:t>
            </w:r>
          </w:p>
        </w:tc>
        <w:tc>
          <w:tcPr>
            <w:tcW w:w="3377" w:type="dxa"/>
            <w:shd w:val="clear" w:color="auto" w:fill="auto"/>
            <w:hideMark/>
          </w:tcPr>
          <w:p w14:paraId="6FC8E3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Nowe działanie: &amp;#34;Udrożnienie koryta rzeki Dunajec poprzez likwidację istniejących odsypisk rumowiska w km 112+500 - 114+500 na obszarze gmin: Nowy Sącz, Stary Sącz, Chełmiec i Podegrodzie, powiat nowosądecki, województwo małopolskie”.</w:t>
            </w:r>
          </w:p>
        </w:tc>
        <w:tc>
          <w:tcPr>
            <w:tcW w:w="3401" w:type="dxa"/>
            <w:shd w:val="clear" w:color="auto" w:fill="auto"/>
            <w:hideMark/>
          </w:tcPr>
          <w:p w14:paraId="08D2AB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Istniejące na odcinku rzeki Dunajec w km  112+500 - 114+500 odsypiska rumowiska  mają istotny wpływ na zmniejszenie przepustowości i powinny być systematycznie usuwane przez Zarządcę cieku. Odkłady te powodują, że nurt rzeki silnie meandruje, rozmywając brzegi, </w:t>
            </w:r>
            <w:r w:rsidRPr="005E78BB">
              <w:rPr>
                <w:rFonts w:ascii="Calibri" w:eastAsia="Times New Roman" w:hAnsi="Calibri" w:cs="Calibri"/>
                <w:color w:val="000000"/>
                <w:sz w:val="18"/>
                <w:szCs w:val="18"/>
                <w:lang w:eastAsia="pl-PL"/>
              </w:rPr>
              <w:lastRenderedPageBreak/>
              <w:t>których linia zbliża się coraz bardziej do wałów powodziowych, stanowiąc zagrożenie dla ich stabilności.</w:t>
            </w:r>
          </w:p>
        </w:tc>
        <w:tc>
          <w:tcPr>
            <w:tcW w:w="1918" w:type="dxa"/>
            <w:shd w:val="clear" w:color="auto" w:fill="auto"/>
            <w:hideMark/>
          </w:tcPr>
          <w:p w14:paraId="150D16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323335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18A6E88" w14:textId="6E8F24F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zakresu prac utrzymaniowych, mające na celu kształtowanie przepustowości koryta, nie wpisują się w cel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którym jest osiągnięcie celów środowiskowych. Zestaw działań opracowywany w ramach IIaPGW ma na celu osiągnięcie celów środowiskowych zgodnie z </w:t>
            </w:r>
            <w:r w:rsidRPr="005E78BB">
              <w:rPr>
                <w:rFonts w:ascii="Calibri" w:eastAsia="Times New Roman" w:hAnsi="Calibri" w:cs="Calibri"/>
                <w:color w:val="000000"/>
                <w:sz w:val="18"/>
                <w:szCs w:val="18"/>
                <w:lang w:eastAsia="pl-PL"/>
              </w:rPr>
              <w:lastRenderedPageBreak/>
              <w:t>zapisami RDW. Udrożnienie cieku, o którym mowa w zgłoszonej uwadze, może prowadzić do zniszczenia siedlisk i natrualnej zmienności hydromorfologicznej w obrębie koryta. Działania tego typu nie są ukierunkowane na osiągnięcie celów środowiskowych jcw, mogą prowadzić do pogorszenia się stanu środowiska i tym samym nie zostały uwzględnione w IIaPGW.</w:t>
            </w:r>
          </w:p>
        </w:tc>
      </w:tr>
      <w:tr w:rsidR="0085319C" w:rsidRPr="005E78BB" w14:paraId="3A510FAA" w14:textId="77777777" w:rsidTr="00E92AE6">
        <w:trPr>
          <w:trHeight w:val="454"/>
        </w:trPr>
        <w:tc>
          <w:tcPr>
            <w:tcW w:w="562" w:type="dxa"/>
            <w:shd w:val="clear" w:color="auto" w:fill="auto"/>
            <w:hideMark/>
          </w:tcPr>
          <w:p w14:paraId="538884E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8</w:t>
            </w:r>
          </w:p>
        </w:tc>
        <w:tc>
          <w:tcPr>
            <w:tcW w:w="1021" w:type="dxa"/>
          </w:tcPr>
          <w:p w14:paraId="5B34FC9D" w14:textId="747E7B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Energia Odnawiala S.A.</w:t>
            </w:r>
          </w:p>
        </w:tc>
        <w:tc>
          <w:tcPr>
            <w:tcW w:w="1630" w:type="dxa"/>
            <w:shd w:val="clear" w:color="auto" w:fill="auto"/>
            <w:hideMark/>
          </w:tcPr>
          <w:p w14:paraId="6187F0BA" w14:textId="59FF940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72AF3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Temat pytania: Spracowywanie zwiększonych dopływów przy przekroczonych stanach NPP przez hydrozespoły energetyki wodnej.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Czy ze strony PGW WP jest możliwość stworzenia pewnego buforu np. 3 dni w czasie których energetyka będzie spracowywała dopływy do zbiorników przy przekroczonych poziomach wody powyżej NPP mając na uwadze prognozy pogody na najbliższe dni w których prognozowany jest brak opadów i związanych z tym zmniejszonych dopływów do zbiorników. </w:t>
            </w:r>
          </w:p>
        </w:tc>
        <w:tc>
          <w:tcPr>
            <w:tcW w:w="3377" w:type="dxa"/>
            <w:shd w:val="clear" w:color="auto" w:fill="auto"/>
            <w:hideMark/>
          </w:tcPr>
          <w:p w14:paraId="05D301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Zawarte w pytaniu</w:t>
            </w:r>
          </w:p>
        </w:tc>
        <w:tc>
          <w:tcPr>
            <w:tcW w:w="3401" w:type="dxa"/>
            <w:shd w:val="clear" w:color="auto" w:fill="auto"/>
            <w:hideMark/>
          </w:tcPr>
          <w:p w14:paraId="0ADE00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Obecnie narzuca się natychmiastowe niemal zejście z poziomem wody i dopływem wody do NPP zbiorników, przez co zrzuca się wodę jałowo z zapór (poza hydrozespołami) niezależnie od przyszłych optymistycznych prognoz pogody.</w:t>
            </w:r>
            <w:r w:rsidRPr="005E78BB">
              <w:rPr>
                <w:rFonts w:ascii="Calibri" w:eastAsia="Times New Roman" w:hAnsi="Calibri" w:cs="Calibri"/>
                <w:color w:val="000000"/>
                <w:sz w:val="18"/>
                <w:szCs w:val="18"/>
                <w:lang w:eastAsia="pl-PL"/>
              </w:rPr>
              <w:br/>
              <w:t xml:space="preserve">W ten sposób nie pozwala się energetyce wodnej wykorzystywać swojej pracy do racjonalnego regulowania poziomów wody, dopływów do zbiorników (gospodarowania zasobami wody), a wręcz ogranicza się możliwość pracy hydrozespołów, przychodów z tego tytułu co jest działaniem &amp;#34;niegospodarnym&amp;#34;.  </w:t>
            </w:r>
          </w:p>
        </w:tc>
        <w:tc>
          <w:tcPr>
            <w:tcW w:w="1918" w:type="dxa"/>
            <w:shd w:val="clear" w:color="auto" w:fill="auto"/>
            <w:hideMark/>
          </w:tcPr>
          <w:p w14:paraId="01BFBE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3F95D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096F5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konsultowanych dokumentów. Urzejmie prosimy o zwrócenie się z wnioskiem o informację bepośrednio do PGW WP.</w:t>
            </w:r>
          </w:p>
        </w:tc>
      </w:tr>
      <w:tr w:rsidR="0085319C" w:rsidRPr="005E78BB" w14:paraId="041F668B" w14:textId="77777777" w:rsidTr="00E92AE6">
        <w:trPr>
          <w:trHeight w:val="454"/>
        </w:trPr>
        <w:tc>
          <w:tcPr>
            <w:tcW w:w="562" w:type="dxa"/>
            <w:shd w:val="clear" w:color="auto" w:fill="auto"/>
            <w:hideMark/>
          </w:tcPr>
          <w:p w14:paraId="52D2BC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w:t>
            </w:r>
          </w:p>
        </w:tc>
        <w:tc>
          <w:tcPr>
            <w:tcW w:w="1021" w:type="dxa"/>
          </w:tcPr>
          <w:p w14:paraId="1CD238F9" w14:textId="334A836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hideMark/>
          </w:tcPr>
          <w:p w14:paraId="36C80C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3395E3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 przeglądzie projektów dokumentów i planów dostępnych na stronie apgw.gov.pl (np. w Zestawieniu inwestycji kierunkowych) stwierdzam brak uwzględnienia inwestycji mających na celu osiągnięcie dobrego stanu wód pod kątem środowiskowym. Wydaje się, że propozycje działań dotyczą przede wszystkim tych przedsięwzięć, który były zaplanowane w ubiegłych latach (i planowane są obecnie) przez GW Wody Polskie. Brakuje tu refleksji nad tymi projektami, a w wielu sytuacjach podawane są działania, które już dawno zostały zakończone, np. projekt udrożnienia Białej Tarnowskiej, czy budowa niebieskiego korytarza rzeki Regi.</w:t>
            </w:r>
          </w:p>
        </w:tc>
        <w:tc>
          <w:tcPr>
            <w:tcW w:w="3377" w:type="dxa"/>
            <w:shd w:val="clear" w:color="auto" w:fill="auto"/>
            <w:hideMark/>
          </w:tcPr>
          <w:p w14:paraId="18409A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Zgłaszam konieczność (podnoszoną również od wielu lat przez organizacje ekologiczne) uwzględnienia działań dotyczących skutecznego udrożnienia najważniejszych (strategicznych) cieków wodnych dla migracji ichtiofauny, w tym przede wszystkim odbudowywanych populacji ryb dwuśrodowiskowych (certy, troci, łososia, jesiotra ostronosego), na które łoży się co roku grube miliony złotych. Jeśli tego udrożnienia nie będzie, to będą to pieniądze wyrzucone w błoto, bo ryby nie będą miały jak się rozmnażać. Najważniejsze cieki i najważniejsze bariery do skutecznego udrożnienia to:</w:t>
            </w:r>
            <w:r w:rsidRPr="005E78BB">
              <w:rPr>
                <w:rFonts w:ascii="Calibri" w:eastAsia="Times New Roman" w:hAnsi="Calibri" w:cs="Calibri"/>
                <w:color w:val="000000"/>
                <w:sz w:val="18"/>
                <w:szCs w:val="18"/>
                <w:lang w:eastAsia="pl-PL"/>
              </w:rPr>
              <w:br/>
              <w:t xml:space="preserve">1) zapora we Włocławku na Wiśle (obecnie działa tam zmodernizowana JEDNA przepławka, która w ograniczonym zakresie umożliwia migrację ryb, jednak docelowym rozwiązaniem, które winno zostać uwzględnione w planie działań powinno być semi-naturalne koryto obejścia zarówno zapory, jak i samego zbiornika we Włocławku, gdyż ryby dwuśrodowiskowe się w nim gubią przez brak silnego nurtu właściwego dla nieuregulowanej rzeki) </w:t>
            </w:r>
            <w:r w:rsidRPr="005E78BB">
              <w:rPr>
                <w:rFonts w:ascii="Calibri" w:eastAsia="Times New Roman" w:hAnsi="Calibri" w:cs="Calibri"/>
                <w:color w:val="000000"/>
                <w:sz w:val="18"/>
                <w:szCs w:val="18"/>
                <w:lang w:eastAsia="pl-PL"/>
              </w:rPr>
              <w:br/>
              <w:t>2) zapora w Dębem na Narwi (skuteczność przepławki jest tu co najmniej wątpliwa, stąd ten sam postulat co dla zapory we Włocławku na Wiśle)</w:t>
            </w:r>
            <w:r w:rsidRPr="005E78BB">
              <w:rPr>
                <w:rFonts w:ascii="Calibri" w:eastAsia="Times New Roman" w:hAnsi="Calibri" w:cs="Calibri"/>
                <w:color w:val="000000"/>
                <w:sz w:val="18"/>
                <w:szCs w:val="18"/>
                <w:lang w:eastAsia="pl-PL"/>
              </w:rPr>
              <w:br/>
              <w:t xml:space="preserve">3) stopnie/progi/jazy na Drwęcy i jej dopływach (oraz innych rzekach: Brdzie, Gwdzie, Wierzycy, Wdzie, Noteci, itd.)- kolejność i harmonogram poszczególnych działań powinien uwzględniać znaczenie </w:t>
            </w:r>
            <w:r w:rsidRPr="005E78BB">
              <w:rPr>
                <w:rFonts w:ascii="Calibri" w:eastAsia="Times New Roman" w:hAnsi="Calibri" w:cs="Calibri"/>
                <w:color w:val="000000"/>
                <w:sz w:val="18"/>
                <w:szCs w:val="18"/>
                <w:lang w:eastAsia="pl-PL"/>
              </w:rPr>
              <w:lastRenderedPageBreak/>
              <w:t xml:space="preserve">danej rzeki dla rozrodu chronionych gatunków. </w:t>
            </w:r>
          </w:p>
        </w:tc>
        <w:tc>
          <w:tcPr>
            <w:tcW w:w="3401" w:type="dxa"/>
            <w:shd w:val="clear" w:color="auto" w:fill="auto"/>
            <w:hideMark/>
          </w:tcPr>
          <w:p w14:paraId="016711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Podkreślić należy, że powyższe działania (szczególnie w pkt 1-2) jeśli zostałyby podjęte, &amp;#34;otworzyłyby&amp;#34; dla ryb kilkadziesiąt tysięcy kilometrów szlaków wodnych, stąd ich tak kardynalne znaczenie. Nie widzę, żeby ten temat był uwypuklony w załączonych dokumentach. W zgłaszanych działaniach należy podkreślać i proponować w pierwszej kolejności odtwarzanie cech naturalnej rzeki (semi-naturalne kanały obejścia, bystrza), a w ostateczności budowanie typowych budowli technicznych- jakimi są przepławki. Powinny być promowane udrożnieniowe projekty kompleksowe, takie jak dla: Białej Tarnowskiej, Regi, Drawy, Pasłęki, czy Wisłoki - to też powinno być podkreślane, jako przykład wzorowych działań i wzór do naśladowania.</w:t>
            </w:r>
          </w:p>
        </w:tc>
        <w:tc>
          <w:tcPr>
            <w:tcW w:w="1918" w:type="dxa"/>
            <w:shd w:val="clear" w:color="auto" w:fill="auto"/>
            <w:hideMark/>
          </w:tcPr>
          <w:p w14:paraId="6A0DB5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B05E1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B96D2BD" w14:textId="662081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Celem podstawowym IIaPGW jest weryfikacja aktualnego stanu wód i występujących zagrożeń dla zakładanych do osiągnięcia celów środowiskowych. Podstawą dokonanej weryfikacji była posiadana przez PGWWP dokumentacja oraz wszelkie bazy danych zawierające materiały dotyczące stanu wód w Polsce (dane PMŚ - dane monitoringowe, oceny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dane projektów analizy znaczących oddziaływań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dalsza charakterystyka wód podziemnych). Na tej podstawie wypracowano katalogi działań kontynuowanych i nowych, które umożliwiły indywidualne dostosowanie zestawu działań do każdej jcw powierzchniowych, mających realną (zgodnie z metodyką przygotowania zestawów działań) szansę na realizację w nadchodzącej perspektywie 2022 - 2027. Jednym z priorytetowych kierunków analiz w tworzeniu katalogu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(RW) było zapewnienie ciągłości biologicznej i morfologicznej rzek i potoków ze szczególnym uwzględnieniem szlaków migracyjnych ryb dwuśrodowiskowych. Z tego względu w pierwszej kolejności szczegółowo przeanalizowano wszystkie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obejmujące cieki istotne dla ryb wędrownych. Po ustaleniu aktualnego stanu środowiska wodnego zaproponowano zakres działań technicznych i nietechnicznych z wypracowanego katalogu działań kontynuowanych i nowych, indywidualnie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Następnie dokonano weryfikacji zaproponowanych pakietów działań pod kątem możliwości technicznych i </w:t>
            </w:r>
            <w:r w:rsidRPr="005E78BB">
              <w:rPr>
                <w:rFonts w:ascii="Calibri" w:eastAsia="Times New Roman" w:hAnsi="Calibri" w:cs="Calibri"/>
                <w:color w:val="000000"/>
                <w:sz w:val="18"/>
                <w:szCs w:val="18"/>
                <w:lang w:eastAsia="pl-PL"/>
              </w:rPr>
              <w:lastRenderedPageBreak/>
              <w:t xml:space="preserve">ekonomicznych ich realizacji, w wyniku czego ostatecznie przygotowane zostały,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propozycje zestawu działań, który jest możliwy do realizacji pod względem technicznym, uzasadnionym ekonomicznie i dającym największe szanse na uzyskanie wymiernych efektów w kolejnej perspektywie 2022 – 2027.</w:t>
            </w:r>
          </w:p>
        </w:tc>
      </w:tr>
      <w:tr w:rsidR="0085319C" w:rsidRPr="005E78BB" w14:paraId="6CC85A16" w14:textId="77777777" w:rsidTr="00E92AE6">
        <w:trPr>
          <w:trHeight w:val="454"/>
        </w:trPr>
        <w:tc>
          <w:tcPr>
            <w:tcW w:w="562" w:type="dxa"/>
            <w:shd w:val="clear" w:color="auto" w:fill="auto"/>
            <w:hideMark/>
          </w:tcPr>
          <w:p w14:paraId="43AD99B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10</w:t>
            </w:r>
          </w:p>
        </w:tc>
        <w:tc>
          <w:tcPr>
            <w:tcW w:w="1021" w:type="dxa"/>
          </w:tcPr>
          <w:p w14:paraId="04DA9582" w14:textId="4CA052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30" w:type="dxa"/>
            <w:shd w:val="clear" w:color="auto" w:fill="auto"/>
            <w:hideMark/>
          </w:tcPr>
          <w:p w14:paraId="6C5FD0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2DE5BA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jakiej części IIaPGW znajdują się wskaźniki graniczne dla silnie zmienionych wód?</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176FDE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3401" w:type="dxa"/>
            <w:shd w:val="clear" w:color="auto" w:fill="auto"/>
            <w:hideMark/>
          </w:tcPr>
          <w:p w14:paraId="39B303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1918" w:type="dxa"/>
            <w:shd w:val="clear" w:color="auto" w:fill="auto"/>
            <w:hideMark/>
          </w:tcPr>
          <w:p w14:paraId="239E3F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8F23F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07D2A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treścią IIaPGW, wskaźniki graniczne SCW i SZCW prezentuje Załącznik nr 3.1 do IIaPGW.</w:t>
            </w:r>
          </w:p>
        </w:tc>
      </w:tr>
      <w:tr w:rsidR="0085319C" w:rsidRPr="005E78BB" w14:paraId="08AFC9F8" w14:textId="77777777" w:rsidTr="00E92AE6">
        <w:trPr>
          <w:trHeight w:val="454"/>
        </w:trPr>
        <w:tc>
          <w:tcPr>
            <w:tcW w:w="562" w:type="dxa"/>
            <w:shd w:val="clear" w:color="auto" w:fill="auto"/>
            <w:hideMark/>
          </w:tcPr>
          <w:p w14:paraId="5D34F85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w:t>
            </w:r>
          </w:p>
        </w:tc>
        <w:tc>
          <w:tcPr>
            <w:tcW w:w="1021" w:type="dxa"/>
          </w:tcPr>
          <w:p w14:paraId="192108FC" w14:textId="3D87D0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30" w:type="dxa"/>
            <w:shd w:val="clear" w:color="auto" w:fill="auto"/>
            <w:hideMark/>
          </w:tcPr>
          <w:p w14:paraId="2BF7A8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7093CA7"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trakcie pracy nad IIaPGW powstały nowe jcw dla których nie były wyznaczone cele środowiskowe w poprzedniej aktualizacji planów. Konsekwencją wyznaczanie nowych jcw może być brak wyników monitoringu środowiskowego dla takiej jcw a więc brak możliwości określenia potencjału ekologicznego. Czy w takim przypadku istnieje możliwości złożenia wniosku o odstępstwo w artykułu 4.5 dla takiego przypadku dla konkretnego wskaźnika?</w:t>
            </w:r>
          </w:p>
        </w:tc>
        <w:tc>
          <w:tcPr>
            <w:tcW w:w="3377" w:type="dxa"/>
            <w:shd w:val="clear" w:color="auto" w:fill="auto"/>
            <w:hideMark/>
          </w:tcPr>
          <w:p w14:paraId="1868A4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3401" w:type="dxa"/>
            <w:shd w:val="clear" w:color="auto" w:fill="auto"/>
            <w:hideMark/>
          </w:tcPr>
          <w:p w14:paraId="018C75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1918" w:type="dxa"/>
            <w:shd w:val="clear" w:color="auto" w:fill="auto"/>
            <w:hideMark/>
          </w:tcPr>
          <w:p w14:paraId="049631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0885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EFC86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Istnieje możliwość złożenia wniosku - składanie wniosków i ich rozpatrywanie jest głównym celem konsultacji społecznych. Wniosek dot. derogacji powinien być solidnie umotywowany pod względem środowiskowym (poziom szczegółowości co najmniej odpowiadający szczegółowości zastosowanej w projekcie "Analiza znaczących oddziaływań antropogenicznych (…)" (poprzedzającym przygotowanie IIaPGW) i pod względem przesłanek wskazanych w art. 4.5 RDW.</w:t>
            </w:r>
          </w:p>
        </w:tc>
      </w:tr>
      <w:tr w:rsidR="0085319C" w:rsidRPr="005E78BB" w14:paraId="281B9FB2" w14:textId="77777777" w:rsidTr="00E92AE6">
        <w:trPr>
          <w:trHeight w:val="454"/>
        </w:trPr>
        <w:tc>
          <w:tcPr>
            <w:tcW w:w="562" w:type="dxa"/>
            <w:shd w:val="clear" w:color="auto" w:fill="auto"/>
            <w:hideMark/>
          </w:tcPr>
          <w:p w14:paraId="5AE3F6E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w:t>
            </w:r>
          </w:p>
        </w:tc>
        <w:tc>
          <w:tcPr>
            <w:tcW w:w="1021" w:type="dxa"/>
          </w:tcPr>
          <w:p w14:paraId="12A47B2B" w14:textId="1E58BC1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Wielbark Urząd Miejski w Wielbarku</w:t>
            </w:r>
          </w:p>
        </w:tc>
        <w:tc>
          <w:tcPr>
            <w:tcW w:w="1630" w:type="dxa"/>
            <w:shd w:val="clear" w:color="auto" w:fill="auto"/>
            <w:hideMark/>
          </w:tcPr>
          <w:p w14:paraId="653423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C3B93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Gmina Wielbark zwraca się z prośbą o umieszczenie zadania inwestycyjnego pn. „Renaturalizacja rzeki Sawica na odcinku Kucbork Wielbark, gmina Wielbark, powiat szczycieński, województwo warmińsko — mazurskie&amp;#34; w aktualizowanym Planie gospodarowania wodami na obszarach dorzeczy — IIaPGW. Renaturalizacji można wykonać niewielkim nakładem kosztów a uzyskane efekty ekologiczne i środowiskowe będą olbrzymie (więcej informacji w załączniku do niniejszego pisma). Informujemy, te przy prowadzeniu tej inwestycji nie będzie konieczności wykupu oraz zamiany gruntów, ponieważ na całym tym odcinku po jednej i drugiej stronie rzeki należą do Skarbu Państwa. Dodatkowo należy wspomnieć, iż rzeka została przekopana na tym odcinku w połowie lat 70-tych i zlikwidowano kilka obszarów o intensywnym meandrowaniu rzeki. Wpuszczenie rzeki do naturalnego koryta, po uprzednim oczyszczeniu, w krótkim czasie przywróci naturalne warunki. Rzeka Sawica znajduje się w obszarze NATURA 2000 — Puszcza Napiwodzko-Ramucka kod obszaru PLB 280007. </w:t>
            </w:r>
            <w:r w:rsidRPr="005E78BB">
              <w:rPr>
                <w:rFonts w:ascii="Calibri" w:eastAsia="Times New Roman" w:hAnsi="Calibri" w:cs="Calibri"/>
                <w:color w:val="000000"/>
                <w:sz w:val="18"/>
                <w:szCs w:val="18"/>
                <w:lang w:eastAsia="pl-PL"/>
              </w:rPr>
              <w:br w:type="page"/>
              <w:t xml:space="preserve">Burmistrz Wielbarka deklaruje czynny udział w przygotowaniu i przeprowadzeniu tego zadania m.in.: współpracę z Lasami Państwowymi w Olsztynie i uzyskanie potwierdzenia, co do zasadności tej inwestycji, współpracę z Polskim Związkiem Wędkarskim w Warszawie w celu przywrócenia naturalnych tarlisk na rzece Sawica, z organizacjami ekologicznymi. W załączeniu mapa z 1936 roku pokazująca meandry rzeki Sawica. Nadmienić należy, iż takie warunki panowały do połowy lat 70-tych XX wieku.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49A1E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3401" w:type="dxa"/>
            <w:shd w:val="clear" w:color="auto" w:fill="auto"/>
            <w:hideMark/>
          </w:tcPr>
          <w:p w14:paraId="179AF1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1918" w:type="dxa"/>
            <w:shd w:val="clear" w:color="auto" w:fill="auto"/>
            <w:hideMark/>
          </w:tcPr>
          <w:p w14:paraId="2E4048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12_UM_Wielbark_Wisła</w:t>
            </w:r>
          </w:p>
        </w:tc>
        <w:tc>
          <w:tcPr>
            <w:tcW w:w="1276" w:type="dxa"/>
            <w:shd w:val="clear" w:color="auto" w:fill="auto"/>
            <w:hideMark/>
          </w:tcPr>
          <w:p w14:paraId="732B09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511D4C0" w14:textId="1A6C5F3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Akceptacja propozycji zgłoszonej w uwadze poprzez dodanie działania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RW2000182654299 o kodzie RWHM 04_05, nazwa działania: Renaturyzacja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Opis działania: „Renaturalizacja rzeki Sawica na odcinku Kucbork Wielbark", gmina Wielbark, powiat szczycieński, województwo warmińsko — mazurskie, działanie techniczne, realizacja do 2027 roku, jednostka odpowiedzialna za realizację: gmina, Lasy Państwowe, RZGW.</w:t>
            </w:r>
          </w:p>
        </w:tc>
      </w:tr>
      <w:tr w:rsidR="0085319C" w:rsidRPr="005E78BB" w14:paraId="70E1E75B" w14:textId="77777777" w:rsidTr="00E92AE6">
        <w:trPr>
          <w:trHeight w:val="454"/>
        </w:trPr>
        <w:tc>
          <w:tcPr>
            <w:tcW w:w="562" w:type="dxa"/>
            <w:shd w:val="clear" w:color="auto" w:fill="auto"/>
            <w:hideMark/>
          </w:tcPr>
          <w:p w14:paraId="46CA304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w:t>
            </w:r>
          </w:p>
        </w:tc>
        <w:tc>
          <w:tcPr>
            <w:tcW w:w="1021" w:type="dxa"/>
          </w:tcPr>
          <w:p w14:paraId="23508866" w14:textId="4D33A1E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Ciech Soda Polska</w:t>
            </w:r>
          </w:p>
        </w:tc>
        <w:tc>
          <w:tcPr>
            <w:tcW w:w="1630" w:type="dxa"/>
            <w:shd w:val="clear" w:color="auto" w:fill="auto"/>
            <w:hideMark/>
          </w:tcPr>
          <w:p w14:paraId="747A1B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0B6ADE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trwającym procesem konsultacji // aktualizacji planów gospodarowania wodami dla obszaru dorzecza M//s/y Zakład Prod ukcyjny Cl ECH Soda Polska S.A złożył w trakcie spotkania konsultacyjnego w dniu 26.05. pytanie o następującej treści: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II APGW zapisano {rozdział 16. Wykaz inwestycji idziałań, które mogą spowodować nleosiggnięcie dobrego stanu wód lub pogorszenie dobrego stanu wód; strona 407 projektu HAPGW), że wykaz inwestycji oraz działań, które mogą spowodować nieosiągnięcie dobrego stanu wód lub pogorszenie dobrego stanu wód, obok inwestycji nowych uwzględnia </w:t>
            </w:r>
            <w:r w:rsidRPr="005E78BB">
              <w:rPr>
                <w:rFonts w:ascii="Calibri" w:eastAsia="Times New Roman" w:hAnsi="Calibri" w:cs="Calibri"/>
                <w:color w:val="000000"/>
                <w:sz w:val="18"/>
                <w:szCs w:val="18"/>
                <w:lang w:eastAsia="pl-PL"/>
              </w:rPr>
              <w:lastRenderedPageBreak/>
              <w:t>informacje o planowanych i realizowanych inwestycjach i działaniach, dia których w aPGW z 2016 r. potwierdzono warunki spełniania odstępstwa w trybie art. 4 ust. 7 RDW. W związku z tym proszę o potwierdzenie, że inwestycje dla których potwierdzono warunki spełniania odstępstwa w trybie art. 4 ust. 7 RDW w I aPGW, i które nadal prowadzą działalność, która nie zmienia dotychczasowego stanu wód, powinny zostać również wpisane do załącznika nr 6 il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odpowiedzi na powyższe pytanie uzyskano odpowiedź od p. Dyrektora Przemysława Gruszeckiego „załącznik nr 6 zawiera tylko nowe inwestycje".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proszę o potwierdzenie poprawności zawartych II aktualizacji planów gospodarowania wodami dia obszaru dorzecza Wisły treści w zakresie ujęcia inwestycji w wykazie inwestycji opublikowanym w załączniku nr 6 do projektu M aktualizacji planów gospodarowania wodami dla obszaru dorzecza Wisły. Otrzymana odpowiedź jest sprzeczna z zapisami projektu HAPGW rozdział 16. Wykaz inwestycji i działań, które mogą spowodować nieosiągnięcie dobrego stanu wód lub pogorszenie dobrego stanu wód; strona 407. Podkreślamy, iż Zakład Produkcyjny CIECH Soda Polska S.A nie zamierza zaprzestać prowadzenia działalności i będzie występować z wnioskiem o kolejne pozwolenie wodnoprawne, które w świetle zapisów Ustawy Prawo wodne będzie rozpatrywane w procedurze tożsamej jak dla nowej inwestycji.</w:t>
            </w:r>
          </w:p>
        </w:tc>
        <w:tc>
          <w:tcPr>
            <w:tcW w:w="3377" w:type="dxa"/>
            <w:shd w:val="clear" w:color="auto" w:fill="auto"/>
            <w:hideMark/>
          </w:tcPr>
          <w:p w14:paraId="1DF1B4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j.w</w:t>
            </w:r>
          </w:p>
        </w:tc>
        <w:tc>
          <w:tcPr>
            <w:tcW w:w="3401" w:type="dxa"/>
            <w:shd w:val="clear" w:color="auto" w:fill="auto"/>
            <w:hideMark/>
          </w:tcPr>
          <w:p w14:paraId="5CAF89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j.w</w:t>
            </w:r>
          </w:p>
        </w:tc>
        <w:tc>
          <w:tcPr>
            <w:tcW w:w="1918" w:type="dxa"/>
            <w:shd w:val="clear" w:color="auto" w:fill="auto"/>
            <w:hideMark/>
          </w:tcPr>
          <w:p w14:paraId="55477B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260B1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2772C0E" w14:textId="108265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Potwierdzam, że istniejące korzystanie z wód i/lub usług wodnych nie podlega pod system odstępstwa w trybie art. 4.7 Ramowej Dyrektywy Wodnej (art. 66-68 ustawy z dnia 20 lipca 2017 r. – Prawo wodne). Takiemu odstępstwu mogą podlegać wyłącznie nowe działania i przedsięwzięcia, o ile stanowią one nowe zmiany właściwości fizycznych jednolitych części wód powierzchniowych, nowe zmiany poziomu zwierciadła wód </w:t>
            </w:r>
            <w:r w:rsidRPr="005E78BB">
              <w:rPr>
                <w:rFonts w:ascii="Calibri" w:eastAsia="Times New Roman" w:hAnsi="Calibri" w:cs="Calibri"/>
                <w:color w:val="000000"/>
                <w:sz w:val="18"/>
                <w:szCs w:val="18"/>
                <w:lang w:eastAsia="pl-PL"/>
              </w:rPr>
              <w:lastRenderedPageBreak/>
              <w:t>podziemnych oraz nowe działania człowieka zgodne z zasadą zrównoważonego rozwoju i niezbędne dla rozwoju społeczeństwa. Dlatego też istniejące obiekty (oraz prowadzona przez nie działalność) nie mogą być ujęte w Wykazie inwestycji i działań, który – według art. 318 ust. 1 pkt 22 i art. 323 (w związku z art. 435-436) ww. ustawy – może przedstawiać wyłącznie informacje o działaniach i inwestycje, które: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mogą wpłynąć na możliwość osiągnięcia celów środowiskowych, o których mowa w art. 56, art. 57, art. 59 oraz w art. 61 PW, oraz</w:t>
            </w:r>
            <w:r w:rsidRPr="005E78BB">
              <w:rPr>
                <w:rFonts w:ascii="Calibri" w:eastAsia="Times New Roman" w:hAnsi="Calibri" w:cs="Calibri"/>
                <w:color w:val="000000"/>
                <w:sz w:val="18"/>
                <w:szCs w:val="18"/>
                <w:lang w:eastAsia="pl-PL"/>
              </w:rPr>
              <w:br/>
              <w:t>- spełniają warunki, o których mowa w art. 68 pkt 1, 3 i 4 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 czym spełnianie tych warunków musi być wyrażone w formie zgody wodnoprawnej lub decyzji o środowiskowych uwarunkowaniach. Dla istniejącego od wielu lat obiektu nie ma potrzeby (ani prawnej możliwości) dokonywania wpisu w Wykazie inwestycji i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Istniejące korzystanie z wód i/lub usług wodnych jest uwzględnione w cyklu planistycznym (którego zwieńczeniem jest przyjęcie aktualizacji planu gospodarowania na obszarze dorzecza). Wyraża się to w identyfikacji i analizie presji, którą zestawia się z danymi na temat stanu wód, i na tej podstawie rozstrzyga się m.in. konieczność podjęcia działań zmierzających do osiągnięcia celów środowiskowych oraz konieczność ustanowienia odstępstwa uwzględniającego zasadność utrzymania istniejących presji. W praktyce wyraża się to w szczególności w formie złagodzenia celu środowiskowego (tj. odstępstwa w trybie art. 63 ww. ustawy – art. 4 ust. 5 Ramowej Dyrektywy Wodnej). Jeżeli zidentyfikowano presję antropogeniczną, która uniemożliwia osiągnięcie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ale zaspokaja ona ważną potrzebę społeczno-gospodarczą (lub ekologiczną) i nie ma możliwości zaspokojenia tej potrzeby za pomocą innych działań, korzystniejszych z punktu widzenia środowiska i bez ponoszenia nieproporcjonalnie wysokich kosztów w stosunku do spodziewanych korzyści – to wówczas w PGW ustanawia się odstępstwo polegające na złagodzeniu celu środowiskowego.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Mając na uwadze powyższe należy podkreślić, że w świetle obowiązujących przepisów (krajowych i unijnych) brak uwzględnienia </w:t>
            </w:r>
            <w:r w:rsidRPr="005E78BB">
              <w:rPr>
                <w:rFonts w:ascii="Calibri" w:eastAsia="Times New Roman" w:hAnsi="Calibri" w:cs="Calibri"/>
                <w:color w:val="000000"/>
                <w:sz w:val="18"/>
                <w:szCs w:val="18"/>
                <w:lang w:eastAsia="pl-PL"/>
              </w:rPr>
              <w:lastRenderedPageBreak/>
              <w:t>istniejącej presji w Wykazie inwestycji i działań nie stanowi przeszkody w kontynuowaniu dotychczasowej działalności i nie stanowi powodu do komplikacji na etapie postępowań w sprawie wydania decyzji o środowiskowych uwarunkowaniach, pozwolenia wodnoprawnego lub pozwolenia zintegrowanego.</w:t>
            </w:r>
          </w:p>
        </w:tc>
      </w:tr>
      <w:tr w:rsidR="0085319C" w:rsidRPr="005E78BB" w14:paraId="07EEE918" w14:textId="77777777" w:rsidTr="00E92AE6">
        <w:trPr>
          <w:trHeight w:val="454"/>
        </w:trPr>
        <w:tc>
          <w:tcPr>
            <w:tcW w:w="562" w:type="dxa"/>
            <w:shd w:val="clear" w:color="auto" w:fill="auto"/>
            <w:hideMark/>
          </w:tcPr>
          <w:p w14:paraId="257578D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14</w:t>
            </w:r>
          </w:p>
        </w:tc>
        <w:tc>
          <w:tcPr>
            <w:tcW w:w="1021" w:type="dxa"/>
          </w:tcPr>
          <w:p w14:paraId="43285DA3" w14:textId="50D710E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hideMark/>
          </w:tcPr>
          <w:p w14:paraId="497E49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0CDB2A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zarówno dorzecza Wisły, jak i Odry - gdyż to w tych dorzeczach planuje się budowę dużych zbiorników zaporowych i retencyjnych.</w:t>
            </w:r>
          </w:p>
        </w:tc>
        <w:tc>
          <w:tcPr>
            <w:tcW w:w="3377" w:type="dxa"/>
            <w:shd w:val="clear" w:color="auto" w:fill="auto"/>
            <w:hideMark/>
          </w:tcPr>
          <w:p w14:paraId="4F061D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Budowanie zbiorników retencyjnych  OBOK cieków wodnych, a nie w wyniku ich przegradzania. To alternatywne rozwiązanie nie generuje wielu negatywnych skutków (wymienionych poniżej), a jednocześnie zapewnia te wszystkie korzyści, które są związane z powstaniem zbiorników, tj. m.in.: dużą retencję wody, możliwość podwójnego generowania energii z wody (na wpływie do zbiornika i na wypływie), podniesieniem się poziomów wodnych na okolicznych obszarach, nawodnienie obszarów przyległych i szereg innych związanych z zapewnieniem wzrostu retencji i zwalczaniem suszy.</w:t>
            </w:r>
          </w:p>
        </w:tc>
        <w:tc>
          <w:tcPr>
            <w:tcW w:w="3401" w:type="dxa"/>
            <w:shd w:val="clear" w:color="auto" w:fill="auto"/>
            <w:hideMark/>
          </w:tcPr>
          <w:p w14:paraId="3895F5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katalogu zaproponowanych działań znajduje się szereg prac, które są uwzględnione w programach dedykowanych zwalczaniu suszy i zwiększenia poziomu retencji w kraju. Jako główne przykłady planowanych inwestycji należy tu wskazać: Siarzewo, zbiornik Kąty-Myscowa, zbiornik Wielowieś Klasztorna, Lubiąż i Ścinawę. Szereg organizacji (w tym ekologicznych) od lat powtarza, że przegradzanie rzek w starym stylu, bez żadnych wątpliwości i zdecydowanie pogarsza stan cieków wodnych, na których takie prace są wykonywane, w tym w zakresie np. naturalnego transportu rumoszu, zachowania ciągłości biologicznej, możliwości pokonywania tych barier przez organizmy wodne w tym ryby dwuśrodowiskowe, zniszczeń podczas budowy i tworzenia zbiornika cennych lasów łęgowych i innych obszarów chronionych, możliwości samooczyszczania się wód, jest polityką wprost przeciwną do założeń renaturyzacji wód powierzchniowych, itd. Proszę zatem o realne, rzeczywiste i zgodne z najnowszą wiedzą (bez demagogii) UZASADNIENIE, dlaczego propozycje wymienionych inwestycji miałyby być korzystne dla środowiska i dlaczego nie są rozważane alternatywne propozycje budowania zbiorników retencyjnych OBOK (!) cieków wodnych, a nie w wyniku przegrodzenia ich koryt.</w:t>
            </w:r>
          </w:p>
        </w:tc>
        <w:tc>
          <w:tcPr>
            <w:tcW w:w="1918" w:type="dxa"/>
            <w:shd w:val="clear" w:color="auto" w:fill="auto"/>
            <w:hideMark/>
          </w:tcPr>
          <w:p w14:paraId="6BEAF3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8D16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93B7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nie przewiduje realizacji takich przedsięwzięć, o jakich jest mowa w uwadze. Realizacja tego typu przedsięwzięć wynika z dokumentów sektorowych dotyczących konkretnych zagadnień (susza, niedobory wody, powódź, żegluga). Uwzględnianie na potrzeby IIaPGW ustaleń i zapisów innych dokumentów strategicznych, w tym również PPSS oraz PZRP, nie oznacza włączania do katalogów działań IIaPGW działań nie wpisujących się w cele IIaPGW.</w:t>
            </w:r>
          </w:p>
        </w:tc>
      </w:tr>
      <w:tr w:rsidR="0085319C" w:rsidRPr="005E78BB" w14:paraId="1591FEC2" w14:textId="77777777" w:rsidTr="00E92AE6">
        <w:trPr>
          <w:trHeight w:val="454"/>
        </w:trPr>
        <w:tc>
          <w:tcPr>
            <w:tcW w:w="562" w:type="dxa"/>
            <w:shd w:val="clear" w:color="auto" w:fill="auto"/>
            <w:hideMark/>
          </w:tcPr>
          <w:p w14:paraId="737103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w:t>
            </w:r>
          </w:p>
        </w:tc>
        <w:tc>
          <w:tcPr>
            <w:tcW w:w="1021" w:type="dxa"/>
          </w:tcPr>
          <w:p w14:paraId="6B55510E" w14:textId="65B157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Komunalna Biologiczna Oczyszczalnia Ścieków Sp. z.o.o. Nowa Sarzyna</w:t>
            </w:r>
          </w:p>
        </w:tc>
        <w:tc>
          <w:tcPr>
            <w:tcW w:w="1630" w:type="dxa"/>
            <w:shd w:val="clear" w:color="auto" w:fill="auto"/>
            <w:hideMark/>
          </w:tcPr>
          <w:p w14:paraId="7AA53F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08D5445" w14:textId="7651CA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trwającym procesem konsultacji II aktualizacji planów gospodarowania wodami dla obszaru dorzecza Wisły składam wniosek o ujęcie Komunalnej Biologicznej Oczyszczalni Ścieków Sp. z 0.0. w Sarzynie w wykazie inwestycji oraz działań, które mogą spowodować nieosiągnięcie dobrego stanu wód lub pogorszenie dobrego stanu wód, spełniających warunki, o których mowa w art. 68 Ustawy Prawo wodne.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załączeniu przekazuje wniosek (załącznik nr 1 do pisma) wraz z uzasadnieniem spełnienia warunków ujęcia inwestycji w wykazie inwestycji oraz działań, które mogą spowodować nieosiągnięcie dobrego stanu wód lub pogorszenie dobrego stanu wód. Wniosek zawiera;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1) wskazanie podmiotu odpowiedzialnego za realizację działań;</w:t>
            </w:r>
            <w:r w:rsidRPr="005E78BB">
              <w:rPr>
                <w:rFonts w:ascii="Calibri" w:eastAsia="Times New Roman" w:hAnsi="Calibri" w:cs="Calibri"/>
                <w:color w:val="000000"/>
                <w:sz w:val="18"/>
                <w:szCs w:val="18"/>
                <w:lang w:eastAsia="pl-PL"/>
              </w:rPr>
              <w:br w:type="page"/>
              <w:t>2) uzasadnienie konieczności realizacji działań, z uwzględnieniem spodziewanych efektów ich realizacji;</w:t>
            </w:r>
            <w:r w:rsidRPr="005E78BB">
              <w:rPr>
                <w:rFonts w:ascii="Calibri" w:eastAsia="Times New Roman" w:hAnsi="Calibri" w:cs="Calibri"/>
                <w:color w:val="000000"/>
                <w:sz w:val="18"/>
                <w:szCs w:val="18"/>
                <w:lang w:eastAsia="pl-PL"/>
              </w:rPr>
              <w:br w:type="page"/>
              <w:t>3) szacunkową analizę kosztów i korzyści wynikających z planowanych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Dodatkowo wraz z pismem przekazuję wypełniony wzór załącznika nr 6 dla zadania dot. Komunalnej Biologicznej Oczyszczalni Ścieków Sp. z o.o. w Sarzynie (załącznik nr 2).</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Zgodnie z II aPGW część wód będąca miejscem korzystania to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San od Wisłoka do ujścia o kodzie </w:t>
            </w:r>
            <w:r w:rsidRPr="005E78BB">
              <w:rPr>
                <w:rFonts w:ascii="Calibri" w:eastAsia="Times New Roman" w:hAnsi="Calibri" w:cs="Calibri"/>
                <w:color w:val="000000"/>
                <w:sz w:val="18"/>
                <w:szCs w:val="18"/>
                <w:lang w:eastAsia="pl-PL"/>
              </w:rPr>
              <w:lastRenderedPageBreak/>
              <w:t>RW20001222999. W związku z prowadzoną działalnością zakładów przemysłowych CIECH Sarzyna S.A konieczne jest posiadanie pozwolenia wodnoprawnego przez oczyszczalnię w zakresie zrzutu wód zasolonych do rzeki San. KBOŚ w Sarzynie nie służy wyłączne celom zakładu produkcyjnego. Na oczyszczalni ścieków oczyszczana jest mieszanina następujących ścieków:</w:t>
            </w:r>
            <w:r w:rsidRPr="005E78BB">
              <w:rPr>
                <w:rFonts w:ascii="Calibri" w:eastAsia="Times New Roman" w:hAnsi="Calibri" w:cs="Calibri"/>
                <w:color w:val="000000"/>
                <w:sz w:val="18"/>
                <w:szCs w:val="18"/>
                <w:lang w:eastAsia="pl-PL"/>
              </w:rPr>
              <w:br w:type="page"/>
              <w:t>• ścieki komunalne z miasta i gminy Nowa Sarzyna,</w:t>
            </w:r>
            <w:r w:rsidRPr="005E78BB">
              <w:rPr>
                <w:rFonts w:ascii="Calibri" w:eastAsia="Times New Roman" w:hAnsi="Calibri" w:cs="Calibri"/>
                <w:color w:val="000000"/>
                <w:sz w:val="18"/>
                <w:szCs w:val="18"/>
                <w:lang w:eastAsia="pl-PL"/>
              </w:rPr>
              <w:br w:type="page"/>
              <w:t>• ścieki komunalne zawierające ścieki bytowe i przemysłowe z CIECH Sarzyna S.A. i osiedla przyzakładowego.</w:t>
            </w:r>
            <w:r w:rsidRPr="005E78BB">
              <w:rPr>
                <w:rFonts w:ascii="Calibri" w:eastAsia="Times New Roman" w:hAnsi="Calibri" w:cs="Calibri"/>
                <w:color w:val="000000"/>
                <w:sz w:val="18"/>
                <w:szCs w:val="18"/>
                <w:lang w:eastAsia="pl-PL"/>
              </w:rPr>
              <w:br w:type="page"/>
              <w:t>• ścieki dowożone transportem kołowym (wozami asenizacyjnymi).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Komunalna Biologiczna Oczyszczalnia Ścieków Sp. z o.o. w Sarzynie jest również odbiornikiem ścieków z aglomeracji Nowa Sarzyna. Uchwałą nr XXX/301/2020 Rady Miejskiej w Nowej Sarzynie z dnia 28 grudnia 2020 r. w sprawie wyznaczenia obszaru i granic aglomeracji Nowa Sarzyna wyznaczono na terenie gminy aglomerację o równoważnej liczbie mieszkańców 23 914.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CIECH Sarzyna S.A. jest dużym pracodawcą w regionie. Dla realizacji zadań biznesowych w segmencie agro i segmencie tworzyw zatrudnionych jest bezpośrednio ok. 500 osób. Z uwzględnieniem firm zewnętrznych działający na terenie CIECH Sarzyna i współpracujących z CIECH Sarzyna S.A. poziom zatrudnienia przekracza 1500 osób. W związku z powyższym składam wniosek o ujęcie Komunalnej Biologicznej Oczyszczalni Ścieków Sp. z o.o. w Sarzynie w wykazie inwestycji opublikowanym w załączniku nr 6 do projektu II aktualizacji planów gospodarowania wodami dla obszaru dorzecza Wisły, celem możliwości wnioskowania o udzielenie pozwolenia wodnoprawnego dla inwestycji. Zgodnie z art. 396 ust. 1 Ustawy Prawo wodne pozwolenie wodnoprawne, może zostać wydane, jeżeli sposób korzystania nie będzie naruszać ustaleń planu gospodarowania wodami na obszarze dorzecza, z wyłączeniem okoliczności, o których mowa w art. 66 tejże Ustawy.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Załącznik nr 1: Wniosek wraz z uzasadnieniem spełnienia warunków ujęcia inwestycji w wykazie inwestycji oraz działań, które mogą spowodować nieosiągnięcie dobrego stanu wód lub pogorszenie dobrego stanu wód.</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1) wskazanie podmiotu odpowiedzialnego za realizację działań</w:t>
            </w:r>
            <w:r w:rsidRPr="005E78BB">
              <w:rPr>
                <w:rFonts w:ascii="Calibri" w:eastAsia="Times New Roman" w:hAnsi="Calibri" w:cs="Calibri"/>
                <w:color w:val="000000"/>
                <w:sz w:val="18"/>
                <w:szCs w:val="18"/>
                <w:lang w:eastAsia="pl-PL"/>
              </w:rPr>
              <w:br w:type="page"/>
              <w:t>Komunalna Biologiczna Oczyszczalnia Ścieków sp. z o.o. w Sarzynie, 37-310 Nowa Sarzyna, gmina: Nowa Sarzyna; powiat: leżajski</w:t>
            </w:r>
            <w:r w:rsidRPr="005E78BB">
              <w:rPr>
                <w:rFonts w:ascii="Calibri" w:eastAsia="Times New Roman" w:hAnsi="Calibri" w:cs="Calibri"/>
                <w:color w:val="000000"/>
                <w:sz w:val="18"/>
                <w:szCs w:val="18"/>
                <w:lang w:eastAsia="pl-PL"/>
              </w:rPr>
              <w:br w:type="page"/>
              <w:t>2) uzasadnienie konieczności realizacji działań, z uwzględnieniem spodziewanych efektów ich realizacji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prowadzoną działalnością zakładów przemysłowych CIECH Sarzyna S.A konieczne jest posiadanie pozwolenia wodnoprawnego przez oczyszczalnię w zakresie zrzutu wód zasolonych do rzeki San. CIECH Sarzyna S.A. jest dużym pracodawcą w regionie. Dla realizacji zadań biznesowych w segmencie agro i segmencie tworzyw zatrudnionych jest bezpośrednio ok. 500 osób. Z uwzględnieniem firm zewnętrznych działający na terenie CIECH Sarzyna i współpracujących z CIECH Sarzyna S.A. poziom zatrudnienia przekracza 1500 osób. KBOS w Sarzynie nie służy wyłączne celom zakładu produkcyjnego. Na oczyszczalni ścieków oczyszczana jest mieszanina następujących ścieków: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ścieki komunalne z miasta i gminy Nowa Sarzyna,</w:t>
            </w:r>
            <w:r w:rsidRPr="005E78BB">
              <w:rPr>
                <w:rFonts w:ascii="Calibri" w:eastAsia="Times New Roman" w:hAnsi="Calibri" w:cs="Calibri"/>
                <w:color w:val="000000"/>
                <w:sz w:val="18"/>
                <w:szCs w:val="18"/>
                <w:lang w:eastAsia="pl-PL"/>
              </w:rPr>
              <w:br w:type="page"/>
              <w:t>• ścieki komunalne zawierające ścieki bytowe i przemysłowe z CIECH Sarzyna S.A. i osiedla przyzakładowego,</w:t>
            </w:r>
            <w:r w:rsidRPr="005E78BB">
              <w:rPr>
                <w:rFonts w:ascii="Calibri" w:eastAsia="Times New Roman" w:hAnsi="Calibri" w:cs="Calibri"/>
                <w:color w:val="000000"/>
                <w:sz w:val="18"/>
                <w:szCs w:val="18"/>
                <w:lang w:eastAsia="pl-PL"/>
              </w:rPr>
              <w:br w:type="page"/>
              <w:t>• ścieki dowożone transportem kołowym (wozami asenizacyjnymi).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Komunalna Biologiczna Oczyszczalnia Ścieków Sp. z o.o. w Sarzynie jest również odbiornikiem ścieków z aglomeracji Nowa Sarzyna. Uchwałą nr XXX/301/2020 Rady Miejskiej w Nowej Sarzynie z dnia 28 grudnia 2020 r. w sprawie wyznaczenia obszaru i granic aglomeracji Nowa Sarzyna wyznaczono na terenie gminy aglomerację o równoważnej liczbie mieszkańców 23 914 z oczyszczalnią ścieków w Sarzynie. Obszar tej aglomeracji obejmuje miejscowości: Nowa Sarzyna, Jelna sołectwo Judaszówka, Jelna - przysiółek Baranówka, Łętownia, Łętownia sołectwo Gościniec, sołectwo Majdan Łętowski, Sarzyna, Tarnogóra, Ruda Łańcucka, Łukowa, Wola Zarczycka (część obszaru miejscowości).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wpisania Komunalnej Biologicznej Oczyszczalni Ścieków Sp. z o.o. w Sarzynie na listę </w:t>
            </w:r>
            <w:r w:rsidRPr="005E78BB">
              <w:rPr>
                <w:rFonts w:ascii="Calibri" w:eastAsia="Times New Roman" w:hAnsi="Calibri" w:cs="Calibri"/>
                <w:color w:val="000000"/>
                <w:sz w:val="18"/>
                <w:szCs w:val="18"/>
                <w:lang w:eastAsia="pl-PL"/>
              </w:rPr>
              <w:lastRenderedPageBreak/>
              <w:t>załącznika nr 6 IlaPGW Wykaz inwestycji oraz działań, które mogą spowodować nieosiągnięcie dobrego stanu wód lub pogorszenie dobrego stanu wód może być istotne dla potwierdzenia możliwości udzielenia nowego pozwolenia wodnoprawnego. Dotychczasowa działalność zakładu oraz monitoring wykonywany na podstawie punktu IV ppkt 6 obowiązującej decyzji pozwolenia wodnoprawnego wskazują na dotrzymywanie warunków udzielonego pozwolenia wodnoprawnego oraz niepogarszanie stanu wód rzeki San będącej odbiornikiem ścieków.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Zakłady CIECH Sarzyna S.A. prowadzą produkcję środków ochrony roślin (segment agro) oraz żywic (segment tworzyw). Ścieki są produktem ubocznym, głównie z instalacji produkcyjnych CIECH Sarzyna S.A., ale także z instalacji innych, w tym również Spółek konkurencyjnych prowadzących działalność na terenie w CIECH Sarzyna S.A. Ponieważ ścieki odprowadzane przez KBOŚ w Sarzynie charakteryzują się podwyższoną zawartością jonów Cl, główny dostawca zasolonych ścieków CIECH Sarzyna S.A. przeprowadził analizę możliwości redukcji stężeń chlorków w wytwarzanych ściekach. Chlorki zawarte w ściekach stanowią zanieczyszczenia z grupy nieorganicznych. Chlorki nie ulegają oczyszczeniu na oczyszczalni mechaniczno-biologicznej. Jedynym sposobem jest ich wcześniejsze podczyszczenie przez usuwanie ze ścieków soli - chlorku sodu (NaCI) u źródeł ich wytwarzania metodami fizykochemicznymi. Realizowana w CIECH Sarzyna S.A. produkcja środków ochrony roślin, jak też produkcja żywic, stanowią podstawową działalność biznesową Spółki. Niemniej jednak podkreślić należy, że zarówno w segmencie agro, jak też tworzyw - są to działalności sezonowe, charakteryzujące się dużą zmiennością wolumenową, a w konsekwencji dużymi wahaniami zawartości chlorków w ściekach pomiędzy poszczególnymi kwartałami, a nawet miesiącami. Ze względu na specyfikę produktów, w szczególności konieczność zachowania właściwości wyrobów - nieuzasadniona biznesowo jest jednorazowa, ciągła długoterminowa produkcja przez okres np. jednego roku celem nagromadzenia wyrobów do sprzedaży na kolejny rok. Dla dużej części wyrobów - zwłaszcza z obszaru tworzyw - jest to niemożliwe nawet w okresach trzy miesięcznych. Sezonowość produkcji, a w konsekwencji znaczne wahania poziomu ścieków solankowych -wkalkulowane są w biznes.</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Zgodnie z II aPGW część wód będąca miejscem korzystania i zrzutu ścieków z Komunalnej Biologicznej Oczyszczalni Ścieków Sp. z o.o. w Sarzynie to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San od Wisłoka do ujścia o kodzie RW20001222999 o statusie naturalnej części wód, typ RwN. Zgodnie z oceną stanu na lata 2014-2019 na podstawie danych monitoringowych i analizy eksperckiej dla tej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zapisano w zakresie oceny stanu ekologicznego - umiarkowany stan ekologiczny. Ocena stanu chemicznego - poniżej dobrego. W II aPGW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San od Wisłoka do ujścia wskazano jako cel środowiskowy na lata 2022-2027: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dobry stan ekologiczny,</w:t>
            </w:r>
            <w:r w:rsidRPr="005E78BB">
              <w:rPr>
                <w:rFonts w:ascii="Calibri" w:eastAsia="Times New Roman" w:hAnsi="Calibri" w:cs="Calibri"/>
                <w:color w:val="000000"/>
                <w:sz w:val="18"/>
                <w:szCs w:val="18"/>
                <w:lang w:eastAsia="pl-PL"/>
              </w:rPr>
              <w:br w:type="page"/>
              <w:t>• zapewnienie drożności cieku dla migracji ichtiofauny o ile jest monitorowany wskaźnik diadromiczny D, zapewnienie drożności cieku według wymagań gatunków chronionych,</w:t>
            </w:r>
            <w:r w:rsidRPr="005E78BB">
              <w:rPr>
                <w:rFonts w:ascii="Calibri" w:eastAsia="Times New Roman" w:hAnsi="Calibri" w:cs="Calibri"/>
                <w:color w:val="000000"/>
                <w:sz w:val="18"/>
                <w:szCs w:val="18"/>
                <w:lang w:eastAsia="pl-PL"/>
              </w:rPr>
              <w:br w:type="page"/>
              <w:t>• stan chemiczny, dla złagodzonych wskaźników: benzo(a)piren(w), związki tributylocyny(w) poniżej stanu dobrego,</w:t>
            </w:r>
            <w:r w:rsidRPr="005E78BB">
              <w:rPr>
                <w:rFonts w:ascii="Calibri" w:eastAsia="Times New Roman" w:hAnsi="Calibri" w:cs="Calibri"/>
                <w:color w:val="000000"/>
                <w:sz w:val="18"/>
                <w:szCs w:val="18"/>
                <w:lang w:eastAsia="pl-PL"/>
              </w:rPr>
              <w:br w:type="page"/>
              <w:t>• dla pozostałych wskaźników - stan dobry.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San od Wisłoka do ujścia wskazano odstępstwo z art. 4.4 RDW (cel środowiskowy może być odroczony w czasie) z uwagi na wskaźniki:</w:t>
            </w:r>
            <w:r w:rsidRPr="005E78BB">
              <w:rPr>
                <w:rFonts w:ascii="Calibri" w:eastAsia="Times New Roman" w:hAnsi="Calibri" w:cs="Calibri"/>
                <w:color w:val="000000"/>
                <w:sz w:val="18"/>
                <w:szCs w:val="18"/>
                <w:lang w:eastAsia="pl-PL"/>
              </w:rPr>
              <w:br w:type="page"/>
              <w:t>• IFPL - wskaźnik oceny fitoplanktonu i fitobentosu</w:t>
            </w:r>
            <w:r w:rsidRPr="005E78BB">
              <w:rPr>
                <w:rFonts w:ascii="Calibri" w:eastAsia="Times New Roman" w:hAnsi="Calibri" w:cs="Calibri"/>
                <w:color w:val="000000"/>
                <w:sz w:val="18"/>
                <w:szCs w:val="18"/>
                <w:lang w:eastAsia="pl-PL"/>
              </w:rPr>
              <w:br w:type="page"/>
              <w:t>• MMI - wielometryczny wskaźnik Stanu Ekologicznego Rzek</w:t>
            </w:r>
            <w:r w:rsidRPr="005E78BB">
              <w:rPr>
                <w:rFonts w:ascii="Calibri" w:eastAsia="Times New Roman" w:hAnsi="Calibri" w:cs="Calibri"/>
                <w:color w:val="000000"/>
                <w:sz w:val="18"/>
                <w:szCs w:val="18"/>
                <w:lang w:eastAsia="pl-PL"/>
              </w:rPr>
              <w:br w:type="page"/>
              <w:t>• EFI+PL/ IBI PL - wielometryczny wskaźnik do oceny stanu/potencjału ekologicznego rzek w oparciu o ichtiofaunę bromowane difenyloetery(b)</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Zgodnie z założoną metodyką opracowania II aPGW,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oceniona jako stan umiarkowany powinna być typowana do odstępstwa terminowego. Przedmiotowa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uzyskała odstępstwo terminowe z uwagi na wskaźniki - bromowane difenyloetery(b) oraz wskaźniki oceny biologicznej: IFPL, MMI, EFI+PL/ IBI_PL.</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San od Wisłoka do ujścia wskazano więc również odstępstwo z art. 4.5 RDW </w:t>
            </w:r>
            <w:r w:rsidRPr="005E78BB">
              <w:rPr>
                <w:rFonts w:ascii="Calibri" w:eastAsia="Times New Roman" w:hAnsi="Calibri" w:cs="Calibri"/>
                <w:color w:val="000000"/>
                <w:sz w:val="18"/>
                <w:szCs w:val="18"/>
                <w:lang w:eastAsia="pl-PL"/>
              </w:rPr>
              <w:lastRenderedPageBreak/>
              <w:t>(złagodzony cel środowiskowy) z uwagi na wskaźniki:</w:t>
            </w:r>
            <w:r w:rsidRPr="005E78BB">
              <w:rPr>
                <w:rFonts w:ascii="Calibri" w:eastAsia="Times New Roman" w:hAnsi="Calibri" w:cs="Calibri"/>
                <w:color w:val="000000"/>
                <w:sz w:val="18"/>
                <w:szCs w:val="18"/>
                <w:lang w:eastAsia="pl-PL"/>
              </w:rPr>
              <w:br w:type="page"/>
              <w:t>• benzo(a)piren(w)</w:t>
            </w:r>
            <w:r w:rsidRPr="005E78BB">
              <w:rPr>
                <w:rFonts w:ascii="Calibri" w:eastAsia="Times New Roman" w:hAnsi="Calibri" w:cs="Calibri"/>
                <w:color w:val="000000"/>
                <w:sz w:val="18"/>
                <w:szCs w:val="18"/>
                <w:lang w:eastAsia="pl-PL"/>
              </w:rPr>
              <w:br w:type="page"/>
              <w:t>• związki tributylocyny(w)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3) szacunkową analizę kosztów i korzyści wynikających z planowanych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CIECH Sarzyna S.A. podstawową działalność biznesową i handlową realizuje na terenie Polski, niemniej jednak jest Spółką o zasięgu europejskim. Udział Spółki w rynku krajowym jest zróżnicowany w zależności od segmentu. W obszarze agro rynek środków ochrony roślin jest rynkiem o dużej konkurencji firm zagranicznych, niejednokrotnie o zasięgu międzynarodowym, wśród których wymienić można m.in. Spółki: Bayer, Syngenta, Basf, Adama. Dla CIECH Sarzyna S.A. oznacza to wzrost siły firm konkurencyjnych oraz ryzyko utraty marży i rynku. Niemniej jednak Spółka, m.in. poprzez optymalizację produkcji, restrukturyzację kosztową, nowe produkty w przyszłości, zamierza skutecznie konkurować na rynku i okresie do 2021 roku - mimo kurczenia się rynku - utrzymać dotychczasową pozycję. Utrzymanie pozycji rynkowej, m.in. ze względu na zaostrzoną walkę konkurencyjną, sezonowość i wahania wolumenów produkcji - może skutkować wzrostem produkcji wyrobów w procesie wytwarzania których powstają ścieki solankowe. Szacowany wzrost produkcji nie wpłynie istotnie na pogorszenie jakości odprowadzanych do KBOŚ ścieków solankowych, a tym samym nie pogorszy parametrów jakościowych rzeki San.</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CIECH Sarzyna S.A. - mając na uwadze realizowaną działalność biznesową - poddała analizie koszty ewentualnej inwestycji w postaci budowy instalacji zatężania ścieków solankowych, jak też jej późniejsze, coroczne koszty utrzymania oraz prawdopodobieństwo zbycia lub zagospodarowania produktu procesu zatężania, tj. soli drogowej. Aktualnie koszt wybudowania instalacji - z nieistotnym kosztowym zróżnicowaniem poziomu capex w zależności od zastosowanych mediów do ogrzewania (energia elektryczna lub para grzewcza technologiczna) - kształtuje się na poziomie ponad 30 min PLN, a koszty rocznego użytkowania, na poziomie kilkunastu milionów PLN - w tym w przeważającej części są to koszty stałe, wynikające z konieczności utrzymania procesu produkcyjnego przez cały rok, bez względu na ilościowy poziom zatężanych ścieków - zróżnicowany niejednokrotnie w skali krotności z uwagi na wahania produkcji wyrobów gotowych. Poziom kosztów inwestycji i cyklicznych kosztów rocznych - głównie kosztów stałych - w praktyce uniemożliwi wypracowanie dodatniej marży ze sprzedaży tworzyw. Jest to niepokojące z uwagi na tendencje i presję rynkową w kierunku obniżania i tak już niskich cen produktów końcowych i niskich marż. Niestety efektem biznesowym będzie najprawdopodobniej cykliczna i trwała strata - uniemożliwiająca produkcję tworzyw w Nowej Sarzynie. W segmencie agro - przyporządkowane koszty zatężania ścieków solankowych - znacząco pogorszą marżę i wyniki na sprzedaży - co w praktyce skutkować będzie utrzymaniem produkcji na granicy opłacalności. Jest to szczególnie niepokojące z uwagi na konieczność ponoszenia znaczących i coraz wyższych kosztów badań nowych - bardziej ekologicznych produktów i środków ochrony roślin. Wzrastające koszty badań nowych wyrobów były m.in. jedną z głównych przyczyn fuzji firm Bayer i Monsanto - głównych konkurentów CIECH Sarzyna S.A. na rynku w segmencie argo. Ograniczenie możliwości finansowych na badania nowych wyrobów - w perspektywie 2-4 lat zagrożą rentownej działalności produkcyjnej w segmencie agro.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Ogromnym problemem pozostaje także zagospodarowanie produktu procesu zatężania ścieków solankowych, tj. soli drogowej. Rynek, czyli firmy wykorzystujące sól drogową dla celów zabezpieczenia zimowego utrzymania dróg - niestety nie są zainteresowane zakupem soli drogowej powstającej jako produkt uboczny z procesów chemicznych. Dostępność - podaż soli drogowej na rynku wyprodukowanej naturalnie - uniemożliwia sprzedaż soli wytworzonej w procesie chemicznym. W praktyce, produkcja soli drogowej w procesie zatężania ścieków solankowych, będzie skutkować </w:t>
            </w:r>
            <w:r w:rsidRPr="005E78BB">
              <w:rPr>
                <w:rFonts w:ascii="Calibri" w:eastAsia="Times New Roman" w:hAnsi="Calibri" w:cs="Calibri"/>
                <w:color w:val="000000"/>
                <w:sz w:val="18"/>
                <w:szCs w:val="18"/>
                <w:lang w:eastAsia="pl-PL"/>
              </w:rPr>
              <w:lastRenderedPageBreak/>
              <w:t>koniecznością długookresowego gromadzenia - nie tylko jak efekt braku / skrócenia okresu zimowego, ale także wskutek braku możliwości zbycia soli powstałej w procesie chemicznym - i systematycznego narastania poziomu składowanych ilości soli drogowej. Efekt biznesowy - będzie stratą. Efekt środowiskowy - niestety także będzie niezadawalający, gdyż gromadzona sól w efekcie warunków środowiskowych (wiatr, deszcze) - w sposób naturalny w trafi ostatecznie do środowiska.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Podsumowując, koszty ewentualnej inwestycji i użytkowania instalacji zatężania ścieków solankowych są dalece niewspółmierne zarówno do korzyści biznesowych, jak i wątpliwych korzyści środowiskowych. Zarząd CIECH Sarzyna S.A w dalszym ciągu poszukuje rozwiązań instalacji charakteryzującej się dostępnymi technikami i technologiami na wyższym poziomie, o zmniejszonej energochłonności i wydajności pozwalającej na podczyszczenie ścieków z instalacji MCPA i instalacji żywic epoksydowych. Nierozwiązalnym natomiast problemem pozostaje rynek zbytu soli drogowej, która obecnie jest produktem  niezbywalnym.  Przy znacznej  konkurencji  na  rynku  i  braku zbytu przechowywanie soli drogowej generuje koszty. Przechowywanie znacznych ilości soli przez długi okres stwarza zagrożenie zanieczyszczenia wód gruntowych podczas przechowywania.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 czasu osiągnięcia najlepszych dostępnych technik oczyszczania ścieków zasolonych przy jednoczesnym utrzymaniu produkcji MCPA i instalacji żywic epoksydowych, koniecznym jest przyjęcie we podwyższonych wartości stężenia chlorków do 6 000 mg Cl/l w odprowadzanych ściekach.</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8E6A8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03EB0E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B9DB0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89E3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F0BD11" w14:textId="7C7782A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Informujemy, że istniejące korzystanie z wód i/lub usług wodnych nie podlega pod system odstępstwa w trybie art. 4 ust. 7 Ramowej Dyrektywy Wodnej (art. 66-68 ustawy z dnia 20 lipca 2017 r. – Prawo wodne). Takiemu odstępstwu mogą podlegać wyłącznie nowe działania i przedsięwzięcia, o ile stanowią one nowe zmiany właściwości fizycznych jednolitych części wód powierzchniowych, nowe zmiany poziomu zwierciadła wód podziemnych oraz nowe działania człowieka zgodne z zasadą zrównoważonego rozwoju i niezbędne dla rozwoju społeczeństwa.</w:t>
            </w:r>
            <w:r w:rsidRPr="005E78BB">
              <w:rPr>
                <w:rFonts w:ascii="Calibri" w:eastAsia="Times New Roman" w:hAnsi="Calibri" w:cs="Calibri"/>
                <w:color w:val="000000"/>
                <w:sz w:val="18"/>
                <w:szCs w:val="18"/>
                <w:lang w:eastAsia="pl-PL"/>
              </w:rPr>
              <w:br w:type="page"/>
              <w:t xml:space="preserve">Dlatego też istniejące obiekty (oraz prowadzona przez nie działalność) nie mogą być ujęte w Wykazie Inwestycji i Działań, który – według art. 318 </w:t>
            </w:r>
            <w:r w:rsidRPr="005E78BB">
              <w:rPr>
                <w:rFonts w:ascii="Calibri" w:eastAsia="Times New Roman" w:hAnsi="Calibri" w:cs="Calibri"/>
                <w:color w:val="000000"/>
                <w:sz w:val="18"/>
                <w:szCs w:val="18"/>
                <w:lang w:eastAsia="pl-PL"/>
              </w:rPr>
              <w:lastRenderedPageBreak/>
              <w:t>ust. 1 pkt 22 i art. 323 (w związku z art. 435-436) ww. ustawy – może przedstawiać wyłącznie informacje o działaniach i inwestycjach, które:</w:t>
            </w:r>
            <w:r w:rsidRPr="005E78BB">
              <w:rPr>
                <w:rFonts w:ascii="Calibri" w:eastAsia="Times New Roman" w:hAnsi="Calibri" w:cs="Calibri"/>
                <w:color w:val="000000"/>
                <w:sz w:val="18"/>
                <w:szCs w:val="18"/>
                <w:lang w:eastAsia="pl-PL"/>
              </w:rPr>
              <w:br w:type="page"/>
              <w:t>• mogą wpłynąć na możliwość osiągnięcia celów środowiskowych, o których mowa w art. 56, art. 57, art. 59 oraz w art. 61 PW, oraz</w:t>
            </w:r>
            <w:r w:rsidRPr="005E78BB">
              <w:rPr>
                <w:rFonts w:ascii="Calibri" w:eastAsia="Times New Roman" w:hAnsi="Calibri" w:cs="Calibri"/>
                <w:color w:val="000000"/>
                <w:sz w:val="18"/>
                <w:szCs w:val="18"/>
                <w:lang w:eastAsia="pl-PL"/>
              </w:rPr>
              <w:br w:type="page"/>
              <w:t>• spełniają warunki, o których mowa w art. 68 pkt 1, 3 i 4 PW,</w:t>
            </w:r>
            <w:r w:rsidRPr="005E78BB">
              <w:rPr>
                <w:rFonts w:ascii="Calibri" w:eastAsia="Times New Roman" w:hAnsi="Calibri" w:cs="Calibri"/>
                <w:color w:val="000000"/>
                <w:sz w:val="18"/>
                <w:szCs w:val="18"/>
                <w:lang w:eastAsia="pl-PL"/>
              </w:rPr>
              <w:br w:type="page"/>
              <w:t>przy czym spełnianie tych warunków musi być wyrażone w formie zgody wodnoprawnej lub decyzji o środowiskowych uwarunkowaniach.</w:t>
            </w:r>
            <w:r w:rsidRPr="005E78BB">
              <w:rPr>
                <w:rFonts w:ascii="Calibri" w:eastAsia="Times New Roman" w:hAnsi="Calibri" w:cs="Calibri"/>
                <w:color w:val="000000"/>
                <w:sz w:val="18"/>
                <w:szCs w:val="18"/>
                <w:lang w:eastAsia="pl-PL"/>
              </w:rPr>
              <w:br w:type="page"/>
              <w:t>Dla istniejącego od wielu lat obiektu nie ma potrzeby (ani prawnej możliwości) dokonywania wpisu w Wykazie Inwestycji i Działań.</w:t>
            </w:r>
            <w:r w:rsidRPr="005E78BB">
              <w:rPr>
                <w:rFonts w:ascii="Calibri" w:eastAsia="Times New Roman" w:hAnsi="Calibri" w:cs="Calibri"/>
                <w:color w:val="000000"/>
                <w:sz w:val="18"/>
                <w:szCs w:val="18"/>
                <w:lang w:eastAsia="pl-PL"/>
              </w:rPr>
              <w:br w:type="page"/>
              <w:t>2. Istniejące korzystanie z wód i/lub usług wodnych jest uwzględnione w cyklu planistycznym (którego zwieńczeniem jest przyjęcie aktualizacji planu gospodarowania na obszarze dorzecza). Wyraża się to w identyfikacji i analizie presji, którą zestawia się z danymi na temat stanu wód, i na tej podstawie rozstrzyga się m.in. konieczność podjęcia działań zmierzających do osiągnięcia celów środowiskowych oraz konieczność ustanowienia odstępstwa uwzględniającego zasadność utrzymania istniejących presji.</w:t>
            </w:r>
            <w:r w:rsidRPr="005E78BB">
              <w:rPr>
                <w:rFonts w:ascii="Calibri" w:eastAsia="Times New Roman" w:hAnsi="Calibri" w:cs="Calibri"/>
                <w:color w:val="000000"/>
                <w:sz w:val="18"/>
                <w:szCs w:val="18"/>
                <w:lang w:eastAsia="pl-PL"/>
              </w:rPr>
              <w:br w:type="page"/>
              <w:t xml:space="preserve">W praktyce wyraża się to w szczególności w formie złagodzenia celu środowiskowego (tj. odstępstwa w trybie art. 63 ww. ustawy – art. 4 ust. 5 Ramowej Dyrektywy Wodnej). Jeżeli zidentyfikowano presję antropogeniczną, która uniemożliwia osiągnięcie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ale zaspokaja ona ważną potrzebę społeczno-gospodarczą (lub ekologiczną) i nie ma możliwości zaspokojenia tej potrzeby za pomocą innych działań, korzystniejszych z punktu widzenia środowiska i bez ponoszenia nieproporcjonalnie wysokich kosztów w stosunku do spodziewanych korzyści – to wówczas w PGW ustanawia się odstępstwo polegające na złagodzeniu celu środowiskowego.</w:t>
            </w:r>
            <w:r w:rsidRPr="005E78BB">
              <w:rPr>
                <w:rFonts w:ascii="Calibri" w:eastAsia="Times New Roman" w:hAnsi="Calibri" w:cs="Calibri"/>
                <w:color w:val="000000"/>
                <w:sz w:val="18"/>
                <w:szCs w:val="18"/>
                <w:lang w:eastAsia="pl-PL"/>
              </w:rPr>
              <w:br w:type="page"/>
              <w:t>Mając na uwadze powyższe - proszę o przyjęcie informacji, że w świetle obowiązujących przepisów (krajowych i unijnych) brak uwzględnienia istniejącej presji w Wykazie Inwestycji i Działań nie stanowi przeszkody w kontynuowaniu dotychczasowej działalności i nie stanowi powodu do komplikacji na etapie postępowań w sprawie wydania decyzji o środowiskowych uwarunkowaniach, pozwolenia wodnoprawnego lub pozwolenia zintegrowanego.</w:t>
            </w:r>
          </w:p>
        </w:tc>
      </w:tr>
      <w:tr w:rsidR="0085319C" w:rsidRPr="005E78BB" w14:paraId="65A5CD24" w14:textId="77777777" w:rsidTr="00E92AE6">
        <w:trPr>
          <w:trHeight w:val="454"/>
        </w:trPr>
        <w:tc>
          <w:tcPr>
            <w:tcW w:w="562" w:type="dxa"/>
            <w:shd w:val="clear" w:color="auto" w:fill="auto"/>
            <w:hideMark/>
          </w:tcPr>
          <w:p w14:paraId="1CE71A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16</w:t>
            </w:r>
          </w:p>
        </w:tc>
        <w:tc>
          <w:tcPr>
            <w:tcW w:w="1021" w:type="dxa"/>
          </w:tcPr>
          <w:p w14:paraId="5EB1DB06" w14:textId="5F777A1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Ciech Soda Polska</w:t>
            </w:r>
          </w:p>
        </w:tc>
        <w:tc>
          <w:tcPr>
            <w:tcW w:w="1630" w:type="dxa"/>
            <w:shd w:val="clear" w:color="auto" w:fill="auto"/>
            <w:hideMark/>
          </w:tcPr>
          <w:p w14:paraId="225EAA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24C69DE5" w14:textId="79D5CE4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trwającym procesem konsultacji II aktualizacji planów gospodarowania wodami dla obszaru dorzecza Wisły składam wniosek o ujęcie Zakładów Produkcyjnych CIECH Soda Polska S.A (Zakład Produkcyjny w Inowrocławiu i Zakład Produkcyjny w Janikowie) w wykazie inwestycji oraz działań, które mogą spowodować nieosiągnięcie dobrego stanu wód  lub pogorszenie dobrego stan wód, spełniających warunki, o których mowa w art. 68Ustawy Prawo wodne.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załączeniu przekazuje wniosek (załącznik nr 1 do pisma) wraz z uzasadnieniem spełnienia warunków ujęcia inwestycji w wykazie inwestycji oraz działań, które mogą spowodować nieosiągnięcie dobrego stanu wód lub pogorszenie dobrego stanu wód. Wniosek zawiera:</w:t>
            </w:r>
            <w:r w:rsidRPr="005E78BB">
              <w:rPr>
                <w:rFonts w:ascii="Calibri" w:eastAsia="Times New Roman" w:hAnsi="Calibri" w:cs="Calibri"/>
                <w:color w:val="000000"/>
                <w:sz w:val="18"/>
                <w:szCs w:val="18"/>
                <w:lang w:eastAsia="pl-PL"/>
              </w:rPr>
              <w:br/>
              <w:t>1) wskazanie podmiotu odpowiedzialnego za realizację działań;</w:t>
            </w:r>
            <w:r w:rsidRPr="005E78BB">
              <w:rPr>
                <w:rFonts w:ascii="Calibri" w:eastAsia="Times New Roman" w:hAnsi="Calibri" w:cs="Calibri"/>
                <w:color w:val="000000"/>
                <w:sz w:val="18"/>
                <w:szCs w:val="18"/>
                <w:lang w:eastAsia="pl-PL"/>
              </w:rPr>
              <w:br/>
              <w:t>2) uzasadnienie konieczności realizacji działań, z uwzględnieniem spodziewanych efektów ich realizacji;</w:t>
            </w:r>
            <w:r w:rsidRPr="005E78BB">
              <w:rPr>
                <w:rFonts w:ascii="Calibri" w:eastAsia="Times New Roman" w:hAnsi="Calibri" w:cs="Calibri"/>
                <w:color w:val="000000"/>
                <w:sz w:val="18"/>
                <w:szCs w:val="18"/>
                <w:lang w:eastAsia="pl-PL"/>
              </w:rPr>
              <w:br/>
              <w:t>3) szacunkową analizę kosztów i korzyści wynikających z planowanych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Dodatkowo informuję, że Zakłady Produkcyjne CIECH Soda Polska S.A (Zakład Produkcyjny w Inowrocławiu i Zakład Produkcyjny w Janikowie) zostały uwzględnione w pierwszej aktualizacji PGW. W aPGW wskazano możliwość odstępstwa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dopływu z Sierzchowa do Wdy, od założonych dla wód powierzchniowych celów osiągnięcia stanu dobrego. Wskazano na występowanie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przemysłowej związanej ze zrzutem chlorków oraz brak możliwości technicznych ograniczenia tych oddziaływań na wody, bez ponoszenia dysproporcjonalnych kosztów. Wskazano także na konieczność ustalenia mniej rygorystycznych celów w zakresie wskaźnika charakteryzującego zasolenie (chlorki).</w:t>
            </w:r>
            <w:r w:rsidRPr="005E78BB">
              <w:rPr>
                <w:rFonts w:ascii="Calibri" w:eastAsia="Times New Roman" w:hAnsi="Calibri" w:cs="Calibri"/>
                <w:color w:val="000000"/>
                <w:sz w:val="18"/>
                <w:szCs w:val="18"/>
                <w:lang w:eastAsia="pl-PL"/>
              </w:rPr>
              <w:br/>
              <w:t xml:space="preserve">Zgodnie z informacją zawartą w lI aPGW, (rozdział 16. Wykaz inwestycji i działań, które mogą spowodować nieosiągnięcie dobrego stanu wód lub pogorszenie dobrego stanu wód; strona 407 projektu 1/APGW) wykaz inwestycji oraz działań, które mogą spowodować nieosiągnięcie dobrego stanu wód lub pogorszenie dobrego stanu wód, obok inwestycji nowych </w:t>
            </w:r>
            <w:r w:rsidRPr="005E78BB">
              <w:rPr>
                <w:rFonts w:ascii="Calibri" w:eastAsia="Times New Roman" w:hAnsi="Calibri" w:cs="Calibri"/>
                <w:color w:val="000000"/>
                <w:sz w:val="18"/>
                <w:szCs w:val="18"/>
                <w:lang w:eastAsia="pl-PL"/>
              </w:rPr>
              <w:lastRenderedPageBreak/>
              <w:t>uwzględnia informacje o planowanych i realizowanych inwestycjach i działaniach, dla których w aPGW z 2016 r. potwierdzono warunki spełniania odstępstwa w trybie art. 4 ust. 7 RDW. W związku z powyższym Zakład CIECH Soda Polska S.A (Zakład Produkcyjny w Inowrocławiu i Zakład Produkcyjny w Janikowie) powinien zostać uwzględniony w załączniku nr 6 do li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załączeniu  przekazuję opis stosowanej zakładach technologii (załącznik nr 2 do pisma). Zakłady mają strategiczne znaczenie gospodarcze i społeczne w polskim przemyśle chemicznym, a przemysł sodowy zajmuje drugie miejsce pod względem wielkości produkcji, po kwasie siarkowym. Z uwagi na brak naturalnych zasobów w Polsce, sodę produkuje się na drodze syntetycznej z chlorku sodu (miejscowo dostępnej solanki) i kamienia wapiennego. Ścieki odprowadzane do wód przez Zakłady CIECH Soda Polska S.A. charakteryzują się więc wysokim zasoleniem (6-7% chlorków), co wynika bezpośrednio z technologii produkcji sody. Zgodnie z najlepszymi dostępnymi technikami dla przemysłu sodowego, ilość ścieków, odprowadzanych z instalacji destylacji do cieku, powinna zawierać się w graniach 8,5 - 10,7 m3 na tonę wyprodukowanej soli. Zakłady Produkcyjne CIECH Soda Polska S.A. spełniają te wymogi. W zakładzie stosowane są najlepsze dostępnne techniki BAT dla przemysłu sodowego, co pozwala ograniczyć maksymalnie odprowadzane ilości zanieczyszczeń. Obecnie brak jest innych niż stosowane w zakładzie, metod odsolenia, które można w uzasadniony i skuteczny sposób zastosować.</w:t>
            </w:r>
            <w:r w:rsidRPr="005E78BB">
              <w:rPr>
                <w:rFonts w:ascii="Calibri" w:eastAsia="Times New Roman" w:hAnsi="Calibri" w:cs="Calibri"/>
                <w:color w:val="000000"/>
                <w:sz w:val="18"/>
                <w:szCs w:val="18"/>
                <w:lang w:eastAsia="pl-PL"/>
              </w:rPr>
              <w:br/>
              <w:t>W związku z powyższym, składam wniosek o ujęcie Zakładów Produkcyjnych CIECH Soda Polska S.A (Zakład Produkcyjny w Inowrocławiu i Zakład Produkcyjny w Janikowie) w wykazie inwestycji opublikowanym w załączniku</w:t>
            </w:r>
            <w:r w:rsidRPr="005E78BB">
              <w:rPr>
                <w:rFonts w:ascii="Calibri" w:eastAsia="Times New Roman" w:hAnsi="Calibri" w:cs="Calibri"/>
                <w:color w:val="000000"/>
                <w:sz w:val="18"/>
                <w:szCs w:val="18"/>
                <w:lang w:eastAsia="pl-PL"/>
              </w:rPr>
              <w:br/>
              <w:t>nr 6 do projektu II aktutlizacji planów gospodarowania wodami dla obszaru dorzecza Wisły.</w:t>
            </w:r>
          </w:p>
        </w:tc>
        <w:tc>
          <w:tcPr>
            <w:tcW w:w="3377" w:type="dxa"/>
            <w:shd w:val="clear" w:color="auto" w:fill="auto"/>
            <w:hideMark/>
          </w:tcPr>
          <w:p w14:paraId="72A415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1BC6DE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74410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36CB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35B6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Zakłady/inwestycje, dla których potwierdzono warunki spełniania odstępstwa w trybie art. 4.7 RDW w aPGW (z 2016 r.) i nadal prowadzące działalność, która nie zmienia dotychczasowego stanu wód, nie muszą być wpisane do Wykazu Inwestycji i Działań stanowiącego załącznik do IIaPGW. Istniejące korzystanie z wód i/lub usług wodnych nie podlega pod system odstępstwa w trybie art. 4.7 Ramowej Dyrektywy Wodnej (art. 66-68 ustawy z dnia 20 lipca 2017 r. – Prawo wodne). Takiemu odstępstwu mogą podlegać wyłącznie nowe działania i przedsięwzięcia, o ile stanowią one nowe zmiany właściwości fizycznych jednolitych części wód powierzchniowych, nowe zmiany poziomu zwierciadła wód podziemnych oraz nowe działania człowieka zgodne z zasadą zrównoważonego rozwoju i niezbędne dla rozwoju społeczeństwa. Dlatego też istniejące obiekty (oraz prowadzona przez nie działalność) nie mogą być ujęte w Wykazie Inwestycji i Działań, który – według art. 318 ust. 1 pkt 22 i art. 323 (w związku z art. 435-436) ww. ustawy – może przedstawiać wyłącznie informacje o działaniach i inwestycjach, które podlegają pod system odstępstw w trybie art. 4.7 RDW.</w:t>
            </w:r>
          </w:p>
        </w:tc>
      </w:tr>
      <w:tr w:rsidR="0085319C" w:rsidRPr="005E78BB" w14:paraId="3DC876A2" w14:textId="77777777" w:rsidTr="00E92AE6">
        <w:trPr>
          <w:trHeight w:val="454"/>
        </w:trPr>
        <w:tc>
          <w:tcPr>
            <w:tcW w:w="562" w:type="dxa"/>
            <w:shd w:val="clear" w:color="auto" w:fill="auto"/>
            <w:hideMark/>
          </w:tcPr>
          <w:p w14:paraId="24BBDD1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w:t>
            </w:r>
          </w:p>
        </w:tc>
        <w:tc>
          <w:tcPr>
            <w:tcW w:w="1021" w:type="dxa"/>
          </w:tcPr>
          <w:p w14:paraId="0B9A6E0C" w14:textId="05935F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Miejska Spółka SKO-EKO Sp. z o.o. (przedsiębiorstwo kanalizacyjne gminy Skoczów)</w:t>
            </w:r>
          </w:p>
        </w:tc>
        <w:tc>
          <w:tcPr>
            <w:tcW w:w="1630" w:type="dxa"/>
            <w:shd w:val="clear" w:color="auto" w:fill="auto"/>
            <w:hideMark/>
          </w:tcPr>
          <w:p w14:paraId="3BC29D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13CF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Lp 1020 Kolumna U Ilościowe określenie zakresu rzeczowego działania- 59,6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(dotyczy: Projekt drugiej aktualizacji planu gospodarowania wodami na Obszarze dorzecza Wisły/ Załączniki llaPGW OD Wisła czl .zip / Zal_7_ZestawDzialan_Wisla /7.3_zestaw_dzialan_RW_ODWisła.xlsb/ Lp 1020 kolumny U i Al oraz Lp 1021 kolumna Al)</w:t>
            </w:r>
          </w:p>
        </w:tc>
        <w:tc>
          <w:tcPr>
            <w:tcW w:w="3377" w:type="dxa"/>
            <w:shd w:val="clear" w:color="auto" w:fill="auto"/>
            <w:hideMark/>
          </w:tcPr>
          <w:p w14:paraId="771649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tp 1020_Kolumna U_llościowe określenie zakresu rzeczowego działania - 5,6.</w:t>
            </w:r>
            <w:r w:rsidRPr="005E78BB">
              <w:rPr>
                <w:rFonts w:ascii="Calibri" w:eastAsia="Times New Roman" w:hAnsi="Calibri" w:cs="Calibri"/>
                <w:color w:val="000000"/>
                <w:sz w:val="18"/>
                <w:szCs w:val="18"/>
                <w:lang w:eastAsia="pl-PL"/>
              </w:rPr>
              <w:br/>
              <w:t>Lp „nowa pozycja&amp;#34; dodanie działanie RWP_01.00 jak w pozycji Lp 1020 ale przypisa</w:t>
            </w:r>
            <w:r w:rsidRPr="005E78BB">
              <w:rPr>
                <w:rFonts w:ascii="Calibri" w:eastAsia="Times New Roman" w:hAnsi="Calibri" w:cs="Calibri"/>
                <w:color w:val="000000"/>
                <w:sz w:val="18"/>
                <w:szCs w:val="18"/>
                <w:lang w:eastAsia="pl-PL"/>
              </w:rPr>
              <w:softHyphen/>
              <w:t>ne do RW200006211151 Wisła od Dobki do Bładnicy wraz z Bładnicąjednostka od</w:t>
            </w:r>
            <w:r w:rsidRPr="005E78BB">
              <w:rPr>
                <w:rFonts w:ascii="Calibri" w:eastAsia="Times New Roman" w:hAnsi="Calibri" w:cs="Calibri"/>
                <w:color w:val="000000"/>
                <w:sz w:val="18"/>
                <w:szCs w:val="18"/>
                <w:lang w:eastAsia="pl-PL"/>
              </w:rPr>
              <w:softHyphen/>
              <w:t>powiedzialna gmina Skoczów_Kolumna U_ Ilościowe określenie zakresu rzeczowego działania - 10,2.</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UWAGA: w przypadku nie dodania nowego działania Lp1O20 Kolumna U - 5,6.</w:t>
            </w:r>
          </w:p>
        </w:tc>
        <w:tc>
          <w:tcPr>
            <w:tcW w:w="3401" w:type="dxa"/>
            <w:shd w:val="clear" w:color="auto" w:fill="auto"/>
            <w:hideMark/>
          </w:tcPr>
          <w:p w14:paraId="2D116F29" w14:textId="163501B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przyporządkowane z VI AKPOŚK nieaktualne. Na wezwanie Ministerstwa Infrastruktury w marcu 2021 roku dokonano weryfikacji danych ujętych w projekcie VI AKPOŚK. W przesłanej wraz z formularzem zgłoszenia ankiecie aktualizacyjnej dłu</w:t>
            </w:r>
            <w:r w:rsidRPr="005E78BB">
              <w:rPr>
                <w:rFonts w:ascii="Calibri" w:eastAsia="Times New Roman" w:hAnsi="Calibri" w:cs="Calibri"/>
                <w:color w:val="000000"/>
                <w:sz w:val="18"/>
                <w:szCs w:val="18"/>
                <w:lang w:eastAsia="pl-PL"/>
              </w:rPr>
              <w:softHyphen/>
              <w:t>gość sieci kanalizacyjnej planowanej do modernizacji wynosi 45,4 km dla całej Aglomeracji Skoczów. Długość 45,4 km dotyczy całej Aglomeracji Skoczów, dla gminy Skoczów długość ta wynosi 15,8 km (gminy współtworzące aglomerację: Ustroń 25 km, Brenna 4,6km).</w:t>
            </w:r>
            <w:r w:rsidRPr="005E78BB">
              <w:rPr>
                <w:rFonts w:ascii="Calibri" w:eastAsia="Times New Roman" w:hAnsi="Calibri" w:cs="Calibri"/>
                <w:color w:val="000000"/>
                <w:sz w:val="18"/>
                <w:szCs w:val="18"/>
                <w:lang w:eastAsia="pl-PL"/>
              </w:rPr>
              <w:br/>
              <w:t xml:space="preserve">Dodatkowo 15,8 km przewidzianej przez gminę Skoczów w ramach VI AKPOŚK kanalizacji sanitarnej do modernizacji jest zlokalizowane w obrębie dwóch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RW200006211179 Wisła od Bładnicy do zb. Goczałkowice - 5,6 km,</w:t>
            </w:r>
            <w:r w:rsidRPr="005E78BB">
              <w:rPr>
                <w:rFonts w:ascii="Calibri" w:eastAsia="Times New Roman" w:hAnsi="Calibri" w:cs="Calibri"/>
                <w:color w:val="000000"/>
                <w:sz w:val="18"/>
                <w:szCs w:val="18"/>
                <w:lang w:eastAsia="pl-PL"/>
              </w:rPr>
              <w:br/>
              <w:t>- RW200006211151 Wisła od Dobki do Bładnicy wraz z Bładnicą - 10,2 km.</w:t>
            </w:r>
            <w:r w:rsidRPr="005E78BB">
              <w:rPr>
                <w:rFonts w:ascii="Calibri" w:eastAsia="Times New Roman" w:hAnsi="Calibri" w:cs="Calibri"/>
                <w:color w:val="000000"/>
                <w:sz w:val="18"/>
                <w:szCs w:val="18"/>
                <w:lang w:eastAsia="pl-PL"/>
              </w:rPr>
              <w:br/>
              <w:t>Wnosimy o zmianę ilościowego zakresu rzeczowego działania z 59,6 km (dane nieaktualne, dotyczą całej aglomeracji) na 15,8 km (dane aktualne dla obszaru gminy Skoczów) oraz rozdzielenie tej długości na dwa działania (dodanie dzia</w:t>
            </w:r>
            <w:r w:rsidRPr="005E78BB">
              <w:rPr>
                <w:rFonts w:ascii="Calibri" w:eastAsia="Times New Roman" w:hAnsi="Calibri" w:cs="Calibri"/>
                <w:color w:val="000000"/>
                <w:sz w:val="18"/>
                <w:szCs w:val="18"/>
                <w:lang w:eastAsia="pl-PL"/>
              </w:rPr>
              <w:softHyphen/>
              <w:t xml:space="preserve"> łania </w:t>
            </w:r>
            <w:r w:rsidRPr="005E78BB">
              <w:rPr>
                <w:rFonts w:ascii="Calibri" w:eastAsia="Times New Roman" w:hAnsi="Calibri" w:cs="Calibri"/>
                <w:color w:val="000000"/>
                <w:sz w:val="18"/>
                <w:szCs w:val="18"/>
                <w:lang w:eastAsia="pl-PL"/>
              </w:rPr>
              <w:lastRenderedPageBreak/>
              <w:t xml:space="preserve">RWP_01.00 dla RW200006211151 Wisła od Dobki do Bładnicy wraz z Bładnicą dla gminy Skoczów) odpowiednio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RW200006211179 Wisła od Bładnicy do zb. Goczałkowice - 5,6 km,</w:t>
            </w:r>
            <w:r w:rsidRPr="005E78BB">
              <w:rPr>
                <w:rFonts w:ascii="Calibri" w:eastAsia="Times New Roman" w:hAnsi="Calibri" w:cs="Calibri"/>
                <w:color w:val="000000"/>
                <w:sz w:val="18"/>
                <w:szCs w:val="18"/>
                <w:lang w:eastAsia="pl-PL"/>
              </w:rPr>
              <w:br/>
              <w:t>-       RW200006211151 Wisła od Dobki do Bładnicy wraz z Bładnicą - 10,2 km.</w:t>
            </w:r>
          </w:p>
        </w:tc>
        <w:tc>
          <w:tcPr>
            <w:tcW w:w="1918" w:type="dxa"/>
            <w:shd w:val="clear" w:color="auto" w:fill="auto"/>
            <w:hideMark/>
          </w:tcPr>
          <w:p w14:paraId="10E23A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51FC92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184C6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zestawach działań IIaPGW (wersja kwiecień 2021 r.) zawierały informacje z dokumentów VIaKPOŚK, które były konsultowane jesienią 2020 r. Zgodnie z uwagą i aktualizacją dokumentacji VIaKPOŚK (stan na 30.08.2021 r.) poprawiony został zakres danych zgodnie z uwagą. W działaniu istniejącym poprawiono zakres na 5,6 km a w nowym wpisano zakres 10,2 km.</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Zmiany dokonane w IIaPGW w zakresie aktualizacji danych VIaKPOŚK (wersja 30.08.2021 r.) zaprezentowane zostały w formie erraty do projektów IIaPGW.</w:t>
            </w:r>
          </w:p>
        </w:tc>
      </w:tr>
      <w:tr w:rsidR="0085319C" w:rsidRPr="005E78BB" w14:paraId="508133EB" w14:textId="77777777" w:rsidTr="00E92AE6">
        <w:trPr>
          <w:trHeight w:val="454"/>
        </w:trPr>
        <w:tc>
          <w:tcPr>
            <w:tcW w:w="562" w:type="dxa"/>
            <w:shd w:val="clear" w:color="auto" w:fill="auto"/>
            <w:hideMark/>
          </w:tcPr>
          <w:p w14:paraId="4E7BED0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w:t>
            </w:r>
          </w:p>
        </w:tc>
        <w:tc>
          <w:tcPr>
            <w:tcW w:w="1021" w:type="dxa"/>
          </w:tcPr>
          <w:p w14:paraId="46659410" w14:textId="01C881D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Miejska Spółka SKO-EKO Sp. z o.o. (przedsiębiorstwo kanalizacyjne gminy Skoczów)</w:t>
            </w:r>
          </w:p>
        </w:tc>
        <w:tc>
          <w:tcPr>
            <w:tcW w:w="1630" w:type="dxa"/>
            <w:shd w:val="clear" w:color="auto" w:fill="auto"/>
            <w:hideMark/>
          </w:tcPr>
          <w:p w14:paraId="525D94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B1C8D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tp 1020 Kolumna Al Koszt realizacji [zł netto] - 28852800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(dotyczy: Projekt drugiej aktualizacji planu gospodarowania wodami na Obszarze dorzecza Wisły/ Załączniki llaPGW OD Wisła czl .zip / Zal_7_Zest awDzialan_Wisla /7.3_zestaw_dzialan_RW_ODWisła.xlsb/ Lp 1020 kolumny U i Al oraz Lp 1021 kolumna Al)</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16200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Lp 1020 Kolumna Al Koszt realizacji [zł netto] - 3805660</w:t>
            </w:r>
            <w:r w:rsidRPr="005E78BB">
              <w:rPr>
                <w:rFonts w:ascii="Calibri" w:eastAsia="Times New Roman" w:hAnsi="Calibri" w:cs="Calibri"/>
                <w:color w:val="000000"/>
                <w:sz w:val="18"/>
                <w:szCs w:val="18"/>
                <w:lang w:eastAsia="pl-PL"/>
              </w:rPr>
              <w:br w:type="page"/>
              <w:t>Lp „nowa pozycja&amp;#34;_ działanie RWP_01.00 dla RW200006211151 Wisła od Dobki do Bładnicy wraz z Bładnicą_jednostka odpowiedzialna gmina Skoczów_Kolumna Al Koszt realizacji [zł netto] -  6931740.</w:t>
            </w:r>
            <w:r w:rsidRPr="005E78BB">
              <w:rPr>
                <w:rFonts w:ascii="Calibri" w:eastAsia="Times New Roman" w:hAnsi="Calibri" w:cs="Calibri"/>
                <w:color w:val="000000"/>
                <w:sz w:val="18"/>
                <w:szCs w:val="18"/>
                <w:lang w:eastAsia="pl-PL"/>
              </w:rPr>
              <w:br w:type="page"/>
              <w:t xml:space="preserve">UWAGA: w przypadku nie dodania nowego działania Lp1020 Kolumna Al - 3805660.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7AB85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przyporządkowane z VI AKPOŚK nieaktualne. Na wezwanie Ministerstwa In</w:t>
            </w:r>
            <w:r w:rsidRPr="005E78BB">
              <w:rPr>
                <w:rFonts w:ascii="Calibri" w:eastAsia="Times New Roman" w:hAnsi="Calibri" w:cs="Calibri"/>
                <w:color w:val="000000"/>
                <w:sz w:val="18"/>
                <w:szCs w:val="18"/>
                <w:lang w:eastAsia="pl-PL"/>
              </w:rPr>
              <w:softHyphen/>
              <w:t>frastruktury w marcu 2021 roku dokonano weryfikacji danych ujętych w projekcie VI AKPOŚK. W przesłanej wraz z formularzem zgłoszenia ankiecie aktualizacyjnej war</w:t>
            </w:r>
            <w:r w:rsidRPr="005E78BB">
              <w:rPr>
                <w:rFonts w:ascii="Calibri" w:eastAsia="Times New Roman" w:hAnsi="Calibri" w:cs="Calibri"/>
                <w:color w:val="000000"/>
                <w:sz w:val="18"/>
                <w:szCs w:val="18"/>
                <w:lang w:eastAsia="pl-PL"/>
              </w:rPr>
              <w:softHyphen/>
              <w:t>tość modernizacji sieci kanalizacyjnej 24639,5 tys. zł dla całej Aglomeracji Skoczów. Wartość 24639,5 tys. zł dotyczy całej Aglomeracji Skoczów, dla gminy Skoczów wartość ta wynosi 10737,4 tys. zł (gminy współtworzące aglomerację: Ustroń 11250 tys. zł , Brenna 2652,10 tys. zł). Wnosimy o zmianę kosztu realizacji dzia</w:t>
            </w:r>
            <w:r w:rsidRPr="005E78BB">
              <w:rPr>
                <w:rFonts w:ascii="Calibri" w:eastAsia="Times New Roman" w:hAnsi="Calibri" w:cs="Calibri"/>
                <w:color w:val="000000"/>
                <w:sz w:val="18"/>
                <w:szCs w:val="18"/>
                <w:lang w:eastAsia="pl-PL"/>
              </w:rPr>
              <w:softHyphen/>
              <w:t xml:space="preserve">łania z 28852800 zł netto (dane nieaktualne, dotyczą całej aglomeracji) na 10737400 zł netto (dane aktualne dla obszaru gminy Skoczów) z rozdzieleniem tej kwoty na działania: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Lp 1020 Kolumna Al Koszt realizacji [zł netto] - 3805660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Lp „nowa pozycja&amp;#34;_ działanie RWP_01.00 dla RW200006211151 Wisła od Dobki do Bładnicy wraz z Bładnicą_Kolumna Al Koszt realizacji [zł netto] - 6931740.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A294F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DD249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74B58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zestawach działań IIaPGW (wersja kwiecień 2021 r.) zawierały informacje z dokumentów VIaKPOŚK, które były konsultowane jesienią 2020 r. Zgodnie z uwagą i aktualizacją dokumentacji VIaKPOŚK (stan na 30.08.2021 r.) poprawiono zakres danych zgodnie z wnioskowaną uwagą. W działaniu istniejącym poprawiono kwotę na 3 805 660, a w nowym wpisano kwotę 6 931 740 zł.</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Zmiany dokonane w IIaPGW w zakresie aktualizacji danych VIaKPOŚK (wersja 30.08.2021 r.) zaprezentowane zostały w formie erraty do projektów IIaPGW.</w:t>
            </w:r>
          </w:p>
        </w:tc>
      </w:tr>
      <w:tr w:rsidR="0085319C" w:rsidRPr="005E78BB" w14:paraId="04924A2F" w14:textId="77777777" w:rsidTr="00E92AE6">
        <w:trPr>
          <w:trHeight w:val="454"/>
        </w:trPr>
        <w:tc>
          <w:tcPr>
            <w:tcW w:w="562" w:type="dxa"/>
            <w:shd w:val="clear" w:color="auto" w:fill="auto"/>
            <w:hideMark/>
          </w:tcPr>
          <w:p w14:paraId="07B1AC3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w:t>
            </w:r>
          </w:p>
        </w:tc>
        <w:tc>
          <w:tcPr>
            <w:tcW w:w="1021" w:type="dxa"/>
          </w:tcPr>
          <w:p w14:paraId="62FAD03E" w14:textId="0429496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Miejska Spółka SKO-EKO Sp. z o.o. (przedsiębiorstwo kanalizacyjne gminy Skoczów)</w:t>
            </w:r>
          </w:p>
        </w:tc>
        <w:tc>
          <w:tcPr>
            <w:tcW w:w="1630" w:type="dxa"/>
            <w:shd w:val="clear" w:color="auto" w:fill="auto"/>
            <w:hideMark/>
          </w:tcPr>
          <w:p w14:paraId="1F5F5E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8A90A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Lp 1021 Kolumna Al Koszt realizacji [zł netto] - 11200000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(dotyczy: Projekt drugiej aktualizacji planu gospodarowania wodami na Obszarze dorzecza Wisły/ Załączniki llaPGW OD Wisła czl .zip / Zal_7_Zest awDzialan_Wisla /7.3_zestaw_dzialan_RW_ODWisła.xlsb/ Lp 1020 kolumny U i Al oraz Lp 1021 kolumna Al)</w:t>
            </w:r>
          </w:p>
        </w:tc>
        <w:tc>
          <w:tcPr>
            <w:tcW w:w="3377" w:type="dxa"/>
            <w:shd w:val="clear" w:color="auto" w:fill="auto"/>
            <w:hideMark/>
          </w:tcPr>
          <w:p w14:paraId="780FEC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Lp 1021 Kolumna Al Koszt realizacji [zł netto] - 23500000 </w:t>
            </w:r>
          </w:p>
        </w:tc>
        <w:tc>
          <w:tcPr>
            <w:tcW w:w="3401" w:type="dxa"/>
            <w:shd w:val="clear" w:color="auto" w:fill="auto"/>
            <w:hideMark/>
          </w:tcPr>
          <w:p w14:paraId="15E94F05"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przyporządkowane z VI AKPOŚK nieaktualne. Na wezwanie Ministerstwa ln</w:t>
            </w:r>
            <w:r w:rsidRPr="005E78BB">
              <w:rPr>
                <w:rFonts w:ascii="Calibri" w:eastAsia="Times New Roman" w:hAnsi="Calibri" w:cs="Calibri"/>
                <w:color w:val="000000"/>
                <w:sz w:val="18"/>
                <w:szCs w:val="18"/>
                <w:lang w:eastAsia="pl-PL"/>
              </w:rPr>
              <w:softHyphen/>
              <w:t>frastruktury w marcu 2021 roku dokonano weryfikacji danych ujętych w projekcie VI AKPOŚK. W przesłanej wraz z formularzem zgłoszenia ankiecie aktualizacyjnej war</w:t>
            </w:r>
            <w:r w:rsidRPr="005E78BB">
              <w:rPr>
                <w:rFonts w:ascii="Calibri" w:eastAsia="Times New Roman" w:hAnsi="Calibri" w:cs="Calibri"/>
                <w:color w:val="000000"/>
                <w:sz w:val="18"/>
                <w:szCs w:val="18"/>
                <w:lang w:eastAsia="pl-PL"/>
              </w:rPr>
              <w:softHyphen/>
              <w:t>tość rozbudowy i modernizacji oczyszczalni ścieków w aglomeracji SKOCZOW wy</w:t>
            </w:r>
            <w:r w:rsidRPr="005E78BB">
              <w:rPr>
                <w:rFonts w:ascii="Calibri" w:eastAsia="Times New Roman" w:hAnsi="Calibri" w:cs="Calibri"/>
                <w:color w:val="000000"/>
                <w:sz w:val="18"/>
                <w:szCs w:val="18"/>
                <w:lang w:eastAsia="pl-PL"/>
              </w:rPr>
              <w:softHyphen/>
              <w:t xml:space="preserve"> nosi 23500 tys. zł Wnosimy o zmianę kosztu realizacji działania z 11200000 zł netto (dane nieaktualne) na 23500000 zł netto (dane aktualne).</w:t>
            </w:r>
            <w:r w:rsidRPr="005E78BB">
              <w:rPr>
                <w:rFonts w:ascii="Calibri" w:eastAsia="Times New Roman" w:hAnsi="Calibri" w:cs="Calibri"/>
                <w:color w:val="000000"/>
                <w:sz w:val="18"/>
                <w:szCs w:val="18"/>
                <w:lang w:eastAsia="pl-PL"/>
              </w:rPr>
              <w:br/>
              <w:t xml:space="preserve"> </w:t>
            </w:r>
          </w:p>
        </w:tc>
        <w:tc>
          <w:tcPr>
            <w:tcW w:w="1918" w:type="dxa"/>
            <w:shd w:val="clear" w:color="auto" w:fill="auto"/>
            <w:hideMark/>
          </w:tcPr>
          <w:p w14:paraId="32892E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3D68E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91924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zestawach działań IIaPGW (wersja kwiecień 2021 r.) zawierały informacje z dokumentów VIaKPOŚK, które były konsultowane jesienią 2020 r. Zgodnie z uwagą i aktualizacją dokumentacji VIaKPOŚK (stan na 30.08.2021 r.) poprawiono zakres danych zgodnie z wnioskowaną uwagą.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Zmiany dokonane w IIaPGW w zakresie aktualizacji danych VIaKPOŚK (wersja 30.08.2021 r.) zaprezentowane zostały w formie erraty do projektów IIaPGW.</w:t>
            </w:r>
          </w:p>
        </w:tc>
      </w:tr>
      <w:tr w:rsidR="0085319C" w:rsidRPr="005E78BB" w14:paraId="49AC68B1" w14:textId="77777777" w:rsidTr="008F4CE5">
        <w:trPr>
          <w:trHeight w:val="454"/>
        </w:trPr>
        <w:tc>
          <w:tcPr>
            <w:tcW w:w="562" w:type="dxa"/>
            <w:shd w:val="clear" w:color="auto" w:fill="auto"/>
            <w:hideMark/>
          </w:tcPr>
          <w:p w14:paraId="7B34A6FE" w14:textId="77777777" w:rsidR="0085319C" w:rsidRPr="008F4CE5" w:rsidRDefault="0085319C" w:rsidP="0085319C">
            <w:pPr>
              <w:ind w:firstLine="0"/>
              <w:jc w:val="center"/>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20</w:t>
            </w:r>
          </w:p>
        </w:tc>
        <w:tc>
          <w:tcPr>
            <w:tcW w:w="1021" w:type="dxa"/>
            <w:shd w:val="clear" w:color="auto" w:fill="auto"/>
          </w:tcPr>
          <w:p w14:paraId="523C9471" w14:textId="3EF2C945"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hAnsi="Calibri" w:cs="Calibri"/>
                <w:color w:val="000000"/>
                <w:sz w:val="18"/>
                <w:szCs w:val="18"/>
              </w:rPr>
              <w:t>Eko Thinktank - organizacja</w:t>
            </w:r>
          </w:p>
        </w:tc>
        <w:tc>
          <w:tcPr>
            <w:tcW w:w="1630" w:type="dxa"/>
            <w:shd w:val="clear" w:color="auto" w:fill="auto"/>
            <w:hideMark/>
          </w:tcPr>
          <w:p w14:paraId="0289472F" w14:textId="77777777"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ZAŁĄCZNIKI IIaPGW</w:t>
            </w:r>
          </w:p>
        </w:tc>
        <w:tc>
          <w:tcPr>
            <w:tcW w:w="5663" w:type="dxa"/>
            <w:shd w:val="clear" w:color="auto" w:fill="auto"/>
            <w:hideMark/>
          </w:tcPr>
          <w:p w14:paraId="677C77CA" w14:textId="53347D46"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Załącznik 3.1 II aPGW,</w:t>
            </w:r>
            <w:r w:rsidRPr="008F4CE5">
              <w:rPr>
                <w:rFonts w:ascii="Calibri" w:eastAsia="Times New Roman" w:hAnsi="Calibri" w:cs="Calibri"/>
                <w:color w:val="000000"/>
                <w:sz w:val="18"/>
                <w:szCs w:val="18"/>
                <w:lang w:eastAsia="pl-PL"/>
              </w:rPr>
              <w:br/>
              <w:t xml:space="preserve">Jaką wartość graniczną HIR należy wziąć pod uwagę na etapie klasyfikacji potencjału ekologicznego </w:t>
            </w:r>
            <w:r w:rsidR="00513278">
              <w:rPr>
                <w:rFonts w:ascii="Calibri" w:eastAsia="Times New Roman" w:hAnsi="Calibri" w:cs="Calibri"/>
                <w:color w:val="000000"/>
                <w:sz w:val="18"/>
                <w:szCs w:val="18"/>
                <w:lang w:eastAsia="pl-PL"/>
              </w:rPr>
              <w:t>JCWP</w:t>
            </w:r>
            <w:r w:rsidRPr="008F4CE5">
              <w:rPr>
                <w:rFonts w:ascii="Calibri" w:eastAsia="Times New Roman" w:hAnsi="Calibri" w:cs="Calibri"/>
                <w:color w:val="000000"/>
                <w:sz w:val="18"/>
                <w:szCs w:val="18"/>
                <w:lang w:eastAsia="pl-PL"/>
              </w:rPr>
              <w:t>? Czy wartość z kolumny „HIR_po_restitution”, załącznika 3.1 II aPGW, czy wartość z tabeli rozporządzenia w sprawie klasyfikacji stanu ekologicznego, potencjału ekologicznego i stanu chemicznego oraz sposobu klasyfikacji stanu jednolitych części wód powierzchniowych, a także środowiskowych norm jakości dla substancji priorytetowych?</w:t>
            </w:r>
          </w:p>
        </w:tc>
        <w:tc>
          <w:tcPr>
            <w:tcW w:w="3377" w:type="dxa"/>
            <w:shd w:val="clear" w:color="auto" w:fill="auto"/>
            <w:hideMark/>
          </w:tcPr>
          <w:p w14:paraId="2D0C768C" w14:textId="77777777"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Należy to wyjaśnić w PGW.</w:t>
            </w:r>
          </w:p>
        </w:tc>
        <w:tc>
          <w:tcPr>
            <w:tcW w:w="3401" w:type="dxa"/>
            <w:shd w:val="clear" w:color="auto" w:fill="auto"/>
            <w:hideMark/>
          </w:tcPr>
          <w:p w14:paraId="522CB47F" w14:textId="77777777"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Niejasny zapis</w:t>
            </w:r>
          </w:p>
        </w:tc>
        <w:tc>
          <w:tcPr>
            <w:tcW w:w="1918" w:type="dxa"/>
            <w:shd w:val="clear" w:color="auto" w:fill="auto"/>
            <w:hideMark/>
          </w:tcPr>
          <w:p w14:paraId="18154B99" w14:textId="77777777"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 xml:space="preserve"> - </w:t>
            </w:r>
          </w:p>
        </w:tc>
        <w:tc>
          <w:tcPr>
            <w:tcW w:w="1276" w:type="dxa"/>
            <w:shd w:val="clear" w:color="auto" w:fill="auto"/>
            <w:hideMark/>
          </w:tcPr>
          <w:p w14:paraId="0401EFCC" w14:textId="77777777" w:rsidR="0085319C" w:rsidRPr="008F4CE5"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wyjaśnienie</w:t>
            </w:r>
          </w:p>
        </w:tc>
        <w:tc>
          <w:tcPr>
            <w:tcW w:w="3513" w:type="dxa"/>
            <w:shd w:val="clear" w:color="auto" w:fill="auto"/>
            <w:hideMark/>
          </w:tcPr>
          <w:p w14:paraId="695EE0C1" w14:textId="77777777" w:rsidR="0085319C" w:rsidRDefault="0085319C" w:rsidP="0085319C">
            <w:pPr>
              <w:ind w:firstLine="0"/>
              <w:jc w:val="left"/>
              <w:rPr>
                <w:rFonts w:ascii="Calibri" w:eastAsia="Times New Roman" w:hAnsi="Calibri" w:cs="Calibri"/>
                <w:color w:val="000000"/>
                <w:sz w:val="18"/>
                <w:szCs w:val="18"/>
                <w:lang w:eastAsia="pl-PL"/>
              </w:rPr>
            </w:pPr>
            <w:r w:rsidRPr="008F4CE5">
              <w:rPr>
                <w:rFonts w:ascii="Calibri" w:eastAsia="Times New Roman" w:hAnsi="Calibri" w:cs="Calibri"/>
                <w:color w:val="000000"/>
                <w:sz w:val="18"/>
                <w:szCs w:val="18"/>
                <w:lang w:eastAsia="pl-PL"/>
              </w:rPr>
              <w:t xml:space="preserve">Wartości graniczne dla naturalnych części wód prezentuje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2021 poz. 1475). W przypadku silnie zmienionych i sztucznych części wód wartości graniczne, </w:t>
            </w:r>
            <w:r w:rsidRPr="008F4CE5">
              <w:rPr>
                <w:rFonts w:ascii="Calibri" w:eastAsia="Times New Roman" w:hAnsi="Calibri" w:cs="Calibri"/>
                <w:color w:val="000000"/>
                <w:sz w:val="18"/>
                <w:szCs w:val="18"/>
                <w:lang w:eastAsia="pl-PL"/>
              </w:rPr>
              <w:lastRenderedPageBreak/>
              <w:t>zgodnie z rozporządzeniem klasyfikacyjnym, są wskazywane w Planie gospodarowania wodami na obszarze dorzecza lub w ramach jego aktualizacji.</w:t>
            </w:r>
          </w:p>
          <w:p w14:paraId="2C12C645" w14:textId="77777777" w:rsidR="008F4CE5" w:rsidRPr="00F57DBC" w:rsidRDefault="008F4CE5" w:rsidP="008F4CE5">
            <w:pPr>
              <w:ind w:firstLine="0"/>
              <w:jc w:val="left"/>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 xml:space="preserve">IIaPGW prezentuje te dane w załączniku </w:t>
            </w:r>
            <w:r w:rsidRPr="00F57DBC">
              <w:rPr>
                <w:rFonts w:ascii="Calibri" w:eastAsia="Times New Roman" w:hAnsi="Calibri" w:cs="Calibri"/>
                <w:i/>
                <w:iCs/>
                <w:sz w:val="18"/>
                <w:szCs w:val="18"/>
                <w:lang w:eastAsia="pl-PL"/>
              </w:rPr>
              <w:t>Wartości graniczne SCW i SZCW</w:t>
            </w:r>
            <w:r w:rsidRPr="00F57DBC">
              <w:rPr>
                <w:rFonts w:ascii="Calibri" w:eastAsia="Times New Roman" w:hAnsi="Calibri" w:cs="Calibri"/>
                <w:sz w:val="18"/>
                <w:szCs w:val="18"/>
                <w:lang w:eastAsia="pl-PL"/>
              </w:rPr>
              <w:t>,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Pr="00F57DBC">
              <w:rPr>
                <w:rFonts w:ascii="Calibri" w:eastAsia="Times New Roman" w:hAnsi="Calibri" w:cs="Calibri"/>
                <w:sz w:val="18"/>
                <w:szCs w:val="18"/>
                <w:lang w:eastAsia="pl-PL"/>
              </w:rPr>
              <w:b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674D1B02" w14:textId="43CC6847" w:rsidR="008F4CE5" w:rsidRPr="00F57DBC" w:rsidRDefault="008F4CE5" w:rsidP="008F4CE5">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F57DBC">
              <w:rPr>
                <w:rFonts w:cstheme="minorHAnsi"/>
                <w:sz w:val="18"/>
                <w:szCs w:val="18"/>
                <w:shd w:val="clear" w:color="auto" w:fill="FFFFFF"/>
              </w:rPr>
              <w:t xml:space="preserve"> RW określonego typu”</w:t>
            </w:r>
          </w:p>
          <w:p w14:paraId="595915F6" w14:textId="2BA687D8" w:rsidR="008F4CE5" w:rsidRPr="008F4CE5" w:rsidRDefault="008F4CE5" w:rsidP="008F4CE5">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F57DBC">
              <w:rPr>
                <w:rFonts w:eastAsia="Times New Roman" w:cstheme="minorHAnsi"/>
                <w:sz w:val="18"/>
                <w:szCs w:val="18"/>
                <w:lang w:eastAsia="pl-PL"/>
              </w:rPr>
              <w:t xml:space="preserve">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tc>
      </w:tr>
      <w:tr w:rsidR="0085319C" w:rsidRPr="005E78BB" w14:paraId="69B5F1EC" w14:textId="77777777" w:rsidTr="00E92AE6">
        <w:trPr>
          <w:trHeight w:val="454"/>
        </w:trPr>
        <w:tc>
          <w:tcPr>
            <w:tcW w:w="562" w:type="dxa"/>
            <w:shd w:val="clear" w:color="auto" w:fill="auto"/>
            <w:hideMark/>
          </w:tcPr>
          <w:p w14:paraId="76391E7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21</w:t>
            </w:r>
          </w:p>
        </w:tc>
        <w:tc>
          <w:tcPr>
            <w:tcW w:w="1021" w:type="dxa"/>
          </w:tcPr>
          <w:p w14:paraId="191A2645" w14:textId="032031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Nadwiślański Związek Pracodawców Lewiatan</w:t>
            </w:r>
          </w:p>
        </w:tc>
        <w:tc>
          <w:tcPr>
            <w:tcW w:w="1630" w:type="dxa"/>
            <w:shd w:val="clear" w:color="auto" w:fill="auto"/>
            <w:hideMark/>
          </w:tcPr>
          <w:p w14:paraId="70B849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8E19A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Nadwiślański Związek Pracodawców Lewiatan wnosi o wpisanie do „Projektu planu gospodarowania wodami na obszarze dorzecza Wisły” inwestycji pt. „Woda dla Kujaw”, zakładającej kompleksowe rozwiązanie problemu suszy na obszarze Kujaw i Północnej Wielkopolski. Projekt zakłada transfer wody z Wisły za pomocą rurociągów do rejonu południowych Kujaw – w celu umożliwienia wdrożenia nowoczesnych nawodnień rolniczych oraz dla celów przemysłowych, natomiast w region północnej Wielkopolski – w celu zalania leja depresyjnego po kopalni Tomisławice i chłodzenia bloków elektrowni atomowej.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Opracowanie stanowi efekt prac szerokiego zespołu eksperckiego, tworzonego przez środowiska naukowe (specjaliści od upraw oraz </w:t>
            </w:r>
            <w:r w:rsidRPr="005E78BB">
              <w:rPr>
                <w:rFonts w:ascii="Calibri" w:eastAsia="Times New Roman" w:hAnsi="Calibri" w:cs="Calibri"/>
                <w:color w:val="000000"/>
                <w:sz w:val="18"/>
                <w:szCs w:val="18"/>
                <w:lang w:eastAsia="pl-PL"/>
              </w:rPr>
              <w:lastRenderedPageBreak/>
              <w:t>melioracji rolniczych, hydrolodzy, hydrobiolodzy reprezentujący UKW w Bydgoszczy, UTP w Bydgoszczy, UMK w Toruniu, Instytut Technologiczno-Przyrodniczy w Falentach), administrację państwową odpowiedzialną za gospodarowanie wodami (PGW Wody Polskie, RZGW w Bydgoszczy, RZGW w Poznaniu, RZGW w Warszawie), środowiska gospodarcze (Nadwiślański Związek Przedsiębiorców Lewiatan, CIECH Soda Polska S.A.), sektor pozarządowy (ECOPROBONO Fundacja Konstruktywnej Ekologii, Stowarzyszenie Ekologiczne Eko-Przyjezierze) oraz administrację samorządową (w tym Urząd Marszałkowski Województwa Kujawsko-Pomorskiego oraz jednostki Samorządu Województwa Kujawsko-Pomorskiego).</w:t>
            </w:r>
          </w:p>
        </w:tc>
        <w:tc>
          <w:tcPr>
            <w:tcW w:w="3377" w:type="dxa"/>
            <w:shd w:val="clear" w:color="auto" w:fill="auto"/>
            <w:hideMark/>
          </w:tcPr>
          <w:p w14:paraId="31DE73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3DFD27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3E537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21_NadZwPrac_Lewiatan_Wisła</w:t>
            </w:r>
          </w:p>
        </w:tc>
        <w:tc>
          <w:tcPr>
            <w:tcW w:w="1276" w:type="dxa"/>
            <w:shd w:val="clear" w:color="auto" w:fill="auto"/>
            <w:hideMark/>
          </w:tcPr>
          <w:p w14:paraId="7B83B4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6A4574E" w14:textId="1EE83A6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IIaPGW zawiera przypisane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działania naprawcze służące osiągnięciu celów środowiskowych (cele środowiskowe - Załączniki 5.1) wskazanych dla jcw - Załącznik 7 - zestaw działań. Działania naprawcze nie mogą prowadzić do pogorszenia stanu wód, w tym pogorszenia stanu ilościowego lub jakościowego innych jcw.</w:t>
            </w:r>
            <w:r w:rsidRPr="005E78BB">
              <w:rPr>
                <w:rFonts w:ascii="Calibri" w:eastAsia="Times New Roman" w:hAnsi="Calibri" w:cs="Calibri"/>
                <w:color w:val="000000"/>
                <w:sz w:val="18"/>
                <w:szCs w:val="18"/>
                <w:lang w:eastAsia="pl-PL"/>
              </w:rPr>
              <w:br/>
              <w:t xml:space="preserve">Inwestycje ukierunkowane na przeciwdziałanie skutkom suszy stanowić powinny element Planu Przeciwdziałania </w:t>
            </w:r>
            <w:r w:rsidRPr="005E78BB">
              <w:rPr>
                <w:rFonts w:ascii="Calibri" w:eastAsia="Times New Roman" w:hAnsi="Calibri" w:cs="Calibri"/>
                <w:color w:val="000000"/>
                <w:sz w:val="18"/>
                <w:szCs w:val="18"/>
                <w:lang w:eastAsia="pl-PL"/>
              </w:rPr>
              <w:lastRenderedPageBreak/>
              <w:t>Skutkom Suszy.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do Wykazu Inwestycji i Działań stanowiącego element IIaPGW wpisane zostały wyłącznie takie planowane działania lub przedsięwziecia, które pogorszą stan wód lub uniemożliwią osiągnięcie celów środowiskowych i dla którego potwierdzono (w decyzji o środowiskowych uwarunkowaniach lub w ocenie wodnoprawnej) spełnianie przesłanek określonych w art. 68 ustawy Prawo wodne.</w:t>
            </w:r>
          </w:p>
        </w:tc>
      </w:tr>
      <w:tr w:rsidR="0085319C" w:rsidRPr="005E78BB" w14:paraId="2B6CFFB4" w14:textId="77777777" w:rsidTr="002C331C">
        <w:trPr>
          <w:trHeight w:val="454"/>
        </w:trPr>
        <w:tc>
          <w:tcPr>
            <w:tcW w:w="562" w:type="dxa"/>
            <w:shd w:val="clear" w:color="auto" w:fill="auto"/>
            <w:hideMark/>
          </w:tcPr>
          <w:p w14:paraId="040ED97B" w14:textId="77777777" w:rsidR="0085319C" w:rsidRPr="002C331C" w:rsidRDefault="0085319C" w:rsidP="0085319C">
            <w:pPr>
              <w:ind w:firstLine="0"/>
              <w:jc w:val="center"/>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lastRenderedPageBreak/>
              <w:t>22</w:t>
            </w:r>
          </w:p>
        </w:tc>
        <w:tc>
          <w:tcPr>
            <w:tcW w:w="1021" w:type="dxa"/>
            <w:shd w:val="clear" w:color="auto" w:fill="auto"/>
          </w:tcPr>
          <w:p w14:paraId="3AAC2884" w14:textId="051402B4"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hAnsi="Calibri" w:cs="Calibri"/>
                <w:color w:val="000000"/>
                <w:sz w:val="18"/>
                <w:szCs w:val="18"/>
              </w:rPr>
              <w:t>Ciech Soda Polska</w:t>
            </w:r>
          </w:p>
        </w:tc>
        <w:tc>
          <w:tcPr>
            <w:tcW w:w="1630" w:type="dxa"/>
            <w:shd w:val="clear" w:color="auto" w:fill="auto"/>
            <w:hideMark/>
          </w:tcPr>
          <w:p w14:paraId="23F7D2CA" w14:textId="77777777"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inne/pozostałe</w:t>
            </w:r>
          </w:p>
        </w:tc>
        <w:tc>
          <w:tcPr>
            <w:tcW w:w="5663" w:type="dxa"/>
            <w:shd w:val="clear" w:color="auto" w:fill="auto"/>
            <w:hideMark/>
          </w:tcPr>
          <w:p w14:paraId="755E530A" w14:textId="536AFC6D"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 xml:space="preserve">Dotyczy: derogacji w planie gospodarowania wodami na obszarze dorzecza Wisły 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w:t>
            </w:r>
            <w:r w:rsidRPr="002C331C">
              <w:rPr>
                <w:rFonts w:ascii="Calibri" w:eastAsia="Times New Roman" w:hAnsi="Calibri" w:cs="Calibri"/>
                <w:color w:val="000000"/>
                <w:sz w:val="18"/>
                <w:szCs w:val="18"/>
                <w:lang w:eastAsia="pl-PL"/>
              </w:rPr>
              <w:br/>
              <w:t>W związku z trwającym procesem konsultacji lI aktualizacji planów gospodarowania wodami dla obszaru dorzecza Wisły wnosimy o:</w:t>
            </w:r>
            <w:r w:rsidRPr="002C331C">
              <w:rPr>
                <w:rFonts w:ascii="Calibri" w:eastAsia="Times New Roman" w:hAnsi="Calibri" w:cs="Calibri"/>
                <w:color w:val="000000"/>
                <w:sz w:val="18"/>
                <w:szCs w:val="18"/>
                <w:lang w:eastAsia="pl-PL"/>
              </w:rPr>
              <w:br/>
              <w:t>1. Odstąpienie od wyznaczania wskaźników zasolenia dla silnie zmienionych części wód (SZCW) na podstawie przepisów załącznika V do Ramowej Dyrektywy Wodnej, w szczególności punktu 1.2.5. tego załącznika, z którego wynika możliwość niewyznaczania wartości granicznej dla zasolenia dla SZCW</w:t>
            </w:r>
            <w:r w:rsidRPr="002C331C">
              <w:rPr>
                <w:rFonts w:ascii="Calibri" w:eastAsia="Times New Roman" w:hAnsi="Calibri" w:cs="Calibri"/>
                <w:color w:val="000000"/>
                <w:sz w:val="18"/>
                <w:szCs w:val="18"/>
                <w:lang w:eastAsia="pl-PL"/>
              </w:rPr>
              <w:br/>
              <w:t>lub</w:t>
            </w:r>
            <w:r w:rsidRPr="002C331C">
              <w:rPr>
                <w:rFonts w:ascii="Calibri" w:eastAsia="Times New Roman" w:hAnsi="Calibri" w:cs="Calibri"/>
                <w:color w:val="000000"/>
                <w:sz w:val="18"/>
                <w:szCs w:val="18"/>
                <w:lang w:eastAsia="pl-PL"/>
              </w:rPr>
              <w:br/>
              <w:t>2. Ustalenie w załączniku 3.1. do II aPGW wielkości granicznej dla wskaźnika przewodności elektrolitycznej na realnym do uzyskania poziomie 1100 µS/cm. Rozwiązanie takie dopuszczają przepisy załącznika 7 do rozporządzenia klasyfikacyjnego w przypadku SZCW</w:t>
            </w:r>
            <w:r w:rsidRPr="002C331C">
              <w:rPr>
                <w:rFonts w:ascii="Calibri" w:eastAsia="Times New Roman" w:hAnsi="Calibri" w:cs="Calibri"/>
                <w:color w:val="000000"/>
                <w:sz w:val="18"/>
                <w:szCs w:val="18"/>
                <w:lang w:eastAsia="pl-PL"/>
              </w:rPr>
              <w:br/>
              <w:t>lub</w:t>
            </w:r>
            <w:r w:rsidRPr="002C331C">
              <w:rPr>
                <w:rFonts w:ascii="Calibri" w:eastAsia="Times New Roman" w:hAnsi="Calibri" w:cs="Calibri"/>
                <w:color w:val="000000"/>
                <w:sz w:val="18"/>
                <w:szCs w:val="18"/>
                <w:lang w:eastAsia="pl-PL"/>
              </w:rPr>
              <w:br/>
              <w:t xml:space="preserve">3. Ustalenie 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odstępstwa z art. 4.5 Ramowej Dyrektywy Wodnej (art. 63 Prawo Wodne) - ustalenie celu mniej rygorystycznego dla wskaźnika przewodności elektrolitycznej (PEW).</w:t>
            </w:r>
            <w:r w:rsidRPr="002C331C">
              <w:rPr>
                <w:rFonts w:ascii="Calibri" w:eastAsia="Times New Roman" w:hAnsi="Calibri" w:cs="Calibri"/>
                <w:color w:val="000000"/>
                <w:sz w:val="18"/>
                <w:szCs w:val="18"/>
                <w:lang w:eastAsia="pl-PL"/>
              </w:rPr>
              <w:br/>
              <w:t xml:space="preserve">W projekcie llaPGW stan tej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do której są odprowadzane ścieki przemysłowe z zakładów produkcyjnych spółki CIECH Soda Polska S.A. wg oceny, będącej podstawą aktualizacji planów gospodarowania wodami na lata 2021-2026„Wisła od Zgłowiączki do Brdy", oceniono jako zły (czyli poniżej dobrego) z uwagi na stan chemiczny. Dla nowo utworzonej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z powodu braku danych monitoringowych z punku kontrolno-pomiarowego Łęgnowo (PL01S0601_0341), w załącznikach do llaPGW wpisano brak możliwości dokonania oceny stanu części wód. Wskazano jednocześnie 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w zakresie potencjału ekologicznego - nie można dokonać oceny potencjału (brak badań biologicznych w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w:t>
            </w:r>
            <w:r w:rsidRPr="002C331C">
              <w:rPr>
                <w:rFonts w:ascii="Calibri" w:eastAsia="Times New Roman" w:hAnsi="Calibri" w:cs="Calibri"/>
                <w:color w:val="000000"/>
                <w:sz w:val="18"/>
                <w:szCs w:val="18"/>
                <w:lang w:eastAsia="pl-PL"/>
              </w:rPr>
              <w:br/>
              <w:t xml:space="preserve">W pierwszej aktualizacji PGW przedmiotowa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nie występowała, a miejscem wprowadzania ścieków z zakładów spółki CIECH Soda Polska S.A. była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dopływu z Sierzchowa do Wdy, dla której przewidziano odstępstwa od założonych celów środowiskowych polegające między innymi na ustaleniu mniej rygorystycznego celu dla wskaźnika fizyko-chemicznego - chlorki. Wskazano na występowanie w zlewni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presji przemysłowej związanej ze zrzutem chlorków oraz brak możliwości technicznych ograniczenia tych oddziaływań na wody, bez ponoszenia dysproporcjonalnych kosztów. Punktem kontrolno - pomiarowym 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dopływu z Sierzchowa do Wdy był Górsk (PL01S0601_1021).</w:t>
            </w:r>
            <w:r w:rsidRPr="002C331C">
              <w:rPr>
                <w:rFonts w:ascii="Calibri" w:eastAsia="Times New Roman" w:hAnsi="Calibri" w:cs="Calibri"/>
                <w:color w:val="000000"/>
                <w:sz w:val="18"/>
                <w:szCs w:val="18"/>
                <w:lang w:eastAsia="pl-PL"/>
              </w:rPr>
              <w:br/>
              <w:t xml:space="preserve">W obecnym cyklu planistycznym wskazana wyżej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stała się częścią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Presje związane z zrzutem chlorków, mające wpływ na wielkość wskaźnika fizyko-chemicznego jakim jest przewodność elektrolityczna właściwa (PEW) nie uległy zmianie. W związku ze zmianą granic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zmianie uległa natomiast lokalizacja punktu kontrolno-pomiarowego (PPK z Górsk na Łęgnowo).</w:t>
            </w:r>
            <w:r w:rsidRPr="002C331C">
              <w:rPr>
                <w:rFonts w:ascii="Calibri" w:eastAsia="Times New Roman" w:hAnsi="Calibri" w:cs="Calibri"/>
                <w:color w:val="000000"/>
                <w:sz w:val="18"/>
                <w:szCs w:val="18"/>
                <w:lang w:eastAsia="pl-PL"/>
              </w:rPr>
              <w:br/>
              <w:t xml:space="preserve">Nasza Spółka w celu oceny wpływu ścieków odprowadzanych z Zakładów Produkcyjnych na stan rzeki Wisły zleciła do Instytutu Morskiego w Gdyni </w:t>
            </w:r>
            <w:r w:rsidRPr="002C331C">
              <w:rPr>
                <w:rFonts w:ascii="Calibri" w:eastAsia="Times New Roman" w:hAnsi="Calibri" w:cs="Calibri"/>
                <w:color w:val="000000"/>
                <w:sz w:val="18"/>
                <w:szCs w:val="18"/>
                <w:lang w:eastAsia="pl-PL"/>
              </w:rPr>
              <w:lastRenderedPageBreak/>
              <w:t>wykonanie w tym rejonie badań monitoringu w latach 2017 - 2020 w 1 punkcie powyżej (Gąbinek) i 4 punktach poniżej zrzutu naszych ścieków.</w:t>
            </w:r>
            <w:r w:rsidRPr="002C331C">
              <w:rPr>
                <w:rFonts w:ascii="Calibri" w:eastAsia="Times New Roman" w:hAnsi="Calibri" w:cs="Calibri"/>
                <w:color w:val="000000"/>
                <w:sz w:val="18"/>
                <w:szCs w:val="18"/>
                <w:lang w:eastAsia="pl-PL"/>
              </w:rPr>
              <w:br/>
              <w:t>Poniżej zestawienie średnich rocznych wartości PEW w µS/cm w latach 2017, 2018, 2019 - z 12 poborów w roku i w 2020 roku (4 pobory styczeń - kwiecień)</w:t>
            </w:r>
            <w:r w:rsidRPr="002C331C">
              <w:rPr>
                <w:rFonts w:ascii="Calibri" w:eastAsia="Times New Roman" w:hAnsi="Calibri" w:cs="Calibri"/>
                <w:color w:val="000000"/>
                <w:sz w:val="18"/>
                <w:szCs w:val="18"/>
                <w:lang w:eastAsia="pl-PL"/>
              </w:rPr>
              <w:br/>
              <w:t>Gąbinek: 2017r. – 680, 2018r. – 732, 2019r. – 719, 2020r. – 692</w:t>
            </w:r>
            <w:r w:rsidRPr="002C331C">
              <w:rPr>
                <w:rFonts w:ascii="Calibri" w:eastAsia="Times New Roman" w:hAnsi="Calibri" w:cs="Calibri"/>
                <w:color w:val="000000"/>
                <w:sz w:val="18"/>
                <w:szCs w:val="18"/>
                <w:lang w:eastAsia="pl-PL"/>
              </w:rPr>
              <w:br/>
              <w:t>Górsk: 2017r. – 639, 2018r. – 715, 2019r. – 681, 2020r. – 614</w:t>
            </w:r>
            <w:r w:rsidRPr="002C331C">
              <w:rPr>
                <w:rFonts w:ascii="Calibri" w:eastAsia="Times New Roman" w:hAnsi="Calibri" w:cs="Calibri"/>
                <w:color w:val="000000"/>
                <w:sz w:val="18"/>
                <w:szCs w:val="18"/>
                <w:lang w:eastAsia="pl-PL"/>
              </w:rPr>
              <w:br/>
              <w:t>Łęgnowo: 2017r. – 881, 2018r. – 945, 2019r. – 936, 2020r. – 876</w:t>
            </w:r>
            <w:r w:rsidRPr="002C331C">
              <w:rPr>
                <w:rFonts w:ascii="Calibri" w:eastAsia="Times New Roman" w:hAnsi="Calibri" w:cs="Calibri"/>
                <w:color w:val="000000"/>
                <w:sz w:val="18"/>
                <w:szCs w:val="18"/>
                <w:lang w:eastAsia="pl-PL"/>
              </w:rPr>
              <w:br/>
              <w:t>Fordon: 2017r. – 724, 2018r. – 748, 2019r. – 753, 2020r. – 678</w:t>
            </w:r>
            <w:r w:rsidRPr="002C331C">
              <w:rPr>
                <w:rFonts w:ascii="Calibri" w:eastAsia="Times New Roman" w:hAnsi="Calibri" w:cs="Calibri"/>
                <w:color w:val="000000"/>
                <w:sz w:val="18"/>
                <w:szCs w:val="18"/>
                <w:lang w:eastAsia="pl-PL"/>
              </w:rPr>
              <w:br/>
              <w:t>Przechowo: 2017r. – 830, 2018r. – 892, 2019r. – 845, 2020r. - 751</w:t>
            </w:r>
            <w:r w:rsidRPr="002C331C">
              <w:rPr>
                <w:rFonts w:ascii="Calibri" w:eastAsia="Times New Roman" w:hAnsi="Calibri" w:cs="Calibri"/>
                <w:color w:val="000000"/>
                <w:sz w:val="18"/>
                <w:szCs w:val="18"/>
                <w:lang w:eastAsia="pl-PL"/>
              </w:rPr>
              <w:br/>
              <w:t xml:space="preserve">Do końca 2021 roku dla naszej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punktem kontrolno-pomiarowym jest Górsk (punkt poniżej zrzutu naszych ścieków), natomiast w kolejnym cyklu planistycznym będzie to Łęgnowo. Jak można wnioskować z zestawienia powyżej, monitoring PEW w punkcie Górsk nie odzwierciedlał wpływu ścieków z zakładów CIECH Soda Polska S.A. na wody Wisły, natomiast widoczny wzrost PEW staje się w punkcie Łęgnowo. W kolejnych punktach zasolenie maleje w wyniku widocznego rozcieńczania wodami dopływów Wisły, niewątpliwym jest jednak fakt przekroczenia wartości granicznej PEW, która wynosi 850 µS/cm dla II klasy czystości, w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w punkcie PPK Łęgnowo.</w:t>
            </w:r>
            <w:r w:rsidRPr="002C331C">
              <w:rPr>
                <w:rFonts w:ascii="Calibri" w:eastAsia="Times New Roman" w:hAnsi="Calibri" w:cs="Calibri"/>
                <w:color w:val="000000"/>
                <w:sz w:val="18"/>
                <w:szCs w:val="18"/>
                <w:lang w:eastAsia="pl-PL"/>
              </w:rPr>
              <w:br/>
              <w:t>Z Głównego Inspektoratu Ochrony Środowiska w oparciu o dane z Państwowego Monitoringu uzyskaliśmy wyniki analiz PEW jedynie dla punktów Gąbinek, Górsk i Przechowo za lata 2016 i 2019, gdzie średnie roczne wartości PEW wynoszą odpowiednio:</w:t>
            </w:r>
            <w:r w:rsidRPr="002C331C">
              <w:rPr>
                <w:rFonts w:ascii="Calibri" w:eastAsia="Times New Roman" w:hAnsi="Calibri" w:cs="Calibri"/>
                <w:color w:val="000000"/>
                <w:sz w:val="18"/>
                <w:szCs w:val="18"/>
                <w:lang w:eastAsia="pl-PL"/>
              </w:rPr>
              <w:br/>
              <w:t>ppk: Wisła - Gąbinek: 2016 - 573, 2019 - 693 µS/cm</w:t>
            </w:r>
            <w:r w:rsidRPr="002C331C">
              <w:rPr>
                <w:rFonts w:ascii="Calibri" w:eastAsia="Times New Roman" w:hAnsi="Calibri" w:cs="Calibri"/>
                <w:color w:val="000000"/>
                <w:sz w:val="18"/>
                <w:szCs w:val="18"/>
                <w:lang w:eastAsia="pl-PL"/>
              </w:rPr>
              <w:br/>
              <w:t>ppk: Wisła - Górsk: 2016 - 620, 2019 - 665 µS/cm</w:t>
            </w:r>
            <w:r w:rsidRPr="002C331C">
              <w:rPr>
                <w:rFonts w:ascii="Calibri" w:eastAsia="Times New Roman" w:hAnsi="Calibri" w:cs="Calibri"/>
                <w:color w:val="000000"/>
                <w:sz w:val="18"/>
                <w:szCs w:val="18"/>
                <w:lang w:eastAsia="pl-PL"/>
              </w:rPr>
              <w:br/>
              <w:t>ppk: Wisła - Przechowo: 2016 - 805, 2019 - 890 µS/cm</w:t>
            </w:r>
            <w:r w:rsidRPr="002C331C">
              <w:rPr>
                <w:rFonts w:ascii="Calibri" w:eastAsia="Times New Roman" w:hAnsi="Calibri" w:cs="Calibri"/>
                <w:color w:val="000000"/>
                <w:sz w:val="18"/>
                <w:szCs w:val="18"/>
                <w:lang w:eastAsia="pl-PL"/>
              </w:rPr>
              <w:br/>
              <w:t>Powyższe wyniki potwierdzają tezę o nieuwidacznianiu się wpływu ścieków z zakładów CIECH Soda Polska S.A. na zasolenie Wisły w wynikach monitoringu prowadzonego w punkcie kontrolno-pomiarowym Górsk.</w:t>
            </w:r>
            <w:r w:rsidRPr="002C331C">
              <w:rPr>
                <w:rFonts w:ascii="Calibri" w:eastAsia="Times New Roman" w:hAnsi="Calibri" w:cs="Calibri"/>
                <w:color w:val="000000"/>
                <w:sz w:val="18"/>
                <w:szCs w:val="18"/>
                <w:lang w:eastAsia="pl-PL"/>
              </w:rPr>
              <w:br/>
              <w:t>Poniżej przedstawiono argumenty dla uzasadnienia, że potrzeby społeczno-ekonomiczne zaspokajane przez prowadzoną działalność gospodarczą nie mogą być zaspakajane za pomocą innych środków, które mogłyby stanowić korzystniejszą opcję środowiskową, niepowodującą ponoszenia nieproporcjonalnych  kosztów:</w:t>
            </w:r>
            <w:r w:rsidRPr="002C331C">
              <w:rPr>
                <w:rFonts w:ascii="Calibri" w:eastAsia="Times New Roman" w:hAnsi="Calibri" w:cs="Calibri"/>
                <w:color w:val="000000"/>
                <w:sz w:val="18"/>
                <w:szCs w:val="18"/>
                <w:lang w:eastAsia="pl-PL"/>
              </w:rPr>
              <w:br/>
              <w:t>Brak możliwości wykorzystania innej substancji zamiast sody (węglan sodu)</w:t>
            </w:r>
            <w:r w:rsidRPr="002C331C">
              <w:rPr>
                <w:rFonts w:ascii="Calibri" w:eastAsia="Times New Roman" w:hAnsi="Calibri" w:cs="Calibri"/>
                <w:color w:val="000000"/>
                <w:sz w:val="18"/>
                <w:szCs w:val="18"/>
                <w:lang w:eastAsia="pl-PL"/>
              </w:rPr>
              <w:br/>
              <w:t>Soda (węglan sodu) jest jednym z podstawowych surowców przemysłu chemicznego, szklarskiego, farmaceutycznego, papierniczego i spożywczego. Na rynku krajowym nie ma dostępnego substytutu sody, który mógłby ją zastąpić w procesach technologicznych.</w:t>
            </w:r>
            <w:r w:rsidRPr="002C331C">
              <w:rPr>
                <w:rFonts w:ascii="Calibri" w:eastAsia="Times New Roman" w:hAnsi="Calibri" w:cs="Calibri"/>
                <w:color w:val="000000"/>
                <w:sz w:val="18"/>
                <w:szCs w:val="18"/>
                <w:lang w:eastAsia="pl-PL"/>
              </w:rPr>
              <w:br/>
              <w:t>Brak możliwości zaspokojenia potrzeb gospodarczych za pomocą innych działań</w:t>
            </w:r>
            <w:r w:rsidRPr="002C331C">
              <w:rPr>
                <w:rFonts w:ascii="Calibri" w:eastAsia="Times New Roman" w:hAnsi="Calibri" w:cs="Calibri"/>
                <w:color w:val="000000"/>
                <w:sz w:val="18"/>
                <w:szCs w:val="18"/>
                <w:lang w:eastAsia="pl-PL"/>
              </w:rPr>
              <w:br/>
            </w:r>
            <w:r w:rsidRPr="002C331C">
              <w:rPr>
                <w:rFonts w:ascii="Calibri" w:eastAsia="Times New Roman" w:hAnsi="Calibri" w:cs="Calibri"/>
                <w:color w:val="000000"/>
                <w:sz w:val="18"/>
                <w:szCs w:val="18"/>
                <w:lang w:eastAsia="pl-PL"/>
              </w:rPr>
              <w:br/>
              <w:t>Soda może być produkowana metodą Solvay'a lub pozyskiwana ze złóż naturalnego minerału - trony. Metoda Solvay związana jest z odprowadzaniem do wód powierzchniowych ścieków zawierających jony chlorkowe, które powstają jako produkt uboczny i nie mogą zostać zawrócone i wykorzystane w procesie ponownie.</w:t>
            </w:r>
            <w:r w:rsidRPr="002C331C">
              <w:rPr>
                <w:rFonts w:ascii="Calibri" w:eastAsia="Times New Roman" w:hAnsi="Calibri" w:cs="Calibri"/>
                <w:color w:val="000000"/>
                <w:sz w:val="18"/>
                <w:szCs w:val="18"/>
                <w:lang w:eastAsia="pl-PL"/>
              </w:rPr>
              <w:br/>
              <w:t>W Europie powszechnie stosowana jest syntetyczna metoda produkcji sody, zaspokajająca ok 90% popytu. Najbliższe złoża naturalnej sody (z wydobywanej trony) znajdują się w Turcji. W samej Europie nie ma złóż naturalnej sody - trony, nadającej się co przemysłowego wykorzystania.</w:t>
            </w:r>
            <w:r w:rsidRPr="002C331C">
              <w:rPr>
                <w:rFonts w:ascii="Calibri" w:eastAsia="Times New Roman" w:hAnsi="Calibri" w:cs="Calibri"/>
                <w:color w:val="000000"/>
                <w:sz w:val="18"/>
                <w:szCs w:val="18"/>
                <w:lang w:eastAsia="pl-PL"/>
              </w:rPr>
              <w:br/>
              <w:t>Ścieki z produkcji sody charakteryzują się wysokim zasoleniem, co wynika bezpośrednio ze stosowanej technologii produkcji sody. Zasolenie to wynika głównie z zawartości chlorku wapnia. W celu odzysku ze ścieków części chlorków w Zakładzie Produkcyjnym w lnowrocławiu funkcjonuje instalacja chlorku wapnia, która obecnie jest rozwijana do zdolności ok 55 000 ton/rok.</w:t>
            </w:r>
            <w:r w:rsidRPr="002C331C">
              <w:rPr>
                <w:rFonts w:ascii="Calibri" w:eastAsia="Times New Roman" w:hAnsi="Calibri" w:cs="Calibri"/>
                <w:color w:val="000000"/>
                <w:sz w:val="18"/>
                <w:szCs w:val="18"/>
                <w:lang w:eastAsia="pl-PL"/>
              </w:rPr>
              <w:br/>
            </w:r>
            <w:r w:rsidRPr="002C331C">
              <w:rPr>
                <w:rFonts w:ascii="Calibri" w:eastAsia="Times New Roman" w:hAnsi="Calibri" w:cs="Calibri"/>
                <w:color w:val="000000"/>
                <w:sz w:val="18"/>
                <w:szCs w:val="18"/>
                <w:lang w:eastAsia="pl-PL"/>
              </w:rPr>
              <w:lastRenderedPageBreak/>
              <w:t>Istnieją techniczne możliwości oczyszczenia tego rodzaju ścieków poprzez tzw. metody wyparne oraz krystalizację - tj. termiczne odparowanie. Przybliżony kosz inwestycyjny sięga kilkuset milionów EUR (2 instalacje: Janikowo + lnowrocław), koszty eksploatacyjne to ok. 10÷20 PLN m3 (zależnie od składu ścieków oraz dostępnego ciepła odpadowego możliwego do wykorzystania przez wyparki).</w:t>
            </w:r>
            <w:r w:rsidRPr="002C331C">
              <w:rPr>
                <w:rFonts w:ascii="Calibri" w:eastAsia="Times New Roman" w:hAnsi="Calibri" w:cs="Calibri"/>
                <w:color w:val="000000"/>
                <w:sz w:val="18"/>
                <w:szCs w:val="18"/>
                <w:lang w:eastAsia="pl-PL"/>
              </w:rPr>
              <w:br/>
              <w:t>Przytoczenie   powyższych danych jest wystarczające, aby ocenić nierealność poniesienia nakładów inwestycyjnych oraz ponoszenia kosztów operacyjnych przez żadnego, nie tylko polskiego producenta sody. Należy dodać, że nie zostały uwzględnione w tych wyliczeniach koszty budowy nowych źródeł ciepła dla procesu wyparnego, a ilość potrzebnej energii cieplnej wyniosłaby ok. 25.000.000 GJ/rok, co oznaczałoby dodatkową emisję C0 2 na poziomie 2 milionów ton rocznie. Co więcej, w zasadzie cała ilość wyprodukowanego w procesie odsalania chlorku wapnia - 2.500.0 0 t rocznie - stałaby się odpadem z uwagi na wielkość popytu, która w krajach Unii Europejskiej kształtuje się na poziomie 450.000 t rocznie. Odpad ten wymagałby specjalnego traktowania z uwagi na swoją rozpuszczalność i bark możliwości jego składowania - tych kosztów również nie uwzględniono w powyższych wyliczeniach.</w:t>
            </w:r>
            <w:r w:rsidRPr="002C331C">
              <w:rPr>
                <w:rFonts w:ascii="Calibri" w:eastAsia="Times New Roman" w:hAnsi="Calibri" w:cs="Calibri"/>
                <w:color w:val="000000"/>
                <w:sz w:val="18"/>
                <w:szCs w:val="18"/>
                <w:lang w:eastAsia="pl-PL"/>
              </w:rPr>
              <w:br/>
              <w:t>Inne ewentualne metody odsalania nie są możliwe do zastosowania dla analizowanych ścieków tj:</w:t>
            </w:r>
            <w:r w:rsidRPr="002C331C">
              <w:rPr>
                <w:rFonts w:ascii="Calibri" w:eastAsia="Times New Roman" w:hAnsi="Calibri" w:cs="Calibri"/>
                <w:color w:val="000000"/>
                <w:sz w:val="18"/>
                <w:szCs w:val="18"/>
                <w:lang w:eastAsia="pl-PL"/>
              </w:rPr>
              <w:br/>
              <w:t>a) metody membranowe - są niedostępne dla tak wysokiego zasolenia (z uwagi na ciśnienia pracy rzędu &gt;l50bar i brak membran w skali technicznej na tak duże zasolenie).</w:t>
            </w:r>
            <w:r w:rsidRPr="002C331C">
              <w:rPr>
                <w:rFonts w:ascii="Calibri" w:eastAsia="Times New Roman" w:hAnsi="Calibri" w:cs="Calibri"/>
                <w:color w:val="000000"/>
                <w:sz w:val="18"/>
                <w:szCs w:val="18"/>
                <w:lang w:eastAsia="pl-PL"/>
              </w:rPr>
              <w:br/>
              <w:t>b) metody jonitowe - będą generować ścieki poregeneracyjne o podobnych objętościach co sam ściek a dodatkowo w ściekach poregeneracyjnych wzrośnie zasolenie.</w:t>
            </w:r>
            <w:r w:rsidRPr="002C331C">
              <w:rPr>
                <w:rFonts w:ascii="Calibri" w:eastAsia="Times New Roman" w:hAnsi="Calibri" w:cs="Calibri"/>
                <w:color w:val="000000"/>
                <w:sz w:val="18"/>
                <w:szCs w:val="18"/>
                <w:lang w:eastAsia="pl-PL"/>
              </w:rPr>
              <w:br/>
              <w:t>c) metody jonitowa-membranowe (eletrodializa i dializa) - są niedostępne dla tak wysokiego zasolenia.</w:t>
            </w:r>
            <w:r w:rsidRPr="002C331C">
              <w:rPr>
                <w:rFonts w:ascii="Calibri" w:eastAsia="Times New Roman" w:hAnsi="Calibri" w:cs="Calibri"/>
                <w:color w:val="000000"/>
                <w:sz w:val="18"/>
                <w:szCs w:val="18"/>
                <w:lang w:eastAsia="pl-PL"/>
              </w:rPr>
              <w:br/>
              <w:t>Biorąc pod uwagę powyższe należy stwierdzić, że nie ma „rozsądnych" kosztowo i wdrażanych technicznie metod odsolenia tak dużej ilości ścieków z wysoką zawartością chlorku wapnia.</w:t>
            </w:r>
            <w:r w:rsidRPr="002C331C">
              <w:rPr>
                <w:rFonts w:ascii="Calibri" w:eastAsia="Times New Roman" w:hAnsi="Calibri" w:cs="Calibri"/>
                <w:color w:val="000000"/>
                <w:sz w:val="18"/>
                <w:szCs w:val="18"/>
                <w:lang w:eastAsia="pl-PL"/>
              </w:rPr>
              <w:br/>
              <w:t>Pomimo opisanych wyżej przeszkód, w Zakładzie stosowane są najlepsze dostępne techniki dla przemysłu sodowego, co pozwala między innymi w takim stopniu jak to możliwe ograniczyć odprowadzane ilości zanieczyszczeń.</w:t>
            </w:r>
            <w:r w:rsidRPr="002C331C">
              <w:rPr>
                <w:rFonts w:ascii="Calibri" w:eastAsia="Times New Roman" w:hAnsi="Calibri" w:cs="Calibri"/>
                <w:color w:val="000000"/>
                <w:sz w:val="18"/>
                <w:szCs w:val="18"/>
                <w:lang w:eastAsia="pl-PL"/>
              </w:rPr>
              <w:br/>
              <w:t>W zakładzie w Inowrocławiu, ścieki z procesu destylacji nie są bezpośrednio zrzucane do odbiornika, ale wraz z słodkimi wodami poprodukcyjnymi wykorzystywane ponownie do produkcji wapna posodowego. Do Wisły odprowadzany jest klarowny odciek z ww. instalacji w ilości 13,5 m3/tonę wyprodukowanej sody, udział wód słodkich w tej ilości ścieków to 4 m3/ tonę wyprodukowanej sody.</w:t>
            </w:r>
            <w:r w:rsidRPr="002C331C">
              <w:rPr>
                <w:rFonts w:ascii="Calibri" w:eastAsia="Times New Roman" w:hAnsi="Calibri" w:cs="Calibri"/>
                <w:color w:val="000000"/>
                <w:sz w:val="18"/>
                <w:szCs w:val="18"/>
                <w:lang w:eastAsia="pl-PL"/>
              </w:rPr>
              <w:br/>
              <w:t>Podsumowując, z całą pewnością można stwierdzić, iż brak jest dostępnych technologii odsalania ścieków w wymaganej skali, biorąc pod uwagę aspekty ekonomiczne i środowiskowe. Należy również zwrócić uwagę na fakt, że wszystkie zakłady sodowe w krajach UE odprowadzają do różnych odbiorników ścieki o podobnej jakości.</w:t>
            </w:r>
            <w:r w:rsidRPr="002C331C">
              <w:rPr>
                <w:rFonts w:ascii="Calibri" w:eastAsia="Times New Roman" w:hAnsi="Calibri" w:cs="Calibri"/>
                <w:color w:val="000000"/>
                <w:sz w:val="18"/>
                <w:szCs w:val="18"/>
                <w:lang w:eastAsia="pl-PL"/>
              </w:rPr>
              <w:br/>
              <w:t>Aspekty społeczno-gospodarcze</w:t>
            </w:r>
            <w:r w:rsidRPr="002C331C">
              <w:rPr>
                <w:rFonts w:ascii="Calibri" w:eastAsia="Times New Roman" w:hAnsi="Calibri" w:cs="Calibri"/>
                <w:color w:val="000000"/>
                <w:sz w:val="18"/>
                <w:szCs w:val="18"/>
                <w:lang w:eastAsia="pl-PL"/>
              </w:rPr>
              <w:br/>
              <w:t>Niezwykle istotne jest znaczenie gospodarcze i społeczne, jakie ma funkcjonowanie Zakładu. W polskim przemyśle chemicznym, przemysł sodowy zajmuje drugie miejsce pod względem wielkości produkcji, po kwasie siarkowym. Zakłady produkcyjne CIECH Sody Polskiej S.A. (w Janikowie i Inowrocławiu) produkują głównie sodę kalcynowaną lekką i ciężka, ponadto produkty sodopochodne, czyli chlorek wapnia, wapno posodowe, masy chłonne i sól.</w:t>
            </w:r>
            <w:r w:rsidRPr="002C331C">
              <w:rPr>
                <w:rFonts w:ascii="Calibri" w:eastAsia="Times New Roman" w:hAnsi="Calibri" w:cs="Calibri"/>
                <w:color w:val="000000"/>
                <w:sz w:val="18"/>
                <w:szCs w:val="18"/>
                <w:lang w:eastAsia="pl-PL"/>
              </w:rPr>
              <w:br/>
              <w:t xml:space="preserve">CIECH Soda Polska S.A posiada 2 zakłady produkcyjne na terenie woj. kujawsko - pomorskiego, które zatrudniają bezpośrednio ok 1200 pracowników. W tym w Zakładzie Produkcyjnym w Inowrocławiu 571 osób, </w:t>
            </w:r>
            <w:r w:rsidRPr="002C331C">
              <w:rPr>
                <w:rFonts w:ascii="Calibri" w:eastAsia="Times New Roman" w:hAnsi="Calibri" w:cs="Calibri"/>
                <w:color w:val="000000"/>
                <w:sz w:val="18"/>
                <w:szCs w:val="18"/>
                <w:lang w:eastAsia="pl-PL"/>
              </w:rPr>
              <w:lastRenderedPageBreak/>
              <w:t>w Zakładzie Produkcyjnym w Janikowie 567 osób.</w:t>
            </w:r>
            <w:r w:rsidRPr="002C331C">
              <w:rPr>
                <w:rFonts w:ascii="Calibri" w:eastAsia="Times New Roman" w:hAnsi="Calibri" w:cs="Calibri"/>
                <w:color w:val="000000"/>
                <w:sz w:val="18"/>
                <w:szCs w:val="18"/>
                <w:lang w:eastAsia="pl-PL"/>
              </w:rPr>
              <w:br/>
              <w:t>Należy nadmienić, że Zakład Produkcyjny w Inowrocławiu jest strategicznym partnerem dla Inowrocławskich Kopalni Soli - Solino S.A. należących do Grupy Orlen. W ramach podpisanych umów zakład sprzedaje prawie całą ilość wody chłodniczej z instalacji produkcji chlorku wapnia. Woda ta odprowadzana jest do Kopalni Góra, gdzie służy do wytwarzania solanki. Solanka do produkcji sody jest dostarczana przez Solino S.A., która jest operatorem strategicznych podziemnych magazynów paliw płynnych i ropy naftowej. Na możliwość zwiększania pojemności magazynowej i bieżącą eksploatację magazynu bezpośredni wpływ ma utrzymywanie produkcji sody przez SPC.</w:t>
            </w:r>
            <w:r w:rsidRPr="002C331C">
              <w:rPr>
                <w:rFonts w:ascii="Calibri" w:eastAsia="Times New Roman" w:hAnsi="Calibri" w:cs="Calibri"/>
                <w:color w:val="000000"/>
                <w:sz w:val="18"/>
                <w:szCs w:val="18"/>
                <w:lang w:eastAsia="pl-PL"/>
              </w:rPr>
              <w:br/>
              <w:t xml:space="preserve">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osiąga się najlepszy z możliwych stan wód powierzchniowych przy danych oddziaływaniach, których nie można byłoby w racjonalny sposób uniknąć z powodu charakteru działalności człowieka lub rodzaju zanieczyszczenia.</w:t>
            </w:r>
            <w:r w:rsidRPr="002C331C">
              <w:rPr>
                <w:rFonts w:ascii="Calibri" w:eastAsia="Times New Roman" w:hAnsi="Calibri" w:cs="Calibri"/>
                <w:color w:val="000000"/>
                <w:sz w:val="18"/>
                <w:szCs w:val="18"/>
                <w:lang w:eastAsia="pl-PL"/>
              </w:rPr>
              <w:br/>
              <w:t xml:space="preserve">Nie zachodzi też dalsze pogorszenie stanu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co wynika z wyników zamieszczonych ·na początku pisma dla punku Łęgnowo a jednocześnie ustanowienie derogacji dla przedmiotowej JCZW nie będzie oddziaływało na stan kolejnej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w:t>
            </w:r>
            <w:r w:rsidRPr="002C331C">
              <w:rPr>
                <w:rFonts w:ascii="Calibri" w:eastAsia="Times New Roman" w:hAnsi="Calibri" w:cs="Calibri"/>
                <w:color w:val="000000"/>
                <w:sz w:val="18"/>
                <w:szCs w:val="18"/>
                <w:lang w:eastAsia="pl-PL"/>
              </w:rPr>
              <w:br/>
              <w:t xml:space="preserve">Ponadto, chcielibyśmy zwrócić uwagę na fakt, że w załączniku 6 – „Wykazie inwestycji i działań, które mogą spowodować nieosiągnięcie dobrego stanu wód lub pogorszenie dobrego stanu wód, stanowiący załącznik nr 6 do II apGW”, jest umieszczony zakład GAZ-SYSTEM S.A. z Inwestycją „PMG Damasławek ze zrzutem solanki do Wisly" z lokalizacją korzystania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Zgłowiączki do Brdy. Inwestycja ta będzie obejmowała pobór wody oraz utylizację solanki w Wisie. Na skutek zrzutu solanki do Wisły przewiduje się podwyższenie koncentracji chlorku sodu co musi wpłynąć na podwyższenie wskaźnika PEW. W załączniku 6 do lI aPGW „Wykazie działań..." zaproponować trzy lokalizacje zrzutu solanki do rzeki Wisła:</w:t>
            </w:r>
            <w:r w:rsidRPr="002C331C">
              <w:rPr>
                <w:rFonts w:ascii="Calibri" w:eastAsia="Times New Roman" w:hAnsi="Calibri" w:cs="Calibri"/>
                <w:color w:val="000000"/>
                <w:sz w:val="18"/>
                <w:szCs w:val="18"/>
                <w:lang w:eastAsia="pl-PL"/>
              </w:rPr>
              <w:br/>
              <w:t>- za Solcem Kujawskim na wysokości wsi Otorowo,</w:t>
            </w:r>
            <w:r w:rsidRPr="002C331C">
              <w:rPr>
                <w:rFonts w:ascii="Calibri" w:eastAsia="Times New Roman" w:hAnsi="Calibri" w:cs="Calibri"/>
                <w:color w:val="000000"/>
                <w:sz w:val="18"/>
                <w:szCs w:val="18"/>
                <w:lang w:eastAsia="pl-PL"/>
              </w:rPr>
              <w:br/>
              <w:t>- przy kanale ściekowym Spółki Wodnej Kapuściska w Bydgoszczy,</w:t>
            </w:r>
            <w:r w:rsidRPr="002C331C">
              <w:rPr>
                <w:rFonts w:ascii="Calibri" w:eastAsia="Times New Roman" w:hAnsi="Calibri" w:cs="Calibri"/>
                <w:color w:val="000000"/>
                <w:sz w:val="18"/>
                <w:szCs w:val="18"/>
                <w:lang w:eastAsia="pl-PL"/>
              </w:rPr>
              <w:br/>
              <w:t>- za ujściem rzeki Brdy i przed mostem Fordon w Bydgoszczy.</w:t>
            </w:r>
            <w:r w:rsidRPr="002C331C">
              <w:rPr>
                <w:rFonts w:ascii="Calibri" w:eastAsia="Times New Roman" w:hAnsi="Calibri" w:cs="Calibri"/>
                <w:color w:val="000000"/>
                <w:sz w:val="18"/>
                <w:szCs w:val="18"/>
                <w:lang w:eastAsia="pl-PL"/>
              </w:rPr>
              <w:br/>
              <w:t xml:space="preserve">Z punktu widzenia działalności CIECH Soda Polska S.A. oraz ochrony wód Wisły, lokalizacją, która nie wpłynęłaby na pogorszenie jakości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na wysokości punktu Łęgnowo jest lokalizacja za ujściem rzeki Brdy i przed mostem Fordon w Bydgoszczy.</w:t>
            </w:r>
            <w:r w:rsidRPr="002C331C">
              <w:rPr>
                <w:rFonts w:ascii="Calibri" w:eastAsia="Times New Roman" w:hAnsi="Calibri" w:cs="Calibri"/>
                <w:color w:val="000000"/>
                <w:sz w:val="18"/>
                <w:szCs w:val="18"/>
                <w:lang w:eastAsia="pl-PL"/>
              </w:rPr>
              <w:br/>
            </w:r>
            <w:r w:rsidRPr="002C331C">
              <w:rPr>
                <w:rFonts w:ascii="Calibri" w:eastAsia="Times New Roman" w:hAnsi="Calibri" w:cs="Calibri"/>
                <w:color w:val="000000"/>
                <w:sz w:val="18"/>
                <w:szCs w:val="18"/>
                <w:lang w:eastAsia="pl-PL"/>
              </w:rPr>
              <w:br/>
              <w:t>Uzupełnienie uwagi:</w:t>
            </w:r>
            <w:r w:rsidRPr="002C331C">
              <w:rPr>
                <w:rFonts w:ascii="Calibri" w:eastAsia="Times New Roman" w:hAnsi="Calibri" w:cs="Calibri"/>
                <w:color w:val="000000"/>
                <w:sz w:val="18"/>
                <w:szCs w:val="18"/>
                <w:lang w:eastAsia="pl-PL"/>
              </w:rPr>
              <w:br/>
              <w:t xml:space="preserve">W uzupełnieniu do pisma znak NOŚ/AG/2948/2021 z dnia 09.08.2021 przekazujemy Państwu wyniki monitoringu, które CIECH Soda Polska zleciła Instytutu Morskiego w Gdyni. Celem badań była oceny wypływu ścieków odprowadzanych z Zakładów Produkcyjnych na stan rzeki Wisły. Badania prowadzone były od stycznia 2017 do kwietnia  2020, w jednym punkcie powyżej zrzutu (Gąbinek) i czterech punktach poniżej zrzutu naszych ścieków. </w:t>
            </w:r>
            <w:r w:rsidRPr="002C331C">
              <w:rPr>
                <w:rFonts w:ascii="Calibri" w:eastAsia="Times New Roman" w:hAnsi="Calibri" w:cs="Calibri"/>
                <w:color w:val="000000"/>
                <w:sz w:val="18"/>
                <w:szCs w:val="18"/>
                <w:lang w:eastAsia="pl-PL"/>
              </w:rPr>
              <w:br/>
            </w:r>
            <w:r w:rsidRPr="002C331C">
              <w:rPr>
                <w:rFonts w:ascii="Calibri" w:eastAsia="Times New Roman" w:hAnsi="Calibri" w:cs="Calibri"/>
                <w:color w:val="000000"/>
                <w:sz w:val="18"/>
                <w:szCs w:val="18"/>
                <w:lang w:eastAsia="pl-PL"/>
              </w:rPr>
              <w:br/>
              <w:t xml:space="preserve">Badania wody badań wykonane zostały przez laboratorium akredytowane zgodnie z metodami określonymi w rozporządzeniu Ministra Gospodarki Morskiej i Żeglugi Śródlądowej z 9.10.2019r. w sprawie form i sposobu prowadzenia monitoringu jednolitych części wód powierzchniowych i jednolitych części wód podziemnych (Dz. U. 2019 poz. 2147) </w:t>
            </w:r>
          </w:p>
        </w:tc>
        <w:tc>
          <w:tcPr>
            <w:tcW w:w="3377" w:type="dxa"/>
            <w:shd w:val="clear" w:color="auto" w:fill="auto"/>
            <w:hideMark/>
          </w:tcPr>
          <w:p w14:paraId="3EA4A7A9" w14:textId="77777777"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lastRenderedPageBreak/>
              <w:t>-</w:t>
            </w:r>
          </w:p>
        </w:tc>
        <w:tc>
          <w:tcPr>
            <w:tcW w:w="3401" w:type="dxa"/>
            <w:shd w:val="clear" w:color="auto" w:fill="auto"/>
            <w:hideMark/>
          </w:tcPr>
          <w:p w14:paraId="4DC0D024" w14:textId="77777777"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w:t>
            </w:r>
          </w:p>
        </w:tc>
        <w:tc>
          <w:tcPr>
            <w:tcW w:w="1918" w:type="dxa"/>
            <w:shd w:val="clear" w:color="auto" w:fill="auto"/>
            <w:hideMark/>
          </w:tcPr>
          <w:p w14:paraId="78FDD56F" w14:textId="77777777"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22_CIECH Soda_Wisła</w:t>
            </w:r>
          </w:p>
        </w:tc>
        <w:tc>
          <w:tcPr>
            <w:tcW w:w="1276" w:type="dxa"/>
            <w:shd w:val="clear" w:color="auto" w:fill="auto"/>
            <w:hideMark/>
          </w:tcPr>
          <w:p w14:paraId="3CF1F3CB" w14:textId="77777777" w:rsidR="0085319C" w:rsidRPr="002C331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wyjaśnienie</w:t>
            </w:r>
          </w:p>
        </w:tc>
        <w:tc>
          <w:tcPr>
            <w:tcW w:w="3513" w:type="dxa"/>
            <w:shd w:val="clear" w:color="auto" w:fill="auto"/>
            <w:hideMark/>
          </w:tcPr>
          <w:p w14:paraId="39D26366" w14:textId="0188F637" w:rsidR="0085319C" w:rsidRDefault="0085319C" w:rsidP="0085319C">
            <w:pPr>
              <w:ind w:firstLine="0"/>
              <w:jc w:val="left"/>
              <w:rPr>
                <w:rFonts w:ascii="Calibri" w:eastAsia="Times New Roman" w:hAnsi="Calibri" w:cs="Calibri"/>
                <w:color w:val="000000"/>
                <w:sz w:val="18"/>
                <w:szCs w:val="18"/>
                <w:lang w:eastAsia="pl-PL"/>
              </w:rPr>
            </w:pPr>
            <w:r w:rsidRPr="002C331C">
              <w:rPr>
                <w:rFonts w:ascii="Calibri" w:eastAsia="Times New Roman" w:hAnsi="Calibri" w:cs="Calibri"/>
                <w:color w:val="000000"/>
                <w:sz w:val="18"/>
                <w:szCs w:val="18"/>
                <w:lang w:eastAsia="pl-PL"/>
              </w:rPr>
              <w:t>Analizując przedmiotowy wniosek stwierdza się, iż dotyczy on następującej sytuacji.</w:t>
            </w:r>
            <w:r w:rsidRPr="002C331C">
              <w:rPr>
                <w:rFonts w:ascii="Calibri" w:eastAsia="Times New Roman" w:hAnsi="Calibri" w:cs="Calibri"/>
                <w:color w:val="000000"/>
                <w:sz w:val="18"/>
                <w:szCs w:val="18"/>
                <w:lang w:eastAsia="pl-PL"/>
              </w:rPr>
              <w:br/>
              <w:t xml:space="preserve">W aktualnym Planie gospodarowania wodami na obszarze dorzecza Wisły (Dz.U. z 2016 r. poz. 1911) rzeka Wisła na odcinku od granicy regionu wodnego do Wdy stanowi 2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Wisła od granicy Regionu Wodnego Dolnej Wisły do dopł. z Sierzchowa (RW20002127935) oraz Wisła od dopł. z Sierzchowa do Wdy (RW2000212939). Załącznik nr 1</w:t>
            </w:r>
            <w:r w:rsidRPr="002C331C">
              <w:rPr>
                <w:rFonts w:ascii="Calibri" w:eastAsia="Times New Roman" w:hAnsi="Calibri" w:cs="Calibri"/>
                <w:color w:val="000000"/>
                <w:sz w:val="18"/>
                <w:szCs w:val="18"/>
                <w:lang w:eastAsia="pl-PL"/>
              </w:rPr>
              <w:br/>
              <w:t xml:space="preserve">Obie te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mają przypisane odstępstwo z art. 4.5 RDW tj. ustalone mniej rygorystyczne cele środowiskowe niż określone w art. 56, art. 57, art.59 i art. 61 ustawy Prawo wodne.</w:t>
            </w:r>
            <w:r w:rsidRPr="002C331C">
              <w:rPr>
                <w:rFonts w:ascii="Calibri" w:eastAsia="Times New Roman" w:hAnsi="Calibri" w:cs="Calibri"/>
                <w:color w:val="000000"/>
                <w:sz w:val="18"/>
                <w:szCs w:val="18"/>
                <w:lang w:eastAsia="pl-PL"/>
              </w:rPr>
              <w:br/>
              <w:t>Wisła od granicy Regionu Wodnego Dolnej Wisły do dopł. z Sierzchowa - art. 4 ust. 4 i 5 RDW: 4(5) - 1, 4(5) – 2; Termin osiągnięcia celów środowiskowych : 2021</w:t>
            </w:r>
            <w:r w:rsidRPr="002C331C">
              <w:rPr>
                <w:rFonts w:ascii="Calibri" w:eastAsia="Times New Roman" w:hAnsi="Calibri" w:cs="Calibri"/>
                <w:color w:val="000000"/>
                <w:sz w:val="18"/>
                <w:szCs w:val="18"/>
                <w:lang w:eastAsia="pl-PL"/>
              </w:rPr>
              <w:br/>
              <w:t>- Parametry charakteryzujące cel środowiskowy: Przewodność w 20oC (uS/cm) ≤ 850, Chlorki (mgCl/l) ≤ 75,6, Siarczany (mgSO4/l) ≤ 71,5.</w:t>
            </w:r>
            <w:r w:rsidRPr="002C331C">
              <w:rPr>
                <w:rFonts w:ascii="Calibri" w:eastAsia="Times New Roman" w:hAnsi="Calibri" w:cs="Calibri"/>
                <w:color w:val="000000"/>
                <w:sz w:val="18"/>
                <w:szCs w:val="18"/>
                <w:lang w:eastAsia="pl-PL"/>
              </w:rPr>
              <w:br/>
              <w:t>Wisła od dopł. z Sierzchowa do Wdy - art. 4 ust. 4 i 5 RDW: 4(4) - 1, 4(5) - 1, 4(5) - 2; Termin osiągnięcia celów środowiskowych : 2021 i art. 4 ust. 7 RDW: 4(7); Uzasadnienie odstępstwa: PMG Damasławek ze zrzutem solanki do Wisły</w:t>
            </w:r>
            <w:r w:rsidRPr="002C331C">
              <w:rPr>
                <w:rFonts w:ascii="Calibri" w:eastAsia="Times New Roman" w:hAnsi="Calibri" w:cs="Calibri"/>
                <w:color w:val="000000"/>
                <w:sz w:val="18"/>
                <w:szCs w:val="18"/>
                <w:lang w:eastAsia="pl-PL"/>
              </w:rPr>
              <w:br/>
              <w:t>- Parametry charakteryzujące cel środowiskowy: Przewodność w 20oC (uS/cm) ≤ 850, Chlorki (mgCl/l) ≤ 75,6, Siarczany (mgSO4/l) ≤ 71,5</w:t>
            </w:r>
            <w:r w:rsidRPr="002C331C">
              <w:rPr>
                <w:rFonts w:ascii="Calibri" w:eastAsia="Times New Roman" w:hAnsi="Calibri" w:cs="Calibri"/>
                <w:color w:val="000000"/>
                <w:sz w:val="18"/>
                <w:szCs w:val="18"/>
                <w:lang w:eastAsia="pl-PL"/>
              </w:rPr>
              <w:br/>
            </w:r>
            <w:r w:rsidRPr="002C331C">
              <w:rPr>
                <w:rFonts w:ascii="Calibri" w:eastAsia="Times New Roman" w:hAnsi="Calibri" w:cs="Calibri"/>
                <w:color w:val="000000"/>
                <w:sz w:val="18"/>
                <w:szCs w:val="18"/>
                <w:lang w:eastAsia="pl-PL"/>
              </w:rPr>
              <w:br/>
              <w:t xml:space="preserve">Uzasadnieniem powyższych odstępstw jest występowanie w zlewniach tych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presji przemysłowej związanej ze zrzutem chlorków i siarczanów. Wpływ działalności antropogenicznej na stan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oraz brak możliwości technicznych ograniczenia tych oddziaływań na wody, bez ponoszenie dysproporcjonalnych kosztów, generuje konieczność ustalenia mniej rygorystycznych celów w zakresie wskaźników charakteryzujących zasolenie (chlorki, siarczany). Wdrożenie skutecznych i </w:t>
            </w:r>
            <w:r w:rsidRPr="002C331C">
              <w:rPr>
                <w:rFonts w:ascii="Calibri" w:eastAsia="Times New Roman" w:hAnsi="Calibri" w:cs="Calibri"/>
                <w:color w:val="000000"/>
                <w:sz w:val="18"/>
                <w:szCs w:val="18"/>
                <w:lang w:eastAsia="pl-PL"/>
              </w:rPr>
              <w:lastRenderedPageBreak/>
              <w:t>efektywnych działań naprawczych wymaga szczegółowego rozpoznania presji i możliwości jej redukcji.</w:t>
            </w:r>
            <w:r w:rsidRPr="002C331C">
              <w:rPr>
                <w:rFonts w:ascii="Calibri" w:eastAsia="Times New Roman" w:hAnsi="Calibri" w:cs="Calibri"/>
                <w:color w:val="000000"/>
                <w:sz w:val="18"/>
                <w:szCs w:val="18"/>
                <w:lang w:eastAsia="pl-PL"/>
              </w:rPr>
              <w:br/>
              <w:t xml:space="preserve">Na podstawie wykonanej przez Główny Inspektorat Ochrony Środowiska oceny stanu dla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Wisła od granicy Regionu Wodnego Dolnej Wisły do dopł. z Sierzchowa (RW20002127935) oraz Wisła od dopł. z Sierzchowa do Wdy (RW2000212939) przeprowadzonej w 2016 r. oraz 2019 r. stwierdzono trwałe przekroczenia normy dobrego potencjału wód wyrażone stężeniem chlorków określonym na poziomie 75,6 mg Cl/l w Rozporządzeniu w sprawie sposobu klasyfikacji stanu jednolitych części wód powierzchniowych oraz środowiskowych norm jakości dla substancji priorytetowych (Dz.U z 2016 r, poz. 1187) oraz Rozporządzeniu w sprawie klasyfikacji stanu ekologicznego, potencjału ekologicznego i stanu chemicznego oraz sposobu klasyfikacji stanu jednolitych części wód powierzchniowych, a także środowiskowych norm jakości dla substancji priorytetowych (Dz.U z 2019 r, poz. 2149; Dz.U z 2021 r, poz.1475). Załącznik nr 2.</w:t>
            </w:r>
            <w:r w:rsidRPr="002C331C">
              <w:rPr>
                <w:rFonts w:ascii="Calibri" w:eastAsia="Times New Roman" w:hAnsi="Calibri" w:cs="Calibri"/>
                <w:color w:val="000000"/>
                <w:sz w:val="18"/>
                <w:szCs w:val="18"/>
                <w:lang w:eastAsia="pl-PL"/>
              </w:rPr>
              <w:br/>
              <w:t xml:space="preserve">Fakt ten potwierdza zasadność objęcia przedmiotowych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derogacją z art.4(5) RDW z uwagi na nieprzemijającą presją antropogeniczną, której nie można zapobiec ani zmniejszyć (Rozporządzenie Rady Ministrów z dnia 18 października 2016 r. w sprawie Planu gospodarowania wodami na obszarze dorzecza Wisły (Dz.U. z 2016 r. poz. 1911). Produkcja sody, stanowiącej niezbędny surowiec dla zakładów chemicznych, technologicznie związana jest z odprowadzaniem do środowiska ścieków zawierających jony chlorkowe powstające jako produkt uboczny. Soda Ciech odzyskuje część chlorków ze ścieków lecz dalsze możliwości oczyszczania ścieków są niedostępne oraz ekonomicznie nieuzasadnione. Obecnie brak jest dostępnych metod odsalania ścieków w wymaganej skali.</w:t>
            </w:r>
            <w:r w:rsidRPr="002C331C">
              <w:rPr>
                <w:rFonts w:ascii="Calibri" w:eastAsia="Times New Roman" w:hAnsi="Calibri" w:cs="Calibri"/>
                <w:color w:val="000000"/>
                <w:sz w:val="18"/>
                <w:szCs w:val="18"/>
                <w:lang w:eastAsia="pl-PL"/>
              </w:rPr>
              <w:b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t>
            </w:r>
            <w:r w:rsidRPr="002C331C">
              <w:rPr>
                <w:rFonts w:ascii="Calibri" w:eastAsia="Times New Roman" w:hAnsi="Calibri" w:cs="Calibri"/>
                <w:color w:val="000000"/>
                <w:sz w:val="18"/>
                <w:szCs w:val="18"/>
                <w:lang w:eastAsia="pl-PL"/>
              </w:rPr>
              <w:lastRenderedPageBreak/>
              <w:t xml:space="preserve">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dopł. z Sierzchowa do Wdy (RW2000212939) oparta jest o zagregowane dane pomiarowe, na co wskazuje opis ppk (załącznik 2 pkt a) oraz wyniki oceny z 2019 r., która podaje stężenie chlorków na poziomie 110 mg Cl/l, przy wartościach średnich notowanych w ppk. Górsk i ppk. Przechowo na poziomie 80,5 mg Cl/l i 158,3 mg Cl/l i przy średniej wartości zagregowanej 119,4 mg Cl/l, odpowiednio (załącznik 2 pkt b i c).</w:t>
            </w:r>
            <w:r w:rsidRPr="002C331C">
              <w:rPr>
                <w:rFonts w:ascii="Calibri" w:eastAsia="Times New Roman" w:hAnsi="Calibri" w:cs="Calibri"/>
                <w:color w:val="000000"/>
                <w:sz w:val="18"/>
                <w:szCs w:val="18"/>
                <w:lang w:eastAsia="pl-PL"/>
              </w:rPr>
              <w:br/>
              <w:t>Podobnie w przypadku przewodności elektrolitycznej (PEW), ocena potencjału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2C331C">
              <w:rPr>
                <w:rFonts w:ascii="Calibri" w:eastAsia="Times New Roman" w:hAnsi="Calibri" w:cs="Calibri"/>
                <w:color w:val="000000"/>
                <w:sz w:val="18"/>
                <w:szCs w:val="18"/>
                <w:lang w:eastAsia="pl-PL"/>
              </w:rPr>
              <w:br/>
              <w:t xml:space="preserve">Udokumentowane w badaniach monitoringowych i ocenach stanu Głównego Inspektoratu Ochrony Środowiska (w ramach Państwowego Monitoringu Środowiska) przekroczenie normatywnych stężeń chlorków oraz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2C331C">
              <w:rPr>
                <w:rFonts w:ascii="Calibri" w:eastAsia="Times New Roman" w:hAnsi="Calibri" w:cs="Calibri"/>
                <w:color w:val="000000"/>
                <w:sz w:val="18"/>
                <w:szCs w:val="18"/>
                <w:lang w:eastAsia="pl-PL"/>
              </w:rPr>
              <w:br/>
              <w:t xml:space="preserve">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2C331C">
              <w:rPr>
                <w:rFonts w:ascii="Calibri" w:eastAsia="Times New Roman" w:hAnsi="Calibri" w:cs="Calibri"/>
                <w:color w:val="000000"/>
                <w:sz w:val="18"/>
                <w:szCs w:val="18"/>
                <w:lang w:eastAsia="pl-PL"/>
              </w:rPr>
              <w:t>: Wisła od Zgłowiączki do Brdy (</w:t>
            </w:r>
            <w:r w:rsidRPr="00CA5484">
              <w:rPr>
                <w:rFonts w:ascii="Calibri" w:eastAsia="Times New Roman" w:hAnsi="Calibri" w:cs="Calibri"/>
                <w:color w:val="000000"/>
                <w:sz w:val="18"/>
                <w:szCs w:val="18"/>
                <w:lang w:eastAsia="pl-PL"/>
              </w:rPr>
              <w:t>RW20001229199)</w:t>
            </w:r>
            <w:r w:rsidRPr="002C331C">
              <w:rPr>
                <w:rFonts w:ascii="Calibri" w:eastAsia="Times New Roman" w:hAnsi="Calibri" w:cs="Calibri"/>
                <w:color w:val="000000"/>
                <w:sz w:val="18"/>
                <w:szCs w:val="18"/>
                <w:lang w:eastAsia="pl-PL"/>
              </w:rPr>
              <w:t xml:space="preserve"> oraz Wisła od Brdy do Wdy (RW2000122939) (vide pkt 1), na które w świetle powyższych analiz, zasadnym jest </w:t>
            </w:r>
            <w:r w:rsidRPr="002C331C">
              <w:rPr>
                <w:rFonts w:ascii="Calibri" w:eastAsia="Times New Roman" w:hAnsi="Calibri" w:cs="Calibri"/>
                <w:color w:val="000000"/>
                <w:sz w:val="18"/>
                <w:szCs w:val="18"/>
                <w:lang w:eastAsia="pl-PL"/>
              </w:rPr>
              <w:lastRenderedPageBreak/>
              <w:t>przeniesienie przedmiotowej derogacji przy uwzględnieniu PEW, co wynika ze sposobu oceny potencjału ekologicznego po 2022 r.</w:t>
            </w:r>
            <w:r w:rsidRPr="002C331C">
              <w:rPr>
                <w:rFonts w:ascii="Calibri" w:eastAsia="Times New Roman" w:hAnsi="Calibri" w:cs="Calibri"/>
                <w:color w:val="000000"/>
                <w:sz w:val="18"/>
                <w:szCs w:val="18"/>
                <w:lang w:eastAsia="pl-PL"/>
              </w:rPr>
              <w:br/>
              <w:t>Jednocześnie, w związku z nałożonym w pozwoleniach wodnoprawnych dla Soda Ciech Polska S. A. znak ŚG-I-W.7322.38.2016 oraz ŚG-I-W.7322.60.2016 zobowiązaniem do wykonania analizy wpływu odprowadzanych ścieków na stan wód rzeki Wisły proponujemy ustanowienie punktu pomiarowo-kontrolnego na lewym brzegu rzeki Wisły w odległości 1000 metrów przed zrzutem ścieków. Drugi punkt pomiarowo-kontrolny powinien być ustanowiony na lewym brzegu Wisły w odległości 5000 m poniżej zrzutu ścieków w którym wartości chlorków i przewodności nie powinny przekraczać wartość norm środowiskowych. Dodatkowo, ze względu na fakt, iż zrzut ścieków znajduje się na obszarze przeznaczonym do ochrony siedlisk i gatunków dla których utrzymanie lub poprawa stanu wód jest ważnym czynnikiem w ich ochronie (Natura2000) należy również przeanalizować wpływ na siedliska i gatunki chronione na tym odcinku.</w:t>
            </w:r>
          </w:p>
          <w:p w14:paraId="29227EF3" w14:textId="09E9DFB3" w:rsidR="00CA5484" w:rsidRPr="002C331C" w:rsidRDefault="00CA5484"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Zgodnie z ustalonymi wartościami granicznymi SCW i SZCW w przypadku </w:t>
            </w:r>
            <w:r w:rsidR="00513278">
              <w:rPr>
                <w:rFonts w:ascii="Calibri" w:eastAsia="Times New Roman" w:hAnsi="Calibri" w:cs="Calibri"/>
                <w:color w:val="000000"/>
                <w:sz w:val="18"/>
                <w:szCs w:val="18"/>
                <w:lang w:eastAsia="pl-PL"/>
              </w:rPr>
              <w:t>JCWP</w:t>
            </w:r>
            <w:r>
              <w:rPr>
                <w:rFonts w:ascii="Calibri" w:eastAsia="Times New Roman" w:hAnsi="Calibri" w:cs="Calibri"/>
                <w:color w:val="000000"/>
                <w:sz w:val="18"/>
                <w:szCs w:val="18"/>
                <w:lang w:eastAsia="pl-PL"/>
              </w:rPr>
              <w:t xml:space="preserve"> </w:t>
            </w:r>
            <w:r w:rsidRPr="002C331C">
              <w:rPr>
                <w:rFonts w:ascii="Calibri" w:eastAsia="Times New Roman" w:hAnsi="Calibri" w:cs="Calibri"/>
                <w:color w:val="000000"/>
                <w:sz w:val="18"/>
                <w:szCs w:val="18"/>
                <w:lang w:eastAsia="pl-PL"/>
              </w:rPr>
              <w:t>RW2000122939</w:t>
            </w:r>
            <w:r>
              <w:rPr>
                <w:rFonts w:ascii="Calibri" w:eastAsia="Times New Roman" w:hAnsi="Calibri" w:cs="Calibri"/>
                <w:color w:val="000000"/>
                <w:sz w:val="18"/>
                <w:szCs w:val="18"/>
                <w:lang w:eastAsia="pl-PL"/>
              </w:rPr>
              <w:t xml:space="preserve"> IIaPGW wprowadza również zmianę wartości </w:t>
            </w:r>
            <w:r w:rsidRPr="00F57DBC">
              <w:rPr>
                <w:rFonts w:cstheme="minorHAnsi"/>
                <w:sz w:val="18"/>
                <w:szCs w:val="18"/>
                <w:shd w:val="clear" w:color="auto" w:fill="FFFFFF"/>
              </w:rPr>
              <w:t xml:space="preserve">dla przewodności elektrolitycznej właściwej w 20°C: 2740 μS/cm; dla pozostałych wskaźników jakości - według przedziałów klas </w:t>
            </w:r>
            <w:r w:rsidR="00513278">
              <w:rPr>
                <w:rFonts w:cstheme="minorHAnsi"/>
                <w:sz w:val="18"/>
                <w:szCs w:val="18"/>
                <w:shd w:val="clear" w:color="auto" w:fill="FFFFFF"/>
              </w:rPr>
              <w:t>JCWP</w:t>
            </w:r>
            <w:r w:rsidRPr="00F57DBC">
              <w:rPr>
                <w:rFonts w:cstheme="minorHAnsi"/>
                <w:sz w:val="18"/>
                <w:szCs w:val="18"/>
                <w:shd w:val="clear" w:color="auto" w:fill="FFFFFF"/>
              </w:rPr>
              <w:t xml:space="preserve"> RW określonego typu</w:t>
            </w:r>
            <w:r>
              <w:rPr>
                <w:rFonts w:cstheme="minorHAnsi"/>
                <w:sz w:val="18"/>
                <w:szCs w:val="18"/>
                <w:shd w:val="clear" w:color="auto" w:fill="FFFFFF"/>
              </w:rPr>
              <w:t xml:space="preserve">. Zmiana dotyczy SZCW </w:t>
            </w:r>
            <w:r w:rsidRPr="00F57DBC">
              <w:rPr>
                <w:rFonts w:cstheme="minorHAnsi"/>
                <w:sz w:val="18"/>
                <w:szCs w:val="18"/>
                <w:shd w:val="clear" w:color="auto" w:fill="FFFFFF"/>
              </w:rPr>
              <w:t>dla których zasolenie wynika ze zmian fizycznych związanych z górnictwem (odwodnienie, zmiany stosunków wodnych oraz inne presje hydromorfologiczne)</w:t>
            </w:r>
            <w:r>
              <w:rPr>
                <w:rFonts w:cstheme="minorHAnsi"/>
                <w:sz w:val="18"/>
                <w:szCs w:val="18"/>
                <w:shd w:val="clear" w:color="auto" w:fill="FFFFFF"/>
              </w:rPr>
              <w:t>.</w:t>
            </w:r>
          </w:p>
        </w:tc>
      </w:tr>
      <w:tr w:rsidR="0085319C" w:rsidRPr="005E78BB" w14:paraId="5E866EA8" w14:textId="77777777" w:rsidTr="00E92AE6">
        <w:trPr>
          <w:trHeight w:val="454"/>
        </w:trPr>
        <w:tc>
          <w:tcPr>
            <w:tcW w:w="562" w:type="dxa"/>
            <w:shd w:val="clear" w:color="auto" w:fill="auto"/>
            <w:hideMark/>
          </w:tcPr>
          <w:p w14:paraId="0F9A648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23</w:t>
            </w:r>
          </w:p>
        </w:tc>
        <w:tc>
          <w:tcPr>
            <w:tcW w:w="1021" w:type="dxa"/>
          </w:tcPr>
          <w:p w14:paraId="4E37FE18" w14:textId="6BB875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Marta Kowalko</w:t>
            </w:r>
          </w:p>
        </w:tc>
        <w:tc>
          <w:tcPr>
            <w:tcW w:w="1630" w:type="dxa"/>
            <w:shd w:val="clear" w:color="auto" w:fill="auto"/>
            <w:hideMark/>
          </w:tcPr>
          <w:p w14:paraId="53805200" w14:textId="2C324E0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7CD6B2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kod RW 200016226199 &amp;#34;Narew od Lizy do Biebrzy&amp;#34;</w:t>
            </w:r>
            <w:r w:rsidRPr="005E78BB">
              <w:rPr>
                <w:rFonts w:ascii="Calibri" w:eastAsia="Times New Roman" w:hAnsi="Calibri" w:cs="Calibri"/>
                <w:color w:val="000000"/>
                <w:sz w:val="18"/>
                <w:szCs w:val="18"/>
                <w:lang w:eastAsia="pl-PL"/>
              </w:rPr>
              <w:br w:type="page"/>
              <w:t>Rzeka Narew we wsi Izbiszcze jest rzeką ulegając bardzo mocnemu wyschnięciu , w przeciągu kilku lat zniknie całkowicie z środowiska naturalnego jest cała pokryta jest zielonym nalotem przez który jest ciężko przepłynąć lodka czy kajakiem.</w:t>
            </w:r>
          </w:p>
        </w:tc>
        <w:tc>
          <w:tcPr>
            <w:tcW w:w="3377" w:type="dxa"/>
            <w:shd w:val="clear" w:color="auto" w:fill="auto"/>
            <w:hideMark/>
          </w:tcPr>
          <w:p w14:paraId="539A06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Oszczyszczenie rzeki Narew we wsi Izbiszcze, poprawa przepływu, wykoszenie terenów przybrzeżnych , </w:t>
            </w:r>
          </w:p>
        </w:tc>
        <w:tc>
          <w:tcPr>
            <w:tcW w:w="3401" w:type="dxa"/>
            <w:shd w:val="clear" w:color="auto" w:fill="auto"/>
            <w:hideMark/>
          </w:tcPr>
          <w:p w14:paraId="57030F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Tereny atrakcyjnie turystycznie, które mogłyby przyciągać nowych inwestorów, spokojnie , niehałaśliwe małe zanieczyszczenie powietrza , gdyż nie ma dużej ilości spalin samochodów, czy zakładów produkcyjnych.</w:t>
            </w:r>
          </w:p>
        </w:tc>
        <w:tc>
          <w:tcPr>
            <w:tcW w:w="1918" w:type="dxa"/>
            <w:shd w:val="clear" w:color="auto" w:fill="auto"/>
            <w:hideMark/>
          </w:tcPr>
          <w:p w14:paraId="2B813F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86B15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1C5F72" w14:textId="322FCC4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w:t>
            </w:r>
            <w:r w:rsidRPr="005E78BB">
              <w:rPr>
                <w:rFonts w:ascii="Calibri" w:eastAsia="Times New Roman" w:hAnsi="Calibri" w:cs="Calibri"/>
                <w:color w:val="000000"/>
                <w:sz w:val="18"/>
                <w:szCs w:val="18"/>
                <w:lang w:eastAsia="pl-PL"/>
              </w:rPr>
              <w:lastRenderedPageBreak/>
              <w:t xml:space="preserve">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o którym jest mowa w uwadze, to bliżej nieokreślone zespoły perfyitonu, fitoplanotnu lub makrofitów, które biorą udział w procesach samooczyszczania się rzek, a więc pełnią ważną rolę w poprawie jakości wód.</w:t>
            </w:r>
          </w:p>
        </w:tc>
      </w:tr>
      <w:tr w:rsidR="0085319C" w:rsidRPr="005E78BB" w14:paraId="34332A34" w14:textId="77777777" w:rsidTr="00E92AE6">
        <w:trPr>
          <w:trHeight w:val="454"/>
        </w:trPr>
        <w:tc>
          <w:tcPr>
            <w:tcW w:w="562" w:type="dxa"/>
            <w:shd w:val="clear" w:color="auto" w:fill="auto"/>
            <w:hideMark/>
          </w:tcPr>
          <w:p w14:paraId="664FFF7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24</w:t>
            </w:r>
          </w:p>
        </w:tc>
        <w:tc>
          <w:tcPr>
            <w:tcW w:w="1021" w:type="dxa"/>
          </w:tcPr>
          <w:p w14:paraId="2361992D" w14:textId="1E7CE23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Edyta Stankiewicz</w:t>
            </w:r>
          </w:p>
        </w:tc>
        <w:tc>
          <w:tcPr>
            <w:tcW w:w="1630" w:type="dxa"/>
            <w:shd w:val="clear" w:color="auto" w:fill="auto"/>
            <w:hideMark/>
          </w:tcPr>
          <w:p w14:paraId="51543523" w14:textId="470D86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26875B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Zaniedbany obszar, który jest atrakcyjny turystycznie, położony we wsi Izbiszcze: woda brudna, zanieczyszczona, dużo wodorostów</w:t>
            </w:r>
          </w:p>
        </w:tc>
        <w:tc>
          <w:tcPr>
            <w:tcW w:w="3377" w:type="dxa"/>
            <w:shd w:val="clear" w:color="auto" w:fill="auto"/>
            <w:hideMark/>
          </w:tcPr>
          <w:p w14:paraId="31BCEB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Oczyszczenie rzeki, poprawa jakości wody, wykoszenie zarośli</w:t>
            </w:r>
          </w:p>
        </w:tc>
        <w:tc>
          <w:tcPr>
            <w:tcW w:w="3401" w:type="dxa"/>
            <w:shd w:val="clear" w:color="auto" w:fill="auto"/>
            <w:hideMark/>
          </w:tcPr>
          <w:p w14:paraId="37A9F9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Teren atrakcyjny turystycznie</w:t>
            </w:r>
          </w:p>
        </w:tc>
        <w:tc>
          <w:tcPr>
            <w:tcW w:w="1918" w:type="dxa"/>
            <w:shd w:val="clear" w:color="auto" w:fill="auto"/>
            <w:hideMark/>
          </w:tcPr>
          <w:p w14:paraId="0EC92F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72D61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EF5F99" w14:textId="2DCB47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w:t>
            </w:r>
            <w:r w:rsidRPr="005E78BB">
              <w:rPr>
                <w:rFonts w:ascii="Calibri" w:eastAsia="Times New Roman" w:hAnsi="Calibri" w:cs="Calibri"/>
                <w:color w:val="000000"/>
                <w:sz w:val="18"/>
                <w:szCs w:val="18"/>
                <w:lang w:eastAsia="pl-PL"/>
              </w:rPr>
              <w:lastRenderedPageBreak/>
              <w:t xml:space="preserve">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to bliżej nieokreślone zespoły perfyitonu, fitoplanotnu lub makrofitów, które wraz wodorostami biorą udział w procesach samooczyszczania się rzek, a więc pełnią ważną rolę w poprawie jakości wód.</w:t>
            </w:r>
          </w:p>
        </w:tc>
      </w:tr>
      <w:tr w:rsidR="0085319C" w:rsidRPr="005E78BB" w14:paraId="3899686D" w14:textId="77777777" w:rsidTr="00E92AE6">
        <w:trPr>
          <w:trHeight w:val="454"/>
        </w:trPr>
        <w:tc>
          <w:tcPr>
            <w:tcW w:w="562" w:type="dxa"/>
            <w:shd w:val="clear" w:color="auto" w:fill="auto"/>
            <w:hideMark/>
          </w:tcPr>
          <w:p w14:paraId="29E6DA8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25</w:t>
            </w:r>
          </w:p>
        </w:tc>
        <w:tc>
          <w:tcPr>
            <w:tcW w:w="1021" w:type="dxa"/>
          </w:tcPr>
          <w:p w14:paraId="5230CBF6" w14:textId="37FF92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Iwona Waszkiewicz</w:t>
            </w:r>
          </w:p>
        </w:tc>
        <w:tc>
          <w:tcPr>
            <w:tcW w:w="1630" w:type="dxa"/>
            <w:shd w:val="clear" w:color="auto" w:fill="auto"/>
            <w:hideMark/>
          </w:tcPr>
          <w:p w14:paraId="4D99D0D1" w14:textId="1166C2C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20ECC0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zaniedbany obszar atrakcyjny pod względem turystycznym , położony we wsi Izbiszcze, woda bardzo zanieczyszczona</w:t>
            </w:r>
          </w:p>
        </w:tc>
        <w:tc>
          <w:tcPr>
            <w:tcW w:w="3377" w:type="dxa"/>
            <w:shd w:val="clear" w:color="auto" w:fill="auto"/>
            <w:hideMark/>
          </w:tcPr>
          <w:p w14:paraId="35A6F7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oczyszczenie rzeki, poprawa jakości wody, wykoszenie zarośli, udrożnienie koryta </w:t>
            </w:r>
          </w:p>
        </w:tc>
        <w:tc>
          <w:tcPr>
            <w:tcW w:w="3401" w:type="dxa"/>
            <w:shd w:val="clear" w:color="auto" w:fill="auto"/>
            <w:hideMark/>
          </w:tcPr>
          <w:p w14:paraId="617090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teren atrakcyjny turystycznie</w:t>
            </w:r>
          </w:p>
        </w:tc>
        <w:tc>
          <w:tcPr>
            <w:tcW w:w="1918" w:type="dxa"/>
            <w:shd w:val="clear" w:color="auto" w:fill="auto"/>
            <w:hideMark/>
          </w:tcPr>
          <w:p w14:paraId="366A63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7C24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798B660" w14:textId="106A8F9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w:t>
            </w:r>
            <w:r w:rsidRPr="005E78BB">
              <w:rPr>
                <w:rFonts w:ascii="Calibri" w:eastAsia="Times New Roman" w:hAnsi="Calibri" w:cs="Calibri"/>
                <w:color w:val="000000"/>
                <w:sz w:val="18"/>
                <w:szCs w:val="18"/>
                <w:lang w:eastAsia="pl-PL"/>
              </w:rPr>
              <w:lastRenderedPageBreak/>
              <w:t>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to bliżej nieokreślone zespoły perfyitonu, fitoplanotnu lub makrofitów, które wraz wodorostami biorą udział w procesach samooczyszczania się rzek, a więc pełnią ważną rolę w poprawie jakości wód.</w:t>
            </w:r>
          </w:p>
        </w:tc>
      </w:tr>
      <w:tr w:rsidR="0085319C" w:rsidRPr="005E78BB" w14:paraId="35D8C7D1" w14:textId="77777777" w:rsidTr="00E92AE6">
        <w:trPr>
          <w:trHeight w:val="454"/>
        </w:trPr>
        <w:tc>
          <w:tcPr>
            <w:tcW w:w="562" w:type="dxa"/>
            <w:shd w:val="clear" w:color="auto" w:fill="auto"/>
            <w:hideMark/>
          </w:tcPr>
          <w:p w14:paraId="7047F8A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w:t>
            </w:r>
          </w:p>
        </w:tc>
        <w:tc>
          <w:tcPr>
            <w:tcW w:w="1021" w:type="dxa"/>
          </w:tcPr>
          <w:p w14:paraId="5EF5B283" w14:textId="629D706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Kamila Walesieniuk</w:t>
            </w:r>
          </w:p>
        </w:tc>
        <w:tc>
          <w:tcPr>
            <w:tcW w:w="1630" w:type="dxa"/>
            <w:shd w:val="clear" w:color="auto" w:fill="auto"/>
            <w:hideMark/>
          </w:tcPr>
          <w:p w14:paraId="50FA2236" w14:textId="7698AE8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26FF53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zaniedbany obszar, woda zanieczyszczona atrakcyjny turystycznie dotyczy okolicy wsi Izbiszcze</w:t>
            </w:r>
          </w:p>
        </w:tc>
        <w:tc>
          <w:tcPr>
            <w:tcW w:w="3377" w:type="dxa"/>
            <w:shd w:val="clear" w:color="auto" w:fill="auto"/>
            <w:hideMark/>
          </w:tcPr>
          <w:p w14:paraId="2C3DAA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oczyszczenie rzeki, poszerzenie koryta rzeki, udrożnienie koryta rzeki, wycinka zarośli</w:t>
            </w:r>
          </w:p>
        </w:tc>
        <w:tc>
          <w:tcPr>
            <w:tcW w:w="3401" w:type="dxa"/>
            <w:shd w:val="clear" w:color="auto" w:fill="auto"/>
            <w:hideMark/>
          </w:tcPr>
          <w:p w14:paraId="54CF16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teren atrakcyjny turystycznie ale niedoceniany zaniedbany</w:t>
            </w:r>
            <w:r w:rsidRPr="005E78BB">
              <w:rPr>
                <w:rFonts w:ascii="Calibri" w:eastAsia="Times New Roman" w:hAnsi="Calibri" w:cs="Calibri"/>
                <w:color w:val="000000"/>
                <w:sz w:val="18"/>
                <w:szCs w:val="18"/>
                <w:lang w:eastAsia="pl-PL"/>
              </w:rPr>
              <w:br/>
              <w:t>blisko Białegostoku</w:t>
            </w:r>
          </w:p>
        </w:tc>
        <w:tc>
          <w:tcPr>
            <w:tcW w:w="1918" w:type="dxa"/>
            <w:shd w:val="clear" w:color="auto" w:fill="auto"/>
            <w:hideMark/>
          </w:tcPr>
          <w:p w14:paraId="27A2E3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EFA5E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FBBEEF" w14:textId="2E7E5B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to bliżej nieokreślone zespoły perfyitonu, fitoplanotnu lub makrofitów, które wraz wodorostami biorą </w:t>
            </w:r>
            <w:r w:rsidRPr="005E78BB">
              <w:rPr>
                <w:rFonts w:ascii="Calibri" w:eastAsia="Times New Roman" w:hAnsi="Calibri" w:cs="Calibri"/>
                <w:color w:val="000000"/>
                <w:sz w:val="18"/>
                <w:szCs w:val="18"/>
                <w:lang w:eastAsia="pl-PL"/>
              </w:rPr>
              <w:lastRenderedPageBreak/>
              <w:t>udział w procesach samooczyszczania się rzek, a więc pełnią ważną rolę w poprawie jakości wód.</w:t>
            </w:r>
          </w:p>
        </w:tc>
      </w:tr>
      <w:tr w:rsidR="0085319C" w:rsidRPr="005E78BB" w14:paraId="64B82DDD" w14:textId="77777777" w:rsidTr="00E92AE6">
        <w:trPr>
          <w:trHeight w:val="454"/>
        </w:trPr>
        <w:tc>
          <w:tcPr>
            <w:tcW w:w="562" w:type="dxa"/>
            <w:shd w:val="clear" w:color="auto" w:fill="auto"/>
            <w:hideMark/>
          </w:tcPr>
          <w:p w14:paraId="587673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27</w:t>
            </w:r>
          </w:p>
        </w:tc>
        <w:tc>
          <w:tcPr>
            <w:tcW w:w="1021" w:type="dxa"/>
          </w:tcPr>
          <w:p w14:paraId="0CEE5710" w14:textId="4CED77E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Sylwia Sochoń </w:t>
            </w:r>
          </w:p>
        </w:tc>
        <w:tc>
          <w:tcPr>
            <w:tcW w:w="1630" w:type="dxa"/>
            <w:shd w:val="clear" w:color="auto" w:fill="auto"/>
            <w:hideMark/>
          </w:tcPr>
          <w:p w14:paraId="3CA84D93" w14:textId="5C6E05E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FB4E4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Zaniedbany obszar, który jest atrakcyjny turystycznie w okolicy wsi Zliszcze. Woda jest brudna, zarośniety brzeg</w:t>
            </w:r>
          </w:p>
        </w:tc>
        <w:tc>
          <w:tcPr>
            <w:tcW w:w="3377" w:type="dxa"/>
            <w:shd w:val="clear" w:color="auto" w:fill="auto"/>
            <w:hideMark/>
          </w:tcPr>
          <w:p w14:paraId="79AF1C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oczyszczenie rzeki, poszerzenie koryta, uporządkowanie zarośli, poprawa jakości wody, udrożnienie koryta</w:t>
            </w:r>
          </w:p>
        </w:tc>
        <w:tc>
          <w:tcPr>
            <w:tcW w:w="3401" w:type="dxa"/>
            <w:shd w:val="clear" w:color="auto" w:fill="auto"/>
            <w:hideMark/>
          </w:tcPr>
          <w:p w14:paraId="4DE458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teren blisko położony miasta Białegostoku atrakcyjny turystycznie, </w:t>
            </w:r>
          </w:p>
        </w:tc>
        <w:tc>
          <w:tcPr>
            <w:tcW w:w="1918" w:type="dxa"/>
            <w:shd w:val="clear" w:color="auto" w:fill="auto"/>
            <w:hideMark/>
          </w:tcPr>
          <w:p w14:paraId="4C26DA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9A26E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7A2A5E" w14:textId="4EFD52A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to bliżej nieokreślone zespoły perfyitonu, fitoplanotnu lub makrofitów, które wraz wodorostami biorą udział w procesach samooczyszczania się rzek, a więc pełnią ważną rolę w poprawie jakości wód.</w:t>
            </w:r>
          </w:p>
        </w:tc>
      </w:tr>
      <w:tr w:rsidR="0085319C" w:rsidRPr="005E78BB" w14:paraId="1B5FC8A0" w14:textId="77777777" w:rsidTr="00E92AE6">
        <w:trPr>
          <w:trHeight w:val="454"/>
        </w:trPr>
        <w:tc>
          <w:tcPr>
            <w:tcW w:w="562" w:type="dxa"/>
            <w:shd w:val="clear" w:color="auto" w:fill="auto"/>
            <w:hideMark/>
          </w:tcPr>
          <w:p w14:paraId="08C46FB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w:t>
            </w:r>
          </w:p>
        </w:tc>
        <w:tc>
          <w:tcPr>
            <w:tcW w:w="1021" w:type="dxa"/>
          </w:tcPr>
          <w:p w14:paraId="3453C4CC" w14:textId="4D1EC9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Małgorzata Tomczak</w:t>
            </w:r>
          </w:p>
        </w:tc>
        <w:tc>
          <w:tcPr>
            <w:tcW w:w="1630" w:type="dxa"/>
            <w:shd w:val="clear" w:color="auto" w:fill="auto"/>
            <w:hideMark/>
          </w:tcPr>
          <w:p w14:paraId="0EF5A265" w14:textId="64663E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0063A4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Obszar atrakcyjnie turystyczny jest zaniedbany, woda jest brudna, dużo zarośli, wodorostów</w:t>
            </w:r>
          </w:p>
        </w:tc>
        <w:tc>
          <w:tcPr>
            <w:tcW w:w="3377" w:type="dxa"/>
            <w:shd w:val="clear" w:color="auto" w:fill="auto"/>
            <w:hideMark/>
          </w:tcPr>
          <w:p w14:paraId="099888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Oczyszczenie brzegów rzeki, udrożnienie nurtu, wykoszenie zarośli w okolicy wsi Izbiszcze</w:t>
            </w:r>
          </w:p>
        </w:tc>
        <w:tc>
          <w:tcPr>
            <w:tcW w:w="3401" w:type="dxa"/>
            <w:shd w:val="clear" w:color="auto" w:fill="auto"/>
            <w:hideMark/>
          </w:tcPr>
          <w:p w14:paraId="3BAF9B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Teren jest atrakcyjny pod względem turystycznym, jednak zaniedbany, niewykorzystany potencjał </w:t>
            </w:r>
          </w:p>
        </w:tc>
        <w:tc>
          <w:tcPr>
            <w:tcW w:w="1918" w:type="dxa"/>
            <w:shd w:val="clear" w:color="auto" w:fill="auto"/>
            <w:hideMark/>
          </w:tcPr>
          <w:p w14:paraId="5AE791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D7B0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D8ED3C9" w14:textId="2A6D2C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wskazane w IIaPGW służą osiągnięciu celów środowiskowych (cele środowiskowe - Załączniki 5.1) wskazanych dla jcw - Załącznik 7 (zestaw działań), działania naprawcze nie mogą prowadzić do pogorszenia stanu wód, w tym pogorszenia stanu hydromorfologicznego, czy biologicznego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obligatoryjne działania na poziomie krajowym (Załącznik </w:t>
            </w:r>
            <w:r w:rsidRPr="005E78BB">
              <w:rPr>
                <w:rFonts w:ascii="Calibri" w:eastAsia="Times New Roman" w:hAnsi="Calibri" w:cs="Calibri"/>
                <w:color w:val="000000"/>
                <w:sz w:val="18"/>
                <w:szCs w:val="18"/>
                <w:lang w:eastAsia="pl-PL"/>
              </w:rPr>
              <w:lastRenderedPageBreak/>
              <w:t xml:space="preserve">7.1) wskazano między innymi działanie: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 oraz działanie Prowadzenie prac utrzymaniowych zgodnie z Katalogiem dobrych praktyk prac utrzymaniowych i robót hydrotechnicznych.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wskazanej w uwadze RW20001626199 Narew od Lizy do Biebrzy zaplanowano liczne działania dla Obszarów Chronionych w tym m.in.: „Utrzymanie właściwych stosunków wód powierzchniowych i podziemnych w strefie oddziaływania na siedlisko - nie prowadzić działań skutkujących obniżeniem wód gruntowych”; „Zakaz prowadzenia działań ingerujących w koryto i brzegi rzek”, „Rozpoznanie zasadności, a w przypadku jej stwierdzenia wprowadzenie do ustanawianych PZO/PO działań mających na celu redukcję dopływu zanieczyszczeń.”, a także działania mające na celu ograniczenie zanieczyszczeń z gospodarki ściekowej – wdrożenie działań z VI aKPOŚK oraz działania dotyczące uporządkowania gospodarki ściekowej w obszarze gmin poza aglomeracjami. Warto także zwrócić uwagę, że „zielony nalot”, to bliżej nieokreślone zespoły perfyitonu, fitoplanotnu lub makrofitów, które wraz wodorostami biorą udział w procesach samooczyszczania się rzek, a więc pełnią ważną rolę w poprawie jakości wód.</w:t>
            </w:r>
          </w:p>
        </w:tc>
      </w:tr>
      <w:tr w:rsidR="0085319C" w:rsidRPr="005E78BB" w14:paraId="1E3826EA" w14:textId="77777777" w:rsidTr="00E92AE6">
        <w:trPr>
          <w:trHeight w:val="454"/>
        </w:trPr>
        <w:tc>
          <w:tcPr>
            <w:tcW w:w="562" w:type="dxa"/>
            <w:shd w:val="clear" w:color="auto" w:fill="auto"/>
            <w:hideMark/>
          </w:tcPr>
          <w:p w14:paraId="44A051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29</w:t>
            </w:r>
          </w:p>
        </w:tc>
        <w:tc>
          <w:tcPr>
            <w:tcW w:w="1021" w:type="dxa"/>
          </w:tcPr>
          <w:p w14:paraId="12B15D37" w14:textId="31330C6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Monika Piasecka</w:t>
            </w:r>
          </w:p>
        </w:tc>
        <w:tc>
          <w:tcPr>
            <w:tcW w:w="1630" w:type="dxa"/>
            <w:shd w:val="clear" w:color="auto" w:fill="auto"/>
            <w:hideMark/>
          </w:tcPr>
          <w:p w14:paraId="6D0FC641" w14:textId="49B7BC3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1358D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RW20001626199</w:t>
            </w:r>
          </w:p>
        </w:tc>
        <w:tc>
          <w:tcPr>
            <w:tcW w:w="3377" w:type="dxa"/>
            <w:shd w:val="clear" w:color="auto" w:fill="auto"/>
            <w:hideMark/>
          </w:tcPr>
          <w:p w14:paraId="4E8117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Oczyszczenie, poprawa jakości</w:t>
            </w:r>
          </w:p>
        </w:tc>
        <w:tc>
          <w:tcPr>
            <w:tcW w:w="3401" w:type="dxa"/>
            <w:shd w:val="clear" w:color="auto" w:fill="auto"/>
            <w:hideMark/>
          </w:tcPr>
          <w:p w14:paraId="4960FA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Teren atrakcyjny turystycznie</w:t>
            </w:r>
          </w:p>
        </w:tc>
        <w:tc>
          <w:tcPr>
            <w:tcW w:w="1918" w:type="dxa"/>
            <w:shd w:val="clear" w:color="auto" w:fill="auto"/>
            <w:hideMark/>
          </w:tcPr>
          <w:p w14:paraId="2889D0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0A93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2C15720" w14:textId="05953C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Realizacja działań wynikających z planów ochrony i planów zadań ochronnych dla obszarów chronionych: Utrzymanie siedliska [3150]., Utrzymanie dotychczasowego sposobu korzystania (użytkowania) z brzegu rzeki jako miejsca wodopoju dla bydła pasącego. Bierna ochrona siedliska, W miarę możliwości pozostawić łączność starorzeczy z macierzystymi ciekami. Zakaz introdukcji ryb roślinożernych szczególnie obcego pochodzenia. W zbiornikach użytkowanych rybacko zakazać intensyfikacji gospodarowania w sposób nienaturalny, tzn. prowadzenia hodowli sadzowej, dokarmiania ryb. Termin wykonania: stale w okresie obowiązywania PZO. (Obszar Natura 2000 Ostoja Narwiańska), się w sąsiedztwie cieków wodnych [3270]. Termin wykonania: stale w okresie obowiązywania PZO. (Obszar Natura 2000 Ostoja Narwiańska), Ochrona siedliska [91E0]. Utrzymanie właściwych stosunków </w:t>
            </w:r>
            <w:r w:rsidRPr="005E78BB">
              <w:rPr>
                <w:rFonts w:ascii="Calibri" w:eastAsia="Times New Roman" w:hAnsi="Calibri" w:cs="Calibri"/>
                <w:color w:val="000000"/>
                <w:sz w:val="18"/>
                <w:szCs w:val="18"/>
                <w:lang w:eastAsia="pl-PL"/>
              </w:rPr>
              <w:lastRenderedPageBreak/>
              <w:t xml:space="preserve">wód powierzchniowych i podziemnych w strefie oddziaływania na siedlisko - nie prowadzić działań skutkujących obniżeniem wód gruntowych. Termin wykonania: stale w okresie obowiązywania PZO. (Obszar Natura 2000 Ostoja Narwiańska), Zakaz prowadzenia działań ingerujących w koryto i brzegi rzek (szczególnie w okresie tarła ryb) [minóg ukraiński, boleń, różanka, piskorz]. Zaniechanie prostowania i obudowywania cieków, eksploatacji żwiru z koryt rzecznych, obniżania dna cieków, likwidacji starorzeczy, kanalizacji rzek. Ochrona istniejących połączeń starorzeczy z korytem rzeki. Termin wykonania: stale w okresie obowiązywania PZO. Obszar Natura 2000 objęty PZO. (Obszar Natura 2000 Ostoja Narwiańska, Utrzymanie dobrej jakości wód - nie odprowadzanie zanieczyszczeń bytowych i związanych z rolnictwem do wód[skójka gruboskorupowa]. Obszar Natura 2000 objęty PZO. (Obszar Natura 2000 Ostoja Narwiańska), Niewprowadzanie obcych gatunków ryb do cieków i zbiorników z nimi połączonych [skójka gruboskorupowa]. Obszar Natura2000 objęty PZO. (Obszar Natura 2000 Ostoja Narwiańska), Prowadzone zabiegi konserwacyjne obiektów hydrotechnicznych (jazy, zapory itp.) nie powinny powodować zmian w korycie rzek. Nie prowadzenie działań skutkujących obniżeniem poziomu wód gruntowych. (Obszar Natura 2000 Ostoja Narwiańska), Wykonanie ekspertyzy. Opracowanie modelu gospodarowania wodą w obszarze, na istniejącym systemie rowów melioracyjnych, mającego na celu zapewnienie odpowiednich warunków uwilgotnienia siedlisk dla przedmiotów ochrony (ptaków) i zabezpieczenie funkcjonowania rolnictwa na tym terenie (łąk kośnych) [A122 A294, A160, A197]. Termin wykonania: nie później niż 3 lata przed końcem obowiązywania PZO. (Obszar Natura 2000 Bagno Wizna), działania Realizacja działań wynikających z ekspertyzy dotyczącej gospodarki wodnej. Wdrożenie projektu - odtworzenie systemu zastawek na sieci rowów melioracyjnych [A122 A294, A160, A197]. (Obszar Natura 2000 Bagno Wizna), działania dla poprawy jakości wód: Rozpoznanie zasadności, a w przypadku jej stwierdzenia wprowadzenie do ustanawianych PZO/PO działań mających na celu redukcję dopływu zanieczyszczeń. Zalecane w sytuacji stwierdzenia ryzyka presji zrzutów oraz znaczącej presji na elementy fizykochemiczne dla realizacji celów środowiskowych obszarów chronionych </w:t>
            </w:r>
            <w:r w:rsidRPr="005E78BB">
              <w:rPr>
                <w:rFonts w:ascii="Calibri" w:eastAsia="Times New Roman" w:hAnsi="Calibri" w:cs="Calibri"/>
                <w:color w:val="000000"/>
                <w:sz w:val="18"/>
                <w:szCs w:val="18"/>
                <w:lang w:eastAsia="pl-PL"/>
              </w:rPr>
              <w:lastRenderedPageBreak/>
              <w:t xml:space="preserve">przeznaczonych do ochrony siedlisk i gatunków w zakresie kryterium: dopływ zanieczyszczeń (zgodnie z celami środowiskowymi dla obszaru chronionego, , adekwatnie do natężenia istniejącej presji) (Obszar Natura 2000 Dolina Biebrzy), Rozpoznanie zasadności, a w przypadku jej stwierdzenia wprowadzenie do ustanawianych PZO/PO działań mających na celu redukcję dopływu zanieczyszczeń. Zalecane w sytuacji stwierdzenia ryzyka presji zrzutów oraz znaczącej presji na elementy fizykochemiczne dla realizacji celów środowiskowych obszarów chronionych przeznaczonych do ochrony siedlisk i gatunków w zakresie kryterium: dopływ zanieczyszczeń (zgodnie z celami środowiskowymi dla obszaru chronionego, adekwatnie do natężenia istniejącej presji) (Obszar Natura 2000 Bagienna Dolina Narwi), Rozpoznanie zasadności, a w przypadku jej stwierdzenia wprowadzenie do ustanawianych PZO/PO działań mających na celu redukcję dopływu zanieczyszczeń. Zalecane w sytuacji stwierdzenia ryzyka presji zrzutów oraz znaczącej presji na elementy fizykochemiczne dla realizacji celów środowiskowych obszarów chronionych przeznaczonych do ochrony siedlisk i gatunków w zakresie kryterium: dopływ zanieczyszczeń (zgodnie z celami środowiskowymi dla obszaru chronionego, adekwatnie do natężenia istniejącej presji) (Obszar Natura 2000 Ostoja Biebrzańska), Rozpoznanie zasadności, a w przypadku jej stwierdzenia wprowadzenie w PZO/PO działań ograniczających negatywny wpływ obiektów piętrzących na cele środowiskowe wynikające z wymagań dla obszarów chronionych w zakresie dobrego stanu hydromorfologii (wg celów środowiskowych: wymogów rzek włosienicznikowych, wylewy Q50). (Obszar Natura 2000 Narwiańskie Bagna, obszar Natura 2000 Ostoja Narwiańska, obszar Natura 2000 Dolina Biebrzy), Przywrócenie ciągłości ekologicznej i poprawa funkcjonowania korytarza migracji fauny wodnej w rzece Narew na odcinku o długości 44 km – od jazu w Rzędzianach do jazu w Strękowej Górze, Działania kontrolno-administracyjne wskazane dla drożności biologicznej. Działanie polega na ocenie wpływu budowli na ciągłość biologiczną i spełnienie celów środowiskowych, w szczególności, czy obiekt jest wyposażony w urządzenia do migracji ryb lub parametry obiektu (np. wysokość piętrzenia) umożliwiają migrację ryb. Wykaz budowli objętych </w:t>
            </w:r>
            <w:r w:rsidRPr="005E78BB">
              <w:rPr>
                <w:rFonts w:ascii="Calibri" w:eastAsia="Times New Roman" w:hAnsi="Calibri" w:cs="Calibri"/>
                <w:color w:val="000000"/>
                <w:sz w:val="18"/>
                <w:szCs w:val="18"/>
                <w:lang w:eastAsia="pl-PL"/>
              </w:rPr>
              <w:lastRenderedPageBreak/>
              <w:t>działaniem zamieszczono w Zał. 1 Wykaz działań dla budowli.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(Narwiański Park Narodowy),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(Obszar Natura 2000 Dolina Biebrzy),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(Biebrzański Park Narodowy), ponadto: Budowa sieci kanalizacyjnej na terenie aglomeracji Tykocin. Modernizacja sieci kanalizacyjnej na terenie aglomeracji Tykocin., Rozbudowa oczyszczalni ścieków w aglomeracji Tykocin w celu poprawy jakości odprowadzanych ścieków (ID oczyszczalni: PLPL0410), Realizacja działań wynikających z opracowania powstałego w ramach działania RWP_01.05, w tym m.in.:</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Budowa/modernizacja oczyszczalni ścieków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br/>
              <w:t>- Budowa/modernizacja sieci kanalizacyjnej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Programy wsparcia finansowego budowy indywidualnych systemów oczyszczania ścieków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Programy wsparcia finansowego budowy i remont bezodpływowych zbiorników na ścieki, Przygotowanie analizy techniczno-ekonomicznej gospodarowania ściekami w obszarze niezurbanizowanym na obszarze gminy w celu ograniczenia dopływu zanieczyszczeń komunalnych do wód (działanie dla 12 gmin). Weryfikacja programu ochrony środowiska w celu ograniczenia emisji zanieczyszczeń do wody i powietrza, substancji będących czynnikami stwierdzonej presji chemicznej w wodzie oraz redukcji dopływu substancji priorytetowych ze zlewni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(działanie dla 12 gmin).</w:t>
            </w:r>
          </w:p>
        </w:tc>
      </w:tr>
      <w:tr w:rsidR="0085319C" w:rsidRPr="005E78BB" w14:paraId="472EE14B" w14:textId="77777777" w:rsidTr="00E92AE6">
        <w:trPr>
          <w:trHeight w:val="454"/>
        </w:trPr>
        <w:tc>
          <w:tcPr>
            <w:tcW w:w="562" w:type="dxa"/>
            <w:shd w:val="clear" w:color="auto" w:fill="auto"/>
            <w:hideMark/>
          </w:tcPr>
          <w:p w14:paraId="6B39B30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30</w:t>
            </w:r>
          </w:p>
        </w:tc>
        <w:tc>
          <w:tcPr>
            <w:tcW w:w="1021" w:type="dxa"/>
          </w:tcPr>
          <w:p w14:paraId="1022E3E7" w14:textId="0E6FEB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Małgorzata Legiecka</w:t>
            </w:r>
          </w:p>
        </w:tc>
        <w:tc>
          <w:tcPr>
            <w:tcW w:w="1630" w:type="dxa"/>
            <w:shd w:val="clear" w:color="auto" w:fill="auto"/>
            <w:hideMark/>
          </w:tcPr>
          <w:p w14:paraId="3111A0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0C51F0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Jesteśmy zaskoczeni zakazem wydawania pozwoleń na budowę do tej pory nie było z tym problemów </w:t>
            </w:r>
          </w:p>
        </w:tc>
        <w:tc>
          <w:tcPr>
            <w:tcW w:w="3377" w:type="dxa"/>
            <w:shd w:val="clear" w:color="auto" w:fill="auto"/>
            <w:hideMark/>
          </w:tcPr>
          <w:p w14:paraId="3E71E8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Pozwolenia na budowe</w:t>
            </w:r>
          </w:p>
        </w:tc>
        <w:tc>
          <w:tcPr>
            <w:tcW w:w="3401" w:type="dxa"/>
            <w:shd w:val="clear" w:color="auto" w:fill="auto"/>
            <w:hideMark/>
          </w:tcPr>
          <w:p w14:paraId="32E10F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 mamy możliwości rozwoju młodzież opuszcza swoje miejscowości ponieważ nie mogą budować domu a osoby zasiedlone problemy z rozbudową problemem stała się nawet budowa garażu</w:t>
            </w:r>
          </w:p>
        </w:tc>
        <w:tc>
          <w:tcPr>
            <w:tcW w:w="1918" w:type="dxa"/>
            <w:shd w:val="clear" w:color="auto" w:fill="auto"/>
            <w:hideMark/>
          </w:tcPr>
          <w:p w14:paraId="7F10D9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709E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F7218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IIaPGW nie rozstrzyga zagadnień związanych z wydawaniem pozwoleń na budowę.</w:t>
            </w:r>
          </w:p>
        </w:tc>
      </w:tr>
      <w:tr w:rsidR="0085319C" w:rsidRPr="005E78BB" w14:paraId="65C070AB" w14:textId="77777777" w:rsidTr="00E92AE6">
        <w:trPr>
          <w:trHeight w:val="454"/>
        </w:trPr>
        <w:tc>
          <w:tcPr>
            <w:tcW w:w="562" w:type="dxa"/>
            <w:shd w:val="clear" w:color="auto" w:fill="auto"/>
            <w:hideMark/>
          </w:tcPr>
          <w:p w14:paraId="6C85CC2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w:t>
            </w:r>
          </w:p>
        </w:tc>
        <w:tc>
          <w:tcPr>
            <w:tcW w:w="1021" w:type="dxa"/>
          </w:tcPr>
          <w:p w14:paraId="4BF454DD" w14:textId="76BA4CB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Zielonki</w:t>
            </w:r>
          </w:p>
        </w:tc>
        <w:tc>
          <w:tcPr>
            <w:tcW w:w="1630" w:type="dxa"/>
            <w:shd w:val="clear" w:color="auto" w:fill="auto"/>
            <w:hideMark/>
          </w:tcPr>
          <w:p w14:paraId="59BE77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045A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w:t>
            </w:r>
            <w:r w:rsidRPr="005E78BB">
              <w:rPr>
                <w:rFonts w:ascii="Calibri" w:eastAsia="Times New Roman" w:hAnsi="Calibri" w:cs="Calibri"/>
                <w:color w:val="000000"/>
                <w:sz w:val="18"/>
                <w:szCs w:val="18"/>
                <w:lang w:eastAsia="pl-PL"/>
              </w:rPr>
              <w:br/>
              <w:t xml:space="preserve"> Zielonki zgłasza wnioski i uwagi do projektu aktualizacji Planów </w:t>
            </w:r>
            <w:r w:rsidRPr="005E78BB">
              <w:rPr>
                <w:rFonts w:ascii="Calibri" w:eastAsia="Times New Roman" w:hAnsi="Calibri" w:cs="Calibri"/>
                <w:color w:val="000000"/>
                <w:sz w:val="18"/>
                <w:szCs w:val="18"/>
                <w:lang w:eastAsia="pl-PL"/>
              </w:rPr>
              <w:br/>
              <w:t xml:space="preserve">gospodarowania wodami analogiczne jak uwagi i wnioski zgłoszone do </w:t>
            </w:r>
            <w:r w:rsidRPr="005E78BB">
              <w:rPr>
                <w:rFonts w:ascii="Calibri" w:eastAsia="Times New Roman" w:hAnsi="Calibri" w:cs="Calibri"/>
                <w:color w:val="000000"/>
                <w:sz w:val="18"/>
                <w:szCs w:val="18"/>
                <w:lang w:eastAsia="pl-PL"/>
              </w:rPr>
              <w:br/>
              <w:t xml:space="preserve">projektu aktualizacji Planu zarządzania ryzykiem powodziowym oraz do </w:t>
            </w:r>
            <w:r w:rsidRPr="005E78BB">
              <w:rPr>
                <w:rFonts w:ascii="Calibri" w:eastAsia="Times New Roman" w:hAnsi="Calibri" w:cs="Calibri"/>
                <w:color w:val="000000"/>
                <w:sz w:val="18"/>
                <w:szCs w:val="18"/>
                <w:lang w:eastAsia="pl-PL"/>
              </w:rPr>
              <w:br/>
              <w:t>projektu Programu przeciwdziałania niedoborowi wody na lata 2021 – 2027 z</w:t>
            </w:r>
            <w:r w:rsidRPr="005E78BB">
              <w:rPr>
                <w:rFonts w:ascii="Calibri" w:eastAsia="Times New Roman" w:hAnsi="Calibri" w:cs="Calibri"/>
                <w:color w:val="000000"/>
                <w:sz w:val="18"/>
                <w:szCs w:val="18"/>
                <w:lang w:eastAsia="pl-PL"/>
              </w:rPr>
              <w:br/>
              <w:t xml:space="preserve"> perspektywą do roku 2030.</w:t>
            </w:r>
          </w:p>
        </w:tc>
        <w:tc>
          <w:tcPr>
            <w:tcW w:w="3377" w:type="dxa"/>
            <w:shd w:val="clear" w:color="auto" w:fill="auto"/>
            <w:hideMark/>
          </w:tcPr>
          <w:p w14:paraId="711221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Ministerstwo</w:t>
            </w:r>
            <w:r w:rsidRPr="005E78BB">
              <w:rPr>
                <w:rFonts w:ascii="Calibri" w:eastAsia="Times New Roman" w:hAnsi="Calibri" w:cs="Calibri"/>
                <w:color w:val="000000"/>
                <w:sz w:val="18"/>
                <w:szCs w:val="18"/>
                <w:lang w:eastAsia="pl-PL"/>
              </w:rPr>
              <w:br/>
              <w:t xml:space="preserve"> Infrastruktury aktualnie proceduje do dnia 22.09.2021 r. konsultacje </w:t>
            </w:r>
            <w:r w:rsidRPr="005E78BB">
              <w:rPr>
                <w:rFonts w:ascii="Calibri" w:eastAsia="Times New Roman" w:hAnsi="Calibri" w:cs="Calibri"/>
                <w:color w:val="000000"/>
                <w:sz w:val="18"/>
                <w:szCs w:val="18"/>
                <w:lang w:eastAsia="pl-PL"/>
              </w:rPr>
              <w:br/>
              <w:t xml:space="preserve">społeczne aktualizacji Planu Zarządzania Ryzykiem Powodziowym (PZRP) </w:t>
            </w:r>
            <w:r w:rsidRPr="005E78BB">
              <w:rPr>
                <w:rFonts w:ascii="Calibri" w:eastAsia="Times New Roman" w:hAnsi="Calibri" w:cs="Calibri"/>
                <w:color w:val="000000"/>
                <w:sz w:val="18"/>
                <w:szCs w:val="18"/>
                <w:lang w:eastAsia="pl-PL"/>
              </w:rPr>
              <w:br/>
              <w:t>przyjętego Rozporządzeniem Rady Ministrów z dnia 18.10.2016 r. (Dz. U. z</w:t>
            </w:r>
            <w:r w:rsidRPr="005E78BB">
              <w:rPr>
                <w:rFonts w:ascii="Calibri" w:eastAsia="Times New Roman" w:hAnsi="Calibri" w:cs="Calibri"/>
                <w:color w:val="000000"/>
                <w:sz w:val="18"/>
                <w:szCs w:val="18"/>
                <w:lang w:eastAsia="pl-PL"/>
              </w:rPr>
              <w:br/>
              <w:t xml:space="preserve"> 2016 r. poz. 1841). PZRP przewiduje budowę 3 suchych zbiorników </w:t>
            </w:r>
            <w:r w:rsidRPr="005E78BB">
              <w:rPr>
                <w:rFonts w:ascii="Calibri" w:eastAsia="Times New Roman" w:hAnsi="Calibri" w:cs="Calibri"/>
                <w:color w:val="000000"/>
                <w:sz w:val="18"/>
                <w:szCs w:val="18"/>
                <w:lang w:eastAsia="pl-PL"/>
              </w:rPr>
              <w:br/>
              <w:t xml:space="preserve">przeciwpowodziowych na terenie gminy Zielonki: zbiornika na cieku </w:t>
            </w:r>
            <w:r w:rsidRPr="005E78BB">
              <w:rPr>
                <w:rFonts w:ascii="Calibri" w:eastAsia="Times New Roman" w:hAnsi="Calibri" w:cs="Calibri"/>
                <w:color w:val="000000"/>
                <w:sz w:val="18"/>
                <w:szCs w:val="18"/>
                <w:lang w:eastAsia="pl-PL"/>
              </w:rPr>
              <w:br/>
              <w:t xml:space="preserve">Prądnik, zbiornika na cieku Garliczka, zbiornika na cieku Sudół </w:t>
            </w:r>
            <w:r w:rsidRPr="005E78BB">
              <w:rPr>
                <w:rFonts w:ascii="Calibri" w:eastAsia="Times New Roman" w:hAnsi="Calibri" w:cs="Calibri"/>
                <w:color w:val="000000"/>
                <w:sz w:val="18"/>
                <w:szCs w:val="18"/>
                <w:lang w:eastAsia="pl-PL"/>
              </w:rPr>
              <w:br/>
              <w:t xml:space="preserve">Dominikański. Zbiorniki te zgodnie z aktualnie procedowanym planem </w:t>
            </w:r>
            <w:r w:rsidRPr="005E78BB">
              <w:rPr>
                <w:rFonts w:ascii="Calibri" w:eastAsia="Times New Roman" w:hAnsi="Calibri" w:cs="Calibri"/>
                <w:color w:val="000000"/>
                <w:sz w:val="18"/>
                <w:szCs w:val="18"/>
                <w:lang w:eastAsia="pl-PL"/>
              </w:rPr>
              <w:br/>
              <w:t xml:space="preserve">aktualizacji PZRP mają mieć postać zbiorników suchych </w:t>
            </w:r>
            <w:r w:rsidRPr="005E78BB">
              <w:rPr>
                <w:rFonts w:ascii="Calibri" w:eastAsia="Times New Roman" w:hAnsi="Calibri" w:cs="Calibri"/>
                <w:color w:val="000000"/>
                <w:sz w:val="18"/>
                <w:szCs w:val="18"/>
                <w:lang w:eastAsia="pl-PL"/>
              </w:rPr>
              <w:br/>
              <w:t xml:space="preserve">przeciwpowodziowych na terenie Gminy Zielonki przewidywanych w ramach </w:t>
            </w:r>
            <w:r w:rsidRPr="005E78BB">
              <w:rPr>
                <w:rFonts w:ascii="Calibri" w:eastAsia="Times New Roman" w:hAnsi="Calibri" w:cs="Calibri"/>
                <w:color w:val="000000"/>
                <w:sz w:val="18"/>
                <w:szCs w:val="18"/>
                <w:lang w:eastAsia="pl-PL"/>
              </w:rPr>
              <w:br/>
              <w:t xml:space="preserve">aktualizacji Planów Zarządzania Ryzykiem Powodziowym oraz przyjęcia </w:t>
            </w:r>
            <w:r w:rsidRPr="005E78BB">
              <w:rPr>
                <w:rFonts w:ascii="Calibri" w:eastAsia="Times New Roman" w:hAnsi="Calibri" w:cs="Calibri"/>
                <w:color w:val="000000"/>
                <w:sz w:val="18"/>
                <w:szCs w:val="18"/>
                <w:lang w:eastAsia="pl-PL"/>
              </w:rPr>
              <w:br/>
              <w:t xml:space="preserve">alternatywnych rozwiązań inwestycyjnych w tym zakresie zaproponowanych </w:t>
            </w:r>
            <w:r w:rsidRPr="005E78BB">
              <w:rPr>
                <w:rFonts w:ascii="Calibri" w:eastAsia="Times New Roman" w:hAnsi="Calibri" w:cs="Calibri"/>
                <w:color w:val="000000"/>
                <w:sz w:val="18"/>
                <w:szCs w:val="18"/>
                <w:lang w:eastAsia="pl-PL"/>
              </w:rPr>
              <w:br/>
              <w:t>przez Gminę Zielonki.</w:t>
            </w:r>
            <w:r w:rsidRPr="005E78BB">
              <w:rPr>
                <w:rFonts w:ascii="Calibri" w:eastAsia="Times New Roman" w:hAnsi="Calibri" w:cs="Calibri"/>
                <w:color w:val="000000"/>
                <w:sz w:val="18"/>
                <w:szCs w:val="18"/>
                <w:lang w:eastAsia="pl-PL"/>
              </w:rPr>
              <w:br/>
              <w:t xml:space="preserve">Równocześnie wnosimy o ujednolicenie nazewnictwa wraz z opisem celu </w:t>
            </w:r>
            <w:r w:rsidRPr="005E78BB">
              <w:rPr>
                <w:rFonts w:ascii="Calibri" w:eastAsia="Times New Roman" w:hAnsi="Calibri" w:cs="Calibri"/>
                <w:color w:val="000000"/>
                <w:sz w:val="18"/>
                <w:szCs w:val="18"/>
                <w:lang w:eastAsia="pl-PL"/>
              </w:rPr>
              <w:br/>
              <w:t xml:space="preserve">powstania tych zbiorników w przedmiotowych Planach tj. w dwóch </w:t>
            </w:r>
            <w:r w:rsidRPr="005E78BB">
              <w:rPr>
                <w:rFonts w:ascii="Calibri" w:eastAsia="Times New Roman" w:hAnsi="Calibri" w:cs="Calibri"/>
                <w:color w:val="000000"/>
                <w:sz w:val="18"/>
                <w:szCs w:val="18"/>
                <w:lang w:eastAsia="pl-PL"/>
              </w:rPr>
              <w:br/>
              <w:t xml:space="preserve">załącznikach w pozycjach 1599,1600. 1601, z nazewnictwem określonym 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projekcie aktualizacji Planu zarządzania ryzykiem powodziowym, </w:t>
            </w:r>
            <w:r w:rsidRPr="005E78BB">
              <w:rPr>
                <w:rFonts w:ascii="Calibri" w:eastAsia="Times New Roman" w:hAnsi="Calibri" w:cs="Calibri"/>
                <w:color w:val="000000"/>
                <w:sz w:val="18"/>
                <w:szCs w:val="18"/>
                <w:lang w:eastAsia="pl-PL"/>
              </w:rPr>
              <w:br/>
              <w:t>określającym przedmiotowe zbiorniki jako zbiorniki suche, z jednoczesnym</w:t>
            </w:r>
            <w:r w:rsidRPr="005E78BB">
              <w:rPr>
                <w:rFonts w:ascii="Calibri" w:eastAsia="Times New Roman" w:hAnsi="Calibri" w:cs="Calibri"/>
                <w:color w:val="000000"/>
                <w:sz w:val="18"/>
                <w:szCs w:val="18"/>
                <w:lang w:eastAsia="pl-PL"/>
              </w:rPr>
              <w:br/>
              <w:t xml:space="preserve"> podniesieniem priorytetu ich realizacji z uwagi na pogłębiające się z </w:t>
            </w:r>
            <w:r w:rsidRPr="005E78BB">
              <w:rPr>
                <w:rFonts w:ascii="Calibri" w:eastAsia="Times New Roman" w:hAnsi="Calibri" w:cs="Calibri"/>
                <w:color w:val="000000"/>
                <w:sz w:val="18"/>
                <w:szCs w:val="18"/>
                <w:lang w:eastAsia="pl-PL"/>
              </w:rPr>
              <w:br/>
              <w:t xml:space="preserve">roku na rok przyczyny ich projektowania.  </w:t>
            </w:r>
          </w:p>
        </w:tc>
        <w:tc>
          <w:tcPr>
            <w:tcW w:w="3401" w:type="dxa"/>
            <w:shd w:val="clear" w:color="auto" w:fill="auto"/>
            <w:hideMark/>
          </w:tcPr>
          <w:p w14:paraId="5F9DC1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Ujednolicenie 3 dokumentów, w których zawarto te same inwestycje. Szczegółowe uzasadnienie propozycji zmian w załączniku nr 1 i 2 do Uchwały Rady Gminy Zielonki tj. alternatywnych rozwiązań suchych zbiorników na terenie Gminy Zielonki, które stanowią załączniki do przedmiotowego wniosku uwag.</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Ze względu na duży rozmiar pliku, który stanowi załącznik do przedmiotowego wniosku uwag zostanie dosłany pocztą tradycyjną w wersji elektronicznej.</w:t>
            </w:r>
          </w:p>
        </w:tc>
        <w:tc>
          <w:tcPr>
            <w:tcW w:w="1918" w:type="dxa"/>
            <w:shd w:val="clear" w:color="auto" w:fill="auto"/>
            <w:hideMark/>
          </w:tcPr>
          <w:p w14:paraId="420FED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290D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E949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w kontekście obszarów chronionych nie obejmuje działań, które nie mają na celu poprawy bądź utrzymania ich stanu ochrony w kontekście warunków wodnych. Działania zawarte w zestawie dot. Dłubniańskiego Parku Narodowego są implementacją zapisów planu ochrony PK, który jest aktem prawnym, tym samym nie ma możliwości jego dowolnej modyfikacji. W celu zmiany zapisów należy przeprowadzić stosowną procedurę administracyjną mającą na celu zmianę zapisów planu ochrony PK ustanowionego Uchwałą Nr XXXVI/545/17 Sejmiku Województwa Małopolskiego z dnia 29 maja 2017 r. w sprawie ustanowienia planu ochrony dla Dłubniańskiego Parku Krajobrazowego (Dz. Urz. z 2017 r. poz. 3910). Natomiast odnośnie do innych planowanych działań - w Wykazie Inwestycji i Działań (załącznik do 2aPGW) mogą znaleźć się wyłącznie takie planowane przedsięwzięcia, które uniemożliwiają osiągnięcie celów środowiskowych, jednak ustanowiono dla nich (w aPGW z 2016 r. lub w decyzji o środowiskowych uwarunkowaniach lub w ocenie wodnoprawnej) dopuszczalność ich realizacji na mocy art. 4 ust. 7 Ramowej Dyrektywy Wodnej - art. 68 ustawy Prawo wodne.</w:t>
            </w:r>
          </w:p>
        </w:tc>
      </w:tr>
      <w:tr w:rsidR="0085319C" w:rsidRPr="005E78BB" w14:paraId="23C7CFF9" w14:textId="77777777" w:rsidTr="00E92AE6">
        <w:trPr>
          <w:trHeight w:val="454"/>
        </w:trPr>
        <w:tc>
          <w:tcPr>
            <w:tcW w:w="562" w:type="dxa"/>
            <w:shd w:val="clear" w:color="auto" w:fill="auto"/>
            <w:hideMark/>
          </w:tcPr>
          <w:p w14:paraId="22AF495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w:t>
            </w:r>
          </w:p>
        </w:tc>
        <w:tc>
          <w:tcPr>
            <w:tcW w:w="1021" w:type="dxa"/>
          </w:tcPr>
          <w:p w14:paraId="7D0A3954" w14:textId="641D169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Suchorowski</w:t>
            </w:r>
          </w:p>
        </w:tc>
        <w:tc>
          <w:tcPr>
            <w:tcW w:w="1630" w:type="dxa"/>
            <w:shd w:val="clear" w:color="auto" w:fill="auto"/>
            <w:hideMark/>
          </w:tcPr>
          <w:p w14:paraId="7D206D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SZCZEGÓŁOWYCH PROGRAMÓW I PLANÓW GOSPODAROWANIA DLA OBSZARU DORZECZA</w:t>
            </w:r>
          </w:p>
        </w:tc>
        <w:tc>
          <w:tcPr>
            <w:tcW w:w="5663" w:type="dxa"/>
            <w:shd w:val="clear" w:color="auto" w:fill="auto"/>
            <w:hideMark/>
          </w:tcPr>
          <w:p w14:paraId="600A82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W-GZW-1393</w:t>
            </w:r>
            <w:r w:rsidRPr="005E78BB">
              <w:rPr>
                <w:rFonts w:ascii="Calibri" w:eastAsia="Times New Roman" w:hAnsi="Calibri" w:cs="Calibri"/>
                <w:color w:val="000000"/>
                <w:sz w:val="18"/>
                <w:szCs w:val="18"/>
                <w:lang w:eastAsia="pl-PL"/>
              </w:rPr>
              <w:br/>
              <w:t xml:space="preserve">Wnoszę o zniesienie terenu zalewowego w miejscowości Niekurza położonej w dorzeczu Wisły, ponieważ będzie to utrudniało prowadzenie przeze mnie gospodarstwa i znacząco obniży możliwość rozbudowy mojego gospodarstwa, działki nr 72, 35/1, 36/1. </w:t>
            </w:r>
          </w:p>
        </w:tc>
        <w:tc>
          <w:tcPr>
            <w:tcW w:w="3377" w:type="dxa"/>
            <w:shd w:val="clear" w:color="auto" w:fill="auto"/>
            <w:hideMark/>
          </w:tcPr>
          <w:p w14:paraId="0E380A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koryto rzeki Wisły, wykarczować krzewy oraz drzewa i wzmocnić wały przeciwpowodziowe.</w:t>
            </w:r>
          </w:p>
        </w:tc>
        <w:tc>
          <w:tcPr>
            <w:tcW w:w="3401" w:type="dxa"/>
            <w:shd w:val="clear" w:color="auto" w:fill="auto"/>
            <w:hideMark/>
          </w:tcPr>
          <w:p w14:paraId="16ECD7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Wprowadzenie terenów zalewowych w pierwszej kolejności przyczyni się do spadku wartości mojego domu oraz gospodarstwa a w dalszej konsekwencji do wyludnienia mojej oraz okolicznych miejscowości.  </w:t>
            </w:r>
          </w:p>
        </w:tc>
        <w:tc>
          <w:tcPr>
            <w:tcW w:w="1918" w:type="dxa"/>
            <w:shd w:val="clear" w:color="auto" w:fill="auto"/>
            <w:hideMark/>
          </w:tcPr>
          <w:p w14:paraId="1710EB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F35DF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0CEAC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nie ustala stref zalewowych.</w:t>
            </w:r>
          </w:p>
        </w:tc>
      </w:tr>
      <w:tr w:rsidR="0085319C" w:rsidRPr="005E78BB" w14:paraId="37E5D48A" w14:textId="77777777" w:rsidTr="00E92AE6">
        <w:trPr>
          <w:trHeight w:val="454"/>
        </w:trPr>
        <w:tc>
          <w:tcPr>
            <w:tcW w:w="562" w:type="dxa"/>
            <w:shd w:val="clear" w:color="auto" w:fill="auto"/>
            <w:hideMark/>
          </w:tcPr>
          <w:p w14:paraId="4382505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w:t>
            </w:r>
          </w:p>
        </w:tc>
        <w:tc>
          <w:tcPr>
            <w:tcW w:w="1021" w:type="dxa"/>
          </w:tcPr>
          <w:p w14:paraId="019F8EE7" w14:textId="4AF8751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Kamil Naczk</w:t>
            </w:r>
          </w:p>
        </w:tc>
        <w:tc>
          <w:tcPr>
            <w:tcW w:w="1630" w:type="dxa"/>
            <w:shd w:val="clear" w:color="auto" w:fill="auto"/>
            <w:hideMark/>
          </w:tcPr>
          <w:p w14:paraId="282F5A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Wody powierzchniowe</w:t>
            </w:r>
          </w:p>
        </w:tc>
        <w:tc>
          <w:tcPr>
            <w:tcW w:w="5663" w:type="dxa"/>
            <w:shd w:val="clear" w:color="auto" w:fill="auto"/>
            <w:hideMark/>
          </w:tcPr>
          <w:p w14:paraId="3BAE3B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Powiększenie strefy ochrony ujęcia Straszyn o jezioro Kielno - potocznie nazywane mulk (działka nr 544/2 obręb Kielno gm. Szemud woj. Pomorskie). Jezioro stanowi początek zlewni tak ważnego ujęcia. Wcześniej nie analizowano początku ujęcia. Pogarszający stan jeziora będzie miał wpływ na wodę pitną w Gdańsku.</w:t>
            </w:r>
          </w:p>
        </w:tc>
        <w:tc>
          <w:tcPr>
            <w:tcW w:w="3377" w:type="dxa"/>
            <w:shd w:val="clear" w:color="auto" w:fill="auto"/>
            <w:hideMark/>
          </w:tcPr>
          <w:p w14:paraId="261A82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Powiększenie strefy ochrony ujęcia Straszyn o jezioro Kielno</w:t>
            </w:r>
          </w:p>
        </w:tc>
        <w:tc>
          <w:tcPr>
            <w:tcW w:w="3401" w:type="dxa"/>
            <w:shd w:val="clear" w:color="auto" w:fill="auto"/>
            <w:hideMark/>
          </w:tcPr>
          <w:p w14:paraId="621CED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Pogarszający stan jeziora będzie miał wpływ na wodę pitną w Gdańsku.</w:t>
            </w:r>
          </w:p>
        </w:tc>
        <w:tc>
          <w:tcPr>
            <w:tcW w:w="1918" w:type="dxa"/>
            <w:shd w:val="clear" w:color="auto" w:fill="auto"/>
            <w:hideMark/>
          </w:tcPr>
          <w:p w14:paraId="0AD209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D46C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E6446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ochrony ujęć.</w:t>
            </w:r>
          </w:p>
        </w:tc>
      </w:tr>
      <w:tr w:rsidR="0085319C" w:rsidRPr="005E78BB" w14:paraId="6155E770" w14:textId="77777777" w:rsidTr="00E92AE6">
        <w:trPr>
          <w:trHeight w:val="454"/>
        </w:trPr>
        <w:tc>
          <w:tcPr>
            <w:tcW w:w="562" w:type="dxa"/>
            <w:shd w:val="clear" w:color="auto" w:fill="auto"/>
            <w:hideMark/>
          </w:tcPr>
          <w:p w14:paraId="07178CF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w:t>
            </w:r>
          </w:p>
        </w:tc>
        <w:tc>
          <w:tcPr>
            <w:tcW w:w="1021" w:type="dxa"/>
          </w:tcPr>
          <w:p w14:paraId="05550088" w14:textId="38B11C8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Matusik Sebastian</w:t>
            </w:r>
          </w:p>
        </w:tc>
        <w:tc>
          <w:tcPr>
            <w:tcW w:w="1630" w:type="dxa"/>
            <w:shd w:val="clear" w:color="auto" w:fill="auto"/>
            <w:hideMark/>
          </w:tcPr>
          <w:p w14:paraId="2F02A8F5" w14:textId="59421B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41892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Wnoszę o zniesienie stref zalewowych z miejscowości Niekurza pow.staszowski Gmina Osiek, w szczególności z moich działek nr 140, 174 ale dotyczy mój sprzeciw całej miejscowości Niekurza. Sprzeciw dotyczy braku możliwości uzyskania pozwoleń na budowę budynków.</w:t>
            </w:r>
          </w:p>
        </w:tc>
        <w:tc>
          <w:tcPr>
            <w:tcW w:w="3377" w:type="dxa"/>
            <w:shd w:val="clear" w:color="auto" w:fill="auto"/>
            <w:hideMark/>
          </w:tcPr>
          <w:p w14:paraId="0DA9B3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Wnioskuje o to aby ta strefa była ryzykiem zalewowym, ale aby nie zabierano nam prawa do rozbudowy naszych posesji i gospodarstw co bedzie skutkowało powolnym wymieraniem i wyludnianiem naszej miejscowości.</w:t>
            </w:r>
          </w:p>
        </w:tc>
        <w:tc>
          <w:tcPr>
            <w:tcW w:w="3401" w:type="dxa"/>
            <w:shd w:val="clear" w:color="auto" w:fill="auto"/>
            <w:hideMark/>
          </w:tcPr>
          <w:p w14:paraId="4262CC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Uzasadniam to tym że te tereny od stuleci były zagrożone zalaniem ale my mamy tu dorobek całego życia który chcemy</w:t>
            </w:r>
            <w:r w:rsidRPr="005E78BB">
              <w:rPr>
                <w:rFonts w:ascii="Calibri" w:eastAsia="Times New Roman" w:hAnsi="Calibri" w:cs="Calibri"/>
                <w:color w:val="000000"/>
                <w:sz w:val="18"/>
                <w:szCs w:val="18"/>
                <w:lang w:eastAsia="pl-PL"/>
              </w:rPr>
              <w:br/>
              <w:t>rozwijać, mieć możliwość uzyskania pozwoleń na rozbudowę i rozwój który może być obarczony pewnym ryzykiem.</w:t>
            </w:r>
            <w:r w:rsidRPr="005E78BB">
              <w:rPr>
                <w:rFonts w:ascii="Calibri" w:eastAsia="Times New Roman" w:hAnsi="Calibri" w:cs="Calibri"/>
                <w:color w:val="000000"/>
                <w:sz w:val="18"/>
                <w:szCs w:val="18"/>
                <w:lang w:eastAsia="pl-PL"/>
              </w:rPr>
              <w:br/>
              <w:t>Nie wyrażam zgody na odebranie nam prawa do uzyskiwania pozwoleń na budowe nowych budynków i zrobienia tu strefy zalewowej.</w:t>
            </w:r>
          </w:p>
        </w:tc>
        <w:tc>
          <w:tcPr>
            <w:tcW w:w="1918" w:type="dxa"/>
            <w:shd w:val="clear" w:color="auto" w:fill="auto"/>
            <w:hideMark/>
          </w:tcPr>
          <w:p w14:paraId="6344C5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05C47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F3C8F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w:t>
            </w:r>
          </w:p>
        </w:tc>
      </w:tr>
      <w:tr w:rsidR="0085319C" w:rsidRPr="005E78BB" w14:paraId="425714F4" w14:textId="77777777" w:rsidTr="00E92AE6">
        <w:trPr>
          <w:trHeight w:val="454"/>
        </w:trPr>
        <w:tc>
          <w:tcPr>
            <w:tcW w:w="562" w:type="dxa"/>
            <w:shd w:val="clear" w:color="auto" w:fill="auto"/>
            <w:hideMark/>
          </w:tcPr>
          <w:p w14:paraId="379C940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w:t>
            </w:r>
          </w:p>
        </w:tc>
        <w:tc>
          <w:tcPr>
            <w:tcW w:w="1021" w:type="dxa"/>
          </w:tcPr>
          <w:p w14:paraId="515DA2F6" w14:textId="7DA0DF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Podkarpackie Towarzystwo Przyrodników Wolne Rzeki</w:t>
            </w:r>
          </w:p>
        </w:tc>
        <w:tc>
          <w:tcPr>
            <w:tcW w:w="1630" w:type="dxa"/>
            <w:shd w:val="clear" w:color="auto" w:fill="auto"/>
            <w:hideMark/>
          </w:tcPr>
          <w:p w14:paraId="48E353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01B8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 &amp;#34;Zestawienie inwestycji kierunkowych - dokument towarzyszący&amp;#34;.</w:t>
            </w:r>
            <w:r w:rsidRPr="005E78BB">
              <w:rPr>
                <w:rFonts w:ascii="Calibri" w:eastAsia="Times New Roman" w:hAnsi="Calibri" w:cs="Calibri"/>
                <w:color w:val="000000"/>
                <w:sz w:val="18"/>
                <w:szCs w:val="18"/>
                <w:lang w:eastAsia="pl-PL"/>
              </w:rPr>
              <w:br/>
              <w:t>Nr 1207. Budowa zbiornika retencyjnego Kosin - koncepcja, dokumentacja techniczna.</w:t>
            </w:r>
            <w:r w:rsidRPr="005E78BB">
              <w:rPr>
                <w:rFonts w:ascii="Calibri" w:eastAsia="Times New Roman" w:hAnsi="Calibri" w:cs="Calibri"/>
                <w:color w:val="000000"/>
                <w:sz w:val="18"/>
                <w:szCs w:val="18"/>
                <w:lang w:eastAsia="pl-PL"/>
              </w:rPr>
              <w:br/>
              <w:t>Budowa zbiornika przy ujściu rzeki Karasiówki, de facto na zmeliorowanych bagnach, po pierwsze - spowoduje dalsze niekorzystne przekształcenie morfologii koryta, po drugie zaburzy ciągłość podłużną rzeki, po trzecie, będzie miała znikome znaczenie z punktu widzenia ochrony przeciwpowodziowej. w związku z tym, że Karasiówka nie zagraża żadnym zabudowaniom (a z pewnością w dolnym biegu), a jedyne zagrożenie powodziowe w tym miejscu występuje ze strony Wisły. Projekt budowy zbiornika mokrego (zwłaszcza w takim miejscu, przy samym ujściu rzeki) to działanie zupełnie odwrotne do działań które powinny być podejmowane.</w:t>
            </w:r>
          </w:p>
        </w:tc>
        <w:tc>
          <w:tcPr>
            <w:tcW w:w="3377" w:type="dxa"/>
            <w:shd w:val="clear" w:color="auto" w:fill="auto"/>
            <w:hideMark/>
          </w:tcPr>
          <w:p w14:paraId="611E5C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Zamiast zbiornika zaporowego dla zapewnienia należytej ochrony przeciwpowodziowej i celów środowiskowych należy w tym miejscu:</w:t>
            </w:r>
            <w:r w:rsidRPr="005E78BB">
              <w:rPr>
                <w:rFonts w:ascii="Calibri" w:eastAsia="Times New Roman" w:hAnsi="Calibri" w:cs="Calibri"/>
                <w:color w:val="000000"/>
                <w:sz w:val="18"/>
                <w:szCs w:val="18"/>
                <w:lang w:eastAsia="pl-PL"/>
              </w:rPr>
              <w:br/>
              <w:t>1. Odsunąć wały rzeki Sanny od koryta, najlepiej w ramach jednego lub dwóch polderów w widłach Sanny i Wisły.</w:t>
            </w:r>
            <w:r w:rsidRPr="005E78BB">
              <w:rPr>
                <w:rFonts w:ascii="Calibri" w:eastAsia="Times New Roman" w:hAnsi="Calibri" w:cs="Calibri"/>
                <w:color w:val="000000"/>
                <w:sz w:val="18"/>
                <w:szCs w:val="18"/>
                <w:lang w:eastAsia="pl-PL"/>
              </w:rPr>
              <w:br/>
              <w:t>2. Przywrócić możliwie naturalny bieg koryta Karasiówki w ujściowym odcinku.</w:t>
            </w:r>
            <w:r w:rsidRPr="005E78BB">
              <w:rPr>
                <w:rFonts w:ascii="Calibri" w:eastAsia="Times New Roman" w:hAnsi="Calibri" w:cs="Calibri"/>
                <w:color w:val="000000"/>
                <w:sz w:val="18"/>
                <w:szCs w:val="18"/>
                <w:lang w:eastAsia="pl-PL"/>
              </w:rPr>
              <w:br/>
              <w:t>3. Przywrócić możliwości retencyjne mokradeł w ujściowym odcinku poprzez zasypanie rowów.</w:t>
            </w:r>
          </w:p>
        </w:tc>
        <w:tc>
          <w:tcPr>
            <w:tcW w:w="3401" w:type="dxa"/>
            <w:shd w:val="clear" w:color="auto" w:fill="auto"/>
            <w:hideMark/>
          </w:tcPr>
          <w:p w14:paraId="64BCDB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Budowa zbiornika zaporowego będzie działaniem nieskutecznym, nieodpowiadającym na realny problem, a za to drogim, kontrowersyjnym, negatywnym przyrodniczo. Z pewnością spotka się z protestami. Dużo efektywniej, zarówno jeśli chodzi o efekt przeciwpowodziowy, jak i o wydatkowanie publicznych pieniędzy będzie renaturyzować rzekę i oddawać jej przestrzeń. Tak, jak robi się to w bardziej przekształconych krajach (np. w dorzeczu górnego Renu).</w:t>
            </w:r>
          </w:p>
        </w:tc>
        <w:tc>
          <w:tcPr>
            <w:tcW w:w="1918" w:type="dxa"/>
            <w:shd w:val="clear" w:color="auto" w:fill="auto"/>
            <w:hideMark/>
          </w:tcPr>
          <w:p w14:paraId="3C4AD7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4836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36AC6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27ACEEE2" w14:textId="77777777" w:rsidTr="00E92AE6">
        <w:trPr>
          <w:trHeight w:val="454"/>
        </w:trPr>
        <w:tc>
          <w:tcPr>
            <w:tcW w:w="562" w:type="dxa"/>
            <w:shd w:val="clear" w:color="auto" w:fill="auto"/>
            <w:hideMark/>
          </w:tcPr>
          <w:p w14:paraId="21CBBBB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w:t>
            </w:r>
          </w:p>
        </w:tc>
        <w:tc>
          <w:tcPr>
            <w:tcW w:w="1021" w:type="dxa"/>
          </w:tcPr>
          <w:p w14:paraId="3E8EEE60" w14:textId="1FB99D5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Wysokie Mazowieckie</w:t>
            </w:r>
          </w:p>
        </w:tc>
        <w:tc>
          <w:tcPr>
            <w:tcW w:w="1630" w:type="dxa"/>
            <w:shd w:val="clear" w:color="auto" w:fill="auto"/>
            <w:hideMark/>
          </w:tcPr>
          <w:p w14:paraId="120591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A9C2F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Budowa zbiornika retencyjnego na rzece Brok w mieście Wysokie Mazowieckie. </w:t>
            </w:r>
          </w:p>
        </w:tc>
        <w:tc>
          <w:tcPr>
            <w:tcW w:w="3377" w:type="dxa"/>
            <w:shd w:val="clear" w:color="auto" w:fill="auto"/>
            <w:hideMark/>
          </w:tcPr>
          <w:p w14:paraId="54E626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dodania w/w przedsięwzięcia do listy działań. </w:t>
            </w:r>
          </w:p>
        </w:tc>
        <w:tc>
          <w:tcPr>
            <w:tcW w:w="3401" w:type="dxa"/>
            <w:shd w:val="clear" w:color="auto" w:fill="auto"/>
            <w:hideMark/>
          </w:tcPr>
          <w:p w14:paraId="1C5D13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Gmina Miejska Wysokie Mazowieckie planuje budowę zbiornika retencyjnego na rzece Brok. Inwestycja będzie obejmowała tereny przyległe po obu stronach koryta rzeki i będzie znajdowała się w północno wschodniej części miasta. Powierzchnia </w:t>
            </w:r>
            <w:r w:rsidRPr="005E78BB">
              <w:rPr>
                <w:rFonts w:ascii="Calibri" w:eastAsia="Times New Roman" w:hAnsi="Calibri" w:cs="Calibri"/>
                <w:color w:val="000000"/>
                <w:sz w:val="18"/>
                <w:szCs w:val="18"/>
                <w:lang w:eastAsia="pl-PL"/>
              </w:rPr>
              <w:lastRenderedPageBreak/>
              <w:t xml:space="preserve">przeznaczona pod budowę zbiornika to ok. 15 hektarów. Celem planowania inwestycji jest ochrona przed powodzią. Gmina Miejska Wysokie Mazowieckie posiada koncepcje programowo-przestrzenną w/w przedsięwzięcia. </w:t>
            </w:r>
          </w:p>
        </w:tc>
        <w:tc>
          <w:tcPr>
            <w:tcW w:w="1918" w:type="dxa"/>
            <w:shd w:val="clear" w:color="auto" w:fill="auto"/>
            <w:hideMark/>
          </w:tcPr>
          <w:p w14:paraId="39BADD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36_UM_WysokieMaz</w:t>
            </w:r>
          </w:p>
        </w:tc>
        <w:tc>
          <w:tcPr>
            <w:tcW w:w="1276" w:type="dxa"/>
            <w:shd w:val="clear" w:color="auto" w:fill="auto"/>
            <w:hideMark/>
          </w:tcPr>
          <w:p w14:paraId="50D401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05929FE" w14:textId="5D1CCD3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IIaPGW mają służyć poprawie stanu wód, zachowaniu dobrego stanu wód i umożliwienia spełnienia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Budowa zbiorników retencyjnych jest przedmiotem </w:t>
            </w:r>
            <w:r w:rsidRPr="005E78BB">
              <w:rPr>
                <w:rFonts w:ascii="Calibri" w:eastAsia="Times New Roman" w:hAnsi="Calibri" w:cs="Calibri"/>
                <w:color w:val="000000"/>
                <w:sz w:val="18"/>
                <w:szCs w:val="18"/>
                <w:lang w:eastAsia="pl-PL"/>
              </w:rPr>
              <w:lastRenderedPageBreak/>
              <w:t>analiz aktualizacji planów zarządzania ryzykiem powodziowym.</w:t>
            </w:r>
          </w:p>
        </w:tc>
      </w:tr>
      <w:tr w:rsidR="0085319C" w:rsidRPr="005E78BB" w14:paraId="703BFBCF" w14:textId="77777777" w:rsidTr="00E92AE6">
        <w:trPr>
          <w:trHeight w:val="454"/>
        </w:trPr>
        <w:tc>
          <w:tcPr>
            <w:tcW w:w="562" w:type="dxa"/>
            <w:shd w:val="clear" w:color="auto" w:fill="auto"/>
            <w:hideMark/>
          </w:tcPr>
          <w:p w14:paraId="305526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37</w:t>
            </w:r>
          </w:p>
        </w:tc>
        <w:tc>
          <w:tcPr>
            <w:tcW w:w="1021" w:type="dxa"/>
          </w:tcPr>
          <w:p w14:paraId="33293C12" w14:textId="2ED6144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ArcelorMittal Poland S.A.</w:t>
            </w:r>
          </w:p>
        </w:tc>
        <w:tc>
          <w:tcPr>
            <w:tcW w:w="1630" w:type="dxa"/>
            <w:shd w:val="clear" w:color="auto" w:fill="auto"/>
            <w:hideMark/>
          </w:tcPr>
          <w:p w14:paraId="13EE2F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38F1508" w14:textId="71A96A8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RDW w art. 4 ust. 4-9 dopuszcza warunki, dla zastosowania odstępstwa od osiągnięcia celów środowi-skowych dla JCW, również w kontekście ilościowym. W szczególności, odstępstwo ustanawiane w try-bie art. 4 ust. 5 RDW oraz art. 63 ustawy Prawa wodnego, polega na ustaleniu złagodzonych celów śro-dowiskowych. Jego zastosowanie jest dopuszczalne dla tych JCW, w których warunki naturalne lub dzia-łalność człowieka sprawiają, że:</w:t>
            </w:r>
            <w:r w:rsidRPr="005E78BB">
              <w:rPr>
                <w:rFonts w:ascii="Calibri" w:eastAsia="Times New Roman" w:hAnsi="Calibri" w:cs="Calibri"/>
                <w:color w:val="000000"/>
                <w:sz w:val="18"/>
                <w:szCs w:val="18"/>
                <w:lang w:eastAsia="pl-PL"/>
              </w:rPr>
              <w:br/>
              <w:t xml:space="preserve">1. osiągnięcie dobrego stanu wód jest niewykonalne lub/i </w:t>
            </w:r>
            <w:r w:rsidRPr="005E78BB">
              <w:rPr>
                <w:rFonts w:ascii="Calibri" w:eastAsia="Times New Roman" w:hAnsi="Calibri" w:cs="Calibri"/>
                <w:color w:val="000000"/>
                <w:sz w:val="18"/>
                <w:szCs w:val="18"/>
                <w:lang w:eastAsia="pl-PL"/>
              </w:rPr>
              <w:br/>
              <w:t xml:space="preserve">2. nie istnieje wykonalna technicznie alternatywa dla presji powodowanej działalnością człowieka, lub istnieje - ale jej wdrożenie rodziłoby nieproporcjonalnie wysokie koszty w stosunku do spo-dziewanych korzyści i jednocześnie byłyby spełnione przesłanki wskazane   w ww. przepisach. </w:t>
            </w:r>
            <w:r w:rsidRPr="005E78BB">
              <w:rPr>
                <w:rFonts w:ascii="Calibri" w:eastAsia="Times New Roman" w:hAnsi="Calibri" w:cs="Calibri"/>
                <w:color w:val="000000"/>
                <w:sz w:val="18"/>
                <w:szCs w:val="18"/>
                <w:lang w:eastAsia="pl-PL"/>
              </w:rPr>
              <w:br/>
              <w:t>Powyższe uwarunkowania są zbieżne z kwestiami możliwości technicznych i uwarunkowań gospodar-czych w odniesieniu do rzeki Dłubnia,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Nr RW200006213769), celem ustalenia mniej rygory-stycznych celów środowiskowych . </w:t>
            </w:r>
            <w:r w:rsidRPr="005E78BB">
              <w:rPr>
                <w:rFonts w:ascii="Calibri" w:eastAsia="Times New Roman" w:hAnsi="Calibri" w:cs="Calibri"/>
                <w:color w:val="000000"/>
                <w:sz w:val="18"/>
                <w:szCs w:val="18"/>
                <w:lang w:eastAsia="pl-PL"/>
              </w:rPr>
              <w:br/>
              <w:t xml:space="preserve">Zbiornik Zesławice na rzece Dłubni powstał w latach 1964-1966 dla zaopatrzenia w wodę przemysło-wą Huty im. T. Sędzimira, w wodę pitną MPWiK w Krakowie oraz dla celów przeciwpowodziowych. Jego zadania realizowane są w sposób nieprzerwany, od kilkudziesięciu lat. </w:t>
            </w:r>
            <w:r w:rsidRPr="005E78BB">
              <w:rPr>
                <w:rFonts w:ascii="Calibri" w:eastAsia="Times New Roman" w:hAnsi="Calibri" w:cs="Calibri"/>
                <w:color w:val="000000"/>
                <w:sz w:val="18"/>
                <w:szCs w:val="18"/>
                <w:lang w:eastAsia="pl-PL"/>
              </w:rPr>
              <w:br/>
              <w:t>Zbiornik wyrównuje przepływy poniżej zbiornika, zapewniając odprowadzanie przepływu nienaruszalne-go w ilości co najmniej 0,66 m3/s i umożliwia pobór wody dla celów przemysłowych ArcelorMittal Poland S.A. w Krakowie (AMP S.A.). Przez okres normalnej eksploatacji zbiornika rozumie się przepływy od 0,186 m3/s (NNQ) do 17,8 m3/s (SWQ). Podstawowa zasada gospodarowania wodą tego zbiornika to utrzymanie nieprzekraczalnego poziomu wody NPP = 215,00 m n.p.m.”</w:t>
            </w:r>
            <w:r w:rsidRPr="005E78BB">
              <w:rPr>
                <w:rFonts w:ascii="Calibri" w:eastAsia="Times New Roman" w:hAnsi="Calibri" w:cs="Calibri"/>
                <w:color w:val="000000"/>
                <w:sz w:val="18"/>
                <w:szCs w:val="18"/>
                <w:lang w:eastAsia="pl-PL"/>
              </w:rPr>
              <w:br/>
              <w:t>Od kilkudziesięciu lat warunki gospodarowania wodą dla potrzeb AMP S.A. określane są w pozwoleniach wodnoprawnych wydawanych dla zbiornika Zesławice oraz dla Jazu w Krakowie-Bieńczycach w ilości zależnej od przepływu wody powyżej ujęcia, a mianowicie:</w:t>
            </w:r>
            <w:r w:rsidRPr="005E78BB">
              <w:rPr>
                <w:rFonts w:ascii="Calibri" w:eastAsia="Times New Roman" w:hAnsi="Calibri" w:cs="Calibri"/>
                <w:color w:val="000000"/>
                <w:sz w:val="18"/>
                <w:szCs w:val="18"/>
                <w:lang w:eastAsia="pl-PL"/>
              </w:rPr>
              <w:br/>
              <w:t>• „przy przepływach większych lub równych 0,60 m3/s  0,35 m3/s</w:t>
            </w:r>
            <w:r w:rsidRPr="005E78BB">
              <w:rPr>
                <w:rFonts w:ascii="Calibri" w:eastAsia="Times New Roman" w:hAnsi="Calibri" w:cs="Calibri"/>
                <w:color w:val="000000"/>
                <w:sz w:val="18"/>
                <w:szCs w:val="18"/>
                <w:lang w:eastAsia="pl-PL"/>
              </w:rPr>
              <w:br/>
              <w:t>• przy przepływach od 0,43 m3/s do 0,60 m3/s 0,18 – 0,35 m3/s</w:t>
            </w:r>
            <w:r w:rsidRPr="005E78BB">
              <w:rPr>
                <w:rFonts w:ascii="Calibri" w:eastAsia="Times New Roman" w:hAnsi="Calibri" w:cs="Calibri"/>
                <w:color w:val="000000"/>
                <w:sz w:val="18"/>
                <w:szCs w:val="18"/>
                <w:lang w:eastAsia="pl-PL"/>
              </w:rPr>
              <w:br/>
              <w:t>• przy przepływach mniejszych od 0,43 m3/s każdą ilość powyżej przepływu niena-ruszalnego, wynoszącego 0,25 m3/s”.</w:t>
            </w:r>
            <w:r w:rsidRPr="005E78BB">
              <w:rPr>
                <w:rFonts w:ascii="Calibri" w:eastAsia="Times New Roman" w:hAnsi="Calibri" w:cs="Calibri"/>
                <w:color w:val="000000"/>
                <w:sz w:val="18"/>
                <w:szCs w:val="18"/>
                <w:lang w:eastAsia="pl-PL"/>
              </w:rPr>
              <w:br/>
              <w:t xml:space="preserve">Decyzją z dnia 27.10.2014 r., znak OS.II.7322.129.2014.RD wydane zostało nowe pozwolenie wodno-prawne na piętrzenie i retencjonowanie wód powierzchniowych rzeki Dłubni za pomocą zapory ziemnej w Zesławicach, zlokalizowanej w km. 8+700 rzeki. W pkt. III decyzji zatwierdzono równocześnie nową „Instrukcję gospodarowania wodą – piętrzenie i retencjonowanie wody – zbiornik wodny Zesławice na rzece Dłubni w km. 8+700” (2014), w której podtrzymano dotychczasowe warunki przepływu j.w. W przywołanej decyzji oraz Instrukcji, przedstawiono przepływy charakterystyczne rzeki Dłubni, przeli-czone dla zapory w Zesławicach, w tym SNQ – 0,38 m3/s. </w:t>
            </w:r>
            <w:r w:rsidRPr="005E78BB">
              <w:rPr>
                <w:rFonts w:ascii="Calibri" w:eastAsia="Times New Roman" w:hAnsi="Calibri" w:cs="Calibri"/>
                <w:color w:val="000000"/>
                <w:sz w:val="18"/>
                <w:szCs w:val="18"/>
                <w:lang w:eastAsia="pl-PL"/>
              </w:rPr>
              <w:br/>
              <w:t xml:space="preserve">Uwzględniając wytyczne wynikające z rozporządzenia Dyrektora RZGW w Krakowie, z dnia 10 paź-dziernika 2017 r., wartość przepływu nienaruszalnego (Qn) jest określana jako iloczyn współczynnika „k”, zależnego od typu hydrologicznego cieku i wielkości średniego niskiego przepływu (SNQ). Uśrednio-ne wartości współczynnika „k” dla rzeki o charakterze przejściowym i podgórskim, dla zlewni o po-wierzchni </w:t>
            </w:r>
          </w:p>
        </w:tc>
        <w:tc>
          <w:tcPr>
            <w:tcW w:w="3377" w:type="dxa"/>
            <w:shd w:val="clear" w:color="auto" w:fill="auto"/>
            <w:hideMark/>
          </w:tcPr>
          <w:p w14:paraId="1326A6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8- kolumna 55 - uwzględnienie potrzeb społeczno-ekonomiczna zaspokajanych przez źródło presji antropogenicznej determinującej stan wód w kontekście ilościowym, w stopniu zagrażającym osią-gnięciu celów środowiskowych. Dopuszczenie zmniejszenia przepływu nienaruszalnego na rzece Dłubni, poniżej stopnia wodnego w Bieńczycach, z 0,48 m3/s na 0,25 m3/s, z uwagi na brak alternatywy, o cha-rakterze technicznym, i niepowodującej nieproporcjonalnych kosztów, dla prowadzonej działalności człowieka, zaspokajającej potrzebę zabezpieczenia wody dla strategicznego podmiotu gospodarczego (ArcelorMittal Poland S.A. w Krakowie), realizującego potrzeby społeczne i gospodarcze; w obrębie zur-banizowanego ośrodka społeczno-przemysłowo-gospodarczego. Prowadzona działalność, jest niezbędna dla rozwoju gospodarczego oraz podtrzymania i rozwoju funkcji społecznych, usługowych i przemysłowych. Szczegółowe ustalenia w tym zakresie zawarte są w lokalnych strategia rozwoju. W odniesieniu do stanu wód, odstępstwo pozwoli na podtrzymanie dotychczasowych warunków określa-jących przepływ nienaruszalny na rzece Dłubni, wg stanu obowiązującego od kilkudziesięciu lat i wprowadzonego w obowiązujących pozwoleniach wodnoprawnych oraz instrukcjach gospodarowania wodą.</w:t>
            </w:r>
          </w:p>
        </w:tc>
        <w:tc>
          <w:tcPr>
            <w:tcW w:w="3401" w:type="dxa"/>
            <w:shd w:val="clear" w:color="auto" w:fill="auto"/>
            <w:hideMark/>
          </w:tcPr>
          <w:p w14:paraId="4CD05679" w14:textId="56DE90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Załącznik 8- kolumna 556 - uzasadnieniem odstępstwa jest brak korzystniejszych alternatywnych opcji wynikających z dopełnienia obowiązujących wymagań prawnych w zakresie gospodarowania wodą przez podmioty od siebie zależne. Warunki gospodarowania woda na rzece regulowane są przez Zbiornik wod-ny Zesławice, który retencjonuje wodę dla poboru przez AMP S.A. Pobór wody dla potrzeb przemysło-wych AMP S.A. z rzeki Dłubni, prowadzony jest w miejskim odcinku, niedaleko jej ujścia do Wisły, przy zachowaniu przepływu nienaruszalnego 0,25 m3/s, od kilkudziesięciu lat i nie wpłynęło to negatywnie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ocenianej jako stan umiarkowany. Ograniczenie warunków korzystania z wód dla AMP S.A. poprzez zapewnienie znacząco wyższego przepływu nienaruszalnego na rzece Dłubni, z 0,25 m3/s na 0,48 m3/s, w istotny sposób obniży gwarancje i potrzeby społeczno-przemysłowo-gospodarcze. Brak jest bowiem alternatywnych źródeł zaspokojenia potrzeb w wodę, o charakterze technicznym, i niepo-wodującej nieproporcjonalnych kosztów. Uzasadnionym zagrożeniem jest susza atmosferyczna i hydro-logiczna która może wpływać okresowo, na stan wód i opóźnienie lub uniemożliwienie efektywności działań mających na celu osiągnięcie celów środowiskowych.</w:t>
            </w:r>
          </w:p>
        </w:tc>
        <w:tc>
          <w:tcPr>
            <w:tcW w:w="1918" w:type="dxa"/>
            <w:shd w:val="clear" w:color="auto" w:fill="auto"/>
            <w:hideMark/>
          </w:tcPr>
          <w:p w14:paraId="6F9245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37_ArcelorMittal_Wisła</w:t>
            </w:r>
          </w:p>
        </w:tc>
        <w:tc>
          <w:tcPr>
            <w:tcW w:w="1276" w:type="dxa"/>
            <w:shd w:val="clear" w:color="auto" w:fill="auto"/>
            <w:hideMark/>
          </w:tcPr>
          <w:p w14:paraId="597AC4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DF3D35" w14:textId="7943A71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Podstawą do ustanowienia odstępstwa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są dane o stanie wód i dane o presjach powodujących nieosiągnięcie celu środowiskowego. Wśród parametrów składowych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lata 2022-2027 nie ma wskaźników hydrologicznych (zresztą nie były też one składową celu środowiskowego w poprzednich perspektywach planistycznych). W związku z powyższym, nie ma prawnej możliwości (ani merytorycznej potrzeby) ustanawiania odstępstw dla wskaźników hydrologicznych dot. przepływu.</w:t>
            </w:r>
          </w:p>
        </w:tc>
      </w:tr>
      <w:tr w:rsidR="0085319C" w:rsidRPr="005E78BB" w14:paraId="3EF1FDB7" w14:textId="77777777" w:rsidTr="00E92AE6">
        <w:trPr>
          <w:trHeight w:val="454"/>
        </w:trPr>
        <w:tc>
          <w:tcPr>
            <w:tcW w:w="562" w:type="dxa"/>
            <w:shd w:val="clear" w:color="auto" w:fill="auto"/>
            <w:hideMark/>
          </w:tcPr>
          <w:p w14:paraId="4838211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38</w:t>
            </w:r>
          </w:p>
        </w:tc>
        <w:tc>
          <w:tcPr>
            <w:tcW w:w="1021" w:type="dxa"/>
          </w:tcPr>
          <w:p w14:paraId="1C8371F3" w14:textId="65D5DE4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018AE4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8794F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kolumnach 48-50 wpisano nd.</w:t>
            </w:r>
          </w:p>
        </w:tc>
        <w:tc>
          <w:tcPr>
            <w:tcW w:w="3377" w:type="dxa"/>
            <w:shd w:val="clear" w:color="auto" w:fill="auto"/>
            <w:hideMark/>
          </w:tcPr>
          <w:p w14:paraId="70DFCA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kolumnie 48 należy wpisać „Drożność wg wymagań minogów - przedmiotów ochrony w obsz. Natura 2000 Białka Lelowska PLH240031, Dolina Górnej PilicyPLH260018”, w ko-lumnie 49 należy wpisać „Drożność wg wymagań małych ryb chronionych - przedmiotów ochrony w obsz. Natura 2000 Białka Lelowska PLH240031, Dolina Górnej PilicyPLH260018”, w kolumnie 50 należy wpisać „Stan hydromorfologiczny wg wymogu dla rzek włosieniczni-kowych – przedm. ochr. w obsz. Natura 2000 Dolina Górnej PilicyPLH260018”.</w:t>
            </w:r>
          </w:p>
        </w:tc>
        <w:tc>
          <w:tcPr>
            <w:tcW w:w="3401" w:type="dxa"/>
            <w:shd w:val="clear" w:color="auto" w:fill="auto"/>
            <w:hideMark/>
          </w:tcPr>
          <w:p w14:paraId="54739155" w14:textId="1FD306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Gatunki głowacz bialopłetwy, minóg strumieniowy są przedmiotami ochrony obszaru Na-tura 2000 Białka Lelowska PLH240031 natomiast piskorz, minóg ukraiński, głowacz bialo-płetwy, koza dlatego co najmniej należy wprowadzić analogiczne zapisy w kolumnach 48, 49, 50 jak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Pilica do Kanału Kopanka dla obszarów Natura 2000 Suchy Młyn, Dolina Górnej Pilicy.</w:t>
            </w:r>
          </w:p>
        </w:tc>
        <w:tc>
          <w:tcPr>
            <w:tcW w:w="1918" w:type="dxa"/>
            <w:shd w:val="clear" w:color="auto" w:fill="auto"/>
            <w:hideMark/>
          </w:tcPr>
          <w:p w14:paraId="709B3D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38_RDOŚ_Katowice</w:t>
            </w:r>
          </w:p>
        </w:tc>
        <w:tc>
          <w:tcPr>
            <w:tcW w:w="1276" w:type="dxa"/>
            <w:shd w:val="clear" w:color="auto" w:fill="auto"/>
            <w:hideMark/>
          </w:tcPr>
          <w:p w14:paraId="0E9BC5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0279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szeregu prac realizowanych w okresie III cyklu planistycznego przeprowadzone zostały również działania dotyczące ustalenia celów środowiskowych dla jednolitych części wód wraz z opracowaniem rejestru wykazów obszarów chronionych. W wyniku przeprowadzonych analiz określone zostały wymagania w zakresie celów środowiskowych dla obszarów chronionych. Wyniki pracy pn.: "Ustalenie celów środowiskowych dla jednolitych cześci wód wraz z opracowaniem rejestru wykazów obszarów chronionych" stanowi materiał źródłowy dla IIaPGW i jest dostępny na wniosek o udostępnienie danych.</w:t>
            </w:r>
          </w:p>
        </w:tc>
      </w:tr>
      <w:tr w:rsidR="0085319C" w:rsidRPr="005E78BB" w14:paraId="0F24D54A" w14:textId="77777777" w:rsidTr="00E92AE6">
        <w:trPr>
          <w:trHeight w:val="454"/>
        </w:trPr>
        <w:tc>
          <w:tcPr>
            <w:tcW w:w="562" w:type="dxa"/>
            <w:shd w:val="clear" w:color="auto" w:fill="auto"/>
            <w:hideMark/>
          </w:tcPr>
          <w:p w14:paraId="649F262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w:t>
            </w:r>
          </w:p>
        </w:tc>
        <w:tc>
          <w:tcPr>
            <w:tcW w:w="1021" w:type="dxa"/>
          </w:tcPr>
          <w:p w14:paraId="075C8CD6" w14:textId="58BD6A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Jan Kowalski</w:t>
            </w:r>
          </w:p>
        </w:tc>
        <w:tc>
          <w:tcPr>
            <w:tcW w:w="1630" w:type="dxa"/>
            <w:shd w:val="clear" w:color="auto" w:fill="auto"/>
            <w:hideMark/>
          </w:tcPr>
          <w:p w14:paraId="375FC7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078FF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Czy w projekcie IIaPGW przewidziano prolongację zapisów i ograniczających wynikających z warunków korzystania z wód zlewni/regionu wodnego? Z posiadanych informacji wynika, że warunki i ograniczenia z nich wynikające (np. budowy przydomowych oczyszczalni ścieków na obszarach aglomeracji/GUPW wieku triasowego) obowiązują do 22 grudnia 2021 r., i po tym czasie nie będą obowiązywać. Czy zatem w przypadku gdy planowana przeze mnie inwestycja znajduje się na którymś z wymienionych obszarów i w chwili obecnej nie jest możliwa jej realizacja, to czy po tym terminie będzie mogła zostać zrealizowana?! </w:t>
            </w:r>
          </w:p>
        </w:tc>
        <w:tc>
          <w:tcPr>
            <w:tcW w:w="3377" w:type="dxa"/>
            <w:shd w:val="clear" w:color="auto" w:fill="auto"/>
            <w:hideMark/>
          </w:tcPr>
          <w:p w14:paraId="6CED4B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N/D - oczekuję odpowiedzi na zadanie pytanie</w:t>
            </w:r>
          </w:p>
        </w:tc>
        <w:tc>
          <w:tcPr>
            <w:tcW w:w="3401" w:type="dxa"/>
            <w:shd w:val="clear" w:color="auto" w:fill="auto"/>
            <w:hideMark/>
          </w:tcPr>
          <w:p w14:paraId="667B19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N/D - oczekuję odpowiedzi na zadanie pytanie</w:t>
            </w:r>
          </w:p>
        </w:tc>
        <w:tc>
          <w:tcPr>
            <w:tcW w:w="1918" w:type="dxa"/>
            <w:shd w:val="clear" w:color="auto" w:fill="auto"/>
            <w:hideMark/>
          </w:tcPr>
          <w:p w14:paraId="1B8A94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E6A3E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CE3EDC1" w14:textId="6665FFC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Możliwość realizacji inwestycji powinna być zbadana na etapie postępowań administracyjnych (gł. w sprawie decyzji o środowiskowych uwarunkowaniach lub w sprawie oceny wodnoprawnej). Zakładane wygaśnięcie warunków korzystania z wód nie powinno być traktowane jako bezwarunkowe zapewnienie możliwości realizacji inwestycji - ta inwestycja powinna być bowiem zbadana (na etapie postępowań administracyjnych) pod kątem zgodności z celami środowiskowymi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i obszarów chronionych.</w:t>
            </w:r>
          </w:p>
        </w:tc>
      </w:tr>
      <w:tr w:rsidR="0085319C" w:rsidRPr="005E78BB" w14:paraId="68782296" w14:textId="77777777" w:rsidTr="00E92AE6">
        <w:trPr>
          <w:trHeight w:val="454"/>
        </w:trPr>
        <w:tc>
          <w:tcPr>
            <w:tcW w:w="562" w:type="dxa"/>
            <w:shd w:val="clear" w:color="auto" w:fill="auto"/>
            <w:hideMark/>
          </w:tcPr>
          <w:p w14:paraId="1317390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w:t>
            </w:r>
          </w:p>
        </w:tc>
        <w:tc>
          <w:tcPr>
            <w:tcW w:w="1021" w:type="dxa"/>
          </w:tcPr>
          <w:p w14:paraId="2CAE4943" w14:textId="75A095B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Gmina Skoczów </w:t>
            </w:r>
          </w:p>
        </w:tc>
        <w:tc>
          <w:tcPr>
            <w:tcW w:w="1630" w:type="dxa"/>
            <w:shd w:val="clear" w:color="auto" w:fill="auto"/>
            <w:hideMark/>
          </w:tcPr>
          <w:p w14:paraId="79BBCC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95F9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 drugiej aktualizacji planu gospodarowania wodami na obszarze dorzecza Wisły / Załącznik IIaPGW OD Wisła cz1.zip / Zal_7_ZestawDzialan_Wisla / 7.3_Zestaw_dzialan_RW_ODWisła.xlsb / Lp 999 kolumna T i V, Lp 1045 kolumna T, V , AI                               Lp 1046 T i U </w:t>
            </w:r>
            <w:r w:rsidRPr="005E78BB">
              <w:rPr>
                <w:rFonts w:ascii="Calibri" w:eastAsia="Times New Roman" w:hAnsi="Calibri" w:cs="Calibri"/>
                <w:color w:val="000000"/>
                <w:sz w:val="18"/>
                <w:szCs w:val="18"/>
                <w:lang w:eastAsia="pl-PL"/>
              </w:rPr>
              <w:br w:type="page"/>
              <w:t xml:space="preserve"> Treść uwagi </w:t>
            </w:r>
            <w:r w:rsidRPr="005E78BB">
              <w:rPr>
                <w:rFonts w:ascii="Calibri" w:eastAsia="Times New Roman" w:hAnsi="Calibri" w:cs="Calibri"/>
                <w:color w:val="000000"/>
                <w:sz w:val="18"/>
                <w:szCs w:val="18"/>
                <w:lang w:eastAsia="pl-PL"/>
              </w:rPr>
              <w:br w:type="page"/>
              <w:t xml:space="preserve">Lp 999 </w:t>
            </w:r>
            <w:r w:rsidRPr="005E78BB">
              <w:rPr>
                <w:rFonts w:ascii="Calibri" w:eastAsia="Times New Roman" w:hAnsi="Calibri" w:cs="Calibri"/>
                <w:color w:val="000000"/>
                <w:sz w:val="18"/>
                <w:szCs w:val="18"/>
                <w:lang w:eastAsia="pl-PL"/>
              </w:rPr>
              <w:br w:type="page"/>
              <w:t>kolumna T – Gmina Skoczów nie prowadzi programów wsparcia finansowego budowy indywidualnych systemów oczyszczania ścieków, budowy i remont bezodpływowych zbiorników na ścieki;</w:t>
            </w:r>
            <w:r w:rsidRPr="005E78BB">
              <w:rPr>
                <w:rFonts w:ascii="Calibri" w:eastAsia="Times New Roman" w:hAnsi="Calibri" w:cs="Calibri"/>
                <w:color w:val="000000"/>
                <w:sz w:val="18"/>
                <w:szCs w:val="18"/>
                <w:lang w:eastAsia="pl-PL"/>
              </w:rPr>
              <w:br w:type="page"/>
              <w:t xml:space="preserve">kolumna V – długość kanalizacji sanitarnej – 0 km </w:t>
            </w:r>
            <w:r w:rsidRPr="005E78BB">
              <w:rPr>
                <w:rFonts w:ascii="Calibri" w:eastAsia="Times New Roman" w:hAnsi="Calibri" w:cs="Calibri"/>
                <w:color w:val="000000"/>
                <w:sz w:val="18"/>
                <w:szCs w:val="18"/>
                <w:lang w:eastAsia="pl-PL"/>
              </w:rPr>
              <w:br w:type="page"/>
              <w:t>Lp 1045</w:t>
            </w:r>
            <w:r w:rsidRPr="005E78BB">
              <w:rPr>
                <w:rFonts w:ascii="Calibri" w:eastAsia="Times New Roman" w:hAnsi="Calibri" w:cs="Calibri"/>
                <w:color w:val="000000"/>
                <w:sz w:val="18"/>
                <w:szCs w:val="18"/>
                <w:lang w:eastAsia="pl-PL"/>
              </w:rPr>
              <w:br w:type="page"/>
              <w:t>Kolumna T - Gmina Skoczów nie prowadzi programów wsparcia finansowego budowy indywidualnych systemów oczyszczania ścieków, budowy i remont bezodpływowych zbiorników na ścieki;</w:t>
            </w:r>
            <w:r w:rsidRPr="005E78BB">
              <w:rPr>
                <w:rFonts w:ascii="Calibri" w:eastAsia="Times New Roman" w:hAnsi="Calibri" w:cs="Calibri"/>
                <w:color w:val="000000"/>
                <w:sz w:val="18"/>
                <w:szCs w:val="18"/>
                <w:lang w:eastAsia="pl-PL"/>
              </w:rPr>
              <w:br w:type="page"/>
              <w:t xml:space="preserve">Kolumna V – długość kanalizacji sanitarnej planowana do budowy to 4,2 km </w:t>
            </w:r>
            <w:r w:rsidRPr="005E78BB">
              <w:rPr>
                <w:rFonts w:ascii="Calibri" w:eastAsia="Times New Roman" w:hAnsi="Calibri" w:cs="Calibri"/>
                <w:color w:val="000000"/>
                <w:sz w:val="18"/>
                <w:szCs w:val="18"/>
                <w:lang w:eastAsia="pl-PL"/>
              </w:rPr>
              <w:br w:type="page"/>
              <w:t>Kolumna AI – 2 043 950 zł</w:t>
            </w:r>
            <w:r w:rsidRPr="005E78BB">
              <w:rPr>
                <w:rFonts w:ascii="Calibri" w:eastAsia="Times New Roman" w:hAnsi="Calibri" w:cs="Calibri"/>
                <w:color w:val="000000"/>
                <w:sz w:val="18"/>
                <w:szCs w:val="18"/>
                <w:lang w:eastAsia="pl-PL"/>
              </w:rPr>
              <w:br w:type="page"/>
              <w:t xml:space="preserve">Lp 1046 </w:t>
            </w:r>
            <w:r w:rsidRPr="005E78BB">
              <w:rPr>
                <w:rFonts w:ascii="Calibri" w:eastAsia="Times New Roman" w:hAnsi="Calibri" w:cs="Calibri"/>
                <w:color w:val="000000"/>
                <w:sz w:val="18"/>
                <w:szCs w:val="18"/>
                <w:lang w:eastAsia="pl-PL"/>
              </w:rPr>
              <w:br w:type="page"/>
              <w:t xml:space="preserve">Kolumna T – według wieloletnich planów rozwoju i modernizacji urządzeń kanalizacyjnych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88CB5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Lp 999 </w:t>
            </w:r>
            <w:r w:rsidRPr="005E78BB">
              <w:rPr>
                <w:rFonts w:ascii="Calibri" w:eastAsia="Times New Roman" w:hAnsi="Calibri" w:cs="Calibri"/>
                <w:color w:val="000000"/>
                <w:sz w:val="18"/>
                <w:szCs w:val="18"/>
                <w:lang w:eastAsia="pl-PL"/>
              </w:rPr>
              <w:br w:type="page"/>
              <w:t xml:space="preserve">Kolumna T – Wykreślenie z realizacji zadania dla gminy Skoczów </w:t>
            </w:r>
            <w:r w:rsidRPr="005E78BB">
              <w:rPr>
                <w:rFonts w:ascii="Calibri" w:eastAsia="Times New Roman" w:hAnsi="Calibri" w:cs="Calibri"/>
                <w:color w:val="000000"/>
                <w:sz w:val="18"/>
                <w:szCs w:val="18"/>
                <w:lang w:eastAsia="pl-PL"/>
              </w:rPr>
              <w:br w:type="page"/>
              <w:t>„Programy wsparcia finansowego budowy indywidualnych systemów oczyszczania ścieków”</w:t>
            </w:r>
            <w:r w:rsidRPr="005E78BB">
              <w:rPr>
                <w:rFonts w:ascii="Calibri" w:eastAsia="Times New Roman" w:hAnsi="Calibri" w:cs="Calibri"/>
                <w:color w:val="000000"/>
                <w:sz w:val="18"/>
                <w:szCs w:val="18"/>
                <w:lang w:eastAsia="pl-PL"/>
              </w:rPr>
              <w:br w:type="page"/>
              <w:t>„Programy wsparcia finansowego budowy i remont bezodpływowych zbiorników na ścieki”</w:t>
            </w:r>
            <w:r w:rsidRPr="005E78BB">
              <w:rPr>
                <w:rFonts w:ascii="Calibri" w:eastAsia="Times New Roman" w:hAnsi="Calibri" w:cs="Calibri"/>
                <w:color w:val="000000"/>
                <w:sz w:val="18"/>
                <w:szCs w:val="18"/>
                <w:lang w:eastAsia="pl-PL"/>
              </w:rPr>
              <w:br w:type="page"/>
              <w:t xml:space="preserve">Lp 1045 </w:t>
            </w:r>
            <w:r w:rsidRPr="005E78BB">
              <w:rPr>
                <w:rFonts w:ascii="Calibri" w:eastAsia="Times New Roman" w:hAnsi="Calibri" w:cs="Calibri"/>
                <w:color w:val="000000"/>
                <w:sz w:val="18"/>
                <w:szCs w:val="18"/>
                <w:lang w:eastAsia="pl-PL"/>
              </w:rPr>
              <w:br w:type="page"/>
              <w:t xml:space="preserve">Kolumna T – Wykreślenie z realizacji zadania dla gminy Skoczów </w:t>
            </w:r>
            <w:r w:rsidRPr="005E78BB">
              <w:rPr>
                <w:rFonts w:ascii="Calibri" w:eastAsia="Times New Roman" w:hAnsi="Calibri" w:cs="Calibri"/>
                <w:color w:val="000000"/>
                <w:sz w:val="18"/>
                <w:szCs w:val="18"/>
                <w:lang w:eastAsia="pl-PL"/>
              </w:rPr>
              <w:br w:type="page"/>
              <w:t>„Programy wsparcia finansowego budowy indywidualnych systemów oczyszczania ścieków”</w:t>
            </w:r>
            <w:r w:rsidRPr="005E78BB">
              <w:rPr>
                <w:rFonts w:ascii="Calibri" w:eastAsia="Times New Roman" w:hAnsi="Calibri" w:cs="Calibri"/>
                <w:color w:val="000000"/>
                <w:sz w:val="18"/>
                <w:szCs w:val="18"/>
                <w:lang w:eastAsia="pl-PL"/>
              </w:rPr>
              <w:br w:type="page"/>
              <w:t>„Programy wsparcia finansowego budowy i remont bezodpływowych zbiorników na ścieki”</w:t>
            </w:r>
            <w:r w:rsidRPr="005E78BB">
              <w:rPr>
                <w:rFonts w:ascii="Calibri" w:eastAsia="Times New Roman" w:hAnsi="Calibri" w:cs="Calibri"/>
                <w:color w:val="000000"/>
                <w:sz w:val="18"/>
                <w:szCs w:val="18"/>
                <w:lang w:eastAsia="pl-PL"/>
              </w:rPr>
              <w:br w:type="page"/>
              <w:t>Lp 1046</w:t>
            </w:r>
            <w:r w:rsidRPr="005E78BB">
              <w:rPr>
                <w:rFonts w:ascii="Calibri" w:eastAsia="Times New Roman" w:hAnsi="Calibri" w:cs="Calibri"/>
                <w:color w:val="000000"/>
                <w:sz w:val="18"/>
                <w:szCs w:val="18"/>
                <w:lang w:eastAsia="pl-PL"/>
              </w:rPr>
              <w:br w:type="page"/>
              <w:t>Kolumna T  - „ Przygotowanie analizy techniczno-ekonomicznej gospodarowania ściekami w obszarze niezurbanizowanym na obszarze gminy w celu ograniczenia dopływu zanieczyszczeń komunalnych do wód lub innych dokumentów opracowywanych przez Gminy np. wieloletnie plany rozwoju i modernizacji urządzeń kanalizacyjnych”</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92B83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Lp 999</w:t>
            </w:r>
            <w:r w:rsidRPr="005E78BB">
              <w:rPr>
                <w:rFonts w:ascii="Calibri" w:eastAsia="Times New Roman" w:hAnsi="Calibri" w:cs="Calibri"/>
                <w:color w:val="000000"/>
                <w:sz w:val="18"/>
                <w:szCs w:val="18"/>
                <w:lang w:eastAsia="pl-PL"/>
              </w:rPr>
              <w:br w:type="page"/>
              <w:t xml:space="preserve">Gmina Skoczów nie prowadzi dofinansowania do budowy indywidualnych systemów oczyszczania ścieków, czy budowy i remont bezodpływowych zbiorników na ścieki. Inwestycje w tym zakresie są realizowane we własnym zakresie przez właścicieli nieruchomości. </w:t>
            </w:r>
            <w:r w:rsidRPr="005E78BB">
              <w:rPr>
                <w:rFonts w:ascii="Calibri" w:eastAsia="Times New Roman" w:hAnsi="Calibri" w:cs="Calibri"/>
                <w:color w:val="000000"/>
                <w:sz w:val="18"/>
                <w:szCs w:val="18"/>
                <w:lang w:eastAsia="pl-PL"/>
              </w:rPr>
              <w:br w:type="page"/>
              <w:t>Lp 1045</w:t>
            </w:r>
            <w:r w:rsidRPr="005E78BB">
              <w:rPr>
                <w:rFonts w:ascii="Calibri" w:eastAsia="Times New Roman" w:hAnsi="Calibri" w:cs="Calibri"/>
                <w:color w:val="000000"/>
                <w:sz w:val="18"/>
                <w:szCs w:val="18"/>
                <w:lang w:eastAsia="pl-PL"/>
              </w:rPr>
              <w:br w:type="page"/>
              <w:t xml:space="preserve">Gmina Skoczów nie prowadzi dofinansowania do budowy indywidualnych systemów oczyszczania ścieków, czy budowy i remont bezodpływowych zbiorników na ścieki. Inwestycje w tym zakresie są realizowane we własnym zakresie przez właścicieli nieruchomości. </w:t>
            </w:r>
            <w:r w:rsidRPr="005E78BB">
              <w:rPr>
                <w:rFonts w:ascii="Calibri" w:eastAsia="Times New Roman" w:hAnsi="Calibri" w:cs="Calibri"/>
                <w:color w:val="000000"/>
                <w:sz w:val="18"/>
                <w:szCs w:val="18"/>
                <w:lang w:eastAsia="pl-PL"/>
              </w:rPr>
              <w:br w:type="page"/>
              <w:t>Lp 1046</w:t>
            </w:r>
            <w:r w:rsidRPr="005E78BB">
              <w:rPr>
                <w:rFonts w:ascii="Calibri" w:eastAsia="Times New Roman" w:hAnsi="Calibri" w:cs="Calibri"/>
                <w:color w:val="000000"/>
                <w:sz w:val="18"/>
                <w:szCs w:val="18"/>
                <w:lang w:eastAsia="pl-PL"/>
              </w:rPr>
              <w:br w:type="page"/>
              <w:t xml:space="preserve">Konieczność zlecania dodatkowych opracowań spowoduje  generowanie dodatkowych kosztów. Gmina Skoczów opracowuje po dokonaniu analizy techniczno-ekonomicznej Wieloletni Plan Rozwoju i Modernizacji Urządzeń Kanalizacyjnych, gdzie wskazywane są obszary, na których planowana jest budowa sieci kanalizacji sanitarnej. WPRiMUK  obejmuje tereny poza  Aglomeracją Skoczów.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5705A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24FF7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0CDF68C" w14:textId="63C928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nie wymusza podejmowania dodatkowych działań. Jeżeli gmina realizuje działanie polegające na przygotowaniu podobnej analizy, która później stanowi podstawę do WPRiMUK to wpisuje się to w założenia działania zaplanowanego w 2aPGW. Uchwała nr XXI/241/2016 dotycząca WPRiMUK dotyczy okresu 2017-2021. Zatem opracowanie będące podstawą aktualizacji lub uchwalenia nowego planu na okres IIaPGW 2022-2027 będzie realizacją działania wpisanego do IIaPGW.</w:t>
            </w:r>
            <w:r w:rsidRPr="005E78BB">
              <w:rPr>
                <w:rFonts w:ascii="Calibri" w:eastAsia="Times New Roman" w:hAnsi="Calibri" w:cs="Calibri"/>
                <w:color w:val="000000"/>
                <w:sz w:val="18"/>
                <w:szCs w:val="18"/>
                <w:lang w:eastAsia="pl-PL"/>
              </w:rPr>
              <w:br w:type="page"/>
              <w:t>Lp 999 i Lp 1045</w:t>
            </w:r>
            <w:r w:rsidRPr="005E78BB">
              <w:rPr>
                <w:rFonts w:ascii="Calibri" w:eastAsia="Times New Roman" w:hAnsi="Calibri" w:cs="Calibri"/>
                <w:color w:val="000000"/>
                <w:sz w:val="18"/>
                <w:szCs w:val="18"/>
                <w:lang w:eastAsia="pl-PL"/>
              </w:rPr>
              <w:br w:type="page"/>
              <w:t xml:space="preserve">Szczegółowa realizacja działania jest zależna od działania poprzedzającego RWP_01.05. W zależności od wyników tego działania gminy będą podejmować odpowiednie działania w zakresie gospodarki ściekowej. Dofinansowanie budowy indywidualnych systemów oczyszczania czy remont bezodpływowych zbiorników na ścieki jest jedną z możliwości, ale nie działaniem obligatoryjnym do realizacji w obrębie gmina w danych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7D69F14" w14:textId="77777777" w:rsidTr="00E92AE6">
        <w:trPr>
          <w:trHeight w:val="454"/>
        </w:trPr>
        <w:tc>
          <w:tcPr>
            <w:tcW w:w="562" w:type="dxa"/>
            <w:shd w:val="clear" w:color="auto" w:fill="auto"/>
            <w:hideMark/>
          </w:tcPr>
          <w:p w14:paraId="63D3CA8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w:t>
            </w:r>
          </w:p>
        </w:tc>
        <w:tc>
          <w:tcPr>
            <w:tcW w:w="1021" w:type="dxa"/>
          </w:tcPr>
          <w:p w14:paraId="0CE53ED2" w14:textId="2C9BC61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Lubelski Węgiel Bogdanka  S.A.</w:t>
            </w:r>
          </w:p>
        </w:tc>
        <w:tc>
          <w:tcPr>
            <w:tcW w:w="1630" w:type="dxa"/>
            <w:shd w:val="clear" w:color="auto" w:fill="auto"/>
            <w:hideMark/>
          </w:tcPr>
          <w:p w14:paraId="3093B5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DA6D7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Wnioskujemy o ujęcie w ww wykazie Eksploatacja węgla kamiennego ze złoża Bogdanka i złoża Lubelskie Zagłębie Węglowe K-3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Rodzaj inwestycji -wydobywanie kopalin</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Cel inwestycji - Zwiększenie bezpieczeństwa energetycznego kraju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Data zakończenia inwestycjl-31.12.2059.</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Decyzja o środowiskowych uwarunkowaniach - nr WOOŚ.4235 3.2016.GM.26   z dnia 22 lipca 2019 roku wydana przez Regionalnego Dyrektora Ochrony Środowiska w Lublinie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Szacowane korzyści: Zapewnienie bezpieczeństwa energetycznego kraju, korzyści społeczne (utrzymanie zatrudnienia)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Jednolite Części Wód Powierzchniowych w obrębie których będzie realizowana inwestycja:</w:t>
            </w:r>
            <w:r w:rsidRPr="005E78BB">
              <w:rPr>
                <w:rFonts w:ascii="Calibri" w:eastAsia="Times New Roman" w:hAnsi="Calibri" w:cs="Calibri"/>
                <w:color w:val="000000"/>
                <w:sz w:val="18"/>
                <w:szCs w:val="18"/>
                <w:lang w:eastAsia="pl-PL"/>
              </w:rPr>
              <w:br/>
              <w:t>-Dopływ spod Kobyłki bez dopływu ze zbiornikiem Mytycze-Dratów, PLRW200023245689</w:t>
            </w:r>
            <w:r w:rsidRPr="005E78BB">
              <w:rPr>
                <w:rFonts w:ascii="Calibri" w:eastAsia="Times New Roman" w:hAnsi="Calibri" w:cs="Calibri"/>
                <w:color w:val="000000"/>
                <w:sz w:val="18"/>
                <w:szCs w:val="18"/>
                <w:lang w:eastAsia="pl-PL"/>
              </w:rPr>
              <w:br/>
              <w:t>-Tyśmienica od źródeł do Brzostówki, PLRW200023248129</w:t>
            </w:r>
            <w:r w:rsidRPr="005E78BB">
              <w:rPr>
                <w:rFonts w:ascii="Calibri" w:eastAsia="Times New Roman" w:hAnsi="Calibri" w:cs="Calibri"/>
                <w:color w:val="000000"/>
                <w:sz w:val="18"/>
                <w:szCs w:val="18"/>
                <w:lang w:eastAsia="pl-PL"/>
              </w:rPr>
              <w:br/>
              <w:t>-Piwonia od źródeł do dopływu ze stawu Hetman bez dopływu ze stawu Hetman z jeziorem Uściwierz, Bikcze, Łukie, PLRW200023248235</w:t>
            </w:r>
            <w:r w:rsidRPr="005E78BB">
              <w:rPr>
                <w:rFonts w:ascii="Calibri" w:eastAsia="Times New Roman" w:hAnsi="Calibri" w:cs="Calibri"/>
                <w:color w:val="000000"/>
                <w:sz w:val="18"/>
                <w:szCs w:val="18"/>
                <w:lang w:eastAsia="pl-PL"/>
              </w:rPr>
              <w:br/>
              <w:t>-Mogilnica, PLRW20001724529</w:t>
            </w:r>
            <w:r w:rsidRPr="005E78BB">
              <w:rPr>
                <w:rFonts w:ascii="Calibri" w:eastAsia="Times New Roman" w:hAnsi="Calibri" w:cs="Calibri"/>
                <w:color w:val="000000"/>
                <w:sz w:val="18"/>
                <w:szCs w:val="18"/>
                <w:lang w:eastAsia="pl-PL"/>
              </w:rPr>
              <w:br/>
              <w:t>-Świnka bez dopływu spod Kobyłki, PLRW20001724569</w:t>
            </w:r>
            <w:r w:rsidRPr="005E78BB">
              <w:rPr>
                <w:rFonts w:ascii="Calibri" w:eastAsia="Times New Roman" w:hAnsi="Calibri" w:cs="Calibri"/>
                <w:color w:val="000000"/>
                <w:sz w:val="18"/>
                <w:szCs w:val="18"/>
                <w:lang w:eastAsia="pl-PL"/>
              </w:rPr>
              <w:br/>
              <w:t>-Bobrówka, PLRW200017248149</w:t>
            </w:r>
            <w:r w:rsidRPr="005E78BB">
              <w:rPr>
                <w:rFonts w:ascii="Calibri" w:eastAsia="Times New Roman" w:hAnsi="Calibri" w:cs="Calibri"/>
                <w:color w:val="000000"/>
                <w:sz w:val="18"/>
                <w:szCs w:val="18"/>
                <w:lang w:eastAsia="pl-PL"/>
              </w:rPr>
              <w:br/>
              <w:t>-Kanał Wieprz-Krzna od Wieprza do dopływu z lasu przy Żulinkach, PLRW200026642813</w:t>
            </w:r>
            <w:r w:rsidRPr="005E78BB">
              <w:rPr>
                <w:rFonts w:ascii="Calibri" w:eastAsia="Times New Roman" w:hAnsi="Calibri" w:cs="Calibri"/>
                <w:color w:val="000000"/>
                <w:sz w:val="18"/>
                <w:szCs w:val="18"/>
                <w:lang w:eastAsia="pl-PL"/>
              </w:rPr>
              <w:br/>
              <w:t>-Dopływ okresowy ze zbiornika Mytycze- Dratów, PLRW 2000245684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Jednolite Części Wód Podziemnych w obrębie których będzie realizowana inwestycja:</w:t>
            </w:r>
            <w:r w:rsidRPr="005E78BB">
              <w:rPr>
                <w:rFonts w:ascii="Calibri" w:eastAsia="Times New Roman" w:hAnsi="Calibri" w:cs="Calibri"/>
                <w:color w:val="000000"/>
                <w:sz w:val="18"/>
                <w:szCs w:val="18"/>
                <w:lang w:eastAsia="pl-PL"/>
              </w:rPr>
              <w:br/>
              <w:t>-PLGW200075 -północny fragment OG Puchaczów V</w:t>
            </w:r>
            <w:r w:rsidRPr="005E78BB">
              <w:rPr>
                <w:rFonts w:ascii="Calibri" w:eastAsia="Times New Roman" w:hAnsi="Calibri" w:cs="Calibri"/>
                <w:color w:val="000000"/>
                <w:sz w:val="18"/>
                <w:szCs w:val="18"/>
                <w:lang w:eastAsia="pl-PL"/>
              </w:rPr>
              <w:br/>
              <w:t>-PLGW200090- zasadniczy obszar OG Puchaczów V i OG Stręczyn</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-Informacje o przesłankach zastosowania odstępstwa w trybie art. 4 ust. 7 RDW(art. 68.pkt. 1, 3, 4PW)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5E78BB">
              <w:rPr>
                <w:rFonts w:ascii="Calibri" w:eastAsia="Times New Roman" w:hAnsi="Calibri" w:cs="Calibri"/>
                <w:color w:val="000000"/>
                <w:sz w:val="18"/>
                <w:szCs w:val="18"/>
                <w:lang w:eastAsia="pl-PL"/>
              </w:rPr>
              <w:br/>
              <w:t>Gospodarka wodno-ściekowa zakładu prowadzoną jest i nadal będzie zgodnie z obowiązującymi przepisami prawa oraz przy zachowaniu dopuszczalnych warunków zakresie odprowadzania wód kopalnianych do Wód powierzchniowych. Odwodnienie wyrobisk górniczych będzie się odbywać z wykorzystaniem istniejącej infrastruktury, nie są planowane nowe miejsca zrzutu wód kopalnianych.</w:t>
            </w:r>
            <w:r w:rsidRPr="005E78BB">
              <w:rPr>
                <w:rFonts w:ascii="Calibri" w:eastAsia="Times New Roman" w:hAnsi="Calibri" w:cs="Calibri"/>
                <w:color w:val="000000"/>
                <w:sz w:val="18"/>
                <w:szCs w:val="18"/>
                <w:lang w:eastAsia="pl-PL"/>
              </w:rPr>
              <w:br/>
              <w:t>Ponadto przy prowadzeniu działalności będziemy podejmowali następujące działania:</w:t>
            </w:r>
            <w:r w:rsidRPr="005E78BB">
              <w:rPr>
                <w:rFonts w:ascii="Calibri" w:eastAsia="Times New Roman" w:hAnsi="Calibri" w:cs="Calibri"/>
                <w:color w:val="000000"/>
                <w:sz w:val="18"/>
                <w:szCs w:val="18"/>
                <w:lang w:eastAsia="pl-PL"/>
              </w:rPr>
              <w:br/>
              <w:t>- stosowanie metod górniczo- geologicznych, ograniczających dopływ wód kopalnianych</w:t>
            </w:r>
            <w:r w:rsidRPr="005E78BB">
              <w:rPr>
                <w:rFonts w:ascii="Calibri" w:eastAsia="Times New Roman" w:hAnsi="Calibri" w:cs="Calibri"/>
                <w:color w:val="000000"/>
                <w:sz w:val="18"/>
                <w:szCs w:val="18"/>
                <w:lang w:eastAsia="pl-PL"/>
              </w:rPr>
              <w:br/>
              <w:t>- stosowanie metod prowadzących do wykorzystywania wód dołowych do celów technologicznych</w:t>
            </w:r>
            <w:r w:rsidRPr="005E78BB">
              <w:rPr>
                <w:rFonts w:ascii="Calibri" w:eastAsia="Times New Roman" w:hAnsi="Calibri" w:cs="Calibri"/>
                <w:color w:val="000000"/>
                <w:sz w:val="18"/>
                <w:szCs w:val="18"/>
                <w:lang w:eastAsia="pl-PL"/>
              </w:rPr>
              <w:br/>
              <w:t>- oszczędne gospodarowanie terenem</w:t>
            </w:r>
            <w:r w:rsidRPr="005E78BB">
              <w:rPr>
                <w:rFonts w:ascii="Calibri" w:eastAsia="Times New Roman" w:hAnsi="Calibri" w:cs="Calibri"/>
                <w:color w:val="000000"/>
                <w:sz w:val="18"/>
                <w:szCs w:val="18"/>
                <w:lang w:eastAsia="pl-PL"/>
              </w:rPr>
              <w:br/>
              <w:t>- zachowanie odpowiedniego udziału powierzchni biologicznie czynnej na terenie zainwestowanym</w:t>
            </w:r>
            <w:r w:rsidRPr="005E78BB">
              <w:rPr>
                <w:rFonts w:ascii="Calibri" w:eastAsia="Times New Roman" w:hAnsi="Calibri" w:cs="Calibri"/>
                <w:color w:val="000000"/>
                <w:sz w:val="18"/>
                <w:szCs w:val="18"/>
                <w:lang w:eastAsia="pl-PL"/>
              </w:rPr>
              <w:br/>
              <w:t>- powtórne wykorzystanie zdjętej podczas prac budowlanych, warstwy glebowej do prac rekultywacyjnych ·</w:t>
            </w:r>
            <w:r w:rsidRPr="005E78BB">
              <w:rPr>
                <w:rFonts w:ascii="Calibri" w:eastAsia="Times New Roman" w:hAnsi="Calibri" w:cs="Calibri"/>
                <w:color w:val="000000"/>
                <w:sz w:val="18"/>
                <w:szCs w:val="18"/>
                <w:lang w:eastAsia="pl-PL"/>
              </w:rPr>
              <w:br/>
              <w:t>- realizacja nasadzeń oraz specjalnej zieleni izolacyjnej</w:t>
            </w:r>
            <w:r w:rsidRPr="005E78BB">
              <w:rPr>
                <w:rFonts w:ascii="Calibri" w:eastAsia="Times New Roman" w:hAnsi="Calibri" w:cs="Calibri"/>
                <w:color w:val="000000"/>
                <w:sz w:val="18"/>
                <w:szCs w:val="18"/>
                <w:lang w:eastAsia="pl-PL"/>
              </w:rPr>
              <w:br/>
              <w:t>- właściwa zgodna z wymaganiami sanitarnymi i ochrony środowiska, organizacja prac na terenie inwestycyjnym.</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związku osiadaniami gruntów w skutek działalności podziemnej prowadzone będą specjalistyczne prognozy w celu zidentyfikowania </w:t>
            </w:r>
            <w:r w:rsidRPr="005E78BB">
              <w:rPr>
                <w:rFonts w:ascii="Calibri" w:eastAsia="Times New Roman" w:hAnsi="Calibri" w:cs="Calibri"/>
                <w:color w:val="000000"/>
                <w:sz w:val="18"/>
                <w:szCs w:val="18"/>
                <w:lang w:eastAsia="pl-PL"/>
              </w:rPr>
              <w:lastRenderedPageBreak/>
              <w:t>terenów potencjalnie objętych szkodami górniczymi. Na ich podstawie będą proponowane działania mające na celu rekultywację terenów objętych szkodami górniczymi. Ponadto będą prowadzone moniitoringi stanu, ilości i jakości wód podziemnych oraz powierzchniowych, a także wykorzystywane przez wiele lat systemy odwadniania kopalni, podczyszczania i wprowadzania wód dołowych do wód powierzchniowych, będą systematycznie remontowane i modernizowane.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osiągniecia celów wymienionych w ust. 1, są mniejsze nit korzyści dla zdrowia ludzi, utrzymania bezpieczeństwa ludzi lub zrównoważonego rozwoju, wynikające ze zmian lub modyfikacji?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Działalność wydobywcza Spółki LW „Bogdanka&amp;#34; S.A., wykorzystująca dostępne zasoby węgla kamiennego w obrębie LZW, ma znaczący wpływ na bezpieczeństwo energetyczne kraju. Przy planowanym średnim poziomie wydobycia po roku 2020 na poziomie 9,7 mln ton netto/rok, Lubelski Węgiel „Bogdanka&amp;#34; S,A. będzie miał znaczący udział w rynku pracy w skali lokalnej. W następstwie działań związanych z poszerzeniem i wydłużeniem w czasie projektowanej eksploatacji węgla ze złóż &amp;#34;Bogdanka&amp;#34; i Lubelskie Zagłębie Węglowe - obszar K3&amp;#34;, Zakład górniczy będzie ingerował w środowisko naturalne. Natomiast projektowany sposób eksploatacji złoża (ograniczenie eksploatacji do kilku pokładów, wyłącznie z eksploatacji niektórych partii złoża) zminimalizuje oddziaływanie na wody powierzchniowe i podziemne do racjonalnego poziomu. Pozytywne efekty dla środowiska i społeczeństwa przeważają nad korzyściami utraconymi w następstwie eksploatacji węgla kamiennego.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korzystnięjszych z punktu widzenia środowiska naturalnego?</w:t>
            </w:r>
            <w:r w:rsidRPr="005E78BB">
              <w:rPr>
                <w:rFonts w:ascii="Calibri" w:eastAsia="Times New Roman" w:hAnsi="Calibri" w:cs="Calibri"/>
                <w:color w:val="000000"/>
                <w:sz w:val="18"/>
                <w:szCs w:val="18"/>
                <w:lang w:eastAsia="pl-PL"/>
              </w:rPr>
              <w:br/>
              <w:t>Węgiel kamienny energetyczny jest podstawowym paliwem wykorzystywanym w krajowym systemie elektroenergetycznym (KSE): wytwarza się z niego około 50% energii elektrycznej. Moc zainstalowana w elektrowniach na węglu kamiennym stanowi około 49% mocy zainstalowanej ogółem.</w:t>
            </w:r>
            <w:r w:rsidRPr="005E78BB">
              <w:rPr>
                <w:rFonts w:ascii="Calibri" w:eastAsia="Times New Roman" w:hAnsi="Calibri" w:cs="Calibri"/>
                <w:color w:val="000000"/>
                <w:sz w:val="18"/>
                <w:szCs w:val="18"/>
                <w:lang w:eastAsia="pl-PL"/>
              </w:rPr>
              <w:br/>
              <w:t>Sytuacja rynkowa L.W. &amp;#34;Bogdanka&amp;#34; S.A. na tle górnictwa węgla kamiennego  w Polsce jest bardzo dobra i jej pozycja jest bardzo znacząca. Spółka przewiduje średnią produkcję a) węgla handlowego w latach 2021-2025 na poziomie 9,7 mln ton - w tym okresie produkowany będzie wyłącznie węgiel energetyczny. Z kolei w latach 2026 - 2040 wydobywany będzie także węgiel koksowy (typ 34). W okresie od roku 2026 wolumen węgla koksowego waha się od 0,7 do 3,1 mln ton rocznie, z wartością przeciętną na poziomie 1,9 mln ton. Średnia produkcja węgla ogółem w okresie po 2025 roku roku wynosić będzie ok. 8,8 mln ton.</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Położenie geograficzne i warunki klimatyczne sprawiają że w województwie lubelskim nie ma alternatywnych realnych źródeł energii odnawialnej, która zapewni wymaganą wydajność i stabilność gospodarki energetycznej tego rejonu (tych warunków nie spełniają rozwiązania energetyki OZE). Na Lubelszczyźnie nie ma także warunków do znaczącego rozwoju hydroenergetyki czy energetyki geotermalnej. Dla tej lokalizacji nie jest przewidziana budowa elektrowni jądrowej.</w:t>
            </w:r>
            <w:r w:rsidRPr="005E78BB">
              <w:rPr>
                <w:rFonts w:ascii="Calibri" w:eastAsia="Times New Roman" w:hAnsi="Calibri" w:cs="Calibri"/>
                <w:color w:val="000000"/>
                <w:sz w:val="18"/>
                <w:szCs w:val="18"/>
                <w:lang w:eastAsia="pl-PL"/>
              </w:rPr>
              <w:br/>
              <w:t xml:space="preserve">Porównując inne przedsięwzięcia związane z produkcją energii elektrycznej i cieplnej, rozbudowa kopalni węgla kamiennego jest inwestycją najkorzystniejszą z punktu widzenia konkurencyjności polskiej gospodarki </w:t>
            </w:r>
            <w:r w:rsidRPr="005E78BB">
              <w:rPr>
                <w:rFonts w:ascii="Calibri" w:eastAsia="Times New Roman" w:hAnsi="Calibri" w:cs="Calibri"/>
                <w:color w:val="000000"/>
                <w:sz w:val="18"/>
                <w:szCs w:val="18"/>
                <w:lang w:eastAsia="pl-PL"/>
              </w:rPr>
              <w:lastRenderedPageBreak/>
              <w:t>oraz efektów społecznych uzyskiwanych przez niską cenę energii elektrycznej dla gospodarstw domowych.</w:t>
            </w:r>
            <w:r w:rsidRPr="005E78BB">
              <w:rPr>
                <w:rFonts w:ascii="Calibri" w:eastAsia="Times New Roman" w:hAnsi="Calibri" w:cs="Calibri"/>
                <w:color w:val="000000"/>
                <w:sz w:val="18"/>
                <w:szCs w:val="18"/>
                <w:lang w:eastAsia="pl-PL"/>
              </w:rPr>
              <w:br/>
              <w:t>Biorąc pod uwagę szczegółową analizę uwarunkowań ekonomicznych i społecznych (rejon planowanego przedsięwzięcia jest jednym z biedniejszych obszarów Uni Europejskiej, o dużym bezrobociu) trudno znaleźć korzystniejsza alternatywę. W przypadku niezrealizowania, bądź znacznego ograniczenia zamierzeń inwestycyjnych kopalni, nastąpi znaczne zahamowanie rozwoju oraz pogorszenie sytuacji ekonomicznej regionu. Wystąpi ryzyko recesji gospodarczej co wpłynie również negatywnie na bezpieczeństwo energetyczne kraju.</w:t>
            </w:r>
          </w:p>
        </w:tc>
        <w:tc>
          <w:tcPr>
            <w:tcW w:w="3377" w:type="dxa"/>
            <w:shd w:val="clear" w:color="auto" w:fill="auto"/>
            <w:hideMark/>
          </w:tcPr>
          <w:p w14:paraId="74A627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Nie dotyczy</w:t>
            </w:r>
          </w:p>
        </w:tc>
        <w:tc>
          <w:tcPr>
            <w:tcW w:w="3401" w:type="dxa"/>
            <w:shd w:val="clear" w:color="auto" w:fill="auto"/>
            <w:hideMark/>
          </w:tcPr>
          <w:p w14:paraId="25530A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 uwzględniono ww eksploatacji w załączniku nr 6. </w:t>
            </w:r>
          </w:p>
        </w:tc>
        <w:tc>
          <w:tcPr>
            <w:tcW w:w="1918" w:type="dxa"/>
            <w:shd w:val="clear" w:color="auto" w:fill="auto"/>
            <w:hideMark/>
          </w:tcPr>
          <w:p w14:paraId="7DC758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41_KS_Bogdanka_Wisła</w:t>
            </w:r>
          </w:p>
        </w:tc>
        <w:tc>
          <w:tcPr>
            <w:tcW w:w="1276" w:type="dxa"/>
            <w:shd w:val="clear" w:color="auto" w:fill="auto"/>
            <w:hideMark/>
          </w:tcPr>
          <w:p w14:paraId="63A570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CCE77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Przesłana decyzja o środowiskowych uwarunkowaniach została wydana z odstępstwem w trybie art. 4 ust. 7 RDW (art. 68 ustawy Prawo wodne). W związku z </w:t>
            </w:r>
            <w:r w:rsidRPr="005E78BB">
              <w:rPr>
                <w:rFonts w:ascii="Calibri" w:eastAsia="Times New Roman" w:hAnsi="Calibri" w:cs="Calibri"/>
                <w:color w:val="000000"/>
                <w:sz w:val="18"/>
                <w:szCs w:val="18"/>
                <w:lang w:eastAsia="pl-PL"/>
              </w:rPr>
              <w:lastRenderedPageBreak/>
              <w:t>powyższym inwestycja została ujęta w Wykazie Inwestycji i Działań.</w:t>
            </w:r>
          </w:p>
        </w:tc>
      </w:tr>
      <w:tr w:rsidR="0085319C" w:rsidRPr="005E78BB" w14:paraId="63E03EBC" w14:textId="77777777" w:rsidTr="00E92AE6">
        <w:trPr>
          <w:trHeight w:val="454"/>
        </w:trPr>
        <w:tc>
          <w:tcPr>
            <w:tcW w:w="562" w:type="dxa"/>
            <w:shd w:val="clear" w:color="auto" w:fill="auto"/>
            <w:hideMark/>
          </w:tcPr>
          <w:p w14:paraId="7FA1B78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42</w:t>
            </w:r>
          </w:p>
        </w:tc>
        <w:tc>
          <w:tcPr>
            <w:tcW w:w="1021" w:type="dxa"/>
          </w:tcPr>
          <w:p w14:paraId="2BC861F1" w14:textId="6F0A9CD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ArcelorMittal Poland S.A.</w:t>
            </w:r>
          </w:p>
        </w:tc>
        <w:tc>
          <w:tcPr>
            <w:tcW w:w="1630" w:type="dxa"/>
            <w:shd w:val="clear" w:color="auto" w:fill="auto"/>
            <w:hideMark/>
          </w:tcPr>
          <w:p w14:paraId="03CB51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9EF542E" w14:textId="49ED5EF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RDW wart. 4 ust. 4-9 dopuszcza warunki, dla zastosowania odstępstwa od osiągnięcia celów środowiskowych dla JCW, również w kontekście ilościowym. W szczególności, odstępstwo ustanawiane w trybie  art. 4 ust. 5 RDW oraz art. 63 ustawy Prawa wodnego, polega na ustaleniu złagodzonych celów  środowiskowych. Jego zastosowanie jest dopuszczalne dla tych JCW, w których warunki naturalne lub  działalność człowieka sprawiają, że: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1. osiągnięcie dobrego stanu wód jest niewykonalne lub/i </w:t>
            </w:r>
            <w:r w:rsidRPr="005E78BB">
              <w:rPr>
                <w:rFonts w:ascii="Calibri" w:eastAsia="Times New Roman" w:hAnsi="Calibri" w:cs="Calibri"/>
                <w:color w:val="000000"/>
                <w:sz w:val="18"/>
                <w:szCs w:val="18"/>
                <w:lang w:eastAsia="pl-PL"/>
              </w:rPr>
              <w:br/>
              <w:t xml:space="preserve">2. nie istnieje wykonalna technicznie alternatywa dla presji powodowanej działalnością człowieka,  lub istnieje - ale jej wdrożenie rodziłoby nieproporcjonalnie wysokie koszty w stosunku do spodziewanych  korzyści i jednocześnie byłyby spełnione przesłanki wskazane w ww. przepisach.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Powyższe uwarunkowania są zbieżne z kwestiami możliwości technicznych i uwarunkowań gospodarczych  w odniesieniu do rzeki Dłubnia,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Nr RW200006213769), celem ustalenia mniej rygorystycznych celów środowiskowych.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Zbiornik Zesławice na rzece Dłubni powstał w latach 1964-1966 dla zaopatrzenia w wodę przemysłową Huty im. T. Sędzimira, w wodępitną MPWiK w Krakowie oraz dla celów przeciwpowodziowych. Jego zadania realizowane sąw sposób nieprzerwany, od kilkudziesięciu lat.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Zbiornik wyrównuje przepływy poniżej zbiornika, zapewniając odprowadzanie przepływu nienaruszalnego w ilości co najmniej 0,66 m3/s i umożliwia pobór wody dla celów przemysłowych ArcelorMittal Poland S.A. w Krakowie (AMP S.A.). Przez okres normalnej eksploatacji zbiornika rozumie się przepływy od 0,186 m3/s (NNQ) do 17,8 m3/s (SWQ). Podstawowa zasada gospodarowania wodą tego zbiornika to utrzymanie nieprzekraczalnego poziomu wody NPP = 215,00 m n.p.m.&amp;#34;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Od kilkudziesięciu lat warunki gospodarowania wodą dla potrzeb AMP S.A. określane są w pozwoleniach wodnoprawnych wydawanych dla zbiornika Zesławice oraz dla Jazu w Krakowie-Bieńczycach w ilości zależnej od przepływu wody powyżej ujęcia, a mianowicie: </w:t>
            </w:r>
            <w:r w:rsidRPr="005E78BB">
              <w:rPr>
                <w:rFonts w:ascii="Calibri" w:eastAsia="Times New Roman" w:hAnsi="Calibri" w:cs="Calibri"/>
                <w:color w:val="000000"/>
                <w:sz w:val="18"/>
                <w:szCs w:val="18"/>
                <w:lang w:eastAsia="pl-PL"/>
              </w:rPr>
              <w:br/>
              <w:t xml:space="preserve">• „przy przepływach większych lub równych 0,60 m3/s 0,35 m3/s </w:t>
            </w:r>
            <w:r w:rsidRPr="005E78BB">
              <w:rPr>
                <w:rFonts w:ascii="Calibri" w:eastAsia="Times New Roman" w:hAnsi="Calibri" w:cs="Calibri"/>
                <w:color w:val="000000"/>
                <w:sz w:val="18"/>
                <w:szCs w:val="18"/>
                <w:lang w:eastAsia="pl-PL"/>
              </w:rPr>
              <w:br/>
              <w:t xml:space="preserve">• przy przepływach od 0,43 m3/s do 0,60 m3/s 0,18 - 0,35 m3/s </w:t>
            </w:r>
            <w:r w:rsidRPr="005E78BB">
              <w:rPr>
                <w:rFonts w:ascii="Calibri" w:eastAsia="Times New Roman" w:hAnsi="Calibri" w:cs="Calibri"/>
                <w:color w:val="000000"/>
                <w:sz w:val="18"/>
                <w:szCs w:val="18"/>
                <w:lang w:eastAsia="pl-PL"/>
              </w:rPr>
              <w:br/>
              <w:t xml:space="preserve">• przy przepływach mniejszych od 0,43 m3/s każdą ilość powyżej przepływu nienaruszalnego, wynoszącego 0,25 m3/s&amp;#34;.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Decyzją z dnia 27.10.2014 r., znak 0S.II.7322.129.2014.RD wydane zostało nowe pozwolenie wodnoprawne na piętrzenie i retencjonowanie wód powierzchniowych rzeki Dłubni za pomocą zapory ziemnej w Zesławicach, zlokalizowanej w km. 8+700 rzeki. W pkt. III decyzji zatwierdzono równocześnie nową „Instrukcję gospodarowania wodą- piętrzenie i retencjonowanie wody - zbiornik wodny Zesławice na rzece Dłubni w km. 8+700&amp;#34; (2014), w której podtrzymano dotychczasowe warunki </w:t>
            </w:r>
            <w:r w:rsidRPr="005E78BB">
              <w:rPr>
                <w:rFonts w:ascii="Calibri" w:eastAsia="Times New Roman" w:hAnsi="Calibri" w:cs="Calibri"/>
                <w:color w:val="000000"/>
                <w:sz w:val="18"/>
                <w:szCs w:val="18"/>
                <w:lang w:eastAsia="pl-PL"/>
              </w:rPr>
              <w:lastRenderedPageBreak/>
              <w:t xml:space="preserve">przepływu j.w. W przywołanej decyzji oraz Instrukcji, przedstawiono przepływy charakterystyczne rzeki Dłubni, przeliczone dla zapory w Zesławicach, w tym SNQ - 0,38 m3/s.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Uwzględniając wytyczne wynikające z rozporządzenia Dyrektora RZGW w Krakowie, z dnia 10 października 2017 r., wartość przepływu nienaruszalnego (Qn) jest określana jako iloczyn współczynnika „k&amp;#34;, zależnego od typu hydrologicznego cieku i wielkości średniego niskiego przepływu (SNQ). Uśrednione wartości współczynnika „k&amp;#34; dla rzeki o charakterze przejściowym i podgórskim, dla zlewni o powierzchni </w:t>
            </w:r>
          </w:p>
        </w:tc>
        <w:tc>
          <w:tcPr>
            <w:tcW w:w="3377" w:type="dxa"/>
            <w:shd w:val="clear" w:color="auto" w:fill="auto"/>
            <w:hideMark/>
          </w:tcPr>
          <w:p w14:paraId="5D7D20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Załącznik 8- kolumna 55 - uwzględnienie potrzeb społeczno-ekonomiczna zaspokajanych przez źródło presji antropogenicznej determinującej stan wód w kontekście ilościowym, w stopniu zagrażającym osiągnięciu celów środowiskowych. Dopuszczenie zmniejszenia przepływu nienaruszalnego na rzece </w:t>
            </w:r>
            <w:r w:rsidRPr="005E78BB">
              <w:rPr>
                <w:rFonts w:ascii="Calibri" w:eastAsia="Times New Roman" w:hAnsi="Calibri" w:cs="Calibri"/>
                <w:color w:val="000000"/>
                <w:sz w:val="18"/>
                <w:szCs w:val="18"/>
                <w:lang w:eastAsia="pl-PL"/>
              </w:rPr>
              <w:br/>
              <w:t xml:space="preserve">Dłubni, poniżej stopnia wodnego w Bieńczycach, z 0,48 m3/s na 0,25 m3/s, z uwagi na brak alternatywy, o charakterze technicznym, i niepowodującej nieproporcjonalnych kosztów, dla prowadzonej działalności człowieka, zaspokajającej potrzebęzabezpieczenia wody dla strategicznego podmiotu gospodarczego (ArcelorMittal Poland S.A. w Krakowie), realizującego potrzeby społeczne i gospodarcze; w obrębie zurbanizowanego ośrodka społeczno-przemysłowo-gospodarczego. Prowadzona działalność, jest niezbędna dla rozwoju gospodarczego oraz podtrzymania i rozwoju funkcji społecznych, usługowych i przemysłowych. Szczegółowe ustalenia w tym zakresie zawarte są w lokalnych strategia rozwoju. W odniesieniu do stanu wód, odstępstwo pozwoli na podtrzymanie dotychczasowych warunków określających przepływ nienaruszalny na rzece Dłubni, wg stanu obowiązującego od kilkudziesięciu lat  i wprowadzonego w obowiązujących pozwoleniach wodnoprawnych oraz instrukcjach gospodarowania wodą. </w:t>
            </w:r>
          </w:p>
        </w:tc>
        <w:tc>
          <w:tcPr>
            <w:tcW w:w="3401" w:type="dxa"/>
            <w:shd w:val="clear" w:color="auto" w:fill="auto"/>
            <w:hideMark/>
          </w:tcPr>
          <w:p w14:paraId="245E8739" w14:textId="5A91826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Załącznik 8- kolumna 556 - uzasadnieniem odstępstwa jest brak korzystniejszych alternatywnych opcji  wynikających z dopełnienia obowiązujących wymagań prawnych w zakresie gospodarowania wodą przez podmioty od siebie zależne. Warunki gospodarowania woda na rzece regulowane sąprzez Zbiornik wodny Zesławice, który retencjonuje wodędla poboru przez AMP S.A. Pobór wody dla potrzeb przemysłowych AMP S.A. z rzeki Dłubni, prowadzony jest w miejskim odcinku, niedaleko jej ujścia do Wisły, przy zachowaniu przepływu nienaruszalnego 0,25 m3/s, od kilkudziesięciu lat i </w:t>
            </w:r>
            <w:r w:rsidRPr="005E78BB">
              <w:rPr>
                <w:rFonts w:ascii="Calibri" w:eastAsia="Times New Roman" w:hAnsi="Calibri" w:cs="Calibri"/>
                <w:color w:val="000000"/>
                <w:sz w:val="18"/>
                <w:szCs w:val="18"/>
                <w:lang w:eastAsia="pl-PL"/>
              </w:rPr>
              <w:br/>
              <w:t xml:space="preserve"> niewpłynęło to negatywnie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ocenianej jako stan umiarkowany. Ograniczenie warunków korzystania z wód dla AMP S.A. poprzez zapewnienie znacząco wyższego przepływu nienaruszalnego na rzece Dłubni, z 0,25 m3/s na 0,48 m3/s, w istotny sposób obniży gwarancje i potrzeby społeczno-przemysłowo-gospodarcze. Brak jest bowiem alternatywnych źródeł zaspokojenia potrzeb w wodę, o charakterze technicznym, i niepowodującej nieproporcjonalnych kosztów. Uzasadnionym zagrożeniem jest susza atmosferyczna i hydrologiczna która może wpływać okresowo, na stan wód i opóźnienie lub uniemożliwienie efektywności działańmających na celu osiągnięcie celów środowiskowych. </w:t>
            </w:r>
          </w:p>
        </w:tc>
        <w:tc>
          <w:tcPr>
            <w:tcW w:w="1918" w:type="dxa"/>
            <w:shd w:val="clear" w:color="auto" w:fill="auto"/>
            <w:hideMark/>
          </w:tcPr>
          <w:p w14:paraId="597659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42_ArcelorMittal_Wisła</w:t>
            </w:r>
          </w:p>
        </w:tc>
        <w:tc>
          <w:tcPr>
            <w:tcW w:w="1276" w:type="dxa"/>
            <w:shd w:val="clear" w:color="auto" w:fill="auto"/>
            <w:hideMark/>
          </w:tcPr>
          <w:p w14:paraId="2C6364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C22F364" w14:textId="10DCDB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Podstawą do ustanowienia odstępstwa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są dane o stanie wód i dane o presjach powodujących nieosiągnięcie celu środowiskowego. Wśród parametrów składowych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lata 2022-2027 nie ma wskaźników hydrologicznych (nie były one także składową celu środowiskowego w poprzednich perspektywach planistycznych). W związku z powyższym, nie ma prawnej możliwości (ani merytorycznej potrzeby) ustanawiania odstępstw dla wskaźników hydrologicznych dot. przepływu.</w:t>
            </w:r>
          </w:p>
        </w:tc>
      </w:tr>
      <w:tr w:rsidR="0085319C" w:rsidRPr="005E78BB" w14:paraId="5B7EA1B3" w14:textId="77777777" w:rsidTr="00E92AE6">
        <w:trPr>
          <w:trHeight w:val="454"/>
        </w:trPr>
        <w:tc>
          <w:tcPr>
            <w:tcW w:w="562" w:type="dxa"/>
            <w:shd w:val="clear" w:color="auto" w:fill="auto"/>
            <w:hideMark/>
          </w:tcPr>
          <w:p w14:paraId="2CD3926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w:t>
            </w:r>
          </w:p>
        </w:tc>
        <w:tc>
          <w:tcPr>
            <w:tcW w:w="1021" w:type="dxa"/>
          </w:tcPr>
          <w:p w14:paraId="6E448039" w14:textId="052FF16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Koalicja Ratujmy Rzeki</w:t>
            </w:r>
          </w:p>
        </w:tc>
        <w:tc>
          <w:tcPr>
            <w:tcW w:w="1630" w:type="dxa"/>
            <w:shd w:val="clear" w:color="auto" w:fill="auto"/>
            <w:hideMark/>
          </w:tcPr>
          <w:p w14:paraId="229B2A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5ADA1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imieniu Koalicji Ratujmy Rzeki wnosimy o przedłużenie konsultacji projektów drugiej aktualizacji planów gospodarowania wodami w dorzeczach (IIapgw) oraz zapewnienie udziału społecznego w ramach strategicznej oceny oddziaływania prognozy oddziaływania na środowisko (SOOŚ) tychże </w:t>
            </w:r>
            <w:r w:rsidRPr="005E78BB">
              <w:rPr>
                <w:rFonts w:ascii="Calibri" w:eastAsia="Times New Roman" w:hAnsi="Calibri" w:cs="Calibri"/>
                <w:color w:val="000000"/>
                <w:sz w:val="18"/>
                <w:szCs w:val="18"/>
                <w:lang w:eastAsia="pl-PL"/>
              </w:rPr>
              <w:br w:type="page"/>
              <w:t xml:space="preserve">planów w rozsądnych ramach czasowych, tj. co najmniej do 31 października 2021 r.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Konsultacje projektów planów gospodarowania wodami w dorzeczu i każdej ich aktualizacji zgodnie z Ramową Dyrektywą Wodną (RDW) trwają przynajmniej pół roku, w Polsce od 14 kwietnia do 14 października br. Jednak dnia 30 września, na dwa tygodnie przed końcem tego terminu dokonano bardzo daleko idących zmian w zapisach projektów i ich załączników. W stosunku do kilku dorzeczy, w tym największych – Wisły i Odry nastąpiło uzupełnienie zapisów IIapgw (błędnie przez Wody Polskie nazwanych „erratą”), aż o dwie kluczowe kwestie: dotyczące obszarów chronionych przeznaczonych do ochrony gatunków zwierząt wodnych o znaczeniu gospodarczym oraz aktualizacji zapisów VIaKPOŚK – łączniezmiany obejmują kilka tysięcy rekordów danych: od nowej listy zadań po zmiany w numeracji konkretnych działań środowiskowych.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Ostatniego dnia września, rozpoczęły się również 21 dniowe (do 20 października) konsultacje społeczne IIapgw wraz z prognozami oddziaływania na środowisko w ramach SOOŚ. Okres ten – 21 dni jest najkrótszym z ustawowo możliwych, a dokumenty podlegające konsultacjom wraz z prognozą, obejmują prawdopodobnie najbardziej rozbudowany materiał dowodowy w historii krajowych strategicznych ocen oddziaływania – łączni około 100 załączników do 9 odrębnych IIapgw, dla niektórych z nich - nawet po kilka tysięcy rekordów, 9 oddzielnych prognoz z kolejnymi załącznikami (do 20 na jedno dorzecze!), co daje kolejne tysiące rekordów danych istotnych w procesie planowania i uspołeczniania decyzji dotyczących środowiska.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Dochodzi tutaj też kwestia kompletnej niejasności, co do statusu i wzajemnego przenikania się konsultacji społecznych w obu trybach – przynajmniej półrocznych zdefiniowanych Ramową Dyrektywą Wodną i 21 dniowych, wynikających z zapisów ustawy ooś (Dz. U. 2008 nr 199 poz. 1227 z </w:t>
            </w:r>
            <w:r w:rsidRPr="005E78BB">
              <w:rPr>
                <w:rFonts w:ascii="Calibri" w:eastAsia="Times New Roman" w:hAnsi="Calibri" w:cs="Calibri"/>
                <w:color w:val="000000"/>
                <w:sz w:val="18"/>
                <w:szCs w:val="18"/>
                <w:lang w:eastAsia="pl-PL"/>
              </w:rPr>
              <w:br w:type="page"/>
              <w:t xml:space="preserve">późn. zm.). Trzydziestego września opublikowano na stronach apgw.gov.pl informację o tym, że opublikowano prognozy ooś oraz projekty IIapgw wraz z „erratami” i do tych wszystkich dokumentów można składać uwagi do 20 października. Już następnego dnia, 1 października, opublikowano inny komunikat, że „to ostatni dzwonek, by wziąć udział w konsultacjach społecznych w ramach drugiej aktualizacji planów gospodarowania wodami, które trwają tylko do 14 października.” Mamy więc dwa procesy (procedury) konsultacji, które nie wiadomo czym się różnią co do skutków - jak potraktowane zostaną uwagi złożone w każdym z nich i czy trzeba składać te same uwagi dwa razy na różnych formularzach, na różne adresy e-mail, czy wystarczy raz.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Zdajemy sobie sprawę, że organy publiczne spieszą się z przygotowaniem ostatecznej wersji drugiej aktualizacji planów gospodarowania wodami, ale uważamy, że jedynym rozsądnym rozwiązaniem w tej sytuacji jest: </w:t>
            </w:r>
            <w:r w:rsidRPr="005E78BB">
              <w:rPr>
                <w:rFonts w:ascii="Calibri" w:eastAsia="Times New Roman" w:hAnsi="Calibri" w:cs="Calibri"/>
                <w:color w:val="000000"/>
                <w:sz w:val="18"/>
                <w:szCs w:val="18"/>
                <w:lang w:eastAsia="pl-PL"/>
              </w:rPr>
              <w:br w:type="page"/>
              <w:t xml:space="preserve">- ujednolicenie terminów składania uwag do IIapgw w ramach dwóch procedur; </w:t>
            </w:r>
            <w:r w:rsidRPr="005E78BB">
              <w:rPr>
                <w:rFonts w:ascii="Calibri" w:eastAsia="Times New Roman" w:hAnsi="Calibri" w:cs="Calibri"/>
                <w:color w:val="000000"/>
                <w:sz w:val="18"/>
                <w:szCs w:val="18"/>
                <w:lang w:eastAsia="pl-PL"/>
              </w:rPr>
              <w:br w:type="page"/>
              <w:t xml:space="preserve">- danie społeczeństwu minimum miesięcznego terminu na zapoznanie się i złożenie uwag do zmienionych 30 września projektów </w:t>
            </w:r>
            <w:r w:rsidRPr="005E78BB">
              <w:rPr>
                <w:rFonts w:ascii="Calibri" w:eastAsia="Times New Roman" w:hAnsi="Calibri" w:cs="Calibri"/>
                <w:color w:val="000000"/>
                <w:sz w:val="18"/>
                <w:szCs w:val="18"/>
                <w:lang w:eastAsia="pl-PL"/>
              </w:rPr>
              <w:lastRenderedPageBreak/>
              <w:t xml:space="preserve">IIapgw (14 dni zamiast gwarantowanego w RDW pół roku to zdecydowanie za mało) oraz takiego samego terminu na udział społeczny w ramach strategicznej oceny oddziaływania, co z kolei zapewni „odpowiednie ramy czasowe, pozostawiające wystarczającą ilość czasu na konsultacje, w tym na wyrażenie opinii” (patrz Dyretywa 2001/42/WE Parlamentu Europejskiego i Rady z dnia 27 czerwca 2001 r. w sprawie oceny wpływu niektórych planów i programów na środowisko).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Tylko takie rozwiązanie – ujednolicenie i przedłużenie terminu składania uwag do 31 października, pozwala jednocześnie na właściwe rozpatrzenie przez organy państwowe uwag do czasu publikacji ostatecznych IIapgw, oraz daje szansę na zachowanie przynajmniej pozorów zgodności z terminami konsultacji wymaganymi w prawodawstwie UE. </w:t>
            </w:r>
          </w:p>
        </w:tc>
        <w:tc>
          <w:tcPr>
            <w:tcW w:w="3377" w:type="dxa"/>
            <w:shd w:val="clear" w:color="auto" w:fill="auto"/>
            <w:hideMark/>
          </w:tcPr>
          <w:p w14:paraId="611277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1C7659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35634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43_KoalicjaRatujmyRzeki_Wisła</w:t>
            </w:r>
          </w:p>
        </w:tc>
        <w:tc>
          <w:tcPr>
            <w:tcW w:w="1276" w:type="dxa"/>
            <w:shd w:val="clear" w:color="auto" w:fill="auto"/>
            <w:hideMark/>
          </w:tcPr>
          <w:p w14:paraId="1D2E36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F9D5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w:t>
            </w:r>
            <w:r w:rsidRPr="005E78BB">
              <w:rPr>
                <w:rFonts w:ascii="Calibri" w:eastAsia="Times New Roman" w:hAnsi="Calibri" w:cs="Calibri"/>
                <w:color w:val="000000"/>
                <w:sz w:val="18"/>
                <w:szCs w:val="18"/>
                <w:lang w:eastAsia="pl-PL"/>
              </w:rPr>
              <w:br w:type="page"/>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w:t>
            </w:r>
            <w:r w:rsidRPr="005E78BB">
              <w:rPr>
                <w:rFonts w:ascii="Calibri" w:eastAsia="Times New Roman" w:hAnsi="Calibri" w:cs="Calibri"/>
                <w:color w:val="000000"/>
                <w:sz w:val="18"/>
                <w:szCs w:val="18"/>
                <w:lang w:eastAsia="pl-PL"/>
              </w:rPr>
              <w:br w:type="page"/>
              <w:t>w ochronie środowiska oraz o ocenach oddziaływania na środowisko (Dz.U. z 2021 roku poz. 247</w:t>
            </w:r>
            <w:r w:rsidRPr="005E78BB">
              <w:rPr>
                <w:rFonts w:ascii="Calibri" w:eastAsia="Times New Roman" w:hAnsi="Calibri" w:cs="Calibri"/>
                <w:color w:val="000000"/>
                <w:sz w:val="18"/>
                <w:szCs w:val="18"/>
                <w:lang w:eastAsia="pl-PL"/>
              </w:rPr>
              <w:br w:type="page"/>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ype="page"/>
              <w:t>z prognoz).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w:t>
            </w:r>
            <w:r w:rsidRPr="005E78BB">
              <w:rPr>
                <w:rFonts w:ascii="Calibri" w:eastAsia="Times New Roman" w:hAnsi="Calibri" w:cs="Calibri"/>
                <w:color w:val="000000"/>
                <w:sz w:val="18"/>
                <w:szCs w:val="18"/>
                <w:lang w:eastAsia="pl-PL"/>
              </w:rPr>
              <w:lastRenderedPageBreak/>
              <w:t>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w:t>
            </w:r>
            <w:r w:rsidRPr="005E78BB">
              <w:rPr>
                <w:rFonts w:ascii="Calibri" w:eastAsia="Times New Roman" w:hAnsi="Calibri" w:cs="Calibri"/>
                <w:color w:val="000000"/>
                <w:sz w:val="18"/>
                <w:szCs w:val="18"/>
                <w:lang w:eastAsia="pl-PL"/>
              </w:rPr>
              <w:lastRenderedPageBreak/>
              <w:t>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Konsultacje społeczne w ramach SOOŚ wymagane ustawą o udostępnianiu informacji</w:t>
            </w:r>
            <w:r w:rsidRPr="005E78BB">
              <w:rPr>
                <w:rFonts w:ascii="Calibri" w:eastAsia="Times New Roman" w:hAnsi="Calibri" w:cs="Calibri"/>
                <w:color w:val="000000"/>
                <w:sz w:val="18"/>
                <w:szCs w:val="18"/>
                <w:lang w:eastAsia="pl-PL"/>
              </w:rPr>
              <w:br w:type="page"/>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w:t>
            </w:r>
            <w:r w:rsidRPr="005E78BB">
              <w:rPr>
                <w:rFonts w:ascii="Calibri" w:eastAsia="Times New Roman" w:hAnsi="Calibri" w:cs="Calibri"/>
                <w:color w:val="000000"/>
                <w:sz w:val="18"/>
                <w:szCs w:val="18"/>
                <w:lang w:eastAsia="pl-PL"/>
              </w:rPr>
              <w:lastRenderedPageBreak/>
              <w:t>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przygotowaniem i przeprowadzeniem konsultacji społecznych SOOŚ zgodnie</w:t>
            </w:r>
            <w:r w:rsidRPr="005E78BB">
              <w:rPr>
                <w:rFonts w:ascii="Calibri" w:eastAsia="Times New Roman" w:hAnsi="Calibri" w:cs="Calibri"/>
                <w:color w:val="000000"/>
                <w:sz w:val="18"/>
                <w:szCs w:val="18"/>
                <w:lang w:eastAsia="pl-PL"/>
              </w:rPr>
              <w:br w:type="page"/>
              <w:t>z przepisami prawa oraz przy zapewnieniu możliwie pełnego i aktywnego udziału społeczeństwa</w:t>
            </w:r>
            <w:r w:rsidRPr="005E78BB">
              <w:rPr>
                <w:rFonts w:ascii="Calibri" w:eastAsia="Times New Roman" w:hAnsi="Calibri" w:cs="Calibri"/>
                <w:color w:val="000000"/>
                <w:sz w:val="18"/>
                <w:szCs w:val="18"/>
                <w:lang w:eastAsia="pl-PL"/>
              </w:rPr>
              <w:br w:type="page"/>
              <w:t>w konsultacjach społecznych (pomimo utrudnień wynikających z COVID-19) uznać należy, iż nie zaistniały przesłanki do przedłużenia przyjętego okresu konsultacji społecznych SOOŚ.</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oraz przez 21 dni w przypadku Prognoz. Osoby zainteresowane projektem IIaPGW mają dostęp do bieżącej informacji</w:t>
            </w:r>
            <w:r w:rsidRPr="005E78BB">
              <w:rPr>
                <w:rFonts w:ascii="Calibri" w:eastAsia="Times New Roman" w:hAnsi="Calibri" w:cs="Calibri"/>
                <w:color w:val="000000"/>
                <w:sz w:val="18"/>
                <w:szCs w:val="18"/>
                <w:lang w:eastAsia="pl-PL"/>
              </w:rPr>
              <w:br w:type="page"/>
              <w:t>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oraz ich prognozami oddziaływania na środowisko i zgłoszenie uwag w ramach obu wymienionych powyżej procedur.</w:t>
            </w:r>
          </w:p>
        </w:tc>
      </w:tr>
      <w:tr w:rsidR="0085319C" w:rsidRPr="005E78BB" w14:paraId="1209D137" w14:textId="77777777" w:rsidTr="00E92AE6">
        <w:trPr>
          <w:trHeight w:val="454"/>
        </w:trPr>
        <w:tc>
          <w:tcPr>
            <w:tcW w:w="562" w:type="dxa"/>
            <w:shd w:val="clear" w:color="auto" w:fill="auto"/>
            <w:hideMark/>
          </w:tcPr>
          <w:p w14:paraId="240E32B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44</w:t>
            </w:r>
          </w:p>
        </w:tc>
        <w:tc>
          <w:tcPr>
            <w:tcW w:w="1021" w:type="dxa"/>
          </w:tcPr>
          <w:p w14:paraId="49A7EB53" w14:textId="1B4D85E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Enea Nowa Energia Sp. z o.o.</w:t>
            </w:r>
          </w:p>
        </w:tc>
        <w:tc>
          <w:tcPr>
            <w:tcW w:w="1630" w:type="dxa"/>
            <w:shd w:val="clear" w:color="auto" w:fill="auto"/>
            <w:hideMark/>
          </w:tcPr>
          <w:p w14:paraId="00F321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A5074DE" w14:textId="490C13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Uwagi do Il aPGW  w zakresie JCW Martwa Brda -  RW200010292949  (silnie zmieniona część wód z uwagi na brak możliwości skutecznego odwrócenia zmian hydromorfologicznych i brak alternatyw dla pełnionych </w:t>
            </w:r>
            <w:r w:rsidRPr="005E78BB">
              <w:rPr>
                <w:rFonts w:ascii="Calibri" w:eastAsia="Times New Roman" w:hAnsi="Calibri" w:cs="Calibri"/>
                <w:color w:val="000000"/>
                <w:sz w:val="18"/>
                <w:szCs w:val="18"/>
                <w:lang w:eastAsia="pl-PL"/>
              </w:rPr>
              <w:lastRenderedPageBreak/>
              <w:t>funkcji).</w:t>
            </w:r>
            <w:r w:rsidRPr="005E78BB">
              <w:rPr>
                <w:rFonts w:ascii="Calibri" w:eastAsia="Times New Roman" w:hAnsi="Calibri" w:cs="Calibri"/>
                <w:color w:val="000000"/>
                <w:sz w:val="18"/>
                <w:szCs w:val="18"/>
                <w:lang w:eastAsia="pl-PL"/>
              </w:rPr>
              <w:br/>
              <w:t xml:space="preserve">Wnosimy o wykreślenie z zestawu działań wskazanych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RW200010292949 jako umożliwiających osiągnięcie wymaganego potencjału :</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RWHM_02.02 opracowanie wariantowej analizy sposobu udrożnienia budowli piętrzących a odcinku cieku istotnego - Brda wraz ze wskazaniem wariantu do realizacji oraz Opracowaniem dokumentacji projektowej z perspektywą do 2024 roku</w:t>
            </w:r>
            <w:r w:rsidRPr="005E78BB">
              <w:rPr>
                <w:rFonts w:ascii="Calibri" w:eastAsia="Times New Roman" w:hAnsi="Calibri" w:cs="Calibri"/>
                <w:color w:val="000000"/>
                <w:sz w:val="18"/>
                <w:szCs w:val="18"/>
                <w:lang w:eastAsia="pl-PL"/>
              </w:rPr>
              <w:br/>
              <w:t>- RWHM_02.03 realizację wybranego wariantu udrożnienia cieku - działanie inwestycyjne z perspektywą do 2027 roku</w:t>
            </w:r>
            <w:r w:rsidRPr="005E78BB">
              <w:rPr>
                <w:rFonts w:ascii="Calibri" w:eastAsia="Times New Roman" w:hAnsi="Calibri" w:cs="Calibri"/>
                <w:color w:val="000000"/>
                <w:sz w:val="18"/>
                <w:szCs w:val="18"/>
                <w:lang w:eastAsia="pl-PL"/>
              </w:rPr>
              <w:br/>
              <w:t xml:space="preserve"> </w:t>
            </w:r>
          </w:p>
        </w:tc>
        <w:tc>
          <w:tcPr>
            <w:tcW w:w="3377" w:type="dxa"/>
            <w:shd w:val="clear" w:color="auto" w:fill="auto"/>
            <w:hideMark/>
          </w:tcPr>
          <w:p w14:paraId="4BA014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573EA1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Uzasadnienie zmian wskazane w załączniku nr 1 do zestawienia.</w:t>
            </w:r>
          </w:p>
        </w:tc>
        <w:tc>
          <w:tcPr>
            <w:tcW w:w="1918" w:type="dxa"/>
            <w:shd w:val="clear" w:color="auto" w:fill="auto"/>
            <w:hideMark/>
          </w:tcPr>
          <w:p w14:paraId="18D94D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44-46_Enea_Wisła</w:t>
            </w:r>
          </w:p>
        </w:tc>
        <w:tc>
          <w:tcPr>
            <w:tcW w:w="1276" w:type="dxa"/>
            <w:shd w:val="clear" w:color="auto" w:fill="auto"/>
            <w:hideMark/>
          </w:tcPr>
          <w:p w14:paraId="6375E1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C65375D" w14:textId="259FC66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opracowaniem "Ocena potrzeb i priorytetów udrożnienia ciągłości morfologicznej rzek na obszarach dorzeczy w </w:t>
            </w:r>
            <w:r w:rsidRPr="005E78BB">
              <w:rPr>
                <w:rFonts w:ascii="Calibri" w:eastAsia="Times New Roman" w:hAnsi="Calibri" w:cs="Calibri"/>
                <w:color w:val="000000"/>
                <w:sz w:val="18"/>
                <w:szCs w:val="18"/>
                <w:lang w:eastAsia="pl-PL"/>
              </w:rPr>
              <w:lastRenderedPageBreak/>
              <w:t xml:space="preserve">kontekście osiągnięcia dobrego stanu i potencjału ekologicznego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(Błachuta i in., 2010), Brda w przeszłości była rzeką tarliskową dla łososi i troci, obecnie sporadycznie wstępują do niej trocie. Jest także rzeką tarliskową dla minogów rzecznych, a potencjalnie dla minogów morskich oraz szlakiem spływania węgorzy. Na odcinku od ujścia do Wisły do zbiornika Koronowo są znaczące powierzchnie tarlisk dla diadromicznych ryb litofilnych. W środkowym i górnym biegu jest stabilna ichtiofauna z pstrągiem potokowym i lipieniem, które w głównym stopniu wpłyną na ocenę stanu ekologicznego tej rzeki. Dodatkowo Brda na odcinku od ujścia do zbiornika Koronowo została wskazana jako obszar przeznaczonych do ochrony gatunków ryb o znaczeniu gospodarczym (dla troci wędrownej). Zgodnie z wymaganiami wynikającymi z art. 85 ust. 2 ustawy Prawo wodne, w obszarach przeznaczonych do ochrony gatunków zwierząt wodnych o znaczeniu gospodarczym zapewnia się efektywną migrację gatunków zwierząt wodnych o znaczeniu gospodarczym, w tym ryb dwuśrodowiskowych. W związku z powyższym, po przeprowadzonej w ramach IIaPGW aktualizacji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Stare koryto Brdy jako cele środowiskowe wskazuje się: dobry potencjał ekologiczny; zapewnienie drożności cieku dla migracji ichtiofauny na odcinku cieku istotnego Stare koryto Brdy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łososia); zapewnienie drożności cieku dla migracji gatunków o znaczeniu gospodarczym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zapory zbiornika Koronowo (dla troci wędrownej). Wobec tego Stare koryto Brdy powinno zostać udrożnione w celu osiągnięcia celów środowiskowych (zgodnie z RDW), oraz zapewnienia drożności cieku dla gatunków ryb o znaczeniu gospodarczym (zgodnie z ustawą Prawo wodne). Pozostawiono zaplanowane działania udrożnieniowe.</w:t>
            </w:r>
          </w:p>
        </w:tc>
      </w:tr>
      <w:tr w:rsidR="0085319C" w:rsidRPr="005E78BB" w14:paraId="60FB397E" w14:textId="77777777" w:rsidTr="00E92AE6">
        <w:trPr>
          <w:trHeight w:val="454"/>
        </w:trPr>
        <w:tc>
          <w:tcPr>
            <w:tcW w:w="562" w:type="dxa"/>
            <w:shd w:val="clear" w:color="auto" w:fill="auto"/>
            <w:hideMark/>
          </w:tcPr>
          <w:p w14:paraId="1DABEA1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45</w:t>
            </w:r>
          </w:p>
        </w:tc>
        <w:tc>
          <w:tcPr>
            <w:tcW w:w="1021" w:type="dxa"/>
          </w:tcPr>
          <w:p w14:paraId="560D8FC4" w14:textId="0816448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Enea Nowa Energia Sp. z o.o.</w:t>
            </w:r>
          </w:p>
        </w:tc>
        <w:tc>
          <w:tcPr>
            <w:tcW w:w="1630" w:type="dxa"/>
            <w:shd w:val="clear" w:color="auto" w:fill="auto"/>
            <w:hideMark/>
          </w:tcPr>
          <w:p w14:paraId="0BEFB4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5F78B51" w14:textId="2DCAC799"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 kompleksowej analizie zapisów II aPGW w zakresie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ustanowionych na Brdzie: </w:t>
            </w:r>
            <w:r w:rsidRPr="005E78BB">
              <w:rPr>
                <w:rFonts w:ascii="Calibri" w:eastAsia="Times New Roman" w:hAnsi="Calibri" w:cs="Calibri"/>
                <w:color w:val="000000"/>
                <w:sz w:val="18"/>
                <w:szCs w:val="18"/>
                <w:lang w:eastAsia="pl-PL"/>
              </w:rPr>
              <w:br/>
              <w:t>o Brda od zbiornika Mylof do zbiornika Koronowo</w:t>
            </w:r>
            <w:r w:rsidRPr="005E78BB">
              <w:rPr>
                <w:rFonts w:ascii="Calibri" w:eastAsia="Times New Roman" w:hAnsi="Calibri" w:cs="Calibri"/>
                <w:color w:val="000000"/>
                <w:sz w:val="18"/>
                <w:szCs w:val="18"/>
                <w:lang w:eastAsia="pl-PL"/>
              </w:rPr>
              <w:br/>
              <w:t>o Brda od zbiornika Koronowo do wypływu ze zbiornika Smukała</w:t>
            </w:r>
            <w:r w:rsidRPr="005E78BB">
              <w:rPr>
                <w:rFonts w:ascii="Calibri" w:eastAsia="Times New Roman" w:hAnsi="Calibri" w:cs="Calibri"/>
                <w:color w:val="000000"/>
                <w:sz w:val="18"/>
                <w:szCs w:val="18"/>
                <w:lang w:eastAsia="pl-PL"/>
              </w:rPr>
              <w:br/>
              <w:t>o Brda od wypływu ze zbiornika Smukała do ujścia</w:t>
            </w:r>
            <w:r w:rsidRPr="005E78BB">
              <w:rPr>
                <w:rFonts w:ascii="Calibri" w:eastAsia="Times New Roman" w:hAnsi="Calibri" w:cs="Calibri"/>
                <w:color w:val="000000"/>
                <w:sz w:val="18"/>
                <w:szCs w:val="18"/>
                <w:lang w:eastAsia="pl-PL"/>
              </w:rPr>
              <w:br/>
              <w:t>o Martwa Brda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wnosimy o wykreślenie z zestawu działań wskazanych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RW2000112929739 „Brda od zbiornika Koronowo do wypływu ze zbiornika Smukała&amp;#34; jako umożliwiających osiągnięcie dobrego stanu wód:</w:t>
            </w:r>
            <w:r w:rsidRPr="005E78BB">
              <w:rPr>
                <w:rFonts w:ascii="Calibri" w:eastAsia="Times New Roman" w:hAnsi="Calibri" w:cs="Calibri"/>
                <w:color w:val="000000"/>
                <w:sz w:val="18"/>
                <w:szCs w:val="18"/>
                <w:lang w:eastAsia="pl-PL"/>
              </w:rPr>
              <w:br/>
              <w:t xml:space="preserve"> - RWHM_02.02 opracowanie wariantowej analizy sposobu udrożnienia budowli piętrzących na odcinku cieku istotnego wraz ze wskazaniem wariantu do realizacji oraz Opracowaniem dokumentacji projektowej z </w:t>
            </w:r>
            <w:r w:rsidRPr="005E78BB">
              <w:rPr>
                <w:rFonts w:ascii="Calibri" w:eastAsia="Times New Roman" w:hAnsi="Calibri" w:cs="Calibri"/>
                <w:color w:val="000000"/>
                <w:sz w:val="18"/>
                <w:szCs w:val="18"/>
                <w:lang w:eastAsia="pl-PL"/>
              </w:rPr>
              <w:lastRenderedPageBreak/>
              <w:t>perspektywą do 2024 roku</w:t>
            </w:r>
            <w:r w:rsidRPr="005E78BB">
              <w:rPr>
                <w:rFonts w:ascii="Calibri" w:eastAsia="Times New Roman" w:hAnsi="Calibri" w:cs="Calibri"/>
                <w:color w:val="000000"/>
                <w:sz w:val="18"/>
                <w:szCs w:val="18"/>
                <w:lang w:eastAsia="pl-PL"/>
              </w:rPr>
              <w:br/>
              <w:t>- RWHM_02.03 realizację wybranego wariantu udrożnienia cieku - działanie Inwestycyjne z perspektywą do 2027 roku</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r>
          </w:p>
        </w:tc>
        <w:tc>
          <w:tcPr>
            <w:tcW w:w="3377" w:type="dxa"/>
            <w:shd w:val="clear" w:color="auto" w:fill="auto"/>
            <w:hideMark/>
          </w:tcPr>
          <w:p w14:paraId="04A865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4B4755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Uzasadnienie zmian wskazane w załączniku nr 2 do zestawienia.</w:t>
            </w:r>
          </w:p>
        </w:tc>
        <w:tc>
          <w:tcPr>
            <w:tcW w:w="1918" w:type="dxa"/>
            <w:shd w:val="clear" w:color="auto" w:fill="auto"/>
            <w:hideMark/>
          </w:tcPr>
          <w:p w14:paraId="0AB429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44-46_Enea_Wisła</w:t>
            </w:r>
          </w:p>
        </w:tc>
        <w:tc>
          <w:tcPr>
            <w:tcW w:w="1276" w:type="dxa"/>
            <w:shd w:val="clear" w:color="auto" w:fill="auto"/>
            <w:hideMark/>
          </w:tcPr>
          <w:p w14:paraId="3CAD3B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CC086AB" w14:textId="63DC838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informacją zawartą w przekazanym wraz z uwagą Zał 2. zmieniono działanie przypisane dla Jazu Smukała. Ze względu na obecność przepławki zaplanowano działania z zakresu kontroli i monitoringu przepławki (RWHM_02.07 i RWHM_02.08). Natomiast pozostawiono działanie RWHM_02.02 i RWHM_02.03. Zgodnie z opracowaniem "Ocena potrzeb i priorytetów udrożnienia ciągłości morfologicznej rzek na obszarach dorzeczy w kontekście osiągnięcia dobrego stanu i potencjału ekologicznego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(Błachuta i in., 2010), Brda w przeszłości była </w:t>
            </w:r>
            <w:r w:rsidRPr="005E78BB">
              <w:rPr>
                <w:rFonts w:ascii="Calibri" w:eastAsia="Times New Roman" w:hAnsi="Calibri" w:cs="Calibri"/>
                <w:color w:val="000000"/>
                <w:sz w:val="18"/>
                <w:szCs w:val="18"/>
                <w:lang w:eastAsia="pl-PL"/>
              </w:rPr>
              <w:lastRenderedPageBreak/>
              <w:t>rzeką tarliskową dla łososi i troci, obecnie sporadycznie wstępują do niej trocie. Jest także rzeką tarliskową dla minogów rzecznych, a potencjalnie dla minogów morskich oraz szlakiem spływania węgorzy. Na odcinku od ujścia do Wisły do zbiornika Koronowo są znaczące powierzchnie tarlisk dla diadromicznych ryb litofilnych. W środkowym i górnym biegu jest stabilna ichtiofauna z pstrągiem potokowym i lipieniem, które w głównym stopniu wpłyną na ocenę stanu ekologicznego tej rzeki. Dodatkowo Brda na odcinku od ujścia do zbiornika Koronowo została wskazana jako obszar przeznaczonych do ochrony gatunków ryb o znaczeniu gospodarczym (dla troci wędrownej).</w:t>
            </w:r>
          </w:p>
        </w:tc>
      </w:tr>
      <w:tr w:rsidR="0085319C" w:rsidRPr="005E78BB" w14:paraId="445372A9" w14:textId="77777777" w:rsidTr="00E92AE6">
        <w:trPr>
          <w:trHeight w:val="454"/>
        </w:trPr>
        <w:tc>
          <w:tcPr>
            <w:tcW w:w="562" w:type="dxa"/>
            <w:shd w:val="clear" w:color="auto" w:fill="auto"/>
            <w:hideMark/>
          </w:tcPr>
          <w:p w14:paraId="20D97BC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46</w:t>
            </w:r>
          </w:p>
        </w:tc>
        <w:tc>
          <w:tcPr>
            <w:tcW w:w="1021" w:type="dxa"/>
          </w:tcPr>
          <w:p w14:paraId="010DDF71" w14:textId="594F10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Enea Nowa Energia Sp. z o.o.</w:t>
            </w:r>
          </w:p>
        </w:tc>
        <w:tc>
          <w:tcPr>
            <w:tcW w:w="1630" w:type="dxa"/>
            <w:shd w:val="clear" w:color="auto" w:fill="auto"/>
            <w:hideMark/>
          </w:tcPr>
          <w:p w14:paraId="6DD082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338C4E0" w14:textId="79DDDA0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 analizie zapisów li aPGW w zakresie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ustanowionych na Wdzie: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RW20001129475 Wda od zb. Żur do zb. Gródek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RW2000029477 Wda od Prusiny do Dopł. z Drzycimia ze Zb. Żur i Gródek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RW200018294789 Dopływ z Drzycimia ze starym korytem Wdy do połączenia z nowym korytem Wdy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RW20001929499 Wda od dopł. z Drzycimia do ujścia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Wnosimy o wykreślenie z zestawu działań wskazanych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umożliwiających osiągnięcie dobrego stanu wód : </w:t>
            </w:r>
            <w:r w:rsidRPr="005E78BB">
              <w:rPr>
                <w:rFonts w:ascii="Calibri" w:eastAsia="Times New Roman" w:hAnsi="Calibri" w:cs="Calibri"/>
                <w:color w:val="000000"/>
                <w:sz w:val="18"/>
                <w:szCs w:val="18"/>
                <w:lang w:eastAsia="pl-PL"/>
              </w:rPr>
              <w:br/>
              <w:t>- RWHM_02.02 opracowanie wariantowej analizy sposobu udrożnienia budowli piętrzących na odcinku cieku istotnego - Wda wraz ze wskazaniem wariantu do realizacji oraz Opracowaniem dokumentacji projektowej z perspektywą do 2024 roku</w:t>
            </w:r>
            <w:r w:rsidRPr="005E78BB">
              <w:rPr>
                <w:rFonts w:ascii="Calibri" w:eastAsia="Times New Roman" w:hAnsi="Calibri" w:cs="Calibri"/>
                <w:color w:val="000000"/>
                <w:sz w:val="18"/>
                <w:szCs w:val="18"/>
                <w:lang w:eastAsia="pl-PL"/>
              </w:rPr>
              <w:br/>
              <w:t>- RWHM_02.03 realizację wybranego wariantu udrożnienia cieku - działanie inwestycyjne z perspektywą do 2027 roku</w:t>
            </w:r>
            <w:r w:rsidRPr="005E78BB">
              <w:rPr>
                <w:rFonts w:ascii="Calibri" w:eastAsia="Times New Roman" w:hAnsi="Calibri" w:cs="Calibri"/>
                <w:color w:val="000000"/>
                <w:sz w:val="18"/>
                <w:szCs w:val="18"/>
                <w:lang w:eastAsia="pl-PL"/>
              </w:rPr>
              <w:br/>
              <w:t xml:space="preserve"> </w:t>
            </w:r>
          </w:p>
        </w:tc>
        <w:tc>
          <w:tcPr>
            <w:tcW w:w="3377" w:type="dxa"/>
            <w:shd w:val="clear" w:color="auto" w:fill="auto"/>
            <w:hideMark/>
          </w:tcPr>
          <w:p w14:paraId="63E5C3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09A53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Uzasadnienie zmian wskazane w załączniku nr 3 do zestawienia.</w:t>
            </w:r>
          </w:p>
        </w:tc>
        <w:tc>
          <w:tcPr>
            <w:tcW w:w="1918" w:type="dxa"/>
            <w:shd w:val="clear" w:color="auto" w:fill="auto"/>
            <w:hideMark/>
          </w:tcPr>
          <w:p w14:paraId="3B7CB8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44-46_Enea_Wisła</w:t>
            </w:r>
          </w:p>
        </w:tc>
        <w:tc>
          <w:tcPr>
            <w:tcW w:w="1276" w:type="dxa"/>
            <w:shd w:val="clear" w:color="auto" w:fill="auto"/>
            <w:hideMark/>
          </w:tcPr>
          <w:p w14:paraId="3AB93C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F630212" w14:textId="354D91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informacji zawartych w przekazanym wraz z uwagą załączniku 3 usunięto działania RWHM_02.02 i RWHM_02.03. Działania te dotyczyły zb. Gródek, który zgodnie z zapisami opracowaniem "Ocena potrzeb i priorytetów udrożnienia ciągłości morfologicznej rzek na obszarach dorzeczy w kontekście osiągnięcia dobrego stanu i potencjału ekologicznego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(Błachuta i in., 2010) nie powinien być udrażniany: Wda jest rzeką tarliskową dla troci i minogów rzecznych, potencjalnie także dla minogów morskich oraz szlakiem spływania węgorzy. Poniżej EW Gródek są duże powierzchnie tarlisk dla diadromicznych gatunków litofilnych. Również powyżej EW Gródek i zbiornika Żur są tarliska dla gatunków litofilnych, występują tam populacje pstrągów potokowych i lipieni. Najcenniejszym gatunkiem w zlewni Wdy jest lokalna forma troci – troć jeziorowa Salmo trutta lacustris żyjąca w jeziorze Wdzydze i wstępująca na tarło do rzek. Brak uzasadnienia dla odtworzenia drogi migracji na te same tarliska dla troci wędrownej, która mogła by stanowić konkurencję dla troci jeziorowej. Dodatkowo w Rozporządzeniu Ministra Rolnictwa i Rozwoju Wsi z dnia 6 maja 2021 r. w sprawie określenia gatunków zwierząt wodnych o znaczeniu gospodarczym oraz obszarów przeznaczonych do ochrony tych gatunków, jako obszar przeznaczony do ochrony gatunków ryb o znaczeniu gospodarczym wskazano odcinek Wdy od ujścia do zapory zbiornika Gródek (dla ochrony troci wędrownej).</w:t>
            </w:r>
          </w:p>
        </w:tc>
      </w:tr>
      <w:tr w:rsidR="0085319C" w:rsidRPr="005E78BB" w14:paraId="568D9BBF" w14:textId="77777777" w:rsidTr="00E92AE6">
        <w:trPr>
          <w:trHeight w:val="454"/>
        </w:trPr>
        <w:tc>
          <w:tcPr>
            <w:tcW w:w="562" w:type="dxa"/>
            <w:shd w:val="clear" w:color="auto" w:fill="auto"/>
            <w:hideMark/>
          </w:tcPr>
          <w:p w14:paraId="50629CA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w:t>
            </w:r>
          </w:p>
        </w:tc>
        <w:tc>
          <w:tcPr>
            <w:tcW w:w="1021" w:type="dxa"/>
          </w:tcPr>
          <w:p w14:paraId="4C1C2D5D" w14:textId="4935562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Kamila Belka</w:t>
            </w:r>
          </w:p>
        </w:tc>
        <w:tc>
          <w:tcPr>
            <w:tcW w:w="1630" w:type="dxa"/>
            <w:shd w:val="clear" w:color="auto" w:fill="auto"/>
            <w:hideMark/>
          </w:tcPr>
          <w:p w14:paraId="42765F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22B9E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Załącznikami do planów powinna być baza GIS zawierająca treść załączników graficznych wraz z odpowiednim opisem warstw i atrybutów oraz lokalizacje proponowanych działań i inwestycji - również do planów konsultowanych</w:t>
            </w:r>
          </w:p>
        </w:tc>
        <w:tc>
          <w:tcPr>
            <w:tcW w:w="3377" w:type="dxa"/>
            <w:shd w:val="clear" w:color="auto" w:fill="auto"/>
            <w:hideMark/>
          </w:tcPr>
          <w:p w14:paraId="6E6A5D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zamieścić geobazę IIaPGW do plików konsultacyjnych</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018342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Geobaza IIaPGW umożliwi wnikliwą analizę proponowanych działań. Podobne załączniki są treścią aPGW (Geobaza aPGW). Niektóre jcw uległy zmianie i nie jest możliwa </w:t>
            </w:r>
            <w:r w:rsidRPr="005E78BB">
              <w:rPr>
                <w:rFonts w:ascii="Calibri" w:eastAsia="Times New Roman" w:hAnsi="Calibri" w:cs="Calibri"/>
                <w:color w:val="000000"/>
                <w:sz w:val="18"/>
                <w:szCs w:val="18"/>
                <w:lang w:eastAsia="pl-PL"/>
              </w:rPr>
              <w:lastRenderedPageBreak/>
              <w:t xml:space="preserve">identyfikacja niektórych z nich na geobazie aPGW. </w:t>
            </w:r>
          </w:p>
        </w:tc>
        <w:tc>
          <w:tcPr>
            <w:tcW w:w="1918" w:type="dxa"/>
            <w:shd w:val="clear" w:color="auto" w:fill="auto"/>
            <w:hideMark/>
          </w:tcPr>
          <w:p w14:paraId="23A2E8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3BBE73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4FDA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dla każdego obszaru dorzecza stanowią dokumenty strategiczne przyjmowane w formie rozporządzenia. Konsultacje społeczne projektów IIaPGW wymagają udostępnienia kompletu </w:t>
            </w:r>
            <w:r w:rsidRPr="005E78BB">
              <w:rPr>
                <w:rFonts w:ascii="Calibri" w:eastAsia="Times New Roman" w:hAnsi="Calibri" w:cs="Calibri"/>
                <w:color w:val="000000"/>
                <w:sz w:val="18"/>
                <w:szCs w:val="18"/>
                <w:lang w:eastAsia="pl-PL"/>
              </w:rPr>
              <w:lastRenderedPageBreak/>
              <w:t>materiałów stanowiących dokument konsultowany. Z uwagi na specyfikę projektów IIaPGW konsumujących szereg wcześniej zrealizowanych prac, projektów poddawanych niezależnie konsultacjom społecznym przy jednoczesnym uwzględnianiu powiązań wielu zagadnień, przygotowanie projektów IIaPGW wymaga prowadzenia analiz przestrzennych których wyniki prezentowane są w formie załączników graficznych.</w:t>
            </w:r>
            <w:r w:rsidRPr="005E78BB">
              <w:rPr>
                <w:rFonts w:ascii="Calibri" w:eastAsia="Times New Roman" w:hAnsi="Calibri" w:cs="Calibri"/>
                <w:color w:val="000000"/>
                <w:sz w:val="18"/>
                <w:szCs w:val="18"/>
                <w:lang w:eastAsia="pl-PL"/>
              </w:rPr>
              <w:br w:type="page"/>
              <w:t>Podobnie jak w przypadku poprzednich PGW docelowo do każdego IIaPGW funkcjonowała będzie geobaza prezentująca dane poszczególnych IIaPGW. Geobaza prezentuje ostateczne dane i informacje a tym samym przygotowywana jest na podstawie ostatecznej wersji IIaPGW po konsultacjach społecznych oraz sooś.</w:t>
            </w:r>
            <w:r w:rsidRPr="005E78BB">
              <w:rPr>
                <w:rFonts w:ascii="Calibri" w:eastAsia="Times New Roman" w:hAnsi="Calibri" w:cs="Calibri"/>
                <w:color w:val="000000"/>
                <w:sz w:val="18"/>
                <w:szCs w:val="18"/>
                <w:lang w:eastAsia="pl-PL"/>
              </w:rPr>
              <w:br w:type="page"/>
              <w:t>Zgodnie z potwierdzanymi również podczas konsultacyjnych informacjami, udostępnienie materiałów źródłowych, do których zaliczają się wszelkie dane GIS, możliwe jest na podstawie wystąpienia do PGWWP w trybie udostępnienia informacji o środowisku.</w:t>
            </w:r>
          </w:p>
        </w:tc>
      </w:tr>
      <w:tr w:rsidR="0085319C" w:rsidRPr="005E78BB" w14:paraId="2B8F0D43" w14:textId="77777777" w:rsidTr="00E92AE6">
        <w:trPr>
          <w:trHeight w:val="454"/>
        </w:trPr>
        <w:tc>
          <w:tcPr>
            <w:tcW w:w="562" w:type="dxa"/>
            <w:shd w:val="clear" w:color="auto" w:fill="auto"/>
            <w:hideMark/>
          </w:tcPr>
          <w:p w14:paraId="119CC15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48</w:t>
            </w:r>
          </w:p>
        </w:tc>
        <w:tc>
          <w:tcPr>
            <w:tcW w:w="1021" w:type="dxa"/>
          </w:tcPr>
          <w:p w14:paraId="11B342D1" w14:textId="1E37C18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Starostwo Powiatowe w Płocku</w:t>
            </w:r>
          </w:p>
        </w:tc>
        <w:tc>
          <w:tcPr>
            <w:tcW w:w="1630" w:type="dxa"/>
            <w:shd w:val="clear" w:color="auto" w:fill="auto"/>
            <w:hideMark/>
          </w:tcPr>
          <w:p w14:paraId="4DB886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ZAGROŻENIA DLA SWOBODNEGO PRZEPŁYWU WÓD ORAZ SPŁYWU LODÓW</w:t>
            </w:r>
          </w:p>
        </w:tc>
        <w:tc>
          <w:tcPr>
            <w:tcW w:w="5663" w:type="dxa"/>
            <w:shd w:val="clear" w:color="auto" w:fill="auto"/>
            <w:hideMark/>
          </w:tcPr>
          <w:p w14:paraId="3B0BA2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Aktualizacji Planu gospodarowania wodami na obszarze dorzecza Wisły, winny znaleźć się uregulowania oraz winny zostać określone konkretne działania polegające na corocznym pogłębianiu koryta rzeki Wisły na odcinku od Wyszogrodu do Włocławka.</w:t>
            </w:r>
            <w:r w:rsidRPr="005E78BB">
              <w:rPr>
                <w:rFonts w:ascii="Calibri" w:eastAsia="Times New Roman" w:hAnsi="Calibri" w:cs="Calibri"/>
                <w:color w:val="000000"/>
                <w:sz w:val="18"/>
                <w:szCs w:val="18"/>
                <w:lang w:eastAsia="pl-PL"/>
              </w:rPr>
              <w:br/>
              <w:t xml:space="preserve">  </w:t>
            </w:r>
          </w:p>
        </w:tc>
        <w:tc>
          <w:tcPr>
            <w:tcW w:w="3377" w:type="dxa"/>
            <w:shd w:val="clear" w:color="auto" w:fill="auto"/>
            <w:hideMark/>
          </w:tcPr>
          <w:p w14:paraId="4855B6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Aktualizacji Planu gospodarowania wodami na obszarze dorzecza Wisły, winny znaleźć się uregulowania oraz winny zostać określone konkretne działania polegające na corocznym pogłębianiu koryta rzeki Wisły na odcinku od Wyszogrodu do Włocławka.</w:t>
            </w:r>
          </w:p>
        </w:tc>
        <w:tc>
          <w:tcPr>
            <w:tcW w:w="3401" w:type="dxa"/>
            <w:shd w:val="clear" w:color="auto" w:fill="auto"/>
            <w:hideMark/>
          </w:tcPr>
          <w:p w14:paraId="1B37DF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dokumentu w załączniku nr 9, w części dotyczącej odcinka rzeki Wisły w granicach administracyjnych powiatu płockiego i Miasta Płocka zapisano, iż dla każdej lokalizacji zagrożenia, przyczyną uznania miejsca za zatorogenne jest m.in. wypłycenie koryta. Włodarze Powiatu Płockiego co roku apelują do Rządu RP oraz Państwowego Gospodarstwa Wodnego Wody Polskie o systematyczne usuwanie namułów i rumoszu z koryta rzeki Wisły na terenie powiatu płockiego w celu jej udrożnienia. Jest to podstawowe działanie, które powinno być prowadzone co roku w ramach bieżącego utrzymania wód, mające na celu ochronę przeciwpowodziową. Skutki braku drożności koryta rzeki odczuwamy od kilku lat w okresie wiosennym.</w:t>
            </w:r>
            <w:r w:rsidRPr="005E78BB">
              <w:rPr>
                <w:rFonts w:ascii="Calibri" w:eastAsia="Times New Roman" w:hAnsi="Calibri" w:cs="Calibri"/>
                <w:color w:val="000000"/>
                <w:sz w:val="18"/>
                <w:szCs w:val="18"/>
                <w:lang w:eastAsia="pl-PL"/>
              </w:rPr>
              <w:br/>
              <w:t>Niezrozumiałym jest zatem przygotowywanie projektów Aktualizacji Planu gospodarowania wodami na obszarze dorzecza Wisły, czy wcześniej Aktualizacji Planu zarządzania ryzykiem powodziowym, bez uwzględnienia  działań polegających na systematycznym pogłębianiu koryta rzeki Wisły w granicach powiatu płockiego.</w:t>
            </w:r>
            <w:r w:rsidRPr="005E78BB">
              <w:rPr>
                <w:rFonts w:ascii="Calibri" w:eastAsia="Times New Roman" w:hAnsi="Calibri" w:cs="Calibri"/>
                <w:color w:val="000000"/>
                <w:sz w:val="18"/>
                <w:szCs w:val="18"/>
                <w:lang w:eastAsia="pl-PL"/>
              </w:rPr>
              <w:br/>
              <w:t xml:space="preserve">Funkcjonująca na rzece Wiśle zapora powoduje zatrzymanie rumoszu niesionego przez nurt wody Wisły w obrębie Zbiornika Wodnego Włocławek i przed nim od miejscowości Wyszogród. Nagromadzenie rumoszu i brak systematycznego prowadzenia udrażniania koryta rzeki na </w:t>
            </w:r>
            <w:r w:rsidRPr="005E78BB">
              <w:rPr>
                <w:rFonts w:ascii="Calibri" w:eastAsia="Times New Roman" w:hAnsi="Calibri" w:cs="Calibri"/>
                <w:color w:val="000000"/>
                <w:sz w:val="18"/>
                <w:szCs w:val="18"/>
                <w:lang w:eastAsia="pl-PL"/>
              </w:rPr>
              <w:lastRenderedPageBreak/>
              <w:t>tym odcinku doprowadziło do wypłycenia rzeki. Sytuacja ta jest jedną z podstawowych zagrożeń powodziowych. Niestety w projekcie dokumentu brak zapisu dot. konserwacji rzeki.</w:t>
            </w:r>
          </w:p>
        </w:tc>
        <w:tc>
          <w:tcPr>
            <w:tcW w:w="1918" w:type="dxa"/>
            <w:shd w:val="clear" w:color="auto" w:fill="auto"/>
            <w:hideMark/>
          </w:tcPr>
          <w:p w14:paraId="497EA7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1AF45B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5D0B81" w14:textId="1685C01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naprawcze IIaPGW mają służyć poprawie stanu wód, zachowaniu dobrego stanu wód i umożliwienia spełnienia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Proponowane działania mogą być przedmiotem analiz prowadzonych w ramach aktualizacji Planów zarządzania ryzykiem powodziowym.</w:t>
            </w:r>
          </w:p>
        </w:tc>
      </w:tr>
      <w:tr w:rsidR="0085319C" w:rsidRPr="005E78BB" w14:paraId="23C55A02" w14:textId="77777777" w:rsidTr="00E92AE6">
        <w:trPr>
          <w:trHeight w:val="454"/>
        </w:trPr>
        <w:tc>
          <w:tcPr>
            <w:tcW w:w="562" w:type="dxa"/>
            <w:shd w:val="clear" w:color="auto" w:fill="auto"/>
            <w:hideMark/>
          </w:tcPr>
          <w:p w14:paraId="29FC7C1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w:t>
            </w:r>
          </w:p>
        </w:tc>
        <w:tc>
          <w:tcPr>
            <w:tcW w:w="1021" w:type="dxa"/>
          </w:tcPr>
          <w:p w14:paraId="7F425939" w14:textId="5C0764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Nowe Miasto nad Pilicą</w:t>
            </w:r>
          </w:p>
        </w:tc>
        <w:tc>
          <w:tcPr>
            <w:tcW w:w="1630" w:type="dxa"/>
            <w:shd w:val="clear" w:color="auto" w:fill="auto"/>
            <w:hideMark/>
          </w:tcPr>
          <w:p w14:paraId="12F618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60FC3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Działania uzupełniające  przypisane do jednolitych  części wód powierzchniowych w zlewni Pilicy ujęte w projekcie  drugiej aPGW w dorzeczu Wisły (IIaPGW) str. 259 Realizacja Krajowego  Programu Oczyszczania Ścieków  Komunalnych</w:t>
            </w:r>
            <w:r w:rsidRPr="005E78BB">
              <w:rPr>
                <w:rFonts w:ascii="Calibri" w:eastAsia="Times New Roman" w:hAnsi="Calibri" w:cs="Calibri"/>
                <w:color w:val="000000"/>
                <w:sz w:val="18"/>
                <w:szCs w:val="18"/>
                <w:lang w:eastAsia="pl-PL"/>
              </w:rPr>
              <w:br/>
              <w:t>- budowa  kanalizacji sanitarnej ul. Bielińskiego, Browarna, Piliczna,  Mostowa, Podgórna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1. Wykreślić ul. Mostowa i ul. Podgórna</w:t>
            </w:r>
            <w:r w:rsidRPr="005E78BB">
              <w:rPr>
                <w:rFonts w:ascii="Calibri" w:eastAsia="Times New Roman" w:hAnsi="Calibri" w:cs="Calibri"/>
                <w:color w:val="000000"/>
                <w:sz w:val="18"/>
                <w:szCs w:val="18"/>
                <w:lang w:eastAsia="pl-PL"/>
              </w:rPr>
              <w:br/>
              <w:t>2. Dodać  budowa kanalizacji sanitarnej  - Osiedle Sady</w:t>
            </w:r>
          </w:p>
        </w:tc>
        <w:tc>
          <w:tcPr>
            <w:tcW w:w="3377" w:type="dxa"/>
            <w:shd w:val="clear" w:color="auto" w:fill="auto"/>
            <w:hideMark/>
          </w:tcPr>
          <w:p w14:paraId="25DA4A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Budowa kanalizacji sanitarnej ul. Bielińskiego, Browarna, Piliczna</w:t>
            </w:r>
            <w:r w:rsidRPr="005E78BB">
              <w:rPr>
                <w:rFonts w:ascii="Calibri" w:eastAsia="Times New Roman" w:hAnsi="Calibri" w:cs="Calibri"/>
                <w:color w:val="000000"/>
                <w:sz w:val="18"/>
                <w:szCs w:val="18"/>
                <w:lang w:eastAsia="pl-PL"/>
              </w:rPr>
              <w:br/>
              <w:t>2. Budowa kanalizacji sanitarnej – Osiedle Sady</w:t>
            </w:r>
          </w:p>
        </w:tc>
        <w:tc>
          <w:tcPr>
            <w:tcW w:w="3401" w:type="dxa"/>
            <w:shd w:val="clear" w:color="auto" w:fill="auto"/>
            <w:hideMark/>
          </w:tcPr>
          <w:p w14:paraId="425BBB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Wskazane ulice zostały wyłączone z obszaru i granic aglomeracji.</w:t>
            </w:r>
            <w:r w:rsidRPr="005E78BB">
              <w:rPr>
                <w:rFonts w:ascii="Calibri" w:eastAsia="Times New Roman" w:hAnsi="Calibri" w:cs="Calibri"/>
                <w:color w:val="000000"/>
                <w:sz w:val="18"/>
                <w:szCs w:val="18"/>
                <w:lang w:eastAsia="pl-PL"/>
              </w:rPr>
              <w:br/>
              <w:t>2. Planowana  do budowy  kanalizacja sanitarna – Osiedle Sady jako zadania wskazane w IV akpośk.</w:t>
            </w:r>
            <w:r w:rsidRPr="005E78BB">
              <w:rPr>
                <w:rFonts w:ascii="Calibri" w:eastAsia="Times New Roman" w:hAnsi="Calibri" w:cs="Calibri"/>
                <w:color w:val="000000"/>
                <w:sz w:val="18"/>
                <w:szCs w:val="18"/>
                <w:lang w:eastAsia="pl-PL"/>
              </w:rPr>
              <w:br/>
              <w:t xml:space="preserve">Uwzględnienie powyższych zmian zapewni spójność pomiędzy dokumentami. </w:t>
            </w:r>
          </w:p>
        </w:tc>
        <w:tc>
          <w:tcPr>
            <w:tcW w:w="1918" w:type="dxa"/>
            <w:shd w:val="clear" w:color="auto" w:fill="auto"/>
            <w:hideMark/>
          </w:tcPr>
          <w:p w14:paraId="5445FD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19B4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121AB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Poprawiono zgodnie z uwagą.</w:t>
            </w:r>
          </w:p>
        </w:tc>
      </w:tr>
      <w:tr w:rsidR="0085319C" w:rsidRPr="005E78BB" w14:paraId="040C39D8" w14:textId="77777777" w:rsidTr="00E92AE6">
        <w:trPr>
          <w:trHeight w:val="454"/>
        </w:trPr>
        <w:tc>
          <w:tcPr>
            <w:tcW w:w="562" w:type="dxa"/>
            <w:shd w:val="clear" w:color="auto" w:fill="auto"/>
            <w:hideMark/>
          </w:tcPr>
          <w:p w14:paraId="651ABFF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w:t>
            </w:r>
          </w:p>
        </w:tc>
        <w:tc>
          <w:tcPr>
            <w:tcW w:w="1021" w:type="dxa"/>
          </w:tcPr>
          <w:p w14:paraId="721801B7" w14:textId="22B2FE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28C2F7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5AA0FBEC" w14:textId="12F019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w:t>
            </w:r>
            <w:r w:rsidRPr="005E78BB">
              <w:rPr>
                <w:rFonts w:ascii="Calibri" w:eastAsia="Times New Roman" w:hAnsi="Calibri" w:cs="Calibri"/>
                <w:color w:val="000000"/>
                <w:sz w:val="18"/>
                <w:szCs w:val="18"/>
                <w:lang w:eastAsia="pl-PL"/>
              </w:rPr>
              <w:br/>
              <w:t xml:space="preserve">Rozdział 12 oraz Załącznik nr 7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Rozszerzenie katalogu działań o kwestie dotyczące: </w:t>
            </w:r>
            <w:r w:rsidRPr="005E78BB">
              <w:rPr>
                <w:rFonts w:ascii="Calibri" w:eastAsia="Times New Roman" w:hAnsi="Calibri" w:cs="Calibri"/>
                <w:color w:val="000000"/>
                <w:sz w:val="18"/>
                <w:szCs w:val="18"/>
                <w:lang w:eastAsia="pl-PL"/>
              </w:rPr>
              <w:br/>
              <w:t xml:space="preserve">− identyfikacji i oceny ryzyka związanego z występowaniem w wodach mikrozanieczyszczeń </w:t>
            </w:r>
            <w:r w:rsidRPr="005E78BB">
              <w:rPr>
                <w:rFonts w:ascii="Calibri" w:eastAsia="Times New Roman" w:hAnsi="Calibri" w:cs="Calibri"/>
                <w:color w:val="000000"/>
                <w:sz w:val="18"/>
                <w:szCs w:val="18"/>
                <w:lang w:eastAsia="pl-PL"/>
              </w:rPr>
              <w:br/>
              <w:t xml:space="preserve">i farmaceutyków, </w:t>
            </w:r>
            <w:r w:rsidRPr="005E78BB">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5E78BB">
              <w:rPr>
                <w:rFonts w:ascii="Calibri" w:eastAsia="Times New Roman" w:hAnsi="Calibri" w:cs="Calibri"/>
                <w:color w:val="000000"/>
                <w:sz w:val="18"/>
                <w:szCs w:val="18"/>
                <w:lang w:eastAsia="pl-PL"/>
              </w:rPr>
              <w:br/>
              <w:t xml:space="preserve">celów środowiskowych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p>
        </w:tc>
        <w:tc>
          <w:tcPr>
            <w:tcW w:w="3377" w:type="dxa"/>
            <w:shd w:val="clear" w:color="auto" w:fill="auto"/>
            <w:hideMark/>
          </w:tcPr>
          <w:p w14:paraId="6CED830B" w14:textId="4B4D8B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Rozszerzenie katalogu działań o kwestie dotyczące: </w:t>
            </w:r>
            <w:r w:rsidRPr="005E78BB">
              <w:rPr>
                <w:rFonts w:ascii="Calibri" w:eastAsia="Times New Roman" w:hAnsi="Calibri" w:cs="Calibri"/>
                <w:color w:val="000000"/>
                <w:sz w:val="18"/>
                <w:szCs w:val="18"/>
                <w:lang w:eastAsia="pl-PL"/>
              </w:rPr>
              <w:br/>
              <w:t xml:space="preserve">− identyfikacji i oceny ryzyka związanego z występowaniem w wodach mikrozanieczyszczeń </w:t>
            </w:r>
            <w:r w:rsidRPr="005E78BB">
              <w:rPr>
                <w:rFonts w:ascii="Calibri" w:eastAsia="Times New Roman" w:hAnsi="Calibri" w:cs="Calibri"/>
                <w:color w:val="000000"/>
                <w:sz w:val="18"/>
                <w:szCs w:val="18"/>
                <w:lang w:eastAsia="pl-PL"/>
              </w:rPr>
              <w:br/>
              <w:t xml:space="preserve">i farmaceutyków, </w:t>
            </w:r>
            <w:r w:rsidRPr="005E78BB">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5E78BB">
              <w:rPr>
                <w:rFonts w:ascii="Calibri" w:eastAsia="Times New Roman" w:hAnsi="Calibri" w:cs="Calibri"/>
                <w:color w:val="000000"/>
                <w:sz w:val="18"/>
                <w:szCs w:val="18"/>
                <w:lang w:eastAsia="pl-PL"/>
              </w:rPr>
              <w:br/>
              <w:t xml:space="preserve">celów środowiskowych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6EC935EE" w14:textId="1DB07A0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2019 r. opracowano i poddano konsultacjom społecznym projekt „Przeglądu istotnych </w:t>
            </w:r>
            <w:r w:rsidRPr="005E78BB">
              <w:rPr>
                <w:rFonts w:ascii="Calibri" w:eastAsia="Times New Roman" w:hAnsi="Calibri" w:cs="Calibri"/>
                <w:color w:val="000000"/>
                <w:sz w:val="18"/>
                <w:szCs w:val="18"/>
                <w:lang w:eastAsia="pl-PL"/>
              </w:rPr>
              <w:br/>
              <w:t xml:space="preserve">problemów gospodarki wodnej dla obszarów dorzeczy” (dalej: PIPGW). W PIPGW </w:t>
            </w:r>
            <w:r w:rsidRPr="005E78BB">
              <w:rPr>
                <w:rFonts w:ascii="Calibri" w:eastAsia="Times New Roman" w:hAnsi="Calibri" w:cs="Calibri"/>
                <w:color w:val="000000"/>
                <w:sz w:val="18"/>
                <w:szCs w:val="18"/>
                <w:lang w:eastAsia="pl-PL"/>
              </w:rPr>
              <w:br/>
              <w:t xml:space="preserve">zidentyfikowano i sklasyfikowano problemy gospodarki wodnej generujące problemy w </w:t>
            </w:r>
            <w:r w:rsidRPr="005E78BB">
              <w:rPr>
                <w:rFonts w:ascii="Calibri" w:eastAsia="Times New Roman" w:hAnsi="Calibri" w:cs="Calibri"/>
                <w:color w:val="000000"/>
                <w:sz w:val="18"/>
                <w:szCs w:val="18"/>
                <w:lang w:eastAsia="pl-PL"/>
              </w:rPr>
              <w:br/>
              <w:t xml:space="preserve">utrzymaniu lub osiągnięciu celów środowiskowych jednolitych części wód powierzchniowych (dalej: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jednolitych części wód podziemnych (dalej: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Wskazano zagadnienia o charakterze ogólnokrajowym, a następnie przedstawiono obraz tych zagadnień w odniesieniu do 9 dorzeczy. W opracowaniu tym zidentyfikowano problemy: dot. konkretnych oddziaływań (m.in. emisje zanieczyszczeń, presje hydromorfologiczne, niewykorzystywanie potencjału naturalnej retencji oraz renaturyzacji rzek, nadmierny pobór wód podziemnych mający wpływ na stan ilościowy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a także szereg aspektów strategiczno – organizacyjno - prawnych, m.in.: </w:t>
            </w:r>
            <w:r w:rsidRPr="005E78BB">
              <w:rPr>
                <w:rFonts w:ascii="Calibri" w:eastAsia="Times New Roman" w:hAnsi="Calibri" w:cs="Calibri"/>
                <w:color w:val="000000"/>
                <w:sz w:val="18"/>
                <w:szCs w:val="18"/>
                <w:lang w:eastAsia="pl-PL"/>
              </w:rPr>
              <w:br/>
              <w:t xml:space="preserve">1) w PIPGW zasygnalizowano zagadnienie związane w występowaniem dotychczas </w:t>
            </w:r>
            <w:r w:rsidRPr="005E78BB">
              <w:rPr>
                <w:rFonts w:ascii="Calibri" w:eastAsia="Times New Roman" w:hAnsi="Calibri" w:cs="Calibri"/>
                <w:color w:val="000000"/>
                <w:sz w:val="18"/>
                <w:szCs w:val="18"/>
                <w:lang w:eastAsia="pl-PL"/>
              </w:rPr>
              <w:br/>
              <w:t xml:space="preserve">nienormowanych zanieczyszczeń, takich jak np. farmaceutyki czy inne </w:t>
            </w:r>
            <w:r w:rsidRPr="005E78BB">
              <w:rPr>
                <w:rFonts w:ascii="Calibri" w:eastAsia="Times New Roman" w:hAnsi="Calibri" w:cs="Calibri"/>
                <w:color w:val="000000"/>
                <w:sz w:val="18"/>
                <w:szCs w:val="18"/>
                <w:lang w:eastAsia="pl-PL"/>
              </w:rPr>
              <w:br/>
              <w:t xml:space="preserve">mikrozanieczyszczenia. Jest o nich mowa w Komunikacie Komisji Europejskiej z 11 marca </w:t>
            </w:r>
            <w:r w:rsidRPr="005E78BB">
              <w:rPr>
                <w:rFonts w:ascii="Calibri" w:eastAsia="Times New Roman" w:hAnsi="Calibri" w:cs="Calibri"/>
                <w:color w:val="000000"/>
                <w:sz w:val="18"/>
                <w:szCs w:val="18"/>
                <w:lang w:eastAsia="pl-PL"/>
              </w:rPr>
              <w:br/>
              <w:t xml:space="preserve">2019 r. o „Strategicznym podejściu Unii Europejskiej do substancji farmaceutycznych w </w:t>
            </w:r>
            <w:r w:rsidRPr="005E78BB">
              <w:rPr>
                <w:rFonts w:ascii="Calibri" w:eastAsia="Times New Roman" w:hAnsi="Calibri" w:cs="Calibri"/>
                <w:color w:val="000000"/>
                <w:sz w:val="18"/>
                <w:szCs w:val="18"/>
                <w:lang w:eastAsia="pl-PL"/>
              </w:rPr>
              <w:br/>
              <w:t xml:space="preserve">środowisku” (COM(2019)128 final); </w:t>
            </w:r>
            <w:r w:rsidRPr="005E78BB">
              <w:rPr>
                <w:rFonts w:ascii="Calibri" w:eastAsia="Times New Roman" w:hAnsi="Calibri" w:cs="Calibri"/>
                <w:color w:val="000000"/>
                <w:sz w:val="18"/>
                <w:szCs w:val="18"/>
                <w:lang w:eastAsia="pl-PL"/>
              </w:rPr>
              <w:br/>
              <w:t xml:space="preserve">2) w PIPGW zauważono brak wdrożenia efektywnej regulacji w zakresie przepływów </w:t>
            </w:r>
            <w:r w:rsidRPr="005E78BB">
              <w:rPr>
                <w:rFonts w:ascii="Calibri" w:eastAsia="Times New Roman" w:hAnsi="Calibri" w:cs="Calibri"/>
                <w:color w:val="000000"/>
                <w:sz w:val="18"/>
                <w:szCs w:val="18"/>
                <w:lang w:eastAsia="pl-PL"/>
              </w:rPr>
              <w:br/>
              <w:t xml:space="preserve">środowiskowych.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O ile projekty IIaPGW uwzględniają większość problemów omówionych w PIPGW, to jednak wypunktowane powyżej zagadnienia nie znalazły żadnego </w:t>
            </w:r>
            <w:r w:rsidRPr="005E78BB">
              <w:rPr>
                <w:rFonts w:ascii="Calibri" w:eastAsia="Times New Roman" w:hAnsi="Calibri" w:cs="Calibri"/>
                <w:color w:val="000000"/>
                <w:sz w:val="18"/>
                <w:szCs w:val="18"/>
                <w:lang w:eastAsia="pl-PL"/>
              </w:rPr>
              <w:lastRenderedPageBreak/>
              <w:t xml:space="preserve">odzwierciedlenia w treści projektów IIaPGW, w tym - w zestawach działań mających na celu osiągnięcie celów </w:t>
            </w:r>
            <w:r w:rsidRPr="005E78BB">
              <w:rPr>
                <w:rFonts w:ascii="Calibri" w:eastAsia="Times New Roman" w:hAnsi="Calibri" w:cs="Calibri"/>
                <w:color w:val="000000"/>
                <w:sz w:val="18"/>
                <w:szCs w:val="18"/>
                <w:lang w:eastAsia="pl-PL"/>
              </w:rPr>
              <w:br/>
              <w:t xml:space="preserve">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i obszarów chronionych. W związku z powyższym, niezbędne jest rozszerzenie katalogu działań o kwestie dotyczące: </w:t>
            </w:r>
            <w:r w:rsidRPr="005E78BB">
              <w:rPr>
                <w:rFonts w:ascii="Calibri" w:eastAsia="Times New Roman" w:hAnsi="Calibri" w:cs="Calibri"/>
                <w:color w:val="000000"/>
                <w:sz w:val="18"/>
                <w:szCs w:val="18"/>
                <w:lang w:eastAsia="pl-PL"/>
              </w:rPr>
              <w:br/>
              <w:t xml:space="preserve">− identyfikacji i oceny ryzyka związanego z występowaniem w wodach mikrozanieczyszczeń i farmaceutyków, </w:t>
            </w:r>
            <w:r w:rsidRPr="005E78BB">
              <w:rPr>
                <w:rFonts w:ascii="Calibri" w:eastAsia="Times New Roman" w:hAnsi="Calibri" w:cs="Calibri"/>
                <w:color w:val="000000"/>
                <w:sz w:val="18"/>
                <w:szCs w:val="18"/>
                <w:lang w:eastAsia="pl-PL"/>
              </w:rPr>
              <w:br/>
              <w:t xml:space="preserve">− ustalenia przepływów środowiskowych i uznania ich za środki niezbędne do osiągnięcia </w:t>
            </w:r>
            <w:r w:rsidRPr="005E78BB">
              <w:rPr>
                <w:rFonts w:ascii="Calibri" w:eastAsia="Times New Roman" w:hAnsi="Calibri" w:cs="Calibri"/>
                <w:color w:val="000000"/>
                <w:sz w:val="18"/>
                <w:szCs w:val="18"/>
                <w:lang w:eastAsia="pl-PL"/>
              </w:rPr>
              <w:br/>
              <w:t xml:space="preserve">celów środowiskowych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p>
        </w:tc>
        <w:tc>
          <w:tcPr>
            <w:tcW w:w="1918" w:type="dxa"/>
            <w:shd w:val="clear" w:color="auto" w:fill="auto"/>
            <w:hideMark/>
          </w:tcPr>
          <w:p w14:paraId="3826CB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4368E1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9999595" w14:textId="37E6B9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wpisuje się w uwagi zgłaszane także przez Komisję Europejską o braku wdrożenia efektywnej regulacji w zakresie przepływów środowiskowych. Wobec powyższego do Katalogu działań krajowych wprowadzone zostało działanie: Ustalenie przepływów środowiskowych wymaganych do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W odniesieniu do drugiej części uwagi, obecnie brak regulacji i standardów środowiskowych umożliwiających prowadzenie monitoringu mikrozanieczyszczeń.</w:t>
            </w:r>
            <w:r w:rsidRPr="005E78BB">
              <w:rPr>
                <w:rFonts w:ascii="Calibri" w:eastAsia="Times New Roman" w:hAnsi="Calibri" w:cs="Calibri"/>
                <w:color w:val="000000"/>
                <w:sz w:val="18"/>
                <w:szCs w:val="18"/>
                <w:lang w:eastAsia="pl-PL"/>
              </w:rPr>
              <w:br/>
              <w:t>Nie pozwala to tym samym na prowadzenie przez GIOŚ badań mikrozanieczyszczeń i farmaceutyków w wodach w oparciu o monitoring, w tym monitoring badawczy, w ramach Państwowego Monitoringu Środowiska. Nie jest zatem możliwe wprowadzenie do zestawów działań monitorowania tego typu substancji w ramach systemu oceny stanu wód.</w:t>
            </w:r>
            <w:r w:rsidRPr="005E78BB">
              <w:rPr>
                <w:rFonts w:ascii="Calibri" w:eastAsia="Times New Roman" w:hAnsi="Calibri" w:cs="Calibri"/>
                <w:color w:val="000000"/>
                <w:sz w:val="18"/>
                <w:szCs w:val="18"/>
                <w:lang w:eastAsia="pl-PL"/>
              </w:rPr>
              <w:br/>
              <w:t>Występowanie nienormowanych zanieczyszczeń w wodzie jest przedmiotem oceny zagrożenia dla ludzi i środowiska, a podejmowanie działań w zakresie strategii i propozycji środków na poziomie UE lub państw członkowskich w celu rozwiązania problemu możliwego wpływu mikrozanieczyszczeń i substancji farmaceutycznych na środowisko, wynika z wymagań dyrektywy w sprawie substancji priorytetowych (2008/105/WE).</w:t>
            </w:r>
            <w:r w:rsidRPr="005E78BB">
              <w:rPr>
                <w:rFonts w:ascii="Calibri" w:eastAsia="Times New Roman" w:hAnsi="Calibri" w:cs="Calibri"/>
                <w:color w:val="000000"/>
                <w:sz w:val="18"/>
                <w:szCs w:val="18"/>
                <w:lang w:eastAsia="pl-PL"/>
              </w:rPr>
              <w:br/>
              <w:t>W tej chwili nie ma obowiązku badania i monitorowania wody pod kątem obecności farmaceutyków, ze względu na brak wskazanych maksymalnych dopuszczalnych stężeń. Unia Europejska stara się uregulować tę sprawę dyrektywą związaną z tym problemem.</w:t>
            </w:r>
            <w:r w:rsidRPr="005E78BB">
              <w:rPr>
                <w:rFonts w:ascii="Calibri" w:eastAsia="Times New Roman" w:hAnsi="Calibri" w:cs="Calibri"/>
                <w:color w:val="000000"/>
                <w:sz w:val="18"/>
                <w:szCs w:val="18"/>
                <w:lang w:eastAsia="pl-PL"/>
              </w:rPr>
              <w:br/>
              <w:t xml:space="preserve">Lista badanych substancji ustalana jest na poziomie wszystkich państw członkowskich Unii Europejskiej, w ramach tak zwanego </w:t>
            </w:r>
            <w:r w:rsidRPr="005E78BB">
              <w:rPr>
                <w:rFonts w:ascii="Calibri" w:eastAsia="Times New Roman" w:hAnsi="Calibri" w:cs="Calibri"/>
                <w:color w:val="000000"/>
                <w:sz w:val="18"/>
                <w:szCs w:val="18"/>
                <w:lang w:eastAsia="pl-PL"/>
              </w:rPr>
              <w:lastRenderedPageBreak/>
              <w:t>monitoringu substancji chemicznych z tzw. listy obserwacyjnej. Monitorowanie substancji znajdujących się na liście obserwacyjnej powinno doprowadzić do wygenerowania wysokiej jakości danych dotyczących stężeń tych substancji w środowisku wodnym, co pozwala dalej wykorzystać je przy ocenie ryzyka służącej do ustalenia substancji priorytetowych, przeprowadzonej w ramach osobnego przeglądu zgodnie z wymaganiami dyrektywy 2000/60/WE.</w:t>
            </w:r>
            <w:r w:rsidRPr="005E78BB">
              <w:rPr>
                <w:rFonts w:ascii="Calibri" w:eastAsia="Times New Roman" w:hAnsi="Calibri" w:cs="Calibri"/>
                <w:color w:val="000000"/>
                <w:sz w:val="18"/>
                <w:szCs w:val="18"/>
                <w:lang w:eastAsia="pl-PL"/>
              </w:rPr>
              <w:br/>
              <w:t>W Polsce wykonano w latach 2016–2017 monitoring substancji z pierwszej listy obserwacyjnej (na podstawie decyzji wykonawczej Komisji (UE) 2015/495), w tym: hormonów i antybiotyków oraz diklofenaku.</w:t>
            </w:r>
            <w:r w:rsidRPr="005E78BB">
              <w:rPr>
                <w:rFonts w:ascii="Calibri" w:eastAsia="Times New Roman" w:hAnsi="Calibri" w:cs="Calibri"/>
                <w:color w:val="000000"/>
                <w:sz w:val="18"/>
                <w:szCs w:val="18"/>
                <w:lang w:eastAsia="pl-PL"/>
              </w:rPr>
              <w:br/>
              <w:t>W latach 2018–2019 był prowadzony monitoring substancji z drugiej listy obserwacyjnej (na podstawie decyzji wykonawczej Komisji (UE) 2018/840), na której znalazły się hormony, antybiotyki makrolidowe oraz antybiotyki takie jak amoksycylina i cyprofloksacyna. Badania były wykonywane w próbkach wód pobranych bezpośrednio z wybranych rzek na terenie kraju.</w:t>
            </w:r>
            <w:r w:rsidRPr="005E78BB">
              <w:rPr>
                <w:rFonts w:ascii="Calibri" w:eastAsia="Times New Roman" w:hAnsi="Calibri" w:cs="Calibri"/>
                <w:color w:val="000000"/>
                <w:sz w:val="18"/>
                <w:szCs w:val="18"/>
                <w:lang w:eastAsia="pl-PL"/>
              </w:rPr>
              <w:br/>
              <w:t>W nowej Dyrektywie Parlamentu Europejskiego i Rady (UE) 2020/2184 z dnia 16 grudnia 2020 r. w sprawie jakości wody przeznaczonej do spożycia przez ludzi została dostrzeżona problematyka obecności w wodzie pitnej substancji hormonalnych oraz związków zaburzających poprawne działanie gospodarki hormonalnej. Wychodząc naprzeciw rosnącemu zainteresowaniu opinii publicznej wpływem na zdrowie ludzkie nowo pojawiających się substancji w wodzie przeznaczonej do spożycia przez ludzi, takich jak substancje zaburzające gospodarkę hormonalną, farmaceutyki i mikroplastik, oraz w celu rozwiązania problemu nowo pojawiających się substancji w łańcuchu zaopatrzenia w wodę, przyjęto w dyrektywie mechanizm listy obserwacyjnej.</w:t>
            </w:r>
          </w:p>
        </w:tc>
      </w:tr>
      <w:tr w:rsidR="0085319C" w:rsidRPr="005E78BB" w14:paraId="3155187B" w14:textId="77777777" w:rsidTr="00CA5484">
        <w:trPr>
          <w:trHeight w:val="454"/>
        </w:trPr>
        <w:tc>
          <w:tcPr>
            <w:tcW w:w="562" w:type="dxa"/>
            <w:shd w:val="clear" w:color="auto" w:fill="auto"/>
            <w:hideMark/>
          </w:tcPr>
          <w:p w14:paraId="6413B63C" w14:textId="77777777" w:rsidR="0085319C" w:rsidRPr="00CA5484" w:rsidRDefault="0085319C" w:rsidP="0085319C">
            <w:pPr>
              <w:ind w:firstLine="0"/>
              <w:jc w:val="center"/>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lastRenderedPageBreak/>
              <w:t>51</w:t>
            </w:r>
          </w:p>
        </w:tc>
        <w:tc>
          <w:tcPr>
            <w:tcW w:w="1021" w:type="dxa"/>
            <w:shd w:val="clear" w:color="auto" w:fill="auto"/>
          </w:tcPr>
          <w:p w14:paraId="060C6965" w14:textId="47E37293"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hAnsi="Calibri" w:cs="Calibri"/>
                <w:color w:val="000000"/>
                <w:sz w:val="18"/>
                <w:szCs w:val="18"/>
              </w:rPr>
              <w:t>Fundacja Frank Bold</w:t>
            </w:r>
          </w:p>
        </w:tc>
        <w:tc>
          <w:tcPr>
            <w:tcW w:w="1630" w:type="dxa"/>
            <w:shd w:val="clear" w:color="auto" w:fill="auto"/>
            <w:hideMark/>
          </w:tcPr>
          <w:p w14:paraId="1C742D44" w14:textId="77777777"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FF9511C" w14:textId="3AC75FA8"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 xml:space="preserve">Część projektu planu, do której zgłaszana jest uwaga (numer rozdziału, strona dokumentu): Rozdział 8, Załącznik nr 3.1. </w:t>
            </w:r>
            <w:r w:rsidRPr="00CA5484">
              <w:rPr>
                <w:rFonts w:ascii="Calibri" w:eastAsia="Times New Roman" w:hAnsi="Calibri" w:cs="Calibri"/>
                <w:color w:val="000000"/>
                <w:sz w:val="18"/>
                <w:szCs w:val="18"/>
                <w:lang w:eastAsia="pl-PL"/>
              </w:rPr>
              <w:br w:type="page"/>
              <w:t xml:space="preserve">Treść uwagi: Zweryfikowanie celów środowiskowych w zakresie zasolenia: </w:t>
            </w:r>
            <w:r w:rsidRPr="00CA5484">
              <w:rPr>
                <w:rFonts w:ascii="Calibri" w:eastAsia="Times New Roman" w:hAnsi="Calibri" w:cs="Calibri"/>
                <w:color w:val="000000"/>
                <w:sz w:val="18"/>
                <w:szCs w:val="18"/>
                <w:lang w:eastAsia="pl-PL"/>
              </w:rPr>
              <w:br w:type="page"/>
              <w:t xml:space="preserve">− zidentyfikowanie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zagrożonych zasoleniem, </w:t>
            </w:r>
            <w:r w:rsidRPr="00CA5484">
              <w:rPr>
                <w:rFonts w:ascii="Calibri" w:eastAsia="Times New Roman" w:hAnsi="Calibri" w:cs="Calibri"/>
                <w:color w:val="000000"/>
                <w:sz w:val="18"/>
                <w:szCs w:val="18"/>
                <w:lang w:eastAsia="pl-PL"/>
              </w:rPr>
              <w:br w:type="page"/>
              <w:t xml:space="preserve">− ustanowienie celów środowiskowych dla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zagrożonych zasoleniem w zakresie </w:t>
            </w:r>
            <w:r w:rsidRPr="00CA5484">
              <w:rPr>
                <w:rFonts w:ascii="Calibri" w:eastAsia="Times New Roman" w:hAnsi="Calibri" w:cs="Calibri"/>
                <w:color w:val="000000"/>
                <w:sz w:val="18"/>
                <w:szCs w:val="18"/>
                <w:lang w:eastAsia="pl-PL"/>
              </w:rPr>
              <w:br w:type="page"/>
              <w:t xml:space="preserve">takich wskaźników, jak: substancje rozpuszczone, siarczany, chlorki, wapń, magnez, </w:t>
            </w:r>
            <w:r w:rsidRPr="00CA5484">
              <w:rPr>
                <w:rFonts w:ascii="Calibri" w:eastAsia="Times New Roman" w:hAnsi="Calibri" w:cs="Calibri"/>
                <w:color w:val="000000"/>
                <w:sz w:val="18"/>
                <w:szCs w:val="18"/>
                <w:lang w:eastAsia="pl-PL"/>
              </w:rPr>
              <w:br w:type="page"/>
              <w:t xml:space="preserve">twardość ogólna i zasadowość ogólna, </w:t>
            </w:r>
            <w:r w:rsidRPr="00CA5484">
              <w:rPr>
                <w:rFonts w:ascii="Calibri" w:eastAsia="Times New Roman" w:hAnsi="Calibri" w:cs="Calibri"/>
                <w:color w:val="000000"/>
                <w:sz w:val="18"/>
                <w:szCs w:val="18"/>
                <w:lang w:eastAsia="pl-PL"/>
              </w:rPr>
              <w:br w:type="page"/>
              <w:t xml:space="preserve">− określenie klas stanu wód dla tych wskaźników, </w:t>
            </w:r>
            <w:r w:rsidRPr="00CA5484">
              <w:rPr>
                <w:rFonts w:ascii="Calibri" w:eastAsia="Times New Roman" w:hAnsi="Calibri" w:cs="Calibri"/>
                <w:color w:val="000000"/>
                <w:sz w:val="18"/>
                <w:szCs w:val="18"/>
                <w:lang w:eastAsia="pl-PL"/>
              </w:rPr>
              <w:br w:type="page"/>
              <w:t xml:space="preserve">− zapewnienie braku możliwości zastosowania derogacji w zakresie złagodzenia celów </w:t>
            </w:r>
            <w:r w:rsidRPr="00CA5484">
              <w:rPr>
                <w:rFonts w:ascii="Calibri" w:eastAsia="Times New Roman" w:hAnsi="Calibri" w:cs="Calibri"/>
                <w:color w:val="000000"/>
                <w:sz w:val="18"/>
                <w:szCs w:val="18"/>
                <w:lang w:eastAsia="pl-PL"/>
              </w:rPr>
              <w:br w:type="page"/>
              <w:t xml:space="preserve">środowiskowych (lub odroczenia terminu ich osiągnięcia) dla ww. wskaźników. </w:t>
            </w:r>
            <w:r w:rsidRPr="00CA5484">
              <w:rPr>
                <w:rFonts w:ascii="Calibri" w:eastAsia="Times New Roman" w:hAnsi="Calibri" w:cs="Calibri"/>
                <w:color w:val="000000"/>
                <w:sz w:val="18"/>
                <w:szCs w:val="18"/>
                <w:lang w:eastAsia="pl-PL"/>
              </w:rPr>
              <w:br w:type="page"/>
            </w:r>
            <w:r w:rsidRPr="00CA5484">
              <w:rPr>
                <w:rFonts w:ascii="Calibri" w:eastAsia="Times New Roman" w:hAnsi="Calibri" w:cs="Calibri"/>
                <w:color w:val="000000"/>
                <w:sz w:val="18"/>
                <w:szCs w:val="18"/>
                <w:lang w:eastAsia="pl-PL"/>
              </w:rPr>
              <w:br w:type="page"/>
            </w:r>
          </w:p>
        </w:tc>
        <w:tc>
          <w:tcPr>
            <w:tcW w:w="3377" w:type="dxa"/>
            <w:shd w:val="clear" w:color="auto" w:fill="auto"/>
            <w:hideMark/>
          </w:tcPr>
          <w:p w14:paraId="0AA97CFC" w14:textId="4D186DD7"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 xml:space="preserve">W ramach IIaPGW należy: </w:t>
            </w:r>
            <w:r w:rsidRPr="00CA5484">
              <w:rPr>
                <w:rFonts w:ascii="Calibri" w:eastAsia="Times New Roman" w:hAnsi="Calibri" w:cs="Calibri"/>
                <w:color w:val="000000"/>
                <w:sz w:val="18"/>
                <w:szCs w:val="18"/>
                <w:lang w:eastAsia="pl-PL"/>
              </w:rPr>
              <w:br w:type="page"/>
              <w:t xml:space="preserve">1) zidentyfikować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zagrożone zasoleniem, </w:t>
            </w:r>
            <w:r w:rsidRPr="00CA5484">
              <w:rPr>
                <w:rFonts w:ascii="Calibri" w:eastAsia="Times New Roman" w:hAnsi="Calibri" w:cs="Calibri"/>
                <w:color w:val="000000"/>
                <w:sz w:val="18"/>
                <w:szCs w:val="18"/>
                <w:lang w:eastAsia="pl-PL"/>
              </w:rPr>
              <w:br w:type="page"/>
              <w:t xml:space="preserve">2) ustanowić cele środowiskowe dla tych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obejmujące substancje </w:t>
            </w:r>
            <w:r w:rsidRPr="00CA5484">
              <w:rPr>
                <w:rFonts w:ascii="Calibri" w:eastAsia="Times New Roman" w:hAnsi="Calibri" w:cs="Calibri"/>
                <w:color w:val="000000"/>
                <w:sz w:val="18"/>
                <w:szCs w:val="18"/>
                <w:lang w:eastAsia="pl-PL"/>
              </w:rPr>
              <w:br w:type="page"/>
              <w:t xml:space="preserve">rozpuszczone, siarczany, chlorki, wapń, magnez, twardość ogólna i zasadowość </w:t>
            </w:r>
            <w:r w:rsidRPr="00CA5484">
              <w:rPr>
                <w:rFonts w:ascii="Calibri" w:eastAsia="Times New Roman" w:hAnsi="Calibri" w:cs="Calibri"/>
                <w:color w:val="000000"/>
                <w:sz w:val="18"/>
                <w:szCs w:val="18"/>
                <w:lang w:eastAsia="pl-PL"/>
              </w:rPr>
              <w:br w:type="page"/>
              <w:t xml:space="preserve">ogólna oraz określić klasy stanu wód dla tych wskaźników, </w:t>
            </w:r>
            <w:r w:rsidRPr="00CA5484">
              <w:rPr>
                <w:rFonts w:ascii="Calibri" w:eastAsia="Times New Roman" w:hAnsi="Calibri" w:cs="Calibri"/>
                <w:color w:val="000000"/>
                <w:sz w:val="18"/>
                <w:szCs w:val="18"/>
                <w:lang w:eastAsia="pl-PL"/>
              </w:rPr>
              <w:br w:type="page"/>
              <w:t xml:space="preserve">3) określenie klas stanu wód dla tych wskaźników, </w:t>
            </w:r>
            <w:r w:rsidRPr="00CA5484">
              <w:rPr>
                <w:rFonts w:ascii="Calibri" w:eastAsia="Times New Roman" w:hAnsi="Calibri" w:cs="Calibri"/>
                <w:color w:val="000000"/>
                <w:sz w:val="18"/>
                <w:szCs w:val="18"/>
                <w:lang w:eastAsia="pl-PL"/>
              </w:rPr>
              <w:br w:type="page"/>
              <w:t xml:space="preserve">4) zapewnić brak możliwości zastosowania derogacji w zakresie złagodzenia celów </w:t>
            </w:r>
            <w:r w:rsidRPr="00CA5484">
              <w:rPr>
                <w:rFonts w:ascii="Calibri" w:eastAsia="Times New Roman" w:hAnsi="Calibri" w:cs="Calibri"/>
                <w:color w:val="000000"/>
                <w:sz w:val="18"/>
                <w:szCs w:val="18"/>
                <w:lang w:eastAsia="pl-PL"/>
              </w:rPr>
              <w:br w:type="page"/>
              <w:t xml:space="preserve">środowiskowych (lub odroczenia terminu ich osiągnięcia) dla ww. wskaźników. </w:t>
            </w:r>
            <w:r w:rsidRPr="00CA5484">
              <w:rPr>
                <w:rFonts w:ascii="Calibri" w:eastAsia="Times New Roman" w:hAnsi="Calibri" w:cs="Calibri"/>
                <w:color w:val="000000"/>
                <w:sz w:val="18"/>
                <w:szCs w:val="18"/>
                <w:lang w:eastAsia="pl-PL"/>
              </w:rPr>
              <w:br w:type="page"/>
            </w:r>
            <w:r w:rsidRPr="00CA5484">
              <w:rPr>
                <w:rFonts w:ascii="Calibri" w:eastAsia="Times New Roman" w:hAnsi="Calibri" w:cs="Calibri"/>
                <w:color w:val="000000"/>
                <w:sz w:val="18"/>
                <w:szCs w:val="18"/>
                <w:lang w:eastAsia="pl-PL"/>
              </w:rPr>
              <w:br w:type="page"/>
            </w:r>
            <w:r w:rsidRPr="00CA5484">
              <w:rPr>
                <w:rFonts w:ascii="Calibri" w:eastAsia="Times New Roman" w:hAnsi="Calibri" w:cs="Calibri"/>
                <w:color w:val="000000"/>
                <w:sz w:val="18"/>
                <w:szCs w:val="18"/>
                <w:lang w:eastAsia="pl-PL"/>
              </w:rPr>
              <w:br w:type="page"/>
              <w:t xml:space="preserve"> </w:t>
            </w:r>
          </w:p>
        </w:tc>
        <w:tc>
          <w:tcPr>
            <w:tcW w:w="3401" w:type="dxa"/>
            <w:shd w:val="clear" w:color="auto" w:fill="auto"/>
            <w:hideMark/>
          </w:tcPr>
          <w:p w14:paraId="232C92E9" w14:textId="7BEA9328"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 xml:space="preserve">1. Rozporządzenie Ministra Infrastruktury z dnia 13 lipca 2021 r. w sprawie form i sposobu </w:t>
            </w:r>
            <w:r w:rsidRPr="00CA5484">
              <w:rPr>
                <w:rFonts w:ascii="Calibri" w:eastAsia="Times New Roman" w:hAnsi="Calibri" w:cs="Calibri"/>
                <w:color w:val="000000"/>
                <w:sz w:val="18"/>
                <w:szCs w:val="18"/>
                <w:lang w:eastAsia="pl-PL"/>
              </w:rPr>
              <w:br w:type="page"/>
              <w:t xml:space="preserve">prowadzenia monitoringu jednolitych części wód powierzchniowych i jednolitych części </w:t>
            </w:r>
            <w:r w:rsidRPr="00CA5484">
              <w:rPr>
                <w:rFonts w:ascii="Calibri" w:eastAsia="Times New Roman" w:hAnsi="Calibri" w:cs="Calibri"/>
                <w:color w:val="000000"/>
                <w:sz w:val="18"/>
                <w:szCs w:val="18"/>
                <w:lang w:eastAsia="pl-PL"/>
              </w:rPr>
              <w:br w:type="page"/>
              <w:t xml:space="preserve">wód podziemnych (Dz. U. z 2021 r. poz. 1576) w załączniku nr 3 (w przypisie nr 8 do tabeli </w:t>
            </w:r>
            <w:r w:rsidRPr="00CA5484">
              <w:rPr>
                <w:rFonts w:ascii="Calibri" w:eastAsia="Times New Roman" w:hAnsi="Calibri" w:cs="Calibri"/>
                <w:color w:val="000000"/>
                <w:sz w:val="18"/>
                <w:szCs w:val="18"/>
                <w:lang w:eastAsia="pl-PL"/>
              </w:rPr>
              <w:br w:type="page"/>
              <w:t xml:space="preserve">nr 3) dedykowanym monitoringowi operacyjnemu wskazuje na konieczność badania w </w:t>
            </w:r>
            <w:r w:rsidRPr="00CA5484">
              <w:rPr>
                <w:rFonts w:ascii="Calibri" w:eastAsia="Times New Roman" w:hAnsi="Calibri" w:cs="Calibri"/>
                <w:color w:val="000000"/>
                <w:sz w:val="18"/>
                <w:szCs w:val="18"/>
                <w:lang w:eastAsia="pl-PL"/>
              </w:rPr>
              <w:br w:type="page"/>
              <w:t xml:space="preserve">rzecznych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„zagrożonych zasoleniem” takich parametrów, jak m.in. substancje </w:t>
            </w:r>
            <w:r w:rsidRPr="00CA5484">
              <w:rPr>
                <w:rFonts w:ascii="Calibri" w:eastAsia="Times New Roman" w:hAnsi="Calibri" w:cs="Calibri"/>
                <w:color w:val="000000"/>
                <w:sz w:val="18"/>
                <w:szCs w:val="18"/>
                <w:lang w:eastAsia="pl-PL"/>
              </w:rPr>
              <w:br w:type="page"/>
              <w:t xml:space="preserve">rozpuszczone, siarczany, chlorki, wapń, magnez, twardość ogólna i zasadowość </w:t>
            </w:r>
            <w:r w:rsidRPr="00CA5484">
              <w:rPr>
                <w:rFonts w:ascii="Calibri" w:eastAsia="Times New Roman" w:hAnsi="Calibri" w:cs="Calibri"/>
                <w:color w:val="000000"/>
                <w:sz w:val="18"/>
                <w:szCs w:val="18"/>
                <w:lang w:eastAsia="pl-PL"/>
              </w:rPr>
              <w:lastRenderedPageBreak/>
              <w:t xml:space="preserve">ogólna – </w:t>
            </w:r>
            <w:r w:rsidRPr="00CA5484">
              <w:rPr>
                <w:rFonts w:ascii="Calibri" w:eastAsia="Times New Roman" w:hAnsi="Calibri" w:cs="Calibri"/>
                <w:color w:val="000000"/>
                <w:sz w:val="18"/>
                <w:szCs w:val="18"/>
                <w:lang w:eastAsia="pl-PL"/>
              </w:rPr>
              <w:br w:type="page"/>
              <w:t xml:space="preserve">a więc znacznie szerszy katalog wskaźników zasolenia niż wyłącznie przewodność </w:t>
            </w:r>
            <w:r w:rsidRPr="00CA5484">
              <w:rPr>
                <w:rFonts w:ascii="Calibri" w:eastAsia="Times New Roman" w:hAnsi="Calibri" w:cs="Calibri"/>
                <w:color w:val="000000"/>
                <w:sz w:val="18"/>
                <w:szCs w:val="18"/>
                <w:lang w:eastAsia="pl-PL"/>
              </w:rPr>
              <w:br w:type="page"/>
              <w:t xml:space="preserve">elektrolityczna właściwa. </w:t>
            </w:r>
            <w:r w:rsidRPr="00CA5484">
              <w:rPr>
                <w:rFonts w:ascii="Calibri" w:eastAsia="Times New Roman" w:hAnsi="Calibri" w:cs="Calibri"/>
                <w:color w:val="000000"/>
                <w:sz w:val="18"/>
                <w:szCs w:val="18"/>
                <w:lang w:eastAsia="pl-PL"/>
              </w:rPr>
              <w:br w:type="page"/>
              <w:t xml:space="preserve">2. Punkt 2 w załączniku nr 7 do rozporządzenie Ministra Infrastruktury z dnia 25 czerwca </w:t>
            </w:r>
            <w:r w:rsidRPr="00CA5484">
              <w:rPr>
                <w:rFonts w:ascii="Calibri" w:eastAsia="Times New Roman" w:hAnsi="Calibri" w:cs="Calibri"/>
                <w:color w:val="000000"/>
                <w:sz w:val="18"/>
                <w:szCs w:val="18"/>
                <w:lang w:eastAsia="pl-PL"/>
              </w:rPr>
              <w:br w:type="page"/>
              <w:t xml:space="preserve">2021 r. w sprawie klasyfikacji stanu ekologicznego, potencjału ekologicznego i stanu </w:t>
            </w:r>
            <w:r w:rsidRPr="00CA5484">
              <w:rPr>
                <w:rFonts w:ascii="Calibri" w:eastAsia="Times New Roman" w:hAnsi="Calibri" w:cs="Calibri"/>
                <w:color w:val="000000"/>
                <w:sz w:val="18"/>
                <w:szCs w:val="18"/>
                <w:lang w:eastAsia="pl-PL"/>
              </w:rPr>
              <w:br w:type="page"/>
              <w:t xml:space="preserve">chemicznego oraz sposobu klasyfikacji stanu jednolitych części wód powierzchniowych, a </w:t>
            </w:r>
            <w:r w:rsidRPr="00CA5484">
              <w:rPr>
                <w:rFonts w:ascii="Calibri" w:eastAsia="Times New Roman" w:hAnsi="Calibri" w:cs="Calibri"/>
                <w:color w:val="000000"/>
                <w:sz w:val="18"/>
                <w:szCs w:val="18"/>
                <w:lang w:eastAsia="pl-PL"/>
              </w:rPr>
              <w:br w:type="page"/>
              <w:t xml:space="preserve">także środowiskowych norm jakości dla substancji priorytetowych (Dz. U. z 2021 r. poz. </w:t>
            </w:r>
            <w:r w:rsidRPr="00CA5484">
              <w:rPr>
                <w:rFonts w:ascii="Calibri" w:eastAsia="Times New Roman" w:hAnsi="Calibri" w:cs="Calibri"/>
                <w:color w:val="000000"/>
                <w:sz w:val="18"/>
                <w:szCs w:val="18"/>
                <w:lang w:eastAsia="pl-PL"/>
              </w:rPr>
              <w:br w:type="page"/>
              <w:t xml:space="preserve">1475) wskazuje, że wartości graniczne dla klas wskaźników jakości wód </w:t>
            </w:r>
            <w:r w:rsidRPr="00CA5484">
              <w:rPr>
                <w:rFonts w:ascii="Calibri" w:eastAsia="Times New Roman" w:hAnsi="Calibri" w:cs="Calibri"/>
                <w:color w:val="000000"/>
                <w:sz w:val="18"/>
                <w:szCs w:val="18"/>
                <w:lang w:eastAsia="pl-PL"/>
              </w:rPr>
              <w:br w:type="page"/>
              <w:t xml:space="preserve"> powierzchniowych, będące podstawą klasyfikacji potencjału ekologicznego silnie </w:t>
            </w:r>
            <w:r w:rsidRPr="00CA5484">
              <w:rPr>
                <w:rFonts w:ascii="Calibri" w:eastAsia="Times New Roman" w:hAnsi="Calibri" w:cs="Calibri"/>
                <w:color w:val="000000"/>
                <w:sz w:val="18"/>
                <w:szCs w:val="18"/>
                <w:lang w:eastAsia="pl-PL"/>
              </w:rPr>
              <w:br w:type="page"/>
              <w:t xml:space="preserve">zmienionych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określa się w planie gospodarowania wodami na obszarze dorzecza </w:t>
            </w:r>
            <w:r w:rsidRPr="00CA5484">
              <w:rPr>
                <w:rFonts w:ascii="Calibri" w:eastAsia="Times New Roman" w:hAnsi="Calibri" w:cs="Calibri"/>
                <w:color w:val="000000"/>
                <w:sz w:val="18"/>
                <w:szCs w:val="18"/>
                <w:lang w:eastAsia="pl-PL"/>
              </w:rPr>
              <w:br w:type="page"/>
              <w:t xml:space="preserve">lub w ramach jego aktualizacji. Rozporządzenie to w żadnym miejscu nie wskazuje, że ww. </w:t>
            </w:r>
            <w:r w:rsidRPr="00CA5484">
              <w:rPr>
                <w:rFonts w:ascii="Calibri" w:eastAsia="Times New Roman" w:hAnsi="Calibri" w:cs="Calibri"/>
                <w:color w:val="000000"/>
                <w:sz w:val="18"/>
                <w:szCs w:val="18"/>
                <w:lang w:eastAsia="pl-PL"/>
              </w:rPr>
              <w:br w:type="page"/>
              <w:t xml:space="preserve">wartości graniczne mają dotyczyć wyłącznie wskaźników, które są przypisane w </w:t>
            </w:r>
            <w:r w:rsidRPr="00CA5484">
              <w:rPr>
                <w:rFonts w:ascii="Calibri" w:eastAsia="Times New Roman" w:hAnsi="Calibri" w:cs="Calibri"/>
                <w:color w:val="000000"/>
                <w:sz w:val="18"/>
                <w:szCs w:val="18"/>
                <w:lang w:eastAsia="pl-PL"/>
              </w:rPr>
              <w:br w:type="page"/>
              <w:t xml:space="preserve">rozporządzeniu do naturalnych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w:t>
            </w:r>
            <w:r w:rsidRPr="00CA5484">
              <w:rPr>
                <w:rFonts w:ascii="Calibri" w:eastAsia="Times New Roman" w:hAnsi="Calibri" w:cs="Calibri"/>
                <w:color w:val="000000"/>
                <w:sz w:val="18"/>
                <w:szCs w:val="18"/>
                <w:lang w:eastAsia="pl-PL"/>
              </w:rPr>
              <w:br w:type="page"/>
              <w:t xml:space="preserve">3. Zestawiając ww. pkt 2 z pkt 1 należy stwierdzić, że w ramach IIaPGW w odniesieniu </w:t>
            </w:r>
            <w:r w:rsidRPr="00CA5484">
              <w:rPr>
                <w:rFonts w:ascii="Calibri" w:eastAsia="Times New Roman" w:hAnsi="Calibri" w:cs="Calibri"/>
                <w:color w:val="000000"/>
                <w:sz w:val="18"/>
                <w:szCs w:val="18"/>
                <w:lang w:eastAsia="pl-PL"/>
              </w:rPr>
              <w:br w:type="page"/>
              <w:t xml:space="preserve">do rzecznych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zagrożonych zasoleniem powinny być ustalone wartości celów </w:t>
            </w:r>
            <w:r w:rsidRPr="00CA5484">
              <w:rPr>
                <w:rFonts w:ascii="Calibri" w:eastAsia="Times New Roman" w:hAnsi="Calibri" w:cs="Calibri"/>
                <w:color w:val="000000"/>
                <w:sz w:val="18"/>
                <w:szCs w:val="18"/>
                <w:lang w:eastAsia="pl-PL"/>
              </w:rPr>
              <w:br w:type="page"/>
              <w:t xml:space="preserve">środowiskowych (i wartości graniczne dla klas jakości wskaźników stanu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dla </w:t>
            </w:r>
            <w:r w:rsidRPr="00CA5484">
              <w:rPr>
                <w:rFonts w:ascii="Calibri" w:eastAsia="Times New Roman" w:hAnsi="Calibri" w:cs="Calibri"/>
                <w:color w:val="000000"/>
                <w:sz w:val="18"/>
                <w:szCs w:val="18"/>
                <w:lang w:eastAsia="pl-PL"/>
              </w:rPr>
              <w:br w:type="page"/>
              <w:t xml:space="preserve">wszystkich wskaźników zasolenia (tj. przewodność elektrolityczna właściwa w 20oC, </w:t>
            </w:r>
            <w:r w:rsidRPr="00CA5484">
              <w:rPr>
                <w:rFonts w:ascii="Calibri" w:eastAsia="Times New Roman" w:hAnsi="Calibri" w:cs="Calibri"/>
                <w:color w:val="000000"/>
                <w:sz w:val="18"/>
                <w:szCs w:val="18"/>
                <w:lang w:eastAsia="pl-PL"/>
              </w:rPr>
              <w:br w:type="page"/>
              <w:t xml:space="preserve">substancje rozpuszczone, siarczany, chlorki, wapń, magnez i twardość ogólna). Z uwagi na </w:t>
            </w:r>
            <w:r w:rsidRPr="00CA5484">
              <w:rPr>
                <w:rFonts w:ascii="Calibri" w:eastAsia="Times New Roman" w:hAnsi="Calibri" w:cs="Calibri"/>
                <w:color w:val="000000"/>
                <w:sz w:val="18"/>
                <w:szCs w:val="18"/>
                <w:lang w:eastAsia="pl-PL"/>
              </w:rPr>
              <w:br w:type="page"/>
              <w:t xml:space="preserve">fakt, że opracowana analiza presji1) pod względem zasolenia nie odnosi się do wskaźników innych niż przewodność elektrolityczna (podobnie jak projekt pn. „Ustalenie celów środowiskowych dla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wraz z opracowaniem rejestru wykazu obszarów </w:t>
            </w:r>
            <w:r w:rsidRPr="00CA5484">
              <w:rPr>
                <w:rFonts w:ascii="Calibri" w:eastAsia="Times New Roman" w:hAnsi="Calibri" w:cs="Calibri"/>
                <w:color w:val="000000"/>
                <w:sz w:val="18"/>
                <w:szCs w:val="18"/>
                <w:lang w:eastAsia="pl-PL"/>
              </w:rPr>
              <w:br w:type="page"/>
              <w:t xml:space="preserve">chronionych”) – należy przyjąć, że w ramach cyklu planistycznego zmierzającego do </w:t>
            </w:r>
            <w:r w:rsidRPr="00CA5484">
              <w:rPr>
                <w:rFonts w:ascii="Calibri" w:eastAsia="Times New Roman" w:hAnsi="Calibri" w:cs="Calibri"/>
                <w:color w:val="000000"/>
                <w:sz w:val="18"/>
                <w:szCs w:val="18"/>
                <w:lang w:eastAsia="pl-PL"/>
              </w:rPr>
              <w:br w:type="page"/>
              <w:t xml:space="preserve">opracowania IIaPGW nie opracowano materiałów uzasadniających odstępstwo od </w:t>
            </w:r>
            <w:r w:rsidRPr="00CA5484">
              <w:rPr>
                <w:rFonts w:ascii="Calibri" w:eastAsia="Times New Roman" w:hAnsi="Calibri" w:cs="Calibri"/>
                <w:color w:val="000000"/>
                <w:sz w:val="18"/>
                <w:szCs w:val="18"/>
                <w:lang w:eastAsia="pl-PL"/>
              </w:rPr>
              <w:br w:type="page"/>
              <w:t xml:space="preserve">osiągnięcia celów środowiskowych dla takich wskaźników, jak substancje rozpuszczone, </w:t>
            </w:r>
            <w:r w:rsidRPr="00CA5484">
              <w:rPr>
                <w:rFonts w:ascii="Calibri" w:eastAsia="Times New Roman" w:hAnsi="Calibri" w:cs="Calibri"/>
                <w:color w:val="000000"/>
                <w:sz w:val="18"/>
                <w:szCs w:val="18"/>
                <w:lang w:eastAsia="pl-PL"/>
              </w:rPr>
              <w:br w:type="page"/>
              <w:t xml:space="preserve">siarczany, chlorki, wapń, magnez i twardość ogólna. </w:t>
            </w:r>
            <w:r w:rsidRPr="00CA5484">
              <w:rPr>
                <w:rFonts w:ascii="Calibri" w:eastAsia="Times New Roman" w:hAnsi="Calibri" w:cs="Calibri"/>
                <w:color w:val="000000"/>
                <w:sz w:val="18"/>
                <w:szCs w:val="18"/>
                <w:lang w:eastAsia="pl-PL"/>
              </w:rPr>
              <w:br w:type="page"/>
              <w:t xml:space="preserve">4. Powyższe znajduje odzwierciedlenie również w pracy pn. „Aktualizacja metod oceny </w:t>
            </w:r>
            <w:r w:rsidRPr="00CA5484">
              <w:rPr>
                <w:rFonts w:ascii="Calibri" w:eastAsia="Times New Roman" w:hAnsi="Calibri" w:cs="Calibri"/>
                <w:color w:val="000000"/>
                <w:sz w:val="18"/>
                <w:szCs w:val="18"/>
                <w:lang w:eastAsia="pl-PL"/>
              </w:rPr>
              <w:br w:type="page"/>
              <w:t xml:space="preserve">stanu ekologicznego wód powierzchniowych na podstawie elementów fizykochemicznych. Zadanie 2.2. Opracowanie nowych wartości granicznych dla wskaźników fizykochemicznych elementów oceny jakości wód powierzchniowych”, wykonanej w 2018 r. na zlecenie Głównego Inspektoratu Ochrony Środowiska (praca ta stanowiła </w:t>
            </w:r>
            <w:r w:rsidRPr="00CA5484">
              <w:rPr>
                <w:rFonts w:ascii="Calibri" w:eastAsia="Times New Roman" w:hAnsi="Calibri" w:cs="Calibri"/>
                <w:color w:val="000000"/>
                <w:sz w:val="18"/>
                <w:szCs w:val="18"/>
                <w:lang w:eastAsia="pl-PL"/>
              </w:rPr>
              <w:lastRenderedPageBreak/>
              <w:t xml:space="preserve">merytoryczną podstawę do weryfikacji wskaźników stanu wód i ich wartości przypisanych do poszczególnych klas2). W pracy tej napisano m.in.: „W przypadku rzek zagrożonych zasoleniem, rekomenduje się prowadzenie monitoringu dodatkowych siedmiu parametrów: substancje rozpuszczone, siarczany, chlorki, wapń, magnez, twardość ogólna, zasadowość ogólna. Zagrożenie zasoleniem dotyczy głównie cieków, do których odprowadzane są wody kopalniane lub występuje zrzut zasolonych wód związanych z niektórymi technologiami przemysłowymi. Realizacja monitoringu wód zasolonych ma głównie na celu ocenę zachodzących trendów w rzekach, do których zgodnie z pozwoleniem (wodnoprawnym, zintegrowanym) bezpośrednio odprowadzane są ścieki zasolone oraz części wód znajdujące się poniżej, jeśli odnotowuje się w nich podwyższone zasolenie. Wskazanie części wód, które podlegają takiej presji, a więc powinny zostać objęte dedykowanym programu monitoringu, powinno nastąpić na podstawie analizy presji i oddziaływań (np. w ramach realizowanej na zamówienie PGW Wody Polskie pracy dotyczącej identyfikacji presji w regionach wodnych i na obszarach dorzeczy) lub na etapie wyznaczania celów środowiskowych dla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Powyższy wniosek powtórzono w monografii pn. „Wskaźniki fizykochemiczne w ocenie stanu ekologicznego wód powierzchniowych - weryfikacja standardów środowiskowych”3. Postulat dot. uwzględnienia przedmiotowego aspektu na etapie analizy presji lub na etapie wyznaczania celów środowiskowych nie został uwzględniony, jednak przedmiotowe zalecenie znalazło wyraźne odzwierciedlenie w rozporządzeniu Ministra Infrastruktury z dnia 13 lipca 2021 r., które trzeba logicznie powiązać z rozporządzeniem Ministra Infrastruktury z dnia 25 czerwca 2021 r. </w:t>
            </w:r>
            <w:r w:rsidRPr="00CA5484">
              <w:rPr>
                <w:rFonts w:ascii="Calibri" w:eastAsia="Times New Roman" w:hAnsi="Calibri" w:cs="Calibri"/>
                <w:color w:val="000000"/>
                <w:sz w:val="18"/>
                <w:szCs w:val="18"/>
                <w:lang w:eastAsia="pl-PL"/>
              </w:rPr>
              <w:br w:type="page"/>
              <w:t xml:space="preserve">5. Powyższe oznacza, że w celu uczynienia zadość wymaganiom prawnym oraz wymaganiom stanu wiedzy które stanęły u podstaw krajowego systemu monitoringu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w ramach IIaPGW należy: </w:t>
            </w:r>
            <w:r w:rsidRPr="00CA5484">
              <w:rPr>
                <w:rFonts w:ascii="Calibri" w:eastAsia="Times New Roman" w:hAnsi="Calibri" w:cs="Calibri"/>
                <w:color w:val="000000"/>
                <w:sz w:val="18"/>
                <w:szCs w:val="18"/>
                <w:lang w:eastAsia="pl-PL"/>
              </w:rPr>
              <w:br w:type="page"/>
              <w:t xml:space="preserve">1) zidentyfikować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zagrożone zasoleniem, </w:t>
            </w:r>
            <w:r w:rsidRPr="00CA5484">
              <w:rPr>
                <w:rFonts w:ascii="Calibri" w:eastAsia="Times New Roman" w:hAnsi="Calibri" w:cs="Calibri"/>
                <w:color w:val="000000"/>
                <w:sz w:val="18"/>
                <w:szCs w:val="18"/>
                <w:lang w:eastAsia="pl-PL"/>
              </w:rPr>
              <w:br w:type="page"/>
              <w:t xml:space="preserve">2) ustanowić cele środowiskowe dla tych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obejmujące substancje </w:t>
            </w:r>
            <w:r w:rsidRPr="00CA5484">
              <w:rPr>
                <w:rFonts w:ascii="Calibri" w:eastAsia="Times New Roman" w:hAnsi="Calibri" w:cs="Calibri"/>
                <w:color w:val="000000"/>
                <w:sz w:val="18"/>
                <w:szCs w:val="18"/>
                <w:lang w:eastAsia="pl-PL"/>
              </w:rPr>
              <w:br w:type="page"/>
              <w:t xml:space="preserve">rozpuszczone, siarczany, chlorki, wapń, magnez, twardość ogólna i zasadowość </w:t>
            </w:r>
            <w:r w:rsidRPr="00CA5484">
              <w:rPr>
                <w:rFonts w:ascii="Calibri" w:eastAsia="Times New Roman" w:hAnsi="Calibri" w:cs="Calibri"/>
                <w:color w:val="000000"/>
                <w:sz w:val="18"/>
                <w:szCs w:val="18"/>
                <w:lang w:eastAsia="pl-PL"/>
              </w:rPr>
              <w:br w:type="page"/>
              <w:t xml:space="preserve">ogólna oraz określić klasy stanu wód dla tych wskaźników, </w:t>
            </w:r>
            <w:r w:rsidRPr="00CA5484">
              <w:rPr>
                <w:rFonts w:ascii="Calibri" w:eastAsia="Times New Roman" w:hAnsi="Calibri" w:cs="Calibri"/>
                <w:color w:val="000000"/>
                <w:sz w:val="18"/>
                <w:szCs w:val="18"/>
                <w:lang w:eastAsia="pl-PL"/>
              </w:rPr>
              <w:br w:type="page"/>
              <w:t xml:space="preserve">3) zapewnić brak możliwości zastosowania derogacji w zakresie złagodzenia celów </w:t>
            </w:r>
            <w:r w:rsidRPr="00CA5484">
              <w:rPr>
                <w:rFonts w:ascii="Calibri" w:eastAsia="Times New Roman" w:hAnsi="Calibri" w:cs="Calibri"/>
                <w:color w:val="000000"/>
                <w:sz w:val="18"/>
                <w:szCs w:val="18"/>
                <w:lang w:eastAsia="pl-PL"/>
              </w:rPr>
              <w:lastRenderedPageBreak/>
              <w:br w:type="page"/>
              <w:t xml:space="preserve">środowiskowych (lub odroczenia terminu ich osiągnięcia) dla ww. wskaźników. </w:t>
            </w:r>
            <w:r w:rsidRPr="00CA5484">
              <w:rPr>
                <w:rFonts w:ascii="Calibri" w:eastAsia="Times New Roman" w:hAnsi="Calibri" w:cs="Calibri"/>
                <w:color w:val="000000"/>
                <w:sz w:val="18"/>
                <w:szCs w:val="18"/>
                <w:lang w:eastAsia="pl-PL"/>
              </w:rPr>
              <w:br w:type="page"/>
            </w:r>
          </w:p>
        </w:tc>
        <w:tc>
          <w:tcPr>
            <w:tcW w:w="1918" w:type="dxa"/>
            <w:shd w:val="clear" w:color="auto" w:fill="auto"/>
            <w:hideMark/>
          </w:tcPr>
          <w:p w14:paraId="000CB370" w14:textId="77777777"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024C8B69" w14:textId="77777777"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wyjaśnienie</w:t>
            </w:r>
          </w:p>
        </w:tc>
        <w:tc>
          <w:tcPr>
            <w:tcW w:w="3513" w:type="dxa"/>
            <w:shd w:val="clear" w:color="auto" w:fill="auto"/>
            <w:hideMark/>
          </w:tcPr>
          <w:p w14:paraId="14976368" w14:textId="2E607F4F" w:rsid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Odnosząc się do poszczególnych zagadnień wskazanych w uwadze:</w:t>
            </w:r>
            <w:r w:rsidRPr="00CA5484">
              <w:rPr>
                <w:rFonts w:ascii="Calibri" w:eastAsia="Times New Roman" w:hAnsi="Calibri" w:cs="Calibri"/>
                <w:color w:val="000000"/>
                <w:sz w:val="18"/>
                <w:szCs w:val="18"/>
                <w:lang w:eastAsia="pl-PL"/>
              </w:rPr>
              <w:br w:type="page"/>
              <w:t>1)</w:t>
            </w:r>
            <w:r w:rsidRPr="00CA5484">
              <w:rPr>
                <w:rFonts w:ascii="Calibri" w:eastAsia="Times New Roman" w:hAnsi="Calibri" w:cs="Calibri"/>
                <w:color w:val="000000"/>
                <w:sz w:val="18"/>
                <w:szCs w:val="18"/>
                <w:lang w:eastAsia="pl-PL"/>
              </w:rPr>
              <w:br w:type="page"/>
              <w:t xml:space="preserve">Przy obecnie posiadanych danych jako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zagrożone zasolenie należałoby potraktować wszystkie, które mają przekroczenie przewodności. Ta informacje znajduje się w załącznikach dotyczących wykazu odstępstw</w:t>
            </w:r>
            <w:r w:rsidRPr="00CA5484">
              <w:rPr>
                <w:rFonts w:ascii="Calibri" w:eastAsia="Times New Roman" w:hAnsi="Calibri" w:cs="Calibri"/>
                <w:color w:val="000000"/>
                <w:sz w:val="18"/>
                <w:szCs w:val="18"/>
                <w:lang w:eastAsia="pl-PL"/>
              </w:rPr>
              <w:br w:type="page"/>
              <w:t>2) i 3)</w:t>
            </w:r>
            <w:r w:rsidRPr="00CA5484">
              <w:rPr>
                <w:rFonts w:ascii="Calibri" w:eastAsia="Times New Roman" w:hAnsi="Calibri" w:cs="Calibri"/>
                <w:color w:val="000000"/>
                <w:sz w:val="18"/>
                <w:szCs w:val="18"/>
                <w:lang w:eastAsia="pl-PL"/>
              </w:rPr>
              <w:br w:type="page"/>
              <w:t xml:space="preserve"> Wspomniany zapis w punkcie 2 w załączniku nr 7 do rozporządzenie Ministra Infrastruktury z dnia 25 czerwca</w:t>
            </w:r>
            <w:r w:rsidRPr="00CA5484">
              <w:rPr>
                <w:rFonts w:ascii="Calibri" w:eastAsia="Times New Roman" w:hAnsi="Calibri" w:cs="Calibri"/>
                <w:color w:val="000000"/>
                <w:sz w:val="18"/>
                <w:szCs w:val="18"/>
                <w:lang w:eastAsia="pl-PL"/>
              </w:rPr>
              <w:br w:type="page"/>
              <w:t>2021 r. w sprawie klasyfikacji stanu ekologicznego, potencjału ekologicznego i stanu</w:t>
            </w:r>
            <w:r w:rsidRPr="00CA5484">
              <w:rPr>
                <w:rFonts w:ascii="Calibri" w:eastAsia="Times New Roman" w:hAnsi="Calibri" w:cs="Calibri"/>
                <w:color w:val="000000"/>
                <w:sz w:val="18"/>
                <w:szCs w:val="18"/>
                <w:lang w:eastAsia="pl-PL"/>
              </w:rPr>
              <w:br w:type="page"/>
              <w:t xml:space="preserve">chemicznego oraz sposobu klasyfikacji stanu jednolitych </w:t>
            </w:r>
            <w:r w:rsidRPr="00CA5484">
              <w:rPr>
                <w:rFonts w:ascii="Calibri" w:eastAsia="Times New Roman" w:hAnsi="Calibri" w:cs="Calibri"/>
                <w:color w:val="000000"/>
                <w:sz w:val="18"/>
                <w:szCs w:val="18"/>
                <w:lang w:eastAsia="pl-PL"/>
              </w:rPr>
              <w:lastRenderedPageBreak/>
              <w:t>części wód powierzchniowych, a</w:t>
            </w:r>
            <w:r w:rsidRPr="00CA5484">
              <w:rPr>
                <w:rFonts w:ascii="Calibri" w:eastAsia="Times New Roman" w:hAnsi="Calibri" w:cs="Calibri"/>
                <w:color w:val="000000"/>
                <w:sz w:val="18"/>
                <w:szCs w:val="18"/>
                <w:lang w:eastAsia="pl-PL"/>
              </w:rPr>
              <w:br w:type="page"/>
              <w:t>także środowiskowych norm jakości dla substancji priorytetowych (Dz. U. z 2021 r. poz.</w:t>
            </w:r>
            <w:r w:rsidRPr="00CA5484">
              <w:rPr>
                <w:rFonts w:ascii="Calibri" w:eastAsia="Times New Roman" w:hAnsi="Calibri" w:cs="Calibri"/>
                <w:color w:val="000000"/>
                <w:sz w:val="18"/>
                <w:szCs w:val="18"/>
                <w:lang w:eastAsia="pl-PL"/>
              </w:rPr>
              <w:br w:type="page"/>
              <w:t>1475) pozwala na nadanie rangi prawnej wynikom uzyskanym w opracowania dotyczącym ustalenia celów środowiskowych dla SZCW/SCW.</w:t>
            </w:r>
            <w:r w:rsidRPr="00CA5484">
              <w:rPr>
                <w:rFonts w:ascii="Calibri" w:eastAsia="Times New Roman" w:hAnsi="Calibri" w:cs="Calibri"/>
                <w:color w:val="000000"/>
                <w:sz w:val="18"/>
                <w:szCs w:val="18"/>
                <w:lang w:eastAsia="pl-PL"/>
              </w:rPr>
              <w:br w:type="page"/>
              <w:t xml:space="preserve">Uwzględnienie w ocenie stanu/potencjału wód wskaźnika przewodności jako jedynego z grupy wskaźników charakteryzujących zasolenie, nie oznacza, że nie będzie prowadzony monitoring operacyjny pozostałych wspomnianych wskaźników. Ten monitoring operacyjny będzie informacją uzupełniając w procesie wydawania pozwoleń wodnoprawnych. Plany dotyczące prowadzenia monitoringu ustala GIOŚ, który również analizuje dostępne dane i określa, które </w:t>
            </w:r>
            <w:r w:rsidR="00513278">
              <w:rPr>
                <w:rFonts w:ascii="Calibri" w:eastAsia="Times New Roman" w:hAnsi="Calibri" w:cs="Calibri"/>
                <w:color w:val="000000"/>
                <w:sz w:val="18"/>
                <w:szCs w:val="18"/>
                <w:lang w:eastAsia="pl-PL"/>
              </w:rPr>
              <w:t>JCWP</w:t>
            </w:r>
            <w:r w:rsidRPr="00CA5484">
              <w:rPr>
                <w:rFonts w:ascii="Calibri" w:eastAsia="Times New Roman" w:hAnsi="Calibri" w:cs="Calibri"/>
                <w:color w:val="000000"/>
                <w:sz w:val="18"/>
                <w:szCs w:val="18"/>
                <w:lang w:eastAsia="pl-PL"/>
              </w:rPr>
              <w:t xml:space="preserve"> wymagają dodatkowego monitoringu operacyjnego</w:t>
            </w:r>
            <w:r w:rsidRPr="00CA5484">
              <w:rPr>
                <w:rFonts w:ascii="Calibri" w:eastAsia="Times New Roman" w:hAnsi="Calibri" w:cs="Calibri"/>
                <w:color w:val="000000"/>
                <w:sz w:val="18"/>
                <w:szCs w:val="18"/>
                <w:lang w:eastAsia="pl-PL"/>
              </w:rPr>
              <w:br w:type="page"/>
            </w:r>
            <w:r w:rsidR="00CA5484">
              <w:rPr>
                <w:rFonts w:ascii="Calibri" w:eastAsia="Times New Roman" w:hAnsi="Calibri" w:cs="Calibri"/>
                <w:color w:val="000000"/>
                <w:sz w:val="18"/>
                <w:szCs w:val="18"/>
                <w:lang w:eastAsia="pl-PL"/>
              </w:rPr>
              <w:t>.</w:t>
            </w:r>
          </w:p>
          <w:p w14:paraId="42CF6DBF" w14:textId="77777777" w:rsidR="00CA5484" w:rsidRPr="00F57DBC" w:rsidRDefault="00CA5484" w:rsidP="00CA5484">
            <w:pPr>
              <w:ind w:firstLine="0"/>
              <w:jc w:val="left"/>
              <w:rPr>
                <w:rFonts w:ascii="Calibri" w:eastAsia="Times New Roman" w:hAnsi="Calibri" w:cs="Calibri"/>
                <w:sz w:val="18"/>
                <w:szCs w:val="18"/>
                <w:lang w:eastAsia="pl-PL"/>
              </w:rPr>
            </w:pPr>
            <w:r w:rsidRPr="00F57DBC">
              <w:rPr>
                <w:rFonts w:ascii="Calibri" w:eastAsia="Times New Roman" w:hAnsi="Calibri" w:cs="Calibri"/>
                <w:sz w:val="18"/>
                <w:szCs w:val="18"/>
                <w:lang w:eastAsia="pl-PL"/>
              </w:rPr>
              <w:t xml:space="preserve">IIaPGW prezentuje te dane w załączniku </w:t>
            </w:r>
            <w:r w:rsidRPr="00F57DBC">
              <w:rPr>
                <w:rFonts w:ascii="Calibri" w:eastAsia="Times New Roman" w:hAnsi="Calibri" w:cs="Calibri"/>
                <w:i/>
                <w:iCs/>
                <w:sz w:val="18"/>
                <w:szCs w:val="18"/>
                <w:lang w:eastAsia="pl-PL"/>
              </w:rPr>
              <w:t>Wartości graniczne SCW i SZCW</w:t>
            </w:r>
            <w:r w:rsidRPr="00F57DBC">
              <w:rPr>
                <w:rFonts w:ascii="Calibri" w:eastAsia="Times New Roman" w:hAnsi="Calibri" w:cs="Calibri"/>
                <w:sz w:val="18"/>
                <w:szCs w:val="18"/>
                <w:lang w:eastAsia="pl-PL"/>
              </w:rPr>
              <w:t>,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Pr="00F57DBC">
              <w:rPr>
                <w:rFonts w:ascii="Calibri" w:eastAsia="Times New Roman" w:hAnsi="Calibri" w:cs="Calibri"/>
                <w:sz w:val="18"/>
                <w:szCs w:val="18"/>
                <w:lang w:eastAsia="pl-PL"/>
              </w:rPr>
              <w:b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2AB222F0" w14:textId="02DD680C" w:rsidR="00CA5484" w:rsidRPr="00F57DBC" w:rsidRDefault="00CA5484" w:rsidP="00CA5484">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F57DBC">
              <w:rPr>
                <w:rFonts w:cstheme="minorHAnsi"/>
                <w:sz w:val="18"/>
                <w:szCs w:val="18"/>
                <w:shd w:val="clear" w:color="auto" w:fill="FFFFFF"/>
              </w:rPr>
              <w:t xml:space="preserve"> RW określonego typu”</w:t>
            </w:r>
          </w:p>
          <w:p w14:paraId="0EF30FE8" w14:textId="6196A92F" w:rsidR="00CA5484" w:rsidRPr="00F57DBC" w:rsidRDefault="00CA5484" w:rsidP="00CA5484">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F57DBC">
              <w:rPr>
                <w:rFonts w:eastAsia="Times New Roman" w:cstheme="minorHAnsi"/>
                <w:sz w:val="18"/>
                <w:szCs w:val="18"/>
                <w:lang w:eastAsia="pl-PL"/>
              </w:rPr>
              <w:t xml:space="preserve">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w:t>
            </w:r>
            <w:r w:rsidRPr="00F57DBC">
              <w:rPr>
                <w:rFonts w:ascii="Calibri" w:eastAsia="Times New Roman" w:hAnsi="Calibri" w:cs="Calibri"/>
                <w:sz w:val="18"/>
                <w:szCs w:val="18"/>
                <w:lang w:eastAsia="pl-PL"/>
              </w:rPr>
              <w:lastRenderedPageBreak/>
              <w:t xml:space="preserve">części wód powierzchniowych, a także środowiskowych norm jakości dla substancji priorytetowych (Dz.U. 2021 poz. 1475). </w:t>
            </w:r>
          </w:p>
          <w:p w14:paraId="0D006CB0" w14:textId="486507BF" w:rsidR="00CA5484" w:rsidRDefault="00CA5484" w:rsidP="00CA5484">
            <w:pPr>
              <w:ind w:firstLine="0"/>
              <w:jc w:val="left"/>
              <w:rPr>
                <w:rFonts w:ascii="Calibri" w:eastAsia="Times New Roman" w:hAnsi="Calibri" w:cs="Calibri"/>
                <w:color w:val="000000"/>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p>
          <w:p w14:paraId="4D8CE5B4" w14:textId="1DBDC766" w:rsidR="0085319C" w:rsidRPr="00CA5484" w:rsidRDefault="0085319C" w:rsidP="0085319C">
            <w:pPr>
              <w:ind w:firstLine="0"/>
              <w:jc w:val="left"/>
              <w:rPr>
                <w:rFonts w:ascii="Calibri" w:eastAsia="Times New Roman" w:hAnsi="Calibri" w:cs="Calibri"/>
                <w:color w:val="000000"/>
                <w:sz w:val="18"/>
                <w:szCs w:val="18"/>
                <w:lang w:eastAsia="pl-PL"/>
              </w:rPr>
            </w:pPr>
            <w:r w:rsidRPr="00CA5484">
              <w:rPr>
                <w:rFonts w:ascii="Calibri" w:eastAsia="Times New Roman" w:hAnsi="Calibri" w:cs="Calibri"/>
                <w:color w:val="000000"/>
                <w:sz w:val="18"/>
                <w:szCs w:val="18"/>
                <w:lang w:eastAsia="pl-PL"/>
              </w:rPr>
              <w:t>4)</w:t>
            </w:r>
            <w:r w:rsidRPr="00CA5484">
              <w:rPr>
                <w:rFonts w:ascii="Calibri" w:eastAsia="Times New Roman" w:hAnsi="Calibri" w:cs="Calibri"/>
                <w:color w:val="000000"/>
                <w:sz w:val="18"/>
                <w:szCs w:val="18"/>
                <w:lang w:eastAsia="pl-PL"/>
              </w:rPr>
              <w:br w:type="page"/>
              <w:t>Brak jest podstaw prawnych dla zapewnienia „Braku możliwości przyznania odstępstw (derogacji)” dla wskaźników uwzględnianych przy ocenie stanu/potencjału wód</w:t>
            </w:r>
          </w:p>
        </w:tc>
      </w:tr>
      <w:tr w:rsidR="0085319C" w:rsidRPr="005E78BB" w14:paraId="348BCAD4" w14:textId="77777777" w:rsidTr="00CD6FBC">
        <w:trPr>
          <w:trHeight w:val="454"/>
        </w:trPr>
        <w:tc>
          <w:tcPr>
            <w:tcW w:w="562" w:type="dxa"/>
            <w:shd w:val="clear" w:color="auto" w:fill="auto"/>
            <w:hideMark/>
          </w:tcPr>
          <w:p w14:paraId="2898F223"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lastRenderedPageBreak/>
              <w:t>52</w:t>
            </w:r>
          </w:p>
        </w:tc>
        <w:tc>
          <w:tcPr>
            <w:tcW w:w="1021" w:type="dxa"/>
            <w:shd w:val="clear" w:color="auto" w:fill="auto"/>
          </w:tcPr>
          <w:p w14:paraId="57E97EC3" w14:textId="7BAF4A0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Frank Bold</w:t>
            </w:r>
          </w:p>
        </w:tc>
        <w:tc>
          <w:tcPr>
            <w:tcW w:w="1630" w:type="dxa"/>
            <w:shd w:val="clear" w:color="auto" w:fill="auto"/>
            <w:hideMark/>
          </w:tcPr>
          <w:p w14:paraId="78837913"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66C8C749" w14:textId="5B0E431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Część projektu planu, do której zgłaszana jest uwaga (numer rozdziału, strona dokumentu): Rozdział 8, załącznik nr 3.1. </w:t>
            </w:r>
            <w:r w:rsidRPr="00CD6FBC">
              <w:rPr>
                <w:rFonts w:ascii="Calibri" w:eastAsia="Times New Roman" w:hAnsi="Calibri" w:cs="Calibri"/>
                <w:color w:val="000000"/>
                <w:sz w:val="18"/>
                <w:szCs w:val="18"/>
                <w:lang w:eastAsia="pl-PL"/>
              </w:rPr>
              <w:br/>
              <w:t xml:space="preserve">Treść uwagi: </w:t>
            </w:r>
            <w:r w:rsidRPr="00CD6FBC">
              <w:rPr>
                <w:rFonts w:ascii="Calibri" w:eastAsia="Times New Roman" w:hAnsi="Calibri" w:cs="Calibri"/>
                <w:color w:val="000000"/>
                <w:sz w:val="18"/>
                <w:szCs w:val="18"/>
                <w:lang w:eastAsia="pl-PL"/>
              </w:rPr>
              <w:br/>
              <w:t xml:space="preserve">Ani treść, ani załączniki do IIaPGW nie określają wartości poszczególnych klas dla wskaźników stanu elementów fizykochemicznych sztucznych i silnie zmienionych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Podane są natomiast wartości stanu elementów biologicznych i hydromorfologicznych, jednak są to dane nieczytelne i nieużyteczne, ponieważ tytuły kolumn podają niejasne skróty, które nie są objaśnione w stosownych załącznikach do projektów IIaPGW. </w:t>
            </w:r>
          </w:p>
        </w:tc>
        <w:tc>
          <w:tcPr>
            <w:tcW w:w="3377" w:type="dxa"/>
            <w:shd w:val="clear" w:color="auto" w:fill="auto"/>
            <w:hideMark/>
          </w:tcPr>
          <w:p w14:paraId="3F921F40" w14:textId="6A34799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odniesieniu do sztucznych i silnie zmienionych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br/>
              <w:t xml:space="preserve">− określenie wartości poszczególnych klas dla wskaźników stanu elementów </w:t>
            </w:r>
            <w:r w:rsidRPr="00CD6FBC">
              <w:rPr>
                <w:rFonts w:ascii="Calibri" w:eastAsia="Times New Roman" w:hAnsi="Calibri" w:cs="Calibri"/>
                <w:color w:val="000000"/>
                <w:sz w:val="18"/>
                <w:szCs w:val="18"/>
                <w:lang w:eastAsia="pl-PL"/>
              </w:rPr>
              <w:br/>
              <w:t xml:space="preserve">fizykochemicznych, </w:t>
            </w:r>
            <w:r w:rsidRPr="00CD6FBC">
              <w:rPr>
                <w:rFonts w:ascii="Calibri" w:eastAsia="Times New Roman" w:hAnsi="Calibri" w:cs="Calibri"/>
                <w:color w:val="000000"/>
                <w:sz w:val="18"/>
                <w:szCs w:val="18"/>
                <w:lang w:eastAsia="pl-PL"/>
              </w:rPr>
              <w:br/>
              <w:t xml:space="preserve">− wprowadzenie objaśnień skrótów podanych w tytułach kolumn odnoszących się do </w:t>
            </w:r>
            <w:r w:rsidRPr="00CD6FBC">
              <w:rPr>
                <w:rFonts w:ascii="Calibri" w:eastAsia="Times New Roman" w:hAnsi="Calibri" w:cs="Calibri"/>
                <w:color w:val="000000"/>
                <w:sz w:val="18"/>
                <w:szCs w:val="18"/>
                <w:lang w:eastAsia="pl-PL"/>
              </w:rPr>
              <w:br/>
              <w:t xml:space="preserve">stanu elementów biologicznych i hydromorfologicznych. </w:t>
            </w:r>
          </w:p>
        </w:tc>
        <w:tc>
          <w:tcPr>
            <w:tcW w:w="3401" w:type="dxa"/>
            <w:shd w:val="clear" w:color="auto" w:fill="auto"/>
            <w:hideMark/>
          </w:tcPr>
          <w:p w14:paraId="63C5AB05" w14:textId="7B279E9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1. Przywołany wcześniej punkt 2 w załączniku nr 7 do rozporządzenia Ministra Infrastruktury </w:t>
            </w:r>
            <w:r w:rsidRPr="00CD6FBC">
              <w:rPr>
                <w:rFonts w:ascii="Calibri" w:eastAsia="Times New Roman" w:hAnsi="Calibri" w:cs="Calibri"/>
                <w:color w:val="000000"/>
                <w:sz w:val="18"/>
                <w:szCs w:val="18"/>
                <w:lang w:eastAsia="pl-PL"/>
              </w:rPr>
              <w:br/>
              <w:t xml:space="preserve">z dnia 25 czerwca 2021 r. w sprawie klasyfikacji stanu ekologicznego, potencjału </w:t>
            </w:r>
            <w:r w:rsidRPr="00CD6FBC">
              <w:rPr>
                <w:rFonts w:ascii="Calibri" w:eastAsia="Times New Roman" w:hAnsi="Calibri" w:cs="Calibri"/>
                <w:color w:val="000000"/>
                <w:sz w:val="18"/>
                <w:szCs w:val="18"/>
                <w:lang w:eastAsia="pl-PL"/>
              </w:rPr>
              <w:br/>
              <w:t xml:space="preserve">ekologicznego i stanu chemicznego oraz sposobu klasyfikacji stanu jednolitych części wód powierzchniowych, a także środowiskowych norm jakości dla substancji priorytetowych (Dz. U. z 2021 r. poz. 1475) wskazuje, że wartości graniczne dla klas wskaźników jakości wód powierzchniowych, będące podstawą klasyfikacji potencjału ekologicznego silnie zmienionych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określa się w planie gospodarowania wodami na obszarze dorzecza lub w ramach jego aktualizacji. W kolejnych załącznikach do rozporządzenia ta sama zasada odnosi się również do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innych niż rzeczne. </w:t>
            </w:r>
            <w:r w:rsidRPr="00CD6FBC">
              <w:rPr>
                <w:rFonts w:ascii="Calibri" w:eastAsia="Times New Roman" w:hAnsi="Calibri" w:cs="Calibri"/>
                <w:color w:val="000000"/>
                <w:sz w:val="18"/>
                <w:szCs w:val="18"/>
                <w:lang w:eastAsia="pl-PL"/>
              </w:rPr>
              <w:br/>
              <w:t xml:space="preserve">2. Ani treść, ani załączniki do IIaPGW nie określają wartości poszczególnych klas dla </w:t>
            </w:r>
            <w:r w:rsidRPr="00CD6FBC">
              <w:rPr>
                <w:rFonts w:ascii="Calibri" w:eastAsia="Times New Roman" w:hAnsi="Calibri" w:cs="Calibri"/>
                <w:color w:val="000000"/>
                <w:sz w:val="18"/>
                <w:szCs w:val="18"/>
                <w:lang w:eastAsia="pl-PL"/>
              </w:rPr>
              <w:br/>
              <w:t xml:space="preserve">wskaźników stanu elementów fizykochemicznych sztucznych i silnie zmienionych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br/>
              <w:t xml:space="preserve">Podane są natomiast wartości stanu elementów biologicznych i hydromorfologicznych, </w:t>
            </w:r>
            <w:r w:rsidRPr="00CD6FBC">
              <w:rPr>
                <w:rFonts w:ascii="Calibri" w:eastAsia="Times New Roman" w:hAnsi="Calibri" w:cs="Calibri"/>
                <w:color w:val="000000"/>
                <w:sz w:val="18"/>
                <w:szCs w:val="18"/>
                <w:lang w:eastAsia="pl-PL"/>
              </w:rPr>
              <w:br/>
              <w:t xml:space="preserve">jednak są to dane nieczytelne i nieużyteczne, ponieważ tytuły kolumn podają niejasne </w:t>
            </w:r>
            <w:r w:rsidRPr="00CD6FBC">
              <w:rPr>
                <w:rFonts w:ascii="Calibri" w:eastAsia="Times New Roman" w:hAnsi="Calibri" w:cs="Calibri"/>
                <w:color w:val="000000"/>
                <w:sz w:val="18"/>
                <w:szCs w:val="18"/>
                <w:lang w:eastAsia="pl-PL"/>
              </w:rPr>
              <w:br/>
              <w:t xml:space="preserve">skróty, które nie są objaśnione w stosownych załącznikach do projektów IIaPGW. W celu </w:t>
            </w:r>
            <w:r w:rsidRPr="00CD6FBC">
              <w:rPr>
                <w:rFonts w:ascii="Calibri" w:eastAsia="Times New Roman" w:hAnsi="Calibri" w:cs="Calibri"/>
                <w:color w:val="000000"/>
                <w:sz w:val="18"/>
                <w:szCs w:val="18"/>
                <w:lang w:eastAsia="pl-PL"/>
              </w:rPr>
              <w:br/>
              <w:t xml:space="preserve">zapewnienia zgodności z ww. rozporządzeniem, ww. mankamenty planów powinny być </w:t>
            </w:r>
            <w:r w:rsidRPr="00CD6FBC">
              <w:rPr>
                <w:rFonts w:ascii="Calibri" w:eastAsia="Times New Roman" w:hAnsi="Calibri" w:cs="Calibri"/>
                <w:color w:val="000000"/>
                <w:sz w:val="18"/>
                <w:szCs w:val="18"/>
                <w:lang w:eastAsia="pl-PL"/>
              </w:rPr>
              <w:br/>
              <w:t xml:space="preserve">wyeliminowane. </w:t>
            </w:r>
          </w:p>
        </w:tc>
        <w:tc>
          <w:tcPr>
            <w:tcW w:w="1918" w:type="dxa"/>
            <w:shd w:val="clear" w:color="auto" w:fill="auto"/>
            <w:hideMark/>
          </w:tcPr>
          <w:p w14:paraId="313ED7AD"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50-57_FundFrankBold_Wisła</w:t>
            </w:r>
          </w:p>
        </w:tc>
        <w:tc>
          <w:tcPr>
            <w:tcW w:w="1276" w:type="dxa"/>
            <w:shd w:val="clear" w:color="auto" w:fill="auto"/>
            <w:hideMark/>
          </w:tcPr>
          <w:p w14:paraId="52E4E12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uwzględniono</w:t>
            </w:r>
          </w:p>
        </w:tc>
        <w:tc>
          <w:tcPr>
            <w:tcW w:w="3513" w:type="dxa"/>
            <w:shd w:val="clear" w:color="auto" w:fill="auto"/>
            <w:hideMark/>
          </w:tcPr>
          <w:p w14:paraId="206449A1" w14:textId="3033CF20" w:rsidR="00707C14" w:rsidRPr="00707C14" w:rsidRDefault="0085319C" w:rsidP="00707C14">
            <w:pPr>
              <w:ind w:firstLine="0"/>
              <w:jc w:val="left"/>
              <w:rPr>
                <w:rFonts w:ascii="Calibri" w:eastAsia="Times New Roman" w:hAnsi="Calibri" w:cs="Calibri"/>
                <w:sz w:val="18"/>
                <w:szCs w:val="18"/>
                <w:lang w:eastAsia="pl-PL"/>
              </w:rPr>
            </w:pPr>
            <w:r w:rsidRPr="00CD6FBC">
              <w:rPr>
                <w:rFonts w:ascii="Calibri" w:eastAsia="Times New Roman" w:hAnsi="Calibri" w:cs="Calibri"/>
                <w:color w:val="000000"/>
                <w:sz w:val="18"/>
                <w:szCs w:val="18"/>
                <w:lang w:eastAsia="pl-PL"/>
              </w:rPr>
              <w:t xml:space="preserve">Załącznik </w:t>
            </w:r>
            <w:r w:rsidR="00707C14" w:rsidRPr="00CD6FBC">
              <w:rPr>
                <w:rFonts w:ascii="Calibri" w:eastAsia="Times New Roman" w:hAnsi="Calibri" w:cs="Calibri"/>
                <w:color w:val="000000"/>
                <w:sz w:val="18"/>
                <w:szCs w:val="18"/>
                <w:lang w:eastAsia="pl-PL"/>
              </w:rPr>
              <w:t xml:space="preserve">Wartości graniczne SCW i SZCW </w:t>
            </w:r>
            <w:r w:rsidRPr="00CD6FBC">
              <w:rPr>
                <w:rFonts w:ascii="Calibri" w:eastAsia="Times New Roman" w:hAnsi="Calibri" w:cs="Calibri"/>
                <w:color w:val="000000"/>
                <w:sz w:val="18"/>
                <w:szCs w:val="18"/>
                <w:lang w:eastAsia="pl-PL"/>
              </w:rPr>
              <w:t xml:space="preserve">do IIaPGW prezentuje wartości graniczne dla potencjału ekologicznego. Rozporządzenie klasyfikacyjne wskazuje, że jeżeli chodzi o silnie zmienione i sztuczne części wód wartości graniczne wskazywane są w Planie gospodarowania wodami. Poszczególne zakładki załącznika są dedykowane kategoriom wód: rzecznym, zbiornikowym i jeziornym oddzielnie, wskazane są w nich, w poszczególnych kolumnach, konkretne wartości, jeżeli chodzi o elementy biologiczne i hydromorfologiczne. </w:t>
            </w:r>
            <w:r w:rsidR="00707C14" w:rsidRPr="00707C14">
              <w:rPr>
                <w:rFonts w:ascii="Calibri" w:eastAsia="Times New Roman" w:hAnsi="Calibri" w:cs="Calibri"/>
                <w:sz w:val="18"/>
                <w:szCs w:val="18"/>
                <w:lang w:eastAsia="pl-PL"/>
              </w:rPr>
              <w:t>W przypadku wartości granicznych dot. wskaźników fizykochemicznych zastosowano dwa rodzaje podejścia:</w:t>
            </w:r>
          </w:p>
          <w:p w14:paraId="426958BD" w14:textId="2E445521" w:rsidR="00707C14" w:rsidRPr="00707C14" w:rsidRDefault="00707C14" w:rsidP="00707C14">
            <w:pPr>
              <w:pStyle w:val="Akapitzlist"/>
              <w:numPr>
                <w:ilvl w:val="0"/>
                <w:numId w:val="1"/>
              </w:numPr>
              <w:ind w:left="354" w:hanging="283"/>
              <w:jc w:val="left"/>
              <w:rPr>
                <w:rFonts w:eastAsia="Times New Roman" w:cstheme="minorHAnsi"/>
                <w:sz w:val="18"/>
                <w:szCs w:val="18"/>
                <w:lang w:eastAsia="pl-PL"/>
              </w:rPr>
            </w:pPr>
            <w:r w:rsidRPr="00707C14">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707C14">
              <w:rPr>
                <w:rFonts w:cstheme="minorHAnsi"/>
                <w:sz w:val="18"/>
                <w:szCs w:val="18"/>
                <w:shd w:val="clear" w:color="auto" w:fill="FFFFFF"/>
              </w:rPr>
              <w:t xml:space="preserve"> RW określonego typu”</w:t>
            </w:r>
          </w:p>
          <w:p w14:paraId="5E7E2DCA" w14:textId="45F0B567" w:rsidR="00707C14" w:rsidRPr="00707C14" w:rsidRDefault="00707C14" w:rsidP="00707C14">
            <w:pPr>
              <w:pStyle w:val="Akapitzlist"/>
              <w:numPr>
                <w:ilvl w:val="0"/>
                <w:numId w:val="1"/>
              </w:numPr>
              <w:ind w:left="354" w:hanging="283"/>
              <w:jc w:val="left"/>
              <w:rPr>
                <w:rFonts w:ascii="Calibri" w:eastAsia="Times New Roman" w:hAnsi="Calibri" w:cs="Calibri"/>
                <w:sz w:val="18"/>
                <w:szCs w:val="18"/>
                <w:lang w:eastAsia="pl-PL"/>
              </w:rPr>
            </w:pPr>
            <w:r w:rsidRPr="00707C14">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707C14">
              <w:rPr>
                <w:rFonts w:eastAsia="Times New Roman" w:cstheme="minorHAnsi"/>
                <w:sz w:val="18"/>
                <w:szCs w:val="18"/>
                <w:lang w:eastAsia="pl-PL"/>
              </w:rPr>
              <w:t xml:space="preserve"> RW</w:t>
            </w:r>
            <w:r w:rsidRPr="00707C14">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319ECF84" w14:textId="4B8AC3CB" w:rsidR="0085319C" w:rsidRPr="00707C14" w:rsidRDefault="00707C14" w:rsidP="00707C14">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sz w:val="18"/>
                <w:szCs w:val="18"/>
                <w:lang w:eastAsia="pl-PL"/>
              </w:rPr>
              <w:t>IIaPGW został odpowiednio uzupełniony w tym zakresie dla wyeliminowania wątpliwości czytelnika.</w:t>
            </w:r>
          </w:p>
        </w:tc>
      </w:tr>
      <w:tr w:rsidR="0085319C" w:rsidRPr="005E78BB" w14:paraId="3CD50548" w14:textId="77777777" w:rsidTr="00E92AE6">
        <w:trPr>
          <w:trHeight w:val="454"/>
        </w:trPr>
        <w:tc>
          <w:tcPr>
            <w:tcW w:w="562" w:type="dxa"/>
            <w:shd w:val="clear" w:color="auto" w:fill="auto"/>
            <w:hideMark/>
          </w:tcPr>
          <w:p w14:paraId="71F0F29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w:t>
            </w:r>
          </w:p>
        </w:tc>
        <w:tc>
          <w:tcPr>
            <w:tcW w:w="1021" w:type="dxa"/>
          </w:tcPr>
          <w:p w14:paraId="26DF0A0F" w14:textId="0EB85D4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4BD250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5E6AD1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Rozdział 8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 zakresie celów środowiskowych dla przyrodniczych obszarów chronionych: </w:t>
            </w:r>
            <w:r w:rsidRPr="005E78BB">
              <w:rPr>
                <w:rFonts w:ascii="Calibri" w:eastAsia="Times New Roman" w:hAnsi="Calibri" w:cs="Calibri"/>
                <w:color w:val="000000"/>
                <w:sz w:val="18"/>
                <w:szCs w:val="18"/>
                <w:lang w:eastAsia="pl-PL"/>
              </w:rPr>
              <w:br/>
              <w:t xml:space="preserve">− zamieszczenie (przy wykazie ww. celów) tabeli z wymaganiami wodnymi właściwego </w:t>
            </w:r>
            <w:r w:rsidRPr="005E78BB">
              <w:rPr>
                <w:rFonts w:ascii="Calibri" w:eastAsia="Times New Roman" w:hAnsi="Calibri" w:cs="Calibri"/>
                <w:color w:val="000000"/>
                <w:sz w:val="18"/>
                <w:szCs w:val="18"/>
                <w:lang w:eastAsia="pl-PL"/>
              </w:rPr>
              <w:br/>
              <w:t xml:space="preserve">stanu ochrony gatunków i siedlisk Natura 2000, </w:t>
            </w:r>
            <w:r w:rsidRPr="005E78BB">
              <w:rPr>
                <w:rFonts w:ascii="Calibri" w:eastAsia="Times New Roman" w:hAnsi="Calibri" w:cs="Calibri"/>
                <w:color w:val="000000"/>
                <w:sz w:val="18"/>
                <w:szCs w:val="18"/>
                <w:lang w:eastAsia="pl-PL"/>
              </w:rPr>
              <w:br/>
              <w:t xml:space="preserve">− uwzględnienie obszarów Natura 2000 wskazanych w uchwale nr 5 Rady Ministrów z </w:t>
            </w:r>
            <w:r w:rsidRPr="005E78BB">
              <w:rPr>
                <w:rFonts w:ascii="Calibri" w:eastAsia="Times New Roman" w:hAnsi="Calibri" w:cs="Calibri"/>
                <w:color w:val="000000"/>
                <w:sz w:val="18"/>
                <w:szCs w:val="18"/>
                <w:lang w:eastAsia="pl-PL"/>
              </w:rPr>
              <w:br/>
              <w:t xml:space="preserve">dnia 5 stycznia 2021 r. w sprawie wyrażenia zgody na przekazanie Komisji Europejskiej </w:t>
            </w:r>
            <w:r w:rsidRPr="005E78BB">
              <w:rPr>
                <w:rFonts w:ascii="Calibri" w:eastAsia="Times New Roman" w:hAnsi="Calibri" w:cs="Calibri"/>
                <w:color w:val="000000"/>
                <w:sz w:val="18"/>
                <w:szCs w:val="18"/>
                <w:lang w:eastAsia="pl-PL"/>
              </w:rPr>
              <w:br/>
              <w:t xml:space="preserve">dokumentu „Lista zmian w sieci obszarów Natura 2000" oraz przypisanie działań </w:t>
            </w:r>
            <w:r w:rsidRPr="005E78BB">
              <w:rPr>
                <w:rFonts w:ascii="Calibri" w:eastAsia="Times New Roman" w:hAnsi="Calibri" w:cs="Calibri"/>
                <w:color w:val="000000"/>
                <w:sz w:val="18"/>
                <w:szCs w:val="18"/>
                <w:lang w:eastAsia="pl-PL"/>
              </w:rPr>
              <w:br/>
              <w:t xml:space="preserve">ukierunkowanych na cele środowiskowe tych obszarów. </w:t>
            </w:r>
          </w:p>
        </w:tc>
        <w:tc>
          <w:tcPr>
            <w:tcW w:w="3377" w:type="dxa"/>
            <w:shd w:val="clear" w:color="auto" w:fill="auto"/>
            <w:hideMark/>
          </w:tcPr>
          <w:p w14:paraId="42EE46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zakresie celów środowiskowych dla przyrodniczych obszarów chronionych: </w:t>
            </w:r>
            <w:r w:rsidRPr="005E78BB">
              <w:rPr>
                <w:rFonts w:ascii="Calibri" w:eastAsia="Times New Roman" w:hAnsi="Calibri" w:cs="Calibri"/>
                <w:color w:val="000000"/>
                <w:sz w:val="18"/>
                <w:szCs w:val="18"/>
                <w:lang w:eastAsia="pl-PL"/>
              </w:rPr>
              <w:br/>
              <w:t xml:space="preserve">− zamieszczenie (przy wykazie ww. celów) tabeli z wymaganiami wodnymi właściwego </w:t>
            </w:r>
            <w:r w:rsidRPr="005E78BB">
              <w:rPr>
                <w:rFonts w:ascii="Calibri" w:eastAsia="Times New Roman" w:hAnsi="Calibri" w:cs="Calibri"/>
                <w:color w:val="000000"/>
                <w:sz w:val="18"/>
                <w:szCs w:val="18"/>
                <w:lang w:eastAsia="pl-PL"/>
              </w:rPr>
              <w:br/>
              <w:t xml:space="preserve">stanu ochrony gatunków i siedlisk Natura 2000, </w:t>
            </w:r>
            <w:r w:rsidRPr="005E78BB">
              <w:rPr>
                <w:rFonts w:ascii="Calibri" w:eastAsia="Times New Roman" w:hAnsi="Calibri" w:cs="Calibri"/>
                <w:color w:val="000000"/>
                <w:sz w:val="18"/>
                <w:szCs w:val="18"/>
                <w:lang w:eastAsia="pl-PL"/>
              </w:rPr>
              <w:br/>
              <w:t xml:space="preserve">− uwzględnienie obszarów Natura 2000 wskazanych w uchwale nr 5 Rady Ministrów z </w:t>
            </w:r>
            <w:r w:rsidRPr="005E78BB">
              <w:rPr>
                <w:rFonts w:ascii="Calibri" w:eastAsia="Times New Roman" w:hAnsi="Calibri" w:cs="Calibri"/>
                <w:color w:val="000000"/>
                <w:sz w:val="18"/>
                <w:szCs w:val="18"/>
                <w:lang w:eastAsia="pl-PL"/>
              </w:rPr>
              <w:br/>
              <w:t xml:space="preserve">dnia 5 stycznia 2021 r. w sprawie wyrażenia zgody na przekazanie Komisji Europejskiej </w:t>
            </w:r>
            <w:r w:rsidRPr="005E78BB">
              <w:rPr>
                <w:rFonts w:ascii="Calibri" w:eastAsia="Times New Roman" w:hAnsi="Calibri" w:cs="Calibri"/>
                <w:color w:val="000000"/>
                <w:sz w:val="18"/>
                <w:szCs w:val="18"/>
                <w:lang w:eastAsia="pl-PL"/>
              </w:rPr>
              <w:br/>
              <w:t xml:space="preserve">dokumentu „Lista zmian w sieci obszarów Natura 2000" oraz przypisanie działań </w:t>
            </w:r>
            <w:r w:rsidRPr="005E78BB">
              <w:rPr>
                <w:rFonts w:ascii="Calibri" w:eastAsia="Times New Roman" w:hAnsi="Calibri" w:cs="Calibri"/>
                <w:color w:val="000000"/>
                <w:sz w:val="18"/>
                <w:szCs w:val="18"/>
                <w:lang w:eastAsia="pl-PL"/>
              </w:rPr>
              <w:br/>
              <w:t xml:space="preserve">ukierunkowanych na cele środowiskowe tych obszarów. </w:t>
            </w:r>
          </w:p>
        </w:tc>
        <w:tc>
          <w:tcPr>
            <w:tcW w:w="3401" w:type="dxa"/>
            <w:shd w:val="clear" w:color="auto" w:fill="auto"/>
            <w:hideMark/>
          </w:tcPr>
          <w:p w14:paraId="4A0EEB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1. Teoretycznie projekty IIaPGW określają cele środowiskowe dla wybranych obszarów </w:t>
            </w:r>
            <w:r w:rsidRPr="005E78BB">
              <w:rPr>
                <w:rFonts w:ascii="Calibri" w:eastAsia="Times New Roman" w:hAnsi="Calibri" w:cs="Calibri"/>
                <w:color w:val="000000"/>
                <w:sz w:val="18"/>
                <w:szCs w:val="18"/>
                <w:lang w:eastAsia="pl-PL"/>
              </w:rPr>
              <w:br/>
              <w:t xml:space="preserve">ochrony przyrody, tj. dla obszarów przeznaczonych do ochrony siedlisk lub gatunków, o </w:t>
            </w:r>
            <w:r w:rsidRPr="005E78BB">
              <w:rPr>
                <w:rFonts w:ascii="Calibri" w:eastAsia="Times New Roman" w:hAnsi="Calibri" w:cs="Calibri"/>
                <w:color w:val="000000"/>
                <w:sz w:val="18"/>
                <w:szCs w:val="18"/>
                <w:lang w:eastAsia="pl-PL"/>
              </w:rPr>
              <w:br/>
              <w:t xml:space="preserve">których mowa w przepisach ustawy z dnia 16 kwietnia 2004 r. o ochronie przyrody, dla </w:t>
            </w:r>
            <w:r w:rsidRPr="005E78BB">
              <w:rPr>
                <w:rFonts w:ascii="Calibri" w:eastAsia="Times New Roman" w:hAnsi="Calibri" w:cs="Calibri"/>
                <w:color w:val="000000"/>
                <w:sz w:val="18"/>
                <w:szCs w:val="18"/>
                <w:lang w:eastAsia="pl-PL"/>
              </w:rPr>
              <w:br/>
              <w:t xml:space="preserve">których utrzymanie lub poprawa stanu wód jest ważnym czynnikiem w ich ochronie. W </w:t>
            </w:r>
            <w:r w:rsidRPr="005E78BB">
              <w:rPr>
                <w:rFonts w:ascii="Calibri" w:eastAsia="Times New Roman" w:hAnsi="Calibri" w:cs="Calibri"/>
                <w:color w:val="000000"/>
                <w:sz w:val="18"/>
                <w:szCs w:val="18"/>
                <w:lang w:eastAsia="pl-PL"/>
              </w:rPr>
              <w:br/>
              <w:t xml:space="preserve">praktyce jednak robią to tylko częściowo. </w:t>
            </w:r>
            <w:r w:rsidRPr="005E78BB">
              <w:rPr>
                <w:rFonts w:ascii="Calibri" w:eastAsia="Times New Roman" w:hAnsi="Calibri" w:cs="Calibri"/>
                <w:color w:val="000000"/>
                <w:sz w:val="18"/>
                <w:szCs w:val="18"/>
                <w:lang w:eastAsia="pl-PL"/>
              </w:rPr>
              <w:br/>
              <w:t xml:space="preserve">2. Po pierwsze trzeba zwrócić uwagę na to, że projekty IIaPGW nie przedstawiają wymagań dla siedlisk i gatunków wodozależnych - choć opisy celów środowiskowych obszarów chronionych </w:t>
            </w:r>
            <w:r w:rsidRPr="005E78BB">
              <w:rPr>
                <w:rFonts w:ascii="Calibri" w:eastAsia="Times New Roman" w:hAnsi="Calibri" w:cs="Calibri"/>
                <w:color w:val="000000"/>
                <w:sz w:val="18"/>
                <w:szCs w:val="18"/>
                <w:lang w:eastAsia="pl-PL"/>
              </w:rPr>
              <w:lastRenderedPageBreak/>
              <w:t xml:space="preserve">odwołują się do tych wymagań (poprzez zapis „[patrz tabela wymagań wodnych właściwego stanu ochrony siedlisk Natura 2000]” w kolumnie N arkusza 6_OCH_CS załączników nr 1 do IIaPGW). Brak ich przedstawienia w IIaPGW sprawia, że zasadnicze cele środowiskowe przyrodniczych obszarów chronionych są w zasadzie pozbawione merytorycznej treści (podobną sytuacją byłoby to, gdyby wskazano cel środowiskowy w formie klasy stanu konkretnych wskaźników, a nie zostałaby podana </w:t>
            </w:r>
            <w:r w:rsidRPr="005E78BB">
              <w:rPr>
                <w:rFonts w:ascii="Calibri" w:eastAsia="Times New Roman" w:hAnsi="Calibri" w:cs="Calibri"/>
                <w:color w:val="000000"/>
                <w:sz w:val="18"/>
                <w:szCs w:val="18"/>
                <w:lang w:eastAsia="pl-PL"/>
              </w:rPr>
              <w:br/>
              <w:t xml:space="preserve">wartość tego wskaźnika). </w:t>
            </w:r>
            <w:r w:rsidRPr="005E78BB">
              <w:rPr>
                <w:rFonts w:ascii="Calibri" w:eastAsia="Times New Roman" w:hAnsi="Calibri" w:cs="Calibri"/>
                <w:color w:val="000000"/>
                <w:sz w:val="18"/>
                <w:szCs w:val="18"/>
                <w:lang w:eastAsia="pl-PL"/>
              </w:rPr>
              <w:br/>
              <w:t xml:space="preserve">3. Ponadto, projekty IIaPGW nie uwzględniają nowych obszarów Natura 2000 wskazanych </w:t>
            </w:r>
            <w:r w:rsidRPr="005E78BB">
              <w:rPr>
                <w:rFonts w:ascii="Calibri" w:eastAsia="Times New Roman" w:hAnsi="Calibri" w:cs="Calibri"/>
                <w:color w:val="000000"/>
                <w:sz w:val="18"/>
                <w:szCs w:val="18"/>
                <w:lang w:eastAsia="pl-PL"/>
              </w:rPr>
              <w:br/>
              <w:t xml:space="preserve">w uchwale nr 5 Rady Ministrów z dnia 5 stycznia 2021 r. w sprawie wyrażenia zgody </w:t>
            </w:r>
            <w:r w:rsidRPr="005E78BB">
              <w:rPr>
                <w:rFonts w:ascii="Calibri" w:eastAsia="Times New Roman" w:hAnsi="Calibri" w:cs="Calibri"/>
                <w:color w:val="000000"/>
                <w:sz w:val="18"/>
                <w:szCs w:val="18"/>
                <w:lang w:eastAsia="pl-PL"/>
              </w:rPr>
              <w:br/>
              <w:t xml:space="preserve">na przekazanie Komisji Europejskiej dokumentu „Lista zmian w sieci obszarów Natura </w:t>
            </w:r>
            <w:r w:rsidRPr="005E78BB">
              <w:rPr>
                <w:rFonts w:ascii="Calibri" w:eastAsia="Times New Roman" w:hAnsi="Calibri" w:cs="Calibri"/>
                <w:color w:val="000000"/>
                <w:sz w:val="18"/>
                <w:szCs w:val="18"/>
                <w:lang w:eastAsia="pl-PL"/>
              </w:rPr>
              <w:br/>
              <w:t xml:space="preserve">2000" (MP 2021 r. poz. 45) - które od momentu zgłoszenia Komisji Europejskiej podlegają </w:t>
            </w:r>
            <w:r w:rsidRPr="005E78BB">
              <w:rPr>
                <w:rFonts w:ascii="Calibri" w:eastAsia="Times New Roman" w:hAnsi="Calibri" w:cs="Calibri"/>
                <w:color w:val="000000"/>
                <w:sz w:val="18"/>
                <w:szCs w:val="18"/>
                <w:lang w:eastAsia="pl-PL"/>
              </w:rPr>
              <w:br/>
              <w:t xml:space="preserve">ochronie (co wielokrotnie było potwierdzone orzecznictwem Europejskiego Trybunału </w:t>
            </w:r>
            <w:r w:rsidRPr="005E78BB">
              <w:rPr>
                <w:rFonts w:ascii="Calibri" w:eastAsia="Times New Roman" w:hAnsi="Calibri" w:cs="Calibri"/>
                <w:color w:val="000000"/>
                <w:sz w:val="18"/>
                <w:szCs w:val="18"/>
                <w:lang w:eastAsia="pl-PL"/>
              </w:rPr>
              <w:br/>
              <w:t xml:space="preserve">Sprawiedliwości), a więc niezbędne jest w ich przypadku niepogarszanie stanu </w:t>
            </w:r>
            <w:r w:rsidRPr="005E78BB">
              <w:rPr>
                <w:rFonts w:ascii="Calibri" w:eastAsia="Times New Roman" w:hAnsi="Calibri" w:cs="Calibri"/>
                <w:color w:val="000000"/>
                <w:sz w:val="18"/>
                <w:szCs w:val="18"/>
                <w:lang w:eastAsia="pl-PL"/>
              </w:rPr>
              <w:br/>
              <w:t xml:space="preserve">przedmiotów ochrony oraz dążenie do osiągnięcia „właściwego stanu ochrony” siedlisk i </w:t>
            </w:r>
            <w:r w:rsidRPr="005E78BB">
              <w:rPr>
                <w:rFonts w:ascii="Calibri" w:eastAsia="Times New Roman" w:hAnsi="Calibri" w:cs="Calibri"/>
                <w:color w:val="000000"/>
                <w:sz w:val="18"/>
                <w:szCs w:val="18"/>
                <w:lang w:eastAsia="pl-PL"/>
              </w:rPr>
              <w:br/>
              <w:t xml:space="preserve">gatunków, dla ochrony których wyznaczono te obszary. </w:t>
            </w:r>
          </w:p>
        </w:tc>
        <w:tc>
          <w:tcPr>
            <w:tcW w:w="1918" w:type="dxa"/>
            <w:shd w:val="clear" w:color="auto" w:fill="auto"/>
            <w:hideMark/>
          </w:tcPr>
          <w:p w14:paraId="396E70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5CD67C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B8588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2 uzupełniono o dane zawierające informację o wymaganiach właściwego stanu ochrony siedlisk i gatunków Natura 2000 w zakresie wód.</w:t>
            </w:r>
          </w:p>
        </w:tc>
      </w:tr>
      <w:tr w:rsidR="0085319C" w:rsidRPr="005E78BB" w14:paraId="3087D6B2" w14:textId="77777777" w:rsidTr="00E92AE6">
        <w:trPr>
          <w:trHeight w:val="454"/>
        </w:trPr>
        <w:tc>
          <w:tcPr>
            <w:tcW w:w="562" w:type="dxa"/>
            <w:shd w:val="clear" w:color="auto" w:fill="auto"/>
            <w:hideMark/>
          </w:tcPr>
          <w:p w14:paraId="5338767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w:t>
            </w:r>
          </w:p>
        </w:tc>
        <w:tc>
          <w:tcPr>
            <w:tcW w:w="1021" w:type="dxa"/>
          </w:tcPr>
          <w:p w14:paraId="517A86AF" w14:textId="51DEC87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3E49F1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35D200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w:t>
            </w:r>
            <w:r w:rsidRPr="005E78BB">
              <w:rPr>
                <w:rFonts w:ascii="Calibri" w:eastAsia="Times New Roman" w:hAnsi="Calibri" w:cs="Calibri"/>
                <w:color w:val="000000"/>
                <w:sz w:val="18"/>
                <w:szCs w:val="18"/>
                <w:lang w:eastAsia="pl-PL"/>
              </w:rPr>
              <w:br w:type="page"/>
              <w:t xml:space="preserve">Rozdział 12 </w:t>
            </w:r>
            <w:r w:rsidRPr="005E78BB">
              <w:rPr>
                <w:rFonts w:ascii="Calibri" w:eastAsia="Times New Roman" w:hAnsi="Calibri" w:cs="Calibri"/>
                <w:color w:val="000000"/>
                <w:sz w:val="18"/>
                <w:szCs w:val="18"/>
                <w:lang w:eastAsia="pl-PL"/>
              </w:rPr>
              <w:br w:type="page"/>
              <w:t xml:space="preserve">Treść uwagi: Uwagi dot. braku kompletności zaproponowanych zestawów działań.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46F3F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Propozycje zmiany: </w:t>
            </w:r>
            <w:r w:rsidRPr="005E78BB">
              <w:rPr>
                <w:rFonts w:ascii="Calibri" w:eastAsia="Times New Roman" w:hAnsi="Calibri" w:cs="Calibri"/>
                <w:color w:val="000000"/>
                <w:sz w:val="18"/>
                <w:szCs w:val="18"/>
                <w:lang w:eastAsia="pl-PL"/>
              </w:rPr>
              <w:br w:type="page"/>
              <w:t xml:space="preserve">1) wprowadzenie działań ukierunkowanych na osiągnięcie celów środowiskowych </w:t>
            </w:r>
            <w:r w:rsidRPr="005E78BB">
              <w:rPr>
                <w:rFonts w:ascii="Calibri" w:eastAsia="Times New Roman" w:hAnsi="Calibri" w:cs="Calibri"/>
                <w:color w:val="000000"/>
                <w:sz w:val="18"/>
                <w:szCs w:val="18"/>
                <w:lang w:eastAsia="pl-PL"/>
              </w:rPr>
              <w:br w:type="page"/>
              <w:t xml:space="preserve">wszystkich przyrodniczych obszarów chronionych przeznaczonych do ochrony siedlisk </w:t>
            </w:r>
            <w:r w:rsidRPr="005E78BB">
              <w:rPr>
                <w:rFonts w:ascii="Calibri" w:eastAsia="Times New Roman" w:hAnsi="Calibri" w:cs="Calibri"/>
                <w:color w:val="000000"/>
                <w:sz w:val="18"/>
                <w:szCs w:val="18"/>
                <w:lang w:eastAsia="pl-PL"/>
              </w:rPr>
              <w:br w:type="page"/>
              <w:t xml:space="preserve">lub gatunków dla których utrzymanie lub poprawa stanu wód jest ważnym czynnikiem </w:t>
            </w:r>
            <w:r w:rsidRPr="005E78BB">
              <w:rPr>
                <w:rFonts w:ascii="Calibri" w:eastAsia="Times New Roman" w:hAnsi="Calibri" w:cs="Calibri"/>
                <w:color w:val="000000"/>
                <w:sz w:val="18"/>
                <w:szCs w:val="18"/>
                <w:lang w:eastAsia="pl-PL"/>
              </w:rPr>
              <w:br w:type="page"/>
              <w:t xml:space="preserve">w ich ochronie; </w:t>
            </w:r>
            <w:r w:rsidRPr="005E78BB">
              <w:rPr>
                <w:rFonts w:ascii="Calibri" w:eastAsia="Times New Roman" w:hAnsi="Calibri" w:cs="Calibri"/>
                <w:color w:val="000000"/>
                <w:sz w:val="18"/>
                <w:szCs w:val="18"/>
                <w:lang w:eastAsia="pl-PL"/>
              </w:rPr>
              <w:br w:type="page"/>
              <w:t xml:space="preserve">2) przeniesienie do IIaPGW wszystkich ustaleń Krajowego Programu Renaturyzacji Wód </w:t>
            </w:r>
            <w:r w:rsidRPr="005E78BB">
              <w:rPr>
                <w:rFonts w:ascii="Calibri" w:eastAsia="Times New Roman" w:hAnsi="Calibri" w:cs="Calibri"/>
                <w:color w:val="000000"/>
                <w:sz w:val="18"/>
                <w:szCs w:val="18"/>
                <w:lang w:eastAsia="pl-PL"/>
              </w:rPr>
              <w:br w:type="page"/>
              <w:t xml:space="preserve">Powierzchniowych; </w:t>
            </w:r>
            <w:r w:rsidRPr="005E78BB">
              <w:rPr>
                <w:rFonts w:ascii="Calibri" w:eastAsia="Times New Roman" w:hAnsi="Calibri" w:cs="Calibri"/>
                <w:color w:val="000000"/>
                <w:sz w:val="18"/>
                <w:szCs w:val="18"/>
                <w:lang w:eastAsia="pl-PL"/>
              </w:rPr>
              <w:br w:type="page"/>
              <w:t xml:space="preserve">3) wykreślenie działania pn. „weryfikacja programu ochrony środowiska” i wprowadzenia </w:t>
            </w:r>
            <w:r w:rsidRPr="005E78BB">
              <w:rPr>
                <w:rFonts w:ascii="Calibri" w:eastAsia="Times New Roman" w:hAnsi="Calibri" w:cs="Calibri"/>
                <w:color w:val="000000"/>
                <w:sz w:val="18"/>
                <w:szCs w:val="18"/>
                <w:lang w:eastAsia="pl-PL"/>
              </w:rPr>
              <w:br w:type="page"/>
              <w:t xml:space="preserve">w jego miejsca bardziej adekwatnej formy działania ukierunkowanego na ograniczanie </w:t>
            </w:r>
            <w:r w:rsidRPr="005E78BB">
              <w:rPr>
                <w:rFonts w:ascii="Calibri" w:eastAsia="Times New Roman" w:hAnsi="Calibri" w:cs="Calibri"/>
                <w:color w:val="000000"/>
                <w:sz w:val="18"/>
                <w:szCs w:val="18"/>
                <w:lang w:eastAsia="pl-PL"/>
              </w:rPr>
              <w:br w:type="page"/>
              <w:t xml:space="preserve">emisji substancji priorytetowych;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ADAC3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1. W zestawach działań nie uwzględniono działań ukierunkowanych na osiągnięcie celów </w:t>
            </w:r>
            <w:r w:rsidRPr="005E78BB">
              <w:rPr>
                <w:rFonts w:ascii="Calibri" w:eastAsia="Times New Roman" w:hAnsi="Calibri" w:cs="Calibri"/>
                <w:color w:val="000000"/>
                <w:sz w:val="18"/>
                <w:szCs w:val="18"/>
                <w:lang w:eastAsia="pl-PL"/>
              </w:rPr>
              <w:br w:type="page"/>
              <w:t xml:space="preserve">środowiskowych dla wszystkich obszarów chronionych przeznaczonych do ochrony </w:t>
            </w:r>
            <w:r w:rsidRPr="005E78BB">
              <w:rPr>
                <w:rFonts w:ascii="Calibri" w:eastAsia="Times New Roman" w:hAnsi="Calibri" w:cs="Calibri"/>
                <w:color w:val="000000"/>
                <w:sz w:val="18"/>
                <w:szCs w:val="18"/>
                <w:lang w:eastAsia="pl-PL"/>
              </w:rPr>
              <w:br w:type="page"/>
              <w:t xml:space="preserve">siedlisk lub gatunków, o których mowa w przepisach ustawy z dnia 16 kwietnia 2004 r. o </w:t>
            </w:r>
            <w:r w:rsidRPr="005E78BB">
              <w:rPr>
                <w:rFonts w:ascii="Calibri" w:eastAsia="Times New Roman" w:hAnsi="Calibri" w:cs="Calibri"/>
                <w:color w:val="000000"/>
                <w:sz w:val="18"/>
                <w:szCs w:val="18"/>
                <w:lang w:eastAsia="pl-PL"/>
              </w:rPr>
              <w:br w:type="page"/>
              <w:t xml:space="preserve">ochronie przyrody, dla których utrzymanie lub poprawa stanu wód jest ważnym </w:t>
            </w:r>
            <w:r w:rsidRPr="005E78BB">
              <w:rPr>
                <w:rFonts w:ascii="Calibri" w:eastAsia="Times New Roman" w:hAnsi="Calibri" w:cs="Calibri"/>
                <w:color w:val="000000"/>
                <w:sz w:val="18"/>
                <w:szCs w:val="18"/>
                <w:lang w:eastAsia="pl-PL"/>
              </w:rPr>
              <w:br w:type="page"/>
              <w:t xml:space="preserve">czynnikiem w ich ochronie. Pominięte zostały obszary chronionego krajobrazu (405 </w:t>
            </w:r>
            <w:r w:rsidRPr="005E78BB">
              <w:rPr>
                <w:rFonts w:ascii="Calibri" w:eastAsia="Times New Roman" w:hAnsi="Calibri" w:cs="Calibri"/>
                <w:color w:val="000000"/>
                <w:sz w:val="18"/>
                <w:szCs w:val="18"/>
                <w:lang w:eastAsia="pl-PL"/>
              </w:rPr>
              <w:br w:type="page"/>
              <w:t xml:space="preserve">obiektów), zespoły przyrodniczo-krajobrazowe (187 obiektów), użytki ekologiczne (6821 </w:t>
            </w:r>
            <w:r w:rsidRPr="005E78BB">
              <w:rPr>
                <w:rFonts w:ascii="Calibri" w:eastAsia="Times New Roman" w:hAnsi="Calibri" w:cs="Calibri"/>
                <w:color w:val="000000"/>
                <w:sz w:val="18"/>
                <w:szCs w:val="18"/>
                <w:lang w:eastAsia="pl-PL"/>
              </w:rPr>
              <w:br w:type="page"/>
              <w:t xml:space="preserve">obiektów), stanowiska dokumentacyjne (27 obiektów) i pomniki przyrody (164 obiekty) - </w:t>
            </w:r>
            <w:r w:rsidRPr="005E78BB">
              <w:rPr>
                <w:rFonts w:ascii="Calibri" w:eastAsia="Times New Roman" w:hAnsi="Calibri" w:cs="Calibri"/>
                <w:color w:val="000000"/>
                <w:sz w:val="18"/>
                <w:szCs w:val="18"/>
                <w:lang w:eastAsia="pl-PL"/>
              </w:rPr>
              <w:br w:type="page"/>
              <w:t xml:space="preserve">przy czym chodzi tu wyłącznie o te obiekty, które w pracy pn. „Ustalenie celów </w:t>
            </w:r>
            <w:r w:rsidRPr="005E78BB">
              <w:rPr>
                <w:rFonts w:ascii="Calibri" w:eastAsia="Times New Roman" w:hAnsi="Calibri" w:cs="Calibri"/>
                <w:color w:val="000000"/>
                <w:sz w:val="18"/>
                <w:szCs w:val="18"/>
                <w:lang w:eastAsia="pl-PL"/>
              </w:rPr>
              <w:br w:type="page"/>
              <w:t xml:space="preserve">środowiskowych dla jednolitych części wód wraz z opracowaniem rejestru wykazów </w:t>
            </w:r>
            <w:r w:rsidRPr="005E78BB">
              <w:rPr>
                <w:rFonts w:ascii="Calibri" w:eastAsia="Times New Roman" w:hAnsi="Calibri" w:cs="Calibri"/>
                <w:color w:val="000000"/>
                <w:sz w:val="18"/>
                <w:szCs w:val="18"/>
                <w:lang w:eastAsia="pl-PL"/>
              </w:rPr>
              <w:br w:type="page"/>
              <w:t xml:space="preserve">obszarów chronionych” z 2019 r. zostały uznane za obszary chronione przeznaczone do </w:t>
            </w:r>
            <w:r w:rsidRPr="005E78BB">
              <w:rPr>
                <w:rFonts w:ascii="Calibri" w:eastAsia="Times New Roman" w:hAnsi="Calibri" w:cs="Calibri"/>
                <w:color w:val="000000"/>
                <w:sz w:val="18"/>
                <w:szCs w:val="18"/>
                <w:lang w:eastAsia="pl-PL"/>
              </w:rPr>
              <w:br w:type="page"/>
              <w:t xml:space="preserve">ochrony siedlisk lub gatunków, o których mowa w przepisach ustawy z dnia 16 kwietnia </w:t>
            </w:r>
            <w:r w:rsidRPr="005E78BB">
              <w:rPr>
                <w:rFonts w:ascii="Calibri" w:eastAsia="Times New Roman" w:hAnsi="Calibri" w:cs="Calibri"/>
                <w:color w:val="000000"/>
                <w:sz w:val="18"/>
                <w:szCs w:val="18"/>
                <w:lang w:eastAsia="pl-PL"/>
              </w:rPr>
              <w:br w:type="page"/>
              <w:t xml:space="preserve">2004 r. </w:t>
            </w:r>
            <w:r w:rsidRPr="005E78BB">
              <w:rPr>
                <w:rFonts w:ascii="Calibri" w:eastAsia="Times New Roman" w:hAnsi="Calibri" w:cs="Calibri"/>
                <w:color w:val="000000"/>
                <w:sz w:val="18"/>
                <w:szCs w:val="18"/>
                <w:lang w:eastAsia="pl-PL"/>
              </w:rPr>
              <w:lastRenderedPageBreak/>
              <w:t xml:space="preserve">o ochronie przyrody, dla których utrzymanie lub poprawa stanu wód jest ważnym </w:t>
            </w:r>
            <w:r w:rsidRPr="005E78BB">
              <w:rPr>
                <w:rFonts w:ascii="Calibri" w:eastAsia="Times New Roman" w:hAnsi="Calibri" w:cs="Calibri"/>
                <w:color w:val="000000"/>
                <w:sz w:val="18"/>
                <w:szCs w:val="18"/>
                <w:lang w:eastAsia="pl-PL"/>
              </w:rPr>
              <w:br w:type="page"/>
              <w:t xml:space="preserve">czynnikiem w ich ochronie. </w:t>
            </w:r>
            <w:r w:rsidRPr="005E78BB">
              <w:rPr>
                <w:rFonts w:ascii="Calibri" w:eastAsia="Times New Roman" w:hAnsi="Calibri" w:cs="Calibri"/>
                <w:color w:val="000000"/>
                <w:sz w:val="18"/>
                <w:szCs w:val="18"/>
                <w:lang w:eastAsia="pl-PL"/>
              </w:rPr>
              <w:br w:type="page"/>
              <w:t xml:space="preserve">2. Zauważalne jest, że ustalenia Krajowego Programu Renaturyzacji Wód Powierzchniowych (KPRWP) nie zostały przeniesione w całości do działań IIaPGW - lecz wyłącznie tam, gdzie występują obszary chronione (prawdopodobnie wyłącznie obszary Natura 2000, w których przedmiotem ochrony są gatunki i siedliska wodozależne). </w:t>
            </w:r>
            <w:r w:rsidRPr="005E78BB">
              <w:rPr>
                <w:rFonts w:ascii="Calibri" w:eastAsia="Times New Roman" w:hAnsi="Calibri" w:cs="Calibri"/>
                <w:color w:val="000000"/>
                <w:sz w:val="18"/>
                <w:szCs w:val="18"/>
                <w:lang w:eastAsia="pl-PL"/>
              </w:rPr>
              <w:br w:type="page"/>
              <w:t xml:space="preserve">3. Wśród działań mających na celu osiągnięcie celów środowiskowych pojawia się m.in. </w:t>
            </w:r>
            <w:r w:rsidRPr="005E78BB">
              <w:rPr>
                <w:rFonts w:ascii="Calibri" w:eastAsia="Times New Roman" w:hAnsi="Calibri" w:cs="Calibri"/>
                <w:color w:val="000000"/>
                <w:sz w:val="18"/>
                <w:szCs w:val="18"/>
                <w:lang w:eastAsia="pl-PL"/>
              </w:rPr>
              <w:br w:type="page"/>
              <w:t xml:space="preserve">pozycja pn. „weryfikacja programu ochrony środowiska” (głównie jako działanie </w:t>
            </w:r>
            <w:r w:rsidRPr="005E78BB">
              <w:rPr>
                <w:rFonts w:ascii="Calibri" w:eastAsia="Times New Roman" w:hAnsi="Calibri" w:cs="Calibri"/>
                <w:color w:val="000000"/>
                <w:sz w:val="18"/>
                <w:szCs w:val="18"/>
                <w:lang w:eastAsia="pl-PL"/>
              </w:rPr>
              <w:br w:type="page"/>
              <w:t xml:space="preserve">ukierunkowane na ograniczanie emisji substancji priorytetowych). Działanie to należy </w:t>
            </w:r>
            <w:r w:rsidRPr="005E78BB">
              <w:rPr>
                <w:rFonts w:ascii="Calibri" w:eastAsia="Times New Roman" w:hAnsi="Calibri" w:cs="Calibri"/>
                <w:color w:val="000000"/>
                <w:sz w:val="18"/>
                <w:szCs w:val="18"/>
                <w:lang w:eastAsia="pl-PL"/>
              </w:rPr>
              <w:br w:type="page"/>
              <w:t xml:space="preserve">ocenić krytycznie, ponieważ: </w:t>
            </w:r>
            <w:r w:rsidRPr="005E78BB">
              <w:rPr>
                <w:rFonts w:ascii="Calibri" w:eastAsia="Times New Roman" w:hAnsi="Calibri" w:cs="Calibri"/>
                <w:color w:val="000000"/>
                <w:sz w:val="18"/>
                <w:szCs w:val="18"/>
                <w:lang w:eastAsia="pl-PL"/>
              </w:rPr>
              <w:br w:type="page"/>
              <w:t xml:space="preserve">a) w wyniku dokonanej w ostatnich latach zmiany ustawy z dnia 27 kwietnia 2001 r. - </w:t>
            </w:r>
            <w:r w:rsidRPr="005E78BB">
              <w:rPr>
                <w:rFonts w:ascii="Calibri" w:eastAsia="Times New Roman" w:hAnsi="Calibri" w:cs="Calibri"/>
                <w:color w:val="000000"/>
                <w:sz w:val="18"/>
                <w:szCs w:val="18"/>
                <w:lang w:eastAsia="pl-PL"/>
              </w:rPr>
              <w:br w:type="page"/>
              <w:t xml:space="preserve">Prawo ochrony środowiska, nie ma już prawnej podstawy (a więc: obowiązku lub </w:t>
            </w:r>
            <w:r w:rsidRPr="005E78BB">
              <w:rPr>
                <w:rFonts w:ascii="Calibri" w:eastAsia="Times New Roman" w:hAnsi="Calibri" w:cs="Calibri"/>
                <w:color w:val="000000"/>
                <w:sz w:val="18"/>
                <w:szCs w:val="18"/>
                <w:lang w:eastAsia="pl-PL"/>
              </w:rPr>
              <w:br w:type="page"/>
              <w:t xml:space="preserve">możliwości) do aktualizacji gminnych, powiatowych i wojewódzkich programów </w:t>
            </w:r>
            <w:r w:rsidRPr="005E78BB">
              <w:rPr>
                <w:rFonts w:ascii="Calibri" w:eastAsia="Times New Roman" w:hAnsi="Calibri" w:cs="Calibri"/>
                <w:color w:val="000000"/>
                <w:sz w:val="18"/>
                <w:szCs w:val="18"/>
                <w:lang w:eastAsia="pl-PL"/>
              </w:rPr>
              <w:br w:type="page"/>
              <w:t xml:space="preserve">ochrony środowiska; </w:t>
            </w:r>
            <w:r w:rsidRPr="005E78BB">
              <w:rPr>
                <w:rFonts w:ascii="Calibri" w:eastAsia="Times New Roman" w:hAnsi="Calibri" w:cs="Calibri"/>
                <w:color w:val="000000"/>
                <w:sz w:val="18"/>
                <w:szCs w:val="18"/>
                <w:lang w:eastAsia="pl-PL"/>
              </w:rPr>
              <w:br w:type="page"/>
              <w:t xml:space="preserve">b) programy ochrony środowiska nie mają żadnej mocy prawnej; </w:t>
            </w:r>
            <w:r w:rsidRPr="005E78BB">
              <w:rPr>
                <w:rFonts w:ascii="Calibri" w:eastAsia="Times New Roman" w:hAnsi="Calibri" w:cs="Calibri"/>
                <w:color w:val="000000"/>
                <w:sz w:val="18"/>
                <w:szCs w:val="18"/>
                <w:lang w:eastAsia="pl-PL"/>
              </w:rPr>
              <w:br w:type="page"/>
              <w:t xml:space="preserve">c) nie ma przepisów określających zawartość programów ochrony środowiska; </w:t>
            </w:r>
            <w:r w:rsidRPr="005E78BB">
              <w:rPr>
                <w:rFonts w:ascii="Calibri" w:eastAsia="Times New Roman" w:hAnsi="Calibri" w:cs="Calibri"/>
                <w:color w:val="000000"/>
                <w:sz w:val="18"/>
                <w:szCs w:val="18"/>
                <w:lang w:eastAsia="pl-PL"/>
              </w:rPr>
              <w:br w:type="page"/>
              <w:t xml:space="preserve">d) wytyczne Ministra Środowiska w sprawie sporządzania programów ochrony </w:t>
            </w:r>
            <w:r w:rsidRPr="005E78BB">
              <w:rPr>
                <w:rFonts w:ascii="Calibri" w:eastAsia="Times New Roman" w:hAnsi="Calibri" w:cs="Calibri"/>
                <w:color w:val="000000"/>
                <w:sz w:val="18"/>
                <w:szCs w:val="18"/>
                <w:lang w:eastAsia="pl-PL"/>
              </w:rPr>
              <w:br w:type="page"/>
              <w:t xml:space="preserve">środowiska nie przewidują przeprowadzania w nich takich analiz, które miałyby na celu </w:t>
            </w:r>
            <w:r w:rsidRPr="005E78BB">
              <w:rPr>
                <w:rFonts w:ascii="Calibri" w:eastAsia="Times New Roman" w:hAnsi="Calibri" w:cs="Calibri"/>
                <w:color w:val="000000"/>
                <w:sz w:val="18"/>
                <w:szCs w:val="18"/>
                <w:lang w:eastAsia="pl-PL"/>
              </w:rPr>
              <w:br w:type="page"/>
              <w:t xml:space="preserve">identyfikację przyczyn nieosiągnięcia celów środowiskowych w zakresie ochrony wód. </w:t>
            </w:r>
            <w:r w:rsidRPr="005E78BB">
              <w:rPr>
                <w:rFonts w:ascii="Calibri" w:eastAsia="Times New Roman" w:hAnsi="Calibri" w:cs="Calibri"/>
                <w:color w:val="000000"/>
                <w:sz w:val="18"/>
                <w:szCs w:val="18"/>
                <w:lang w:eastAsia="pl-PL"/>
              </w:rPr>
              <w:br w:type="page"/>
              <w:t xml:space="preserve">4. Z powyższych punktów wynika, że konieczne jest: </w:t>
            </w:r>
            <w:r w:rsidRPr="005E78BB">
              <w:rPr>
                <w:rFonts w:ascii="Calibri" w:eastAsia="Times New Roman" w:hAnsi="Calibri" w:cs="Calibri"/>
                <w:color w:val="000000"/>
                <w:sz w:val="18"/>
                <w:szCs w:val="18"/>
                <w:lang w:eastAsia="pl-PL"/>
              </w:rPr>
              <w:br w:type="page"/>
              <w:t xml:space="preserve">a) przypisanie działań adekwatnych do celów środowiskowych dla wszystkich obszarów </w:t>
            </w:r>
            <w:r w:rsidRPr="005E78BB">
              <w:rPr>
                <w:rFonts w:ascii="Calibri" w:eastAsia="Times New Roman" w:hAnsi="Calibri" w:cs="Calibri"/>
                <w:color w:val="000000"/>
                <w:sz w:val="18"/>
                <w:szCs w:val="18"/>
                <w:lang w:eastAsia="pl-PL"/>
              </w:rPr>
              <w:br w:type="page"/>
              <w:t xml:space="preserve">chronionych przeznaczonych do ochrony siedlisk lub gatunków, o których mowa </w:t>
            </w:r>
            <w:r w:rsidRPr="005E78BB">
              <w:rPr>
                <w:rFonts w:ascii="Calibri" w:eastAsia="Times New Roman" w:hAnsi="Calibri" w:cs="Calibri"/>
                <w:color w:val="000000"/>
                <w:sz w:val="18"/>
                <w:szCs w:val="18"/>
                <w:lang w:eastAsia="pl-PL"/>
              </w:rPr>
              <w:br w:type="page"/>
              <w:t xml:space="preserve">w przepisach ustawy z dnia 16 kwietnia 2004 r. o ochronie przyrody, dla których </w:t>
            </w:r>
            <w:r w:rsidRPr="005E78BB">
              <w:rPr>
                <w:rFonts w:ascii="Calibri" w:eastAsia="Times New Roman" w:hAnsi="Calibri" w:cs="Calibri"/>
                <w:color w:val="000000"/>
                <w:sz w:val="18"/>
                <w:szCs w:val="18"/>
                <w:lang w:eastAsia="pl-PL"/>
              </w:rPr>
              <w:br w:type="page"/>
              <w:t xml:space="preserve">utrzymanie lub poprawa stanu wód jest ważnym czynnikiem w ich ochronie; </w:t>
            </w:r>
            <w:r w:rsidRPr="005E78BB">
              <w:rPr>
                <w:rFonts w:ascii="Calibri" w:eastAsia="Times New Roman" w:hAnsi="Calibri" w:cs="Calibri"/>
                <w:color w:val="000000"/>
                <w:sz w:val="18"/>
                <w:szCs w:val="18"/>
                <w:lang w:eastAsia="pl-PL"/>
              </w:rPr>
              <w:br w:type="page"/>
              <w:t xml:space="preserve">b) przełożenie na zestawy działań wszystkich ustaleń KPRWP; </w:t>
            </w:r>
            <w:r w:rsidRPr="005E78BB">
              <w:rPr>
                <w:rFonts w:ascii="Calibri" w:eastAsia="Times New Roman" w:hAnsi="Calibri" w:cs="Calibri"/>
                <w:color w:val="000000"/>
                <w:sz w:val="18"/>
                <w:szCs w:val="18"/>
                <w:lang w:eastAsia="pl-PL"/>
              </w:rPr>
              <w:br w:type="page"/>
              <w:t xml:space="preserve">c) określenie innego działania ukierunkowanego na ograniczanie emisji substancji </w:t>
            </w:r>
            <w:r w:rsidRPr="005E78BB">
              <w:rPr>
                <w:rFonts w:ascii="Calibri" w:eastAsia="Times New Roman" w:hAnsi="Calibri" w:cs="Calibri"/>
                <w:color w:val="000000"/>
                <w:sz w:val="18"/>
                <w:szCs w:val="18"/>
                <w:lang w:eastAsia="pl-PL"/>
              </w:rPr>
              <w:br w:type="page"/>
              <w:t xml:space="preserve">priorytetowych; być może należałoby zaktualizować wszystkie opracowania </w:t>
            </w:r>
            <w:r w:rsidRPr="005E78BB">
              <w:rPr>
                <w:rFonts w:ascii="Calibri" w:eastAsia="Times New Roman" w:hAnsi="Calibri" w:cs="Calibri"/>
                <w:color w:val="000000"/>
                <w:sz w:val="18"/>
                <w:szCs w:val="18"/>
                <w:lang w:eastAsia="pl-PL"/>
              </w:rPr>
              <w:br w:type="page"/>
              <w:t xml:space="preserve">ekofizjograficzne w skali kraju lub zapewnić przeprowadzenie jednej ogólnopolskiej </w:t>
            </w:r>
            <w:r w:rsidRPr="005E78BB">
              <w:rPr>
                <w:rFonts w:ascii="Calibri" w:eastAsia="Times New Roman" w:hAnsi="Calibri" w:cs="Calibri"/>
                <w:color w:val="000000"/>
                <w:sz w:val="18"/>
                <w:szCs w:val="18"/>
                <w:lang w:eastAsia="pl-PL"/>
              </w:rPr>
              <w:br w:type="page"/>
              <w:t xml:space="preserve">pracy badawczej ukierunkowanej na cel, któremu jak dotąd miała służyć „weryfikacja </w:t>
            </w:r>
            <w:r w:rsidRPr="005E78BB">
              <w:rPr>
                <w:rFonts w:ascii="Calibri" w:eastAsia="Times New Roman" w:hAnsi="Calibri" w:cs="Calibri"/>
                <w:color w:val="000000"/>
                <w:sz w:val="18"/>
                <w:szCs w:val="18"/>
                <w:lang w:eastAsia="pl-PL"/>
              </w:rPr>
              <w:br w:type="page"/>
              <w:t xml:space="preserve">programu ochrony środowiska” (na wzór opracowanego KPRWP), który też był ukierunkowany na konkretny problem), natomiast oparcie się nie gminnych „programach ochrony środowiska” jest nietrafioną koncepcją. </w:t>
            </w:r>
          </w:p>
        </w:tc>
        <w:tc>
          <w:tcPr>
            <w:tcW w:w="1918" w:type="dxa"/>
            <w:shd w:val="clear" w:color="auto" w:fill="auto"/>
            <w:hideMark/>
          </w:tcPr>
          <w:p w14:paraId="457FA8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4D65F9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C2C74C0" w14:textId="210629C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Ad. 1.)</w:t>
            </w:r>
            <w:r w:rsidRPr="005E78BB">
              <w:rPr>
                <w:rFonts w:ascii="Calibri" w:eastAsia="Times New Roman" w:hAnsi="Calibri" w:cs="Calibri"/>
                <w:color w:val="000000"/>
                <w:sz w:val="18"/>
                <w:szCs w:val="18"/>
                <w:lang w:eastAsia="pl-PL"/>
              </w:rPr>
              <w:br w:type="page"/>
              <w:t>Działania naprawcze dla obszarów chronionych zostały przypisane wyłącznie w sytuacjach, gdy dla danej formy ochrony nie ustanowiono planu ochrony/planu zadań ochronnych, a w ramach projektu „Analiza presji wraz z oceną ich wpływu na stan wód powierzchniowych oraz oceną ryzyka nieosiągnięcia celów środowiskowych” zidentyfikowano ryzyko wystąpienia presji znaczących oraz wskazania do sformułowania działań naprawczych.</w:t>
            </w:r>
            <w:r w:rsidRPr="005E78BB">
              <w:rPr>
                <w:rFonts w:ascii="Calibri" w:eastAsia="Times New Roman" w:hAnsi="Calibri" w:cs="Calibri"/>
                <w:color w:val="000000"/>
                <w:sz w:val="18"/>
                <w:szCs w:val="18"/>
                <w:lang w:eastAsia="pl-PL"/>
              </w:rPr>
              <w:br w:type="page"/>
              <w:t xml:space="preserve">Mimo, że istnieje pula działań nakierowanych na poprawę warunków wodnych w sensie bezpośrednim, w zestawach działań dla poszczególnych typów wód oraz z zestawie działań krajowych znalazły się liczne działania mające bezpośredni i pośredni wpływ na realizację celów (wodno)środowiskowych obszarów chronionych. Położenie w obrębie obszaru chronionego było elementem priorytetyzacji m.in. w formułowaniu działań z zakresu hydromorfologii. Kwestia obszarów chronionych w kontekście drożności dla </w:t>
            </w:r>
            <w:r w:rsidRPr="005E78BB">
              <w:rPr>
                <w:rFonts w:ascii="Calibri" w:eastAsia="Times New Roman" w:hAnsi="Calibri" w:cs="Calibri"/>
                <w:color w:val="000000"/>
                <w:sz w:val="18"/>
                <w:szCs w:val="18"/>
                <w:lang w:eastAsia="pl-PL"/>
              </w:rPr>
              <w:lastRenderedPageBreak/>
              <w:t>gatunków będących przedmiotami ochrony obszarów Natura 2000 były również kryterium przypisywania działań dot. drożności biologicznej. Najistotniejsze działania z katalogu krajowego będą obejmowały realizację KPRWP oraz realizację prac zgodnie z Katalogiem Dobrych Praktyk.</w:t>
            </w:r>
            <w:r w:rsidRPr="005E78BB">
              <w:rPr>
                <w:rFonts w:ascii="Calibri" w:eastAsia="Times New Roman" w:hAnsi="Calibri" w:cs="Calibri"/>
                <w:color w:val="000000"/>
                <w:sz w:val="18"/>
                <w:szCs w:val="18"/>
                <w:lang w:eastAsia="pl-PL"/>
              </w:rPr>
              <w:br w:type="page"/>
              <w:t>Ad. 2)</w:t>
            </w:r>
            <w:r w:rsidRPr="005E78BB">
              <w:rPr>
                <w:rFonts w:ascii="Calibri" w:eastAsia="Times New Roman" w:hAnsi="Calibri" w:cs="Calibri"/>
                <w:color w:val="000000"/>
                <w:sz w:val="18"/>
                <w:szCs w:val="18"/>
                <w:lang w:eastAsia="pl-PL"/>
              </w:rPr>
              <w:br w:type="page"/>
              <w:t xml:space="preserve">Na potrzeby IIaPGW uwzględniono najnowsze dane opracowane w ramach Analizy znaczących oddziaływań antropogenicznych wraz z oceną ich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aktualne wyniki z monitoringu GIOŚ z 2020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uwzględniając czynniki dodatkowe takie jak zagrożenie suszą, brak przepływu w ciekach zasilających, </w:t>
            </w:r>
            <w:r w:rsidRPr="005E78BB">
              <w:rPr>
                <w:rFonts w:ascii="Calibri" w:eastAsia="Times New Roman" w:hAnsi="Calibri" w:cs="Calibri"/>
                <w:color w:val="000000"/>
                <w:sz w:val="18"/>
                <w:szCs w:val="18"/>
                <w:lang w:eastAsia="pl-PL"/>
              </w:rPr>
              <w:lastRenderedPageBreak/>
              <w:t>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5E78BB">
              <w:rPr>
                <w:rFonts w:ascii="Calibri" w:eastAsia="Times New Roman" w:hAnsi="Calibri" w:cs="Calibri"/>
                <w:color w:val="000000"/>
                <w:sz w:val="18"/>
                <w:szCs w:val="18"/>
                <w:lang w:eastAsia="pl-PL"/>
              </w:rPr>
              <w:br w:type="page"/>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oceny możliwości wdrożenia działania,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w następującym zakresie: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 presją znaczącą, ale powodującą zły stan elementów biologicznych i ryzyko nieosiągnięcia celów wprowadzone zostało działanie o treści:</w:t>
            </w:r>
            <w:r w:rsidRPr="005E78BB">
              <w:rPr>
                <w:rFonts w:ascii="Calibri" w:eastAsia="Times New Roman" w:hAnsi="Calibri" w:cs="Calibri"/>
                <w:color w:val="000000"/>
                <w:sz w:val="18"/>
                <w:szCs w:val="18"/>
                <w:lang w:eastAsia="pl-PL"/>
              </w:rPr>
              <w:br w:type="page"/>
              <w:t>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t xml:space="preserve">Ad. </w:t>
            </w:r>
            <w:r w:rsidRPr="005E78BB">
              <w:rPr>
                <w:rFonts w:ascii="Calibri" w:eastAsia="Times New Roman" w:hAnsi="Calibri" w:cs="Calibri"/>
                <w:color w:val="000000"/>
                <w:sz w:val="18"/>
                <w:szCs w:val="18"/>
                <w:lang w:eastAsia="pl-PL"/>
              </w:rPr>
              <w:lastRenderedPageBreak/>
              <w:t>3)</w:t>
            </w:r>
            <w:r w:rsidRPr="005E78BB">
              <w:rPr>
                <w:rFonts w:ascii="Calibri" w:eastAsia="Times New Roman" w:hAnsi="Calibri" w:cs="Calibri"/>
                <w:color w:val="000000"/>
                <w:sz w:val="18"/>
                <w:szCs w:val="18"/>
                <w:lang w:eastAsia="pl-PL"/>
              </w:rPr>
              <w:br w:type="page"/>
              <w:t>Działanie określone jako weryfikacja programu ochrony środowiska, obejmuje wszelkie działania mające na celu uwzględnienie w opracowywanych planach (na wszystkich poziomach JST) zagadnień związanych z identyfikacją problemów oraz wdrażaniem lokalnych działań mających na celu poprawę stanu wód. Działanie to jest adekwatne do oczekiwanego celu identyfikującego przyczyny złego stanu wód na poziomie JST.</w:t>
            </w:r>
            <w:r w:rsidRPr="005E78BB">
              <w:rPr>
                <w:rFonts w:ascii="Calibri" w:eastAsia="Times New Roman" w:hAnsi="Calibri" w:cs="Calibri"/>
                <w:color w:val="000000"/>
                <w:sz w:val="18"/>
                <w:szCs w:val="18"/>
                <w:lang w:eastAsia="pl-PL"/>
              </w:rPr>
              <w:br w:type="page"/>
              <w:t>Zgodnie z „Wytycznymi do opracowania wojewódzkich, powiatowych i gminnych programów ochrony środowiska” (opracowanych przez MKiŚ; 2017 wraz z aktualizacją z 2020r.) - programy ochrony środowiska (POŚ) stanowią podstawę funkcjonowania systemu zarządzania środowiskiem, spajającą wszystkie działania i dokumenty dotyczące ochrony środowiska na poszczególnych poziomach JST. Założenia i cele okreśłone w POŚ stanową strategię polityki ochrony środowiska, która musi być zbieżna z założeniami najważniejszych dokumentów strategicznych i programowych. Program jest dokumentem strategicznym, nie mając przy tym mocy prawa miejscowego. Stanowi jednak podstawę realnego planowania na danym poziomie JST. Rozwiązania przyjęte w POŚ uwzględniają m.in. działania prowadzące do poprawy stanu środowiska oraz racjonalnej gospodarki odpadami i gospodarki wodno-ściekowej. Wyznaczane kierunki interwencji i zadania POŚ określa się na podstawie analizy aktualnej sytuacji i oczekiwanych zmian w ochronie środowiska. POŚ określa także cele, zadania, ich harmonogram oraz środki niezbędne do osiągnięcia celów, w tym mechanizmy prawno-ekonomiczne i środki finansowe. Między innymi zwraca się szczególną uwagę na poprawne zidentyfikowanie obszarów wymagających pilnego podjęcia działań w celu poprawy stanu środowiska, aby skierować do tych obszarów największy strumień finansowania. Propozycje celów, kierunków interwencji oraz zadań powinny wynikać m.in. ze zdefiniowanych zagrożeń i problemów dla poszczególnych obszarów interwencji. Wymagane jest także, aby zadania podejmowane na szczeblu samorządowym przyczyniały się do osiągnięcia krajowych celów zapisanych w dokumentach strategicznych i programowych.</w:t>
            </w:r>
            <w:r w:rsidRPr="005E78BB">
              <w:rPr>
                <w:rFonts w:ascii="Calibri" w:eastAsia="Times New Roman" w:hAnsi="Calibri" w:cs="Calibri"/>
                <w:color w:val="000000"/>
                <w:sz w:val="18"/>
                <w:szCs w:val="18"/>
                <w:lang w:eastAsia="pl-PL"/>
              </w:rPr>
              <w:br w:type="page"/>
              <w:t xml:space="preserve">Biorąc pod uwagę powyższe przyjęto, iż identyfikacja problemów związanych z poprawą stanu wód wraz z określeniem działań specyficznych dla danej JST, powinna być ujęta i zaplanowana w </w:t>
            </w:r>
            <w:r w:rsidRPr="005E78BB">
              <w:rPr>
                <w:rFonts w:ascii="Calibri" w:eastAsia="Times New Roman" w:hAnsi="Calibri" w:cs="Calibri"/>
                <w:color w:val="000000"/>
                <w:sz w:val="18"/>
                <w:szCs w:val="18"/>
                <w:lang w:eastAsia="pl-PL"/>
              </w:rPr>
              <w:lastRenderedPageBreak/>
              <w:t>ramach POŚ. Dokument ten, którego obowiązywanie zamknięte jest również w cyklach planistycznych, powinno uwzględniać i aktualizować niezbędne działania w ramach odpowiedzi na najważniejsze problemy związane z ochroną środowiska na obszarze JST.</w:t>
            </w:r>
            <w:r w:rsidRPr="005E78BB">
              <w:rPr>
                <w:rFonts w:ascii="Calibri" w:eastAsia="Times New Roman" w:hAnsi="Calibri" w:cs="Calibri"/>
                <w:color w:val="000000"/>
                <w:sz w:val="18"/>
                <w:szCs w:val="18"/>
                <w:lang w:eastAsia="pl-PL"/>
              </w:rPr>
              <w:br w:type="page"/>
              <w:t xml:space="preserve">Zaproponowane w uwadze działanie ukierunkowane na ograniczanie emisji substancji priorytetowych poprzez aktualizację opracowań ekofizjograficznych, nie może być zrealizowane, ponieważ dokumenty te opracowaniami wspomagającymi planowanie przestrzenne. Natomiast ogólnopolskie prace badawcze nie są w stanie zidentyfikować problemów na poziomie lokalnym, jak również nie stanowią dokumentu, który może być strategią planowania działań w zakresie ochrony środowiska na poziomie JST lub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Pod tym względem POŚ, jako dokument strategiczny, podlegający opiniowaniu i ustalający politykę JST w zakresie finansowania działań w dziedzinie ochrony środowiska jest optymalnym narzędziem kształtowania zarządzania środowiskiem na potrzeby poprawy stanu wód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52950726" w14:textId="77777777" w:rsidTr="00E92AE6">
        <w:trPr>
          <w:trHeight w:val="454"/>
        </w:trPr>
        <w:tc>
          <w:tcPr>
            <w:tcW w:w="562" w:type="dxa"/>
            <w:shd w:val="clear" w:color="auto" w:fill="auto"/>
            <w:hideMark/>
          </w:tcPr>
          <w:p w14:paraId="6644488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55</w:t>
            </w:r>
          </w:p>
        </w:tc>
        <w:tc>
          <w:tcPr>
            <w:tcW w:w="1021" w:type="dxa"/>
          </w:tcPr>
          <w:p w14:paraId="30750C53" w14:textId="6ABCE04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6C1AE9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5F7345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w:t>
            </w:r>
            <w:r w:rsidRPr="005E78BB">
              <w:rPr>
                <w:rFonts w:ascii="Calibri" w:eastAsia="Times New Roman" w:hAnsi="Calibri" w:cs="Calibri"/>
                <w:color w:val="000000"/>
                <w:sz w:val="18"/>
                <w:szCs w:val="18"/>
                <w:lang w:eastAsia="pl-PL"/>
              </w:rPr>
              <w:br/>
              <w:t xml:space="preserve">Rozdział 12 </w:t>
            </w:r>
            <w:r w:rsidRPr="005E78BB">
              <w:rPr>
                <w:rFonts w:ascii="Calibri" w:eastAsia="Times New Roman" w:hAnsi="Calibri" w:cs="Calibri"/>
                <w:color w:val="000000"/>
                <w:sz w:val="18"/>
                <w:szCs w:val="18"/>
                <w:lang w:eastAsia="pl-PL"/>
              </w:rPr>
              <w:br/>
              <w:t xml:space="preserve">Treść uwagi: Uwagi dot. braku należytej adekwatności zestawów działań </w:t>
            </w:r>
          </w:p>
        </w:tc>
        <w:tc>
          <w:tcPr>
            <w:tcW w:w="3377" w:type="dxa"/>
            <w:shd w:val="clear" w:color="auto" w:fill="auto"/>
            <w:hideMark/>
          </w:tcPr>
          <w:p w14:paraId="642D9117" w14:textId="7EC8FAAE"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odniesieniu do zestawów działań: </w:t>
            </w:r>
            <w:r w:rsidRPr="005E78BB">
              <w:rPr>
                <w:rFonts w:ascii="Calibri" w:eastAsia="Times New Roman" w:hAnsi="Calibri" w:cs="Calibri"/>
                <w:color w:val="000000"/>
                <w:sz w:val="18"/>
                <w:szCs w:val="18"/>
                <w:lang w:eastAsia="pl-PL"/>
              </w:rPr>
              <w:br/>
              <w:t xml:space="preserve">1) uwzględnienie w pełni zasady „zanieczyszczający płaci” wobec przemysłu wydobywczego węgla kamiennego i brunatnego oraz wobec elektrowni zrzucających wody zasolone; </w:t>
            </w:r>
            <w:r w:rsidRPr="005E78BB">
              <w:rPr>
                <w:rFonts w:ascii="Calibri" w:eastAsia="Times New Roman" w:hAnsi="Calibri" w:cs="Calibri"/>
                <w:color w:val="000000"/>
                <w:sz w:val="18"/>
                <w:szCs w:val="18"/>
                <w:lang w:eastAsia="pl-PL"/>
              </w:rPr>
              <w:br/>
              <w:t xml:space="preserve">2) przypisanie podmiotom gospodarczym odpowiedzialnym za nadmierny pobór wód </w:t>
            </w:r>
            <w:r w:rsidRPr="005E78BB">
              <w:rPr>
                <w:rFonts w:ascii="Calibri" w:eastAsia="Times New Roman" w:hAnsi="Calibri" w:cs="Calibri"/>
                <w:color w:val="000000"/>
                <w:sz w:val="18"/>
                <w:szCs w:val="18"/>
                <w:lang w:eastAsia="pl-PL"/>
              </w:rPr>
              <w:br/>
              <w:t xml:space="preserve">podziemnych (powodujący nieosiągnięcie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oraz zrzut </w:t>
            </w:r>
            <w:r w:rsidRPr="005E78BB">
              <w:rPr>
                <w:rFonts w:ascii="Calibri" w:eastAsia="Times New Roman" w:hAnsi="Calibri" w:cs="Calibri"/>
                <w:color w:val="000000"/>
                <w:sz w:val="18"/>
                <w:szCs w:val="18"/>
                <w:lang w:eastAsia="pl-PL"/>
              </w:rPr>
              <w:br/>
              <w:t xml:space="preserve">wysokich ładunków zasolenia - działań ukierunkowanych na zminimalizowanie presji </w:t>
            </w:r>
            <w:r w:rsidRPr="005E78BB">
              <w:rPr>
                <w:rFonts w:ascii="Calibri" w:eastAsia="Times New Roman" w:hAnsi="Calibri" w:cs="Calibri"/>
                <w:color w:val="000000"/>
                <w:sz w:val="18"/>
                <w:szCs w:val="18"/>
                <w:lang w:eastAsia="pl-PL"/>
              </w:rPr>
              <w:br/>
              <w:t xml:space="preserve">uniemożliwiających osiągnięcie celów środowiskowych (w zakresie stanu ilościowego </w:t>
            </w:r>
            <w:r w:rsidRPr="005E78BB">
              <w:rPr>
                <w:rFonts w:ascii="Calibri" w:eastAsia="Times New Roman" w:hAnsi="Calibri" w:cs="Calibri"/>
                <w:color w:val="000000"/>
                <w:sz w:val="18"/>
                <w:szCs w:val="18"/>
                <w:lang w:eastAsia="pl-PL"/>
              </w:rPr>
              <w:br/>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oraz nadmiernych wartości przewodności elektrolitycznej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zapewnienie </w:t>
            </w:r>
            <w:r w:rsidRPr="005E78BB">
              <w:rPr>
                <w:rFonts w:ascii="Calibri" w:eastAsia="Times New Roman" w:hAnsi="Calibri" w:cs="Calibri"/>
                <w:color w:val="000000"/>
                <w:sz w:val="18"/>
                <w:szCs w:val="18"/>
                <w:lang w:eastAsia="pl-PL"/>
              </w:rPr>
              <w:br/>
              <w:t xml:space="preserve">możliwie najlepszego stanu wód; </w:t>
            </w:r>
            <w:r w:rsidRPr="005E78BB">
              <w:rPr>
                <w:rFonts w:ascii="Calibri" w:eastAsia="Times New Roman" w:hAnsi="Calibri" w:cs="Calibri"/>
                <w:color w:val="000000"/>
                <w:sz w:val="18"/>
                <w:szCs w:val="18"/>
                <w:lang w:eastAsia="pl-PL"/>
              </w:rPr>
              <w:br/>
              <w:t xml:space="preserve">3) wprowadzenie zestawów działań będących adekwatną odpowiedzią na presje wynikające z projektów aktualizacji planów zarządzania ryzykiem powodziowym (aPZRP); </w:t>
            </w:r>
            <w:r w:rsidRPr="005E78BB">
              <w:rPr>
                <w:rFonts w:ascii="Calibri" w:eastAsia="Times New Roman" w:hAnsi="Calibri" w:cs="Calibri"/>
                <w:color w:val="000000"/>
                <w:sz w:val="18"/>
                <w:szCs w:val="18"/>
                <w:lang w:eastAsia="pl-PL"/>
              </w:rPr>
              <w:br/>
              <w:t xml:space="preserve">4) wprowadzenie do zestawów działań ustaleń dotyczących przepływów środowiskowych przepływów nienaruszalnych; </w:t>
            </w:r>
            <w:r w:rsidRPr="005E78BB">
              <w:rPr>
                <w:rFonts w:ascii="Calibri" w:eastAsia="Times New Roman" w:hAnsi="Calibri" w:cs="Calibri"/>
                <w:color w:val="000000"/>
                <w:sz w:val="18"/>
                <w:szCs w:val="18"/>
                <w:lang w:eastAsia="pl-PL"/>
              </w:rPr>
              <w:br/>
              <w:t xml:space="preserve">5) wprowadzenie działań niwelujących skutki środowiskowe inwestycji zawartych </w:t>
            </w:r>
            <w:r w:rsidRPr="005E78BB">
              <w:rPr>
                <w:rFonts w:ascii="Calibri" w:eastAsia="Times New Roman" w:hAnsi="Calibri" w:cs="Calibri"/>
                <w:color w:val="000000"/>
                <w:sz w:val="18"/>
                <w:szCs w:val="18"/>
                <w:lang w:eastAsia="pl-PL"/>
              </w:rPr>
              <w:br/>
              <w:t xml:space="preserve">w „Zestawieniu kierunkowych inwestycji w </w:t>
            </w:r>
            <w:r w:rsidRPr="005E78BB">
              <w:rPr>
                <w:rFonts w:ascii="Calibri" w:eastAsia="Times New Roman" w:hAnsi="Calibri" w:cs="Calibri"/>
                <w:color w:val="000000"/>
                <w:sz w:val="18"/>
                <w:szCs w:val="18"/>
                <w:lang w:eastAsia="pl-PL"/>
              </w:rPr>
              <w:lastRenderedPageBreak/>
              <w:t xml:space="preserve">gospodarce wodnej lub związanych z wodami”; </w:t>
            </w:r>
            <w:r w:rsidRPr="005E78BB">
              <w:rPr>
                <w:rFonts w:ascii="Calibri" w:eastAsia="Times New Roman" w:hAnsi="Calibri" w:cs="Calibri"/>
                <w:color w:val="000000"/>
                <w:sz w:val="18"/>
                <w:szCs w:val="18"/>
                <w:lang w:eastAsia="pl-PL"/>
              </w:rPr>
              <w:br/>
              <w:t xml:space="preserve">6) uwzględnienie w IIaPGW wszystkich wykonanych dokumentacji dla obszarów ochronnych zbiorników wód śródlądowych (nie tylko dla Głównych Zbiorników Wód Podziemnych) i określenie terminu prawnego ustanowienia ww. obszarów ochronnych; </w:t>
            </w:r>
            <w:r w:rsidRPr="005E78BB">
              <w:rPr>
                <w:rFonts w:ascii="Calibri" w:eastAsia="Times New Roman" w:hAnsi="Calibri" w:cs="Calibri"/>
                <w:color w:val="000000"/>
                <w:sz w:val="18"/>
                <w:szCs w:val="18"/>
                <w:lang w:eastAsia="pl-PL"/>
              </w:rPr>
              <w:br/>
              <w:t xml:space="preserve">7) wskazanie w IIaPGW (w odniesieniu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przeznaczonych do poboru wody na potrzeby zaopatrzenia ludności w wodę przeznaczoną do spożycia przez ludzi) działań polegających na: </w:t>
            </w:r>
            <w:r w:rsidRPr="005E78BB">
              <w:rPr>
                <w:rFonts w:ascii="Calibri" w:eastAsia="Times New Roman" w:hAnsi="Calibri" w:cs="Calibri"/>
                <w:color w:val="000000"/>
                <w:sz w:val="18"/>
                <w:szCs w:val="18"/>
                <w:lang w:eastAsia="pl-PL"/>
              </w:rPr>
              <w:br/>
              <w:t xml:space="preserve">a) wskazaniu terminu ustanowienia stref ochronnych obejmujących wyłącznie teren </w:t>
            </w:r>
            <w:r w:rsidRPr="005E78BB">
              <w:rPr>
                <w:rFonts w:ascii="Calibri" w:eastAsia="Times New Roman" w:hAnsi="Calibri" w:cs="Calibri"/>
                <w:color w:val="000000"/>
                <w:sz w:val="18"/>
                <w:szCs w:val="18"/>
                <w:lang w:eastAsia="pl-PL"/>
              </w:rPr>
              <w:br/>
              <w:t xml:space="preserve">ochrony bezpośredniej, </w:t>
            </w:r>
            <w:r w:rsidRPr="005E78BB">
              <w:rPr>
                <w:rFonts w:ascii="Calibri" w:eastAsia="Times New Roman" w:hAnsi="Calibri" w:cs="Calibri"/>
                <w:color w:val="000000"/>
                <w:sz w:val="18"/>
                <w:szCs w:val="18"/>
                <w:lang w:eastAsia="pl-PL"/>
              </w:rPr>
              <w:br/>
              <w:t xml:space="preserve">b) wprowadzeniu konieczności aktualizacji (reambulacji) dokumentacji </w:t>
            </w:r>
            <w:r w:rsidRPr="005E78BB">
              <w:rPr>
                <w:rFonts w:ascii="Calibri" w:eastAsia="Times New Roman" w:hAnsi="Calibri" w:cs="Calibri"/>
                <w:color w:val="000000"/>
                <w:sz w:val="18"/>
                <w:szCs w:val="18"/>
                <w:lang w:eastAsia="pl-PL"/>
              </w:rPr>
              <w:br/>
              <w:t xml:space="preserve">hydrologicznych i hydrogeologicznych dla ujęć wody; </w:t>
            </w:r>
            <w:r w:rsidRPr="005E78BB">
              <w:rPr>
                <w:rFonts w:ascii="Calibri" w:eastAsia="Times New Roman" w:hAnsi="Calibri" w:cs="Calibri"/>
                <w:color w:val="000000"/>
                <w:sz w:val="18"/>
                <w:szCs w:val="18"/>
                <w:lang w:eastAsia="pl-PL"/>
              </w:rPr>
              <w:br/>
              <w:t xml:space="preserve">8) wprowadzenie do treści IIaPGW działań, które wypełnią lukę po rozporządzeniach </w:t>
            </w:r>
            <w:r w:rsidRPr="005E78BB">
              <w:rPr>
                <w:rFonts w:ascii="Calibri" w:eastAsia="Times New Roman" w:hAnsi="Calibri" w:cs="Calibri"/>
                <w:color w:val="000000"/>
                <w:sz w:val="18"/>
                <w:szCs w:val="18"/>
                <w:lang w:eastAsia="pl-PL"/>
              </w:rPr>
              <w:br/>
              <w:t xml:space="preserve">w sprawie warunków korzystania z wód regionów wodnych i zlewni; </w:t>
            </w:r>
            <w:r w:rsidRPr="005E78BB">
              <w:rPr>
                <w:rFonts w:ascii="Calibri" w:eastAsia="Times New Roman" w:hAnsi="Calibri" w:cs="Calibri"/>
                <w:color w:val="000000"/>
                <w:sz w:val="18"/>
                <w:szCs w:val="18"/>
                <w:lang w:eastAsia="pl-PL"/>
              </w:rPr>
              <w:br/>
              <w:t xml:space="preserve">9) przedstawienie (w zestawach działań) dowodów na to, że wybrane zestawy działań są </w:t>
            </w:r>
            <w:r w:rsidRPr="005E78BB">
              <w:rPr>
                <w:rFonts w:ascii="Calibri" w:eastAsia="Times New Roman" w:hAnsi="Calibri" w:cs="Calibri"/>
                <w:color w:val="000000"/>
                <w:sz w:val="18"/>
                <w:szCs w:val="18"/>
                <w:lang w:eastAsia="pl-PL"/>
              </w:rPr>
              <w:br/>
              <w:t xml:space="preserve">najlepszą (optymalną, wykonalną i niepowodującą nieproporcjonalnych kosztów) opcją </w:t>
            </w:r>
            <w:r w:rsidRPr="005E78BB">
              <w:rPr>
                <w:rFonts w:ascii="Calibri" w:eastAsia="Times New Roman" w:hAnsi="Calibri" w:cs="Calibri"/>
                <w:color w:val="000000"/>
                <w:sz w:val="18"/>
                <w:szCs w:val="18"/>
                <w:lang w:eastAsia="pl-PL"/>
              </w:rPr>
              <w:br/>
              <w:t xml:space="preserve">działań mających na celu osiągnięcie celów środowiskowych w zakresie ochrony wód; </w:t>
            </w:r>
            <w:r w:rsidRPr="005E78BB">
              <w:rPr>
                <w:rFonts w:ascii="Calibri" w:eastAsia="Times New Roman" w:hAnsi="Calibri" w:cs="Calibri"/>
                <w:color w:val="000000"/>
                <w:sz w:val="18"/>
                <w:szCs w:val="18"/>
                <w:lang w:eastAsia="pl-PL"/>
              </w:rPr>
              <w:br/>
              <w:t xml:space="preserve">10) wprowadzenie do IIaPGW działań ukierunkowanych na rozwiązanie systemowych, </w:t>
            </w:r>
            <w:r w:rsidRPr="005E78BB">
              <w:rPr>
                <w:rFonts w:ascii="Calibri" w:eastAsia="Times New Roman" w:hAnsi="Calibri" w:cs="Calibri"/>
                <w:color w:val="000000"/>
                <w:sz w:val="18"/>
                <w:szCs w:val="18"/>
                <w:lang w:eastAsia="pl-PL"/>
              </w:rPr>
              <w:br/>
              <w:t xml:space="preserve">instytucjonalnych i prawnych barier utrudniających osiągnięcie celów środowiskowych oraz efektywne zarządzenie gospodarką wodną i ochroną wód, takich jak następujące bariery i problemy: </w:t>
            </w:r>
            <w:r w:rsidRPr="005E78BB">
              <w:rPr>
                <w:rFonts w:ascii="Calibri" w:eastAsia="Times New Roman" w:hAnsi="Calibri" w:cs="Calibri"/>
                <w:color w:val="000000"/>
                <w:sz w:val="18"/>
                <w:szCs w:val="18"/>
                <w:lang w:eastAsia="pl-PL"/>
              </w:rPr>
              <w:br/>
              <w:t xml:space="preserve">a) brak bilansów jakościowych i ilościowych stanowiących podstawę do weryfikacji </w:t>
            </w:r>
            <w:r w:rsidRPr="005E78BB">
              <w:rPr>
                <w:rFonts w:ascii="Calibri" w:eastAsia="Times New Roman" w:hAnsi="Calibri" w:cs="Calibri"/>
                <w:color w:val="000000"/>
                <w:sz w:val="18"/>
                <w:szCs w:val="18"/>
                <w:lang w:eastAsia="pl-PL"/>
              </w:rPr>
              <w:br/>
              <w:t xml:space="preserve">operatów wodnoprawnych i przeglądu pozwoleń wodnoprawnych (obecnie takie </w:t>
            </w:r>
            <w:r w:rsidRPr="005E78BB">
              <w:rPr>
                <w:rFonts w:ascii="Calibri" w:eastAsia="Times New Roman" w:hAnsi="Calibri" w:cs="Calibri"/>
                <w:color w:val="000000"/>
                <w:sz w:val="18"/>
                <w:szCs w:val="18"/>
                <w:lang w:eastAsia="pl-PL"/>
              </w:rPr>
              <w:br/>
              <w:t xml:space="preserve">analizy są wykonywane jedynie w ramach dokumentacji hydrogeologicznych), </w:t>
            </w:r>
            <w:r w:rsidRPr="005E78BB">
              <w:rPr>
                <w:rFonts w:ascii="Calibri" w:eastAsia="Times New Roman" w:hAnsi="Calibri" w:cs="Calibri"/>
                <w:color w:val="000000"/>
                <w:sz w:val="18"/>
                <w:szCs w:val="18"/>
                <w:lang w:eastAsia="pl-PL"/>
              </w:rPr>
              <w:br/>
              <w:t xml:space="preserve">b) brak integracji wyników pracy państwowej służby hydrogeologicznej i państwowej </w:t>
            </w:r>
            <w:r w:rsidRPr="005E78BB">
              <w:rPr>
                <w:rFonts w:ascii="Calibri" w:eastAsia="Times New Roman" w:hAnsi="Calibri" w:cs="Calibri"/>
                <w:color w:val="000000"/>
                <w:sz w:val="18"/>
                <w:szCs w:val="18"/>
                <w:lang w:eastAsia="pl-PL"/>
              </w:rPr>
              <w:br/>
              <w:t xml:space="preserve">służby hydrologicznej z działalnością organów właściwych w sprawach zgód wodnoprawnych, </w:t>
            </w:r>
            <w:r w:rsidRPr="005E78BB">
              <w:rPr>
                <w:rFonts w:ascii="Calibri" w:eastAsia="Times New Roman" w:hAnsi="Calibri" w:cs="Calibri"/>
                <w:color w:val="000000"/>
                <w:sz w:val="18"/>
                <w:szCs w:val="18"/>
                <w:lang w:eastAsia="pl-PL"/>
              </w:rPr>
              <w:br/>
              <w:t xml:space="preserve">c) brak danych na temat ładunków zanieczyszczeń prowadzonych w wodach </w:t>
            </w:r>
            <w:r w:rsidRPr="005E78BB">
              <w:rPr>
                <w:rFonts w:ascii="Calibri" w:eastAsia="Times New Roman" w:hAnsi="Calibri" w:cs="Calibri"/>
                <w:color w:val="000000"/>
                <w:sz w:val="18"/>
                <w:szCs w:val="18"/>
                <w:lang w:eastAsia="pl-PL"/>
              </w:rPr>
              <w:br/>
              <w:t xml:space="preserve">powierzchniowych, </w:t>
            </w:r>
            <w:r w:rsidRPr="005E78BB">
              <w:rPr>
                <w:rFonts w:ascii="Calibri" w:eastAsia="Times New Roman" w:hAnsi="Calibri" w:cs="Calibri"/>
                <w:color w:val="000000"/>
                <w:sz w:val="18"/>
                <w:szCs w:val="18"/>
                <w:lang w:eastAsia="pl-PL"/>
              </w:rPr>
              <w:br/>
              <w:t xml:space="preserve">d) brak przepisów dot. wykonania ustaleń </w:t>
            </w:r>
            <w:r w:rsidRPr="005E78BB">
              <w:rPr>
                <w:rFonts w:ascii="Calibri" w:eastAsia="Times New Roman" w:hAnsi="Calibri" w:cs="Calibri"/>
                <w:color w:val="000000"/>
                <w:sz w:val="18"/>
                <w:szCs w:val="18"/>
                <w:lang w:eastAsia="pl-PL"/>
              </w:rPr>
              <w:lastRenderedPageBreak/>
              <w:t xml:space="preserve">wynikających z planów gospodarowania </w:t>
            </w:r>
            <w:r w:rsidRPr="005E78BB">
              <w:rPr>
                <w:rFonts w:ascii="Calibri" w:eastAsia="Times New Roman" w:hAnsi="Calibri" w:cs="Calibri"/>
                <w:color w:val="000000"/>
                <w:sz w:val="18"/>
                <w:szCs w:val="18"/>
                <w:lang w:eastAsia="pl-PL"/>
              </w:rPr>
              <w:br/>
              <w:t xml:space="preserve">wodami; obecnie nie ma żadnego mechanizmu określającego sposób </w:t>
            </w:r>
            <w:r w:rsidRPr="005E78BB">
              <w:rPr>
                <w:rFonts w:ascii="Calibri" w:eastAsia="Times New Roman" w:hAnsi="Calibri" w:cs="Calibri"/>
                <w:color w:val="000000"/>
                <w:sz w:val="18"/>
                <w:szCs w:val="18"/>
                <w:lang w:eastAsia="pl-PL"/>
              </w:rPr>
              <w:br/>
              <w:t xml:space="preserve">postępowania wobec podmiotów, które nie realizują przypisanych im (w PGW) </w:t>
            </w:r>
            <w:r w:rsidRPr="005E78BB">
              <w:rPr>
                <w:rFonts w:ascii="Calibri" w:eastAsia="Times New Roman" w:hAnsi="Calibri" w:cs="Calibri"/>
                <w:color w:val="000000"/>
                <w:sz w:val="18"/>
                <w:szCs w:val="18"/>
                <w:lang w:eastAsia="pl-PL"/>
              </w:rPr>
              <w:br/>
              <w:t xml:space="preserve">działań, </w:t>
            </w:r>
            <w:r w:rsidRPr="005E78BB">
              <w:rPr>
                <w:rFonts w:ascii="Calibri" w:eastAsia="Times New Roman" w:hAnsi="Calibri" w:cs="Calibri"/>
                <w:color w:val="000000"/>
                <w:sz w:val="18"/>
                <w:szCs w:val="18"/>
                <w:lang w:eastAsia="pl-PL"/>
              </w:rPr>
              <w:br/>
              <w:t xml:space="preserve">e) brak przepisów sprzyjających rzetelnej sprawozdawczości z wykonania planów </w:t>
            </w:r>
            <w:r w:rsidRPr="005E78BB">
              <w:rPr>
                <w:rFonts w:ascii="Calibri" w:eastAsia="Times New Roman" w:hAnsi="Calibri" w:cs="Calibri"/>
                <w:color w:val="000000"/>
                <w:sz w:val="18"/>
                <w:szCs w:val="18"/>
                <w:lang w:eastAsia="pl-PL"/>
              </w:rPr>
              <w:br/>
              <w:t xml:space="preserve">gospodarowania wodami, </w:t>
            </w:r>
            <w:r w:rsidRPr="005E78BB">
              <w:rPr>
                <w:rFonts w:ascii="Calibri" w:eastAsia="Times New Roman" w:hAnsi="Calibri" w:cs="Calibri"/>
                <w:color w:val="000000"/>
                <w:sz w:val="18"/>
                <w:szCs w:val="18"/>
                <w:lang w:eastAsia="pl-PL"/>
              </w:rPr>
              <w:br/>
              <w:t xml:space="preserve">f) niestosowanie zasady „zanieczyszczający płaci” wobec kopalni, które nie ponoszą </w:t>
            </w:r>
            <w:r w:rsidRPr="005E78BB">
              <w:rPr>
                <w:rFonts w:ascii="Calibri" w:eastAsia="Times New Roman" w:hAnsi="Calibri" w:cs="Calibri"/>
                <w:color w:val="000000"/>
                <w:sz w:val="18"/>
                <w:szCs w:val="18"/>
                <w:lang w:eastAsia="pl-PL"/>
              </w:rPr>
              <w:br/>
              <w:t xml:space="preserve">opłat za odwodnieniowy pobór wody oraz za odprowadzanie tych wód do rzek, a </w:t>
            </w:r>
            <w:r w:rsidRPr="005E78BB">
              <w:rPr>
                <w:rFonts w:ascii="Calibri" w:eastAsia="Times New Roman" w:hAnsi="Calibri" w:cs="Calibri"/>
                <w:color w:val="000000"/>
                <w:sz w:val="18"/>
                <w:szCs w:val="18"/>
                <w:lang w:eastAsia="pl-PL"/>
              </w:rPr>
              <w:br/>
              <w:t xml:space="preserve">także wobec wprowadzania do środowiska wód pochodzących z obiegów </w:t>
            </w:r>
            <w:r w:rsidRPr="005E78BB">
              <w:rPr>
                <w:rFonts w:ascii="Calibri" w:eastAsia="Times New Roman" w:hAnsi="Calibri" w:cs="Calibri"/>
                <w:color w:val="000000"/>
                <w:sz w:val="18"/>
                <w:szCs w:val="18"/>
                <w:lang w:eastAsia="pl-PL"/>
              </w:rPr>
              <w:br/>
              <w:t xml:space="preserve">chłodzących elektrowni lub elektrociepłowni, jeżeli ich temperatura nie przekracza </w:t>
            </w:r>
            <w:r w:rsidRPr="005E78BB">
              <w:rPr>
                <w:rFonts w:ascii="Calibri" w:eastAsia="Times New Roman" w:hAnsi="Calibri" w:cs="Calibri"/>
                <w:color w:val="000000"/>
                <w:sz w:val="18"/>
                <w:szCs w:val="18"/>
                <w:lang w:eastAsia="pl-PL"/>
              </w:rPr>
              <w:br/>
              <w:t xml:space="preserve">+26°C albo różnica między temperaturą wód pobranych i wprowadzanych do wód </w:t>
            </w:r>
            <w:r w:rsidRPr="005E78BB">
              <w:rPr>
                <w:rFonts w:ascii="Calibri" w:eastAsia="Times New Roman" w:hAnsi="Calibri" w:cs="Calibri"/>
                <w:color w:val="000000"/>
                <w:sz w:val="18"/>
                <w:szCs w:val="18"/>
                <w:lang w:eastAsia="pl-PL"/>
              </w:rPr>
              <w:br/>
              <w:t xml:space="preserve">lub do ziemi pochodzących z obiegów chłodzących elektrowni lub elektrociepłowni </w:t>
            </w:r>
            <w:r w:rsidRPr="005E78BB">
              <w:rPr>
                <w:rFonts w:ascii="Calibri" w:eastAsia="Times New Roman" w:hAnsi="Calibri" w:cs="Calibri"/>
                <w:color w:val="000000"/>
                <w:sz w:val="18"/>
                <w:szCs w:val="18"/>
                <w:lang w:eastAsia="pl-PL"/>
              </w:rPr>
              <w:br/>
              <w:t xml:space="preserve">jest mniejsza niż 11°C; </w:t>
            </w:r>
            <w:r w:rsidRPr="005E78BB">
              <w:rPr>
                <w:rFonts w:ascii="Calibri" w:eastAsia="Times New Roman" w:hAnsi="Calibri" w:cs="Calibri"/>
                <w:color w:val="000000"/>
                <w:sz w:val="18"/>
                <w:szCs w:val="18"/>
                <w:lang w:eastAsia="pl-PL"/>
              </w:rPr>
              <w:br/>
              <w:t xml:space="preserve">g) brak wykonywania rzetelnych przeglądów pozwoleń wodnoprawnych, </w:t>
            </w:r>
            <w:r w:rsidRPr="005E78BB">
              <w:rPr>
                <w:rFonts w:ascii="Calibri" w:eastAsia="Times New Roman" w:hAnsi="Calibri" w:cs="Calibri"/>
                <w:color w:val="000000"/>
                <w:sz w:val="18"/>
                <w:szCs w:val="18"/>
                <w:lang w:eastAsia="pl-PL"/>
              </w:rPr>
              <w:br/>
              <w:t xml:space="preserve">h) brak udziału PGW WP przy wydawaniu pozwoleń zintegrowanych obejmujących </w:t>
            </w:r>
            <w:r w:rsidRPr="005E78BB">
              <w:rPr>
                <w:rFonts w:ascii="Calibri" w:eastAsia="Times New Roman" w:hAnsi="Calibri" w:cs="Calibri"/>
                <w:color w:val="000000"/>
                <w:sz w:val="18"/>
                <w:szCs w:val="18"/>
                <w:lang w:eastAsia="pl-PL"/>
              </w:rPr>
              <w:br/>
              <w:t xml:space="preserve">wprowadzanie ścieków do środowiska, </w:t>
            </w:r>
            <w:r w:rsidRPr="005E78BB">
              <w:rPr>
                <w:rFonts w:ascii="Calibri" w:eastAsia="Times New Roman" w:hAnsi="Calibri" w:cs="Calibri"/>
                <w:color w:val="000000"/>
                <w:sz w:val="18"/>
                <w:szCs w:val="18"/>
                <w:lang w:eastAsia="pl-PL"/>
              </w:rPr>
              <w:br/>
              <w:t xml:space="preserve">i) brak kompleksowych danych o presjach, </w:t>
            </w:r>
            <w:r w:rsidRPr="005E78BB">
              <w:rPr>
                <w:rFonts w:ascii="Calibri" w:eastAsia="Times New Roman" w:hAnsi="Calibri" w:cs="Calibri"/>
                <w:color w:val="000000"/>
                <w:sz w:val="18"/>
                <w:szCs w:val="18"/>
                <w:lang w:eastAsia="pl-PL"/>
              </w:rPr>
              <w:br/>
              <w:t xml:space="preserve">j) brak metodyk określających sposób wykonywania analiz wpływu na stan wód; </w:t>
            </w:r>
            <w:r w:rsidRPr="005E78BB">
              <w:rPr>
                <w:rFonts w:ascii="Calibri" w:eastAsia="Times New Roman" w:hAnsi="Calibri" w:cs="Calibri"/>
                <w:color w:val="000000"/>
                <w:sz w:val="18"/>
                <w:szCs w:val="18"/>
                <w:lang w:eastAsia="pl-PL"/>
              </w:rPr>
              <w:br/>
              <w:t xml:space="preserve">k) brak przepisów sprzyjających renaturyzacji wód oraz przeciwdziałania skutkom </w:t>
            </w:r>
            <w:r w:rsidRPr="005E78BB">
              <w:rPr>
                <w:rFonts w:ascii="Calibri" w:eastAsia="Times New Roman" w:hAnsi="Calibri" w:cs="Calibri"/>
                <w:color w:val="000000"/>
                <w:sz w:val="18"/>
                <w:szCs w:val="18"/>
                <w:lang w:eastAsia="pl-PL"/>
              </w:rPr>
              <w:br/>
              <w:t xml:space="preserve">suszy i niedoborom wody.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4323F91F" w14:textId="32E9F5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1. W treści IIaPGW (oraz w jego załącznikach) nie ma dowodów na to, że wybrane zestawy </w:t>
            </w:r>
            <w:r w:rsidRPr="005E78BB">
              <w:rPr>
                <w:rFonts w:ascii="Calibri" w:eastAsia="Times New Roman" w:hAnsi="Calibri" w:cs="Calibri"/>
                <w:color w:val="000000"/>
                <w:sz w:val="18"/>
                <w:szCs w:val="18"/>
                <w:lang w:eastAsia="pl-PL"/>
              </w:rPr>
              <w:br/>
              <w:t xml:space="preserve">działań są najlepszą (optymalną, wykonalną i niepowodującą nieproporcjonalnych </w:t>
            </w:r>
            <w:r w:rsidRPr="005E78BB">
              <w:rPr>
                <w:rFonts w:ascii="Calibri" w:eastAsia="Times New Roman" w:hAnsi="Calibri" w:cs="Calibri"/>
                <w:color w:val="000000"/>
                <w:sz w:val="18"/>
                <w:szCs w:val="18"/>
                <w:lang w:eastAsia="pl-PL"/>
              </w:rPr>
              <w:br/>
              <w:t xml:space="preserve">kosztów) opcją działań mających na celu osiągnięcie celów środowiskowych w zakresie </w:t>
            </w:r>
            <w:r w:rsidRPr="005E78BB">
              <w:rPr>
                <w:rFonts w:ascii="Calibri" w:eastAsia="Times New Roman" w:hAnsi="Calibri" w:cs="Calibri"/>
                <w:color w:val="000000"/>
                <w:sz w:val="18"/>
                <w:szCs w:val="18"/>
                <w:lang w:eastAsia="pl-PL"/>
              </w:rPr>
              <w:br/>
              <w:t xml:space="preserve">ochrony wód. W związku z powyższym nie ma pewności co do tego, że projekty IIaPGW </w:t>
            </w:r>
            <w:r w:rsidRPr="005E78BB">
              <w:rPr>
                <w:rFonts w:ascii="Calibri" w:eastAsia="Times New Roman" w:hAnsi="Calibri" w:cs="Calibri"/>
                <w:color w:val="000000"/>
                <w:sz w:val="18"/>
                <w:szCs w:val="18"/>
                <w:lang w:eastAsia="pl-PL"/>
              </w:rPr>
              <w:br/>
              <w:t xml:space="preserve">jest dostatecznie ambitny. Z drugiej strony - niepokojąca jest wysoka liczba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w:t>
            </w:r>
            <w:r w:rsidRPr="005E78BB">
              <w:rPr>
                <w:rFonts w:ascii="Calibri" w:eastAsia="Times New Roman" w:hAnsi="Calibri" w:cs="Calibri"/>
                <w:color w:val="000000"/>
                <w:sz w:val="18"/>
                <w:szCs w:val="18"/>
                <w:lang w:eastAsia="pl-PL"/>
              </w:rPr>
              <w:br/>
              <w:t xml:space="preserve">których projekty IIaPGW zakładają nieosiągnięcie celów środowiskowych i ustanawiają </w:t>
            </w:r>
            <w:r w:rsidRPr="005E78BB">
              <w:rPr>
                <w:rFonts w:ascii="Calibri" w:eastAsia="Times New Roman" w:hAnsi="Calibri" w:cs="Calibri"/>
                <w:color w:val="000000"/>
                <w:sz w:val="18"/>
                <w:szCs w:val="18"/>
                <w:lang w:eastAsia="pl-PL"/>
              </w:rPr>
              <w:br/>
              <w:t xml:space="preserve">odstępstwa polegające na osiągnięciu tych celów po 2027 r. lub na ich złagodzeniu dla </w:t>
            </w:r>
            <w:r w:rsidRPr="005E78BB">
              <w:rPr>
                <w:rFonts w:ascii="Calibri" w:eastAsia="Times New Roman" w:hAnsi="Calibri" w:cs="Calibri"/>
                <w:color w:val="000000"/>
                <w:sz w:val="18"/>
                <w:szCs w:val="18"/>
                <w:lang w:eastAsia="pl-PL"/>
              </w:rPr>
              <w:br/>
              <w:t xml:space="preserve">wskaźników stanu i potencjału ekologicznego. W oczywisty sposób wywołuje to oczywiste wątpliwości co do tego, czy projekty IIaPGW są adekwatną odpowiedzią na wyzwania związane ze stanem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 xml:space="preserve">2. Załącznikiem do części projektów IIaPGW jest wykaz inwestycji i działań, który </w:t>
            </w:r>
            <w:r w:rsidRPr="005E78BB">
              <w:rPr>
                <w:rFonts w:ascii="Calibri" w:eastAsia="Times New Roman" w:hAnsi="Calibri" w:cs="Calibri"/>
                <w:color w:val="000000"/>
                <w:sz w:val="18"/>
                <w:szCs w:val="18"/>
                <w:lang w:eastAsia="pl-PL"/>
              </w:rPr>
              <w:br/>
              <w:t xml:space="preserve">przedstawia informacje o działaniach i przedsięwzięciach, co do których stwierdzono (w </w:t>
            </w:r>
            <w:r w:rsidRPr="005E78BB">
              <w:rPr>
                <w:rFonts w:ascii="Calibri" w:eastAsia="Times New Roman" w:hAnsi="Calibri" w:cs="Calibri"/>
                <w:color w:val="000000"/>
                <w:sz w:val="18"/>
                <w:szCs w:val="18"/>
                <w:lang w:eastAsia="pl-PL"/>
              </w:rPr>
              <w:br/>
              <w:t xml:space="preserve">perspektywie planistycznej 2016-2021) iż pogarszają/pogorszą one stan wód. Przywołana </w:t>
            </w:r>
            <w:r w:rsidRPr="005E78BB">
              <w:rPr>
                <w:rFonts w:ascii="Calibri" w:eastAsia="Times New Roman" w:hAnsi="Calibri" w:cs="Calibri"/>
                <w:color w:val="000000"/>
                <w:sz w:val="18"/>
                <w:szCs w:val="18"/>
                <w:lang w:eastAsia="pl-PL"/>
              </w:rPr>
              <w:br/>
              <w:t xml:space="preserve">wcześniej analiza presji („Analiza znaczących </w:t>
            </w:r>
            <w:r w:rsidRPr="005E78BB">
              <w:rPr>
                <w:rFonts w:ascii="Calibri" w:eastAsia="Times New Roman" w:hAnsi="Calibri" w:cs="Calibri"/>
                <w:color w:val="000000"/>
                <w:sz w:val="18"/>
                <w:szCs w:val="18"/>
                <w:lang w:eastAsia="pl-PL"/>
              </w:rPr>
              <w:lastRenderedPageBreak/>
              <w:t xml:space="preserve">oddziaływań antropogenicznych…”) nie </w:t>
            </w:r>
            <w:r w:rsidRPr="005E78BB">
              <w:rPr>
                <w:rFonts w:ascii="Calibri" w:eastAsia="Times New Roman" w:hAnsi="Calibri" w:cs="Calibri"/>
                <w:color w:val="000000"/>
                <w:sz w:val="18"/>
                <w:szCs w:val="18"/>
                <w:lang w:eastAsia="pl-PL"/>
              </w:rPr>
              <w:br/>
              <w:t xml:space="preserve">uwzględniała tych źródeł negatywnego oddziaływania na stan wód. W ślad za powyższym </w:t>
            </w:r>
            <w:r w:rsidRPr="005E78BB">
              <w:rPr>
                <w:rFonts w:ascii="Calibri" w:eastAsia="Times New Roman" w:hAnsi="Calibri" w:cs="Calibri"/>
                <w:color w:val="000000"/>
                <w:sz w:val="18"/>
                <w:szCs w:val="18"/>
                <w:lang w:eastAsia="pl-PL"/>
              </w:rPr>
              <w:br/>
              <w:t xml:space="preserve">istnieje ryzyko, że zestawy działań nie są adekwatną odpowiedzią na presje generowane </w:t>
            </w:r>
            <w:r w:rsidRPr="005E78BB">
              <w:rPr>
                <w:rFonts w:ascii="Calibri" w:eastAsia="Times New Roman" w:hAnsi="Calibri" w:cs="Calibri"/>
                <w:color w:val="000000"/>
                <w:sz w:val="18"/>
                <w:szCs w:val="18"/>
                <w:lang w:eastAsia="pl-PL"/>
              </w:rPr>
              <w:br/>
              <w:t xml:space="preserve">przez działania i przedsięwzięcia przedstawione w wykazie inwestycji i działań. </w:t>
            </w:r>
            <w:r w:rsidRPr="005E78BB">
              <w:rPr>
                <w:rFonts w:ascii="Calibri" w:eastAsia="Times New Roman" w:hAnsi="Calibri" w:cs="Calibri"/>
                <w:color w:val="000000"/>
                <w:sz w:val="18"/>
                <w:szCs w:val="18"/>
                <w:lang w:eastAsia="pl-PL"/>
              </w:rPr>
              <w:br/>
              <w:t xml:space="preserve">3. Dokumentem towarzyszącym konsultacjom IIaPGW jest „Zestawienie kierunkowych </w:t>
            </w:r>
            <w:r w:rsidRPr="005E78BB">
              <w:rPr>
                <w:rFonts w:ascii="Calibri" w:eastAsia="Times New Roman" w:hAnsi="Calibri" w:cs="Calibri"/>
                <w:color w:val="000000"/>
                <w:sz w:val="18"/>
                <w:szCs w:val="18"/>
                <w:lang w:eastAsia="pl-PL"/>
              </w:rPr>
              <w:br/>
              <w:t xml:space="preserve">inwestycji w gospodarce wodnej lub związanych z wodami”. Nie jest określony status tego </w:t>
            </w:r>
            <w:r w:rsidRPr="005E78BB">
              <w:rPr>
                <w:rFonts w:ascii="Calibri" w:eastAsia="Times New Roman" w:hAnsi="Calibri" w:cs="Calibri"/>
                <w:color w:val="000000"/>
                <w:sz w:val="18"/>
                <w:szCs w:val="18"/>
                <w:lang w:eastAsia="pl-PL"/>
              </w:rPr>
              <w:br/>
              <w:t xml:space="preserve">zestawienia, nie jest również wyjaśnione jego znaczenie dla ustaleń IIaPGW. Mając jednak </w:t>
            </w:r>
            <w:r w:rsidRPr="005E78BB">
              <w:rPr>
                <w:rFonts w:ascii="Calibri" w:eastAsia="Times New Roman" w:hAnsi="Calibri" w:cs="Calibri"/>
                <w:color w:val="000000"/>
                <w:sz w:val="18"/>
                <w:szCs w:val="18"/>
                <w:lang w:eastAsia="pl-PL"/>
              </w:rPr>
              <w:br/>
              <w:t xml:space="preserve">na uwadze fakt, że zestawienie to zawiera takie przedsięwzięcia, które mogą negatywnie </w:t>
            </w:r>
            <w:r w:rsidRPr="005E78BB">
              <w:rPr>
                <w:rFonts w:ascii="Calibri" w:eastAsia="Times New Roman" w:hAnsi="Calibri" w:cs="Calibri"/>
                <w:color w:val="000000"/>
                <w:sz w:val="18"/>
                <w:szCs w:val="18"/>
                <w:lang w:eastAsia="pl-PL"/>
              </w:rPr>
              <w:br/>
              <w:t xml:space="preserve">oddziaływać na środowisko wodne - niezbędne jest zapewnienie, że zestawy działań będą </w:t>
            </w:r>
            <w:r w:rsidRPr="005E78BB">
              <w:rPr>
                <w:rFonts w:ascii="Calibri" w:eastAsia="Times New Roman" w:hAnsi="Calibri" w:cs="Calibri"/>
                <w:color w:val="000000"/>
                <w:sz w:val="18"/>
                <w:szCs w:val="18"/>
                <w:lang w:eastAsia="pl-PL"/>
              </w:rPr>
              <w:br/>
              <w:t xml:space="preserve">adekwatną odpowiedzią na presje określone w tym zestawieniu. </w:t>
            </w:r>
            <w:r w:rsidRPr="005E78BB">
              <w:rPr>
                <w:rFonts w:ascii="Calibri" w:eastAsia="Times New Roman" w:hAnsi="Calibri" w:cs="Calibri"/>
                <w:color w:val="000000"/>
                <w:sz w:val="18"/>
                <w:szCs w:val="18"/>
                <w:lang w:eastAsia="pl-PL"/>
              </w:rPr>
              <w:br/>
              <w:t xml:space="preserve">4. Z powyższym zagadnieniem związany jest mankament o znacznie większej wadze: </w:t>
            </w:r>
            <w:r w:rsidRPr="005E78BB">
              <w:rPr>
                <w:rFonts w:ascii="Calibri" w:eastAsia="Times New Roman" w:hAnsi="Calibri" w:cs="Calibri"/>
                <w:color w:val="000000"/>
                <w:sz w:val="18"/>
                <w:szCs w:val="18"/>
                <w:lang w:eastAsia="pl-PL"/>
              </w:rPr>
              <w:br/>
              <w:t xml:space="preserve">zestawy działań IIaPGW nie dostrzegają ustaleń wynikających z projektów aktualizacji </w:t>
            </w:r>
            <w:r w:rsidRPr="005E78BB">
              <w:rPr>
                <w:rFonts w:ascii="Calibri" w:eastAsia="Times New Roman" w:hAnsi="Calibri" w:cs="Calibri"/>
                <w:color w:val="000000"/>
                <w:sz w:val="18"/>
                <w:szCs w:val="18"/>
                <w:lang w:eastAsia="pl-PL"/>
              </w:rPr>
              <w:br/>
              <w:t xml:space="preserve">planów zarządzania ryzykiem powodziowym, lecz odnoszą się wyłącznie do danych o </w:t>
            </w:r>
            <w:r w:rsidRPr="005E78BB">
              <w:rPr>
                <w:rFonts w:ascii="Calibri" w:eastAsia="Times New Roman" w:hAnsi="Calibri" w:cs="Calibri"/>
                <w:color w:val="000000"/>
                <w:sz w:val="18"/>
                <w:szCs w:val="18"/>
                <w:lang w:eastAsia="pl-PL"/>
              </w:rPr>
              <w:br/>
              <w:t xml:space="preserve">stanie wód oraz do istniejących zidentyfikowanych presji. W ten sposób uwypukla się brak </w:t>
            </w:r>
            <w:r w:rsidRPr="005E78BB">
              <w:rPr>
                <w:rFonts w:ascii="Calibri" w:eastAsia="Times New Roman" w:hAnsi="Calibri" w:cs="Calibri"/>
                <w:color w:val="000000"/>
                <w:sz w:val="18"/>
                <w:szCs w:val="18"/>
                <w:lang w:eastAsia="pl-PL"/>
              </w:rPr>
              <w:br/>
              <w:t xml:space="preserve">integracji IIaPGW i aPZRP. Jest to zupełnie sprzeczne z ideą stojącą u podstaw europejskiej polityki wodnej. </w:t>
            </w:r>
            <w:r w:rsidRPr="005E78BB">
              <w:rPr>
                <w:rFonts w:ascii="Calibri" w:eastAsia="Times New Roman" w:hAnsi="Calibri" w:cs="Calibri"/>
                <w:color w:val="000000"/>
                <w:sz w:val="18"/>
                <w:szCs w:val="18"/>
                <w:lang w:eastAsia="pl-PL"/>
              </w:rPr>
              <w:br/>
              <w:t xml:space="preserve">Komisja Europejska w komunikacie pn. „Ramowa dyrektywa wodna i dyrektywa </w:t>
            </w:r>
            <w:r w:rsidRPr="005E78BB">
              <w:rPr>
                <w:rFonts w:ascii="Calibri" w:eastAsia="Times New Roman" w:hAnsi="Calibri" w:cs="Calibri"/>
                <w:color w:val="000000"/>
                <w:sz w:val="18"/>
                <w:szCs w:val="18"/>
                <w:lang w:eastAsia="pl-PL"/>
              </w:rPr>
              <w:br/>
              <w:t xml:space="preserve">powodziowa: działania na rzecz osiągnięcia dobrego stanu wód w Unii Europejskiej i </w:t>
            </w:r>
            <w:r w:rsidRPr="005E78BB">
              <w:rPr>
                <w:rFonts w:ascii="Calibri" w:eastAsia="Times New Roman" w:hAnsi="Calibri" w:cs="Calibri"/>
                <w:color w:val="000000"/>
                <w:sz w:val="18"/>
                <w:szCs w:val="18"/>
                <w:lang w:eastAsia="pl-PL"/>
              </w:rPr>
              <w:br/>
              <w:t xml:space="preserve">ograniczenia zagrożeń powodziowych” (COM/2015/120 final) wskazała, że „Zharmonizowane ramy czasowe w przypadku planów zarządzania, które należy </w:t>
            </w:r>
            <w:r w:rsidRPr="005E78BB">
              <w:rPr>
                <w:rFonts w:ascii="Calibri" w:eastAsia="Times New Roman" w:hAnsi="Calibri" w:cs="Calibri"/>
                <w:color w:val="000000"/>
                <w:sz w:val="18"/>
                <w:szCs w:val="18"/>
                <w:lang w:eastAsia="pl-PL"/>
              </w:rPr>
              <w:br/>
              <w:t xml:space="preserve">opracować zgodnie z ramową dyrektywą wodną i dyrektywą powodziową, są świetną </w:t>
            </w:r>
            <w:r w:rsidRPr="005E78BB">
              <w:rPr>
                <w:rFonts w:ascii="Calibri" w:eastAsia="Times New Roman" w:hAnsi="Calibri" w:cs="Calibri"/>
                <w:color w:val="000000"/>
                <w:sz w:val="18"/>
                <w:szCs w:val="18"/>
                <w:lang w:eastAsia="pl-PL"/>
              </w:rPr>
              <w:br/>
              <w:t xml:space="preserve">okazją, aby wykorzystać dostępne informacji łącznie na temat stanu i presji, jak również </w:t>
            </w:r>
            <w:r w:rsidRPr="005E78BB">
              <w:rPr>
                <w:rFonts w:ascii="Calibri" w:eastAsia="Times New Roman" w:hAnsi="Calibri" w:cs="Calibri"/>
                <w:color w:val="000000"/>
                <w:sz w:val="18"/>
                <w:szCs w:val="18"/>
                <w:lang w:eastAsia="pl-PL"/>
              </w:rPr>
              <w:br/>
              <w:t xml:space="preserve">aby opracować programy środków, które pomogą osiągnąć „dobry stan” przy </w:t>
            </w:r>
            <w:r w:rsidRPr="005E78BB">
              <w:rPr>
                <w:rFonts w:ascii="Calibri" w:eastAsia="Times New Roman" w:hAnsi="Calibri" w:cs="Calibri"/>
                <w:color w:val="000000"/>
                <w:sz w:val="18"/>
                <w:szCs w:val="18"/>
                <w:lang w:eastAsia="pl-PL"/>
              </w:rPr>
              <w:br/>
              <w:t xml:space="preserve">jednoczesnym ograniczeniu ryzyka powodziowego. Te efekty synergii te należy w pełni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wykorzystać”. Nie ulega wątpliwości, że takie podejście nie zostało w najmniejszym </w:t>
            </w:r>
            <w:r w:rsidRPr="005E78BB">
              <w:rPr>
                <w:rFonts w:ascii="Calibri" w:eastAsia="Times New Roman" w:hAnsi="Calibri" w:cs="Calibri"/>
                <w:color w:val="000000"/>
                <w:sz w:val="18"/>
                <w:szCs w:val="18"/>
                <w:lang w:eastAsia="pl-PL"/>
              </w:rPr>
              <w:br/>
              <w:t xml:space="preserve">stopniu zastosowane zarówno w odniesieniu do IIaPGW, jak i aPZRP. </w:t>
            </w:r>
            <w:r w:rsidRPr="005E78BB">
              <w:rPr>
                <w:rFonts w:ascii="Calibri" w:eastAsia="Times New Roman" w:hAnsi="Calibri" w:cs="Calibri"/>
                <w:color w:val="000000"/>
                <w:sz w:val="18"/>
                <w:szCs w:val="18"/>
                <w:lang w:eastAsia="pl-PL"/>
              </w:rPr>
              <w:br/>
              <w:t xml:space="preserve">5. Opracowane w poprzednich latach dokumentacje hydrogeologiczne dla głównych </w:t>
            </w:r>
            <w:r w:rsidRPr="005E78BB">
              <w:rPr>
                <w:rFonts w:ascii="Calibri" w:eastAsia="Times New Roman" w:hAnsi="Calibri" w:cs="Calibri"/>
                <w:color w:val="000000"/>
                <w:sz w:val="18"/>
                <w:szCs w:val="18"/>
                <w:lang w:eastAsia="pl-PL"/>
              </w:rPr>
              <w:br/>
              <w:t xml:space="preserve">zbiorników wód podziemnych często wskazywały na konieczność utworzenia obszarów </w:t>
            </w:r>
            <w:r w:rsidRPr="005E78BB">
              <w:rPr>
                <w:rFonts w:ascii="Calibri" w:eastAsia="Times New Roman" w:hAnsi="Calibri" w:cs="Calibri"/>
                <w:color w:val="000000"/>
                <w:sz w:val="18"/>
                <w:szCs w:val="18"/>
                <w:lang w:eastAsia="pl-PL"/>
              </w:rPr>
              <w:br/>
              <w:t xml:space="preserve">ochronnych zbiorników wód śródlądowych. Sporadycznie konieczność taką wskazywano </w:t>
            </w:r>
            <w:r w:rsidRPr="005E78BB">
              <w:rPr>
                <w:rFonts w:ascii="Calibri" w:eastAsia="Times New Roman" w:hAnsi="Calibri" w:cs="Calibri"/>
                <w:color w:val="000000"/>
                <w:sz w:val="18"/>
                <w:szCs w:val="18"/>
                <w:lang w:eastAsia="pl-PL"/>
              </w:rPr>
              <w:br/>
              <w:t xml:space="preserve">równie dla jezior. Wykonano szereg prac analitycznych omawiających koszty i korzyści </w:t>
            </w:r>
            <w:r w:rsidRPr="005E78BB">
              <w:rPr>
                <w:rFonts w:ascii="Calibri" w:eastAsia="Times New Roman" w:hAnsi="Calibri" w:cs="Calibri"/>
                <w:color w:val="000000"/>
                <w:sz w:val="18"/>
                <w:szCs w:val="18"/>
                <w:lang w:eastAsia="pl-PL"/>
              </w:rPr>
              <w:br/>
              <w:t xml:space="preserve">ustanowienia tych form ochrony wód. Jak dotąd nie ustanowiono jednak takich obszarów, </w:t>
            </w:r>
            <w:r w:rsidRPr="005E78BB">
              <w:rPr>
                <w:rFonts w:ascii="Calibri" w:eastAsia="Times New Roman" w:hAnsi="Calibri" w:cs="Calibri"/>
                <w:color w:val="000000"/>
                <w:sz w:val="18"/>
                <w:szCs w:val="18"/>
                <w:lang w:eastAsia="pl-PL"/>
              </w:rPr>
              <w:br/>
              <w:t xml:space="preserve">w wyniku czego marnuje się potencjał wykonanych analiz oraz utrwala zagrożenie dla </w:t>
            </w:r>
            <w:r w:rsidRPr="005E78BB">
              <w:rPr>
                <w:rFonts w:ascii="Calibri" w:eastAsia="Times New Roman" w:hAnsi="Calibri" w:cs="Calibri"/>
                <w:color w:val="000000"/>
                <w:sz w:val="18"/>
                <w:szCs w:val="18"/>
                <w:lang w:eastAsia="pl-PL"/>
              </w:rPr>
              <w:br/>
              <w:t xml:space="preserve">strategicznych zasobów wód podziemnych. Wobec powyższego, wysoce uzasadnione jest uwzględnienie w IIaPGW wszystkich wykonanych dokumentacji dla obszarów ochronnych zbiorników wód śródlądowych i określenie terminu prawnego ustanowienia ww. obszarów ochronnych. </w:t>
            </w:r>
            <w:r w:rsidRPr="005E78BB">
              <w:rPr>
                <w:rFonts w:ascii="Calibri" w:eastAsia="Times New Roman" w:hAnsi="Calibri" w:cs="Calibri"/>
                <w:color w:val="000000"/>
                <w:sz w:val="18"/>
                <w:szCs w:val="18"/>
                <w:lang w:eastAsia="pl-PL"/>
              </w:rPr>
              <w:br/>
              <w:t xml:space="preserve">6. Mając na względzie konieczność wprowadzenia działań niezbędnych do zachowania </w:t>
            </w:r>
            <w:r w:rsidRPr="005E78BB">
              <w:rPr>
                <w:rFonts w:ascii="Calibri" w:eastAsia="Times New Roman" w:hAnsi="Calibri" w:cs="Calibri"/>
                <w:color w:val="000000"/>
                <w:sz w:val="18"/>
                <w:szCs w:val="18"/>
                <w:lang w:eastAsia="pl-PL"/>
              </w:rPr>
              <w:br/>
              <w:t xml:space="preserve">odpowiedniego poziomu ochrony jednolitych części wód przeznaczonych do poboru </w:t>
            </w:r>
            <w:r w:rsidRPr="005E78BB">
              <w:rPr>
                <w:rFonts w:ascii="Calibri" w:eastAsia="Times New Roman" w:hAnsi="Calibri" w:cs="Calibri"/>
                <w:color w:val="000000"/>
                <w:sz w:val="18"/>
                <w:szCs w:val="18"/>
                <w:lang w:eastAsia="pl-PL"/>
              </w:rPr>
              <w:br/>
              <w:t xml:space="preserve">wody na potrzeby zaopatrzenia ludności w wodę przeznaczoną do spożycia przez ludzi </w:t>
            </w:r>
            <w:r w:rsidRPr="005E78BB">
              <w:rPr>
                <w:rFonts w:ascii="Calibri" w:eastAsia="Times New Roman" w:hAnsi="Calibri" w:cs="Calibri"/>
                <w:color w:val="000000"/>
                <w:sz w:val="18"/>
                <w:szCs w:val="18"/>
                <w:lang w:eastAsia="pl-PL"/>
              </w:rPr>
              <w:br/>
              <w:t xml:space="preserve">(jeden z obszarów chronionych w rozumieniu ustawy Prawo wodne), oczywistym jest </w:t>
            </w:r>
            <w:r w:rsidRPr="005E78BB">
              <w:rPr>
                <w:rFonts w:ascii="Calibri" w:eastAsia="Times New Roman" w:hAnsi="Calibri" w:cs="Calibri"/>
                <w:color w:val="000000"/>
                <w:sz w:val="18"/>
                <w:szCs w:val="18"/>
                <w:lang w:eastAsia="pl-PL"/>
              </w:rPr>
              <w:br/>
              <w:t xml:space="preserve">IIaPGW powinny zauważyć istniejący problem z ochroną ujęć wód oraz adekwatnie do </w:t>
            </w:r>
            <w:r w:rsidRPr="005E78BB">
              <w:rPr>
                <w:rFonts w:ascii="Calibri" w:eastAsia="Times New Roman" w:hAnsi="Calibri" w:cs="Calibri"/>
                <w:color w:val="000000"/>
                <w:sz w:val="18"/>
                <w:szCs w:val="18"/>
                <w:lang w:eastAsia="pl-PL"/>
              </w:rPr>
              <w:br/>
              <w:t xml:space="preserve">niego wprowadzić odpowiednie działania.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Wspomniany wyżej problem polega na tym, że według art. 121 ust. 3 ustawy z dnia 29 </w:t>
            </w:r>
            <w:r w:rsidRPr="005E78BB">
              <w:rPr>
                <w:rFonts w:ascii="Calibri" w:eastAsia="Times New Roman" w:hAnsi="Calibri" w:cs="Calibri"/>
                <w:color w:val="000000"/>
                <w:sz w:val="18"/>
                <w:szCs w:val="18"/>
                <w:lang w:eastAsia="pl-PL"/>
              </w:rPr>
              <w:br/>
              <w:t xml:space="preserve">lipca 2017 r. - Prawo wodne, „strefę ochronną obejmującą wyłącznie teren ochrony </w:t>
            </w:r>
            <w:r w:rsidRPr="005E78BB">
              <w:rPr>
                <w:rFonts w:ascii="Calibri" w:eastAsia="Times New Roman" w:hAnsi="Calibri" w:cs="Calibri"/>
                <w:color w:val="000000"/>
                <w:sz w:val="18"/>
                <w:szCs w:val="18"/>
                <w:lang w:eastAsia="pl-PL"/>
              </w:rPr>
              <w:br/>
              <w:t xml:space="preserve">bezpośredniej ustanawia się dla każdego ujęcia wody” (z wyłączeniem ujęć wody </w:t>
            </w:r>
            <w:r w:rsidRPr="005E78BB">
              <w:rPr>
                <w:rFonts w:ascii="Calibri" w:eastAsia="Times New Roman" w:hAnsi="Calibri" w:cs="Calibri"/>
                <w:color w:val="000000"/>
                <w:sz w:val="18"/>
                <w:szCs w:val="18"/>
                <w:lang w:eastAsia="pl-PL"/>
              </w:rPr>
              <w:br/>
              <w:t xml:space="preserve">służących do zwykłego korzystania z wód). Zgodnie z art. 133 ust. 1 ww. ustawy, taką </w:t>
            </w:r>
            <w:r w:rsidRPr="005E78BB">
              <w:rPr>
                <w:rFonts w:ascii="Calibri" w:eastAsia="Times New Roman" w:hAnsi="Calibri" w:cs="Calibri"/>
                <w:color w:val="000000"/>
                <w:sz w:val="18"/>
                <w:szCs w:val="18"/>
                <w:lang w:eastAsia="pl-PL"/>
              </w:rPr>
              <w:br/>
              <w:t xml:space="preserve">strefę „ustanawia się z urzędu” – jednak nie określono terminu ich ustanowienia i w </w:t>
            </w:r>
            <w:r w:rsidRPr="005E78BB">
              <w:rPr>
                <w:rFonts w:ascii="Calibri" w:eastAsia="Times New Roman" w:hAnsi="Calibri" w:cs="Calibri"/>
                <w:color w:val="000000"/>
                <w:sz w:val="18"/>
                <w:szCs w:val="18"/>
                <w:lang w:eastAsia="pl-PL"/>
              </w:rPr>
              <w:br/>
              <w:t xml:space="preserve">rezultacie znaczna ilość ujęć nie posiada takiej strefy. Oprócz tego, dla niektórych ujęć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można ustanowić (w formie rozporządzenia wojewody) strefę obejmującą zarówno teren </w:t>
            </w:r>
            <w:r w:rsidRPr="005E78BB">
              <w:rPr>
                <w:rFonts w:ascii="Calibri" w:eastAsia="Times New Roman" w:hAnsi="Calibri" w:cs="Calibri"/>
                <w:color w:val="000000"/>
                <w:sz w:val="18"/>
                <w:szCs w:val="18"/>
                <w:lang w:eastAsia="pl-PL"/>
              </w:rPr>
              <w:br/>
              <w:t xml:space="preserve">ochrony bezpośredniej, jak i teren ochrony pośredniej; ustanowienie takiej strefy </w:t>
            </w:r>
            <w:r w:rsidRPr="005E78BB">
              <w:rPr>
                <w:rFonts w:ascii="Calibri" w:eastAsia="Times New Roman" w:hAnsi="Calibri" w:cs="Calibri"/>
                <w:color w:val="000000"/>
                <w:sz w:val="18"/>
                <w:szCs w:val="18"/>
                <w:lang w:eastAsia="pl-PL"/>
              </w:rPr>
              <w:br/>
              <w:t xml:space="preserve">ustanawia się na wniosek właściciela ujęcia wody lub z urzędu, na podstawie analizy </w:t>
            </w:r>
            <w:r w:rsidRPr="005E78BB">
              <w:rPr>
                <w:rFonts w:ascii="Calibri" w:eastAsia="Times New Roman" w:hAnsi="Calibri" w:cs="Calibri"/>
                <w:color w:val="000000"/>
                <w:sz w:val="18"/>
                <w:szCs w:val="18"/>
                <w:lang w:eastAsia="pl-PL"/>
              </w:rPr>
              <w:br/>
              <w:t xml:space="preserve">ryzyka przedłożonej wojewodzie (analizę taką należy przedłożyć do końca 2023 r., zgodnie </w:t>
            </w:r>
            <w:r w:rsidRPr="005E78BB">
              <w:rPr>
                <w:rFonts w:ascii="Calibri" w:eastAsia="Times New Roman" w:hAnsi="Calibri" w:cs="Calibri"/>
                <w:color w:val="000000"/>
                <w:sz w:val="18"/>
                <w:szCs w:val="18"/>
                <w:lang w:eastAsia="pl-PL"/>
              </w:rPr>
              <w:br/>
              <w:t xml:space="preserve">z art. 551 ust. 2 ww. ustawy). W prawie nie określono jednak przesłanek wskazujących na </w:t>
            </w:r>
            <w:r w:rsidRPr="005E78BB">
              <w:rPr>
                <w:rFonts w:ascii="Calibri" w:eastAsia="Times New Roman" w:hAnsi="Calibri" w:cs="Calibri"/>
                <w:color w:val="000000"/>
                <w:sz w:val="18"/>
                <w:szCs w:val="18"/>
                <w:lang w:eastAsia="pl-PL"/>
              </w:rPr>
              <w:br/>
              <w:t xml:space="preserve">to, kiedy jest niezbędne ustanowienie takiej strefy „z urzędu” oraz jak postępować, gdy </w:t>
            </w:r>
            <w:r w:rsidRPr="005E78BB">
              <w:rPr>
                <w:rFonts w:ascii="Calibri" w:eastAsia="Times New Roman" w:hAnsi="Calibri" w:cs="Calibri"/>
                <w:color w:val="000000"/>
                <w:sz w:val="18"/>
                <w:szCs w:val="18"/>
                <w:lang w:eastAsia="pl-PL"/>
              </w:rPr>
              <w:br/>
              <w:t xml:space="preserve">istnieją wątpliwości co do tego, czy dokumentacja hydrologiczna lub hydrogeologiczna (o </w:t>
            </w:r>
            <w:r w:rsidRPr="005E78BB">
              <w:rPr>
                <w:rFonts w:ascii="Calibri" w:eastAsia="Times New Roman" w:hAnsi="Calibri" w:cs="Calibri"/>
                <w:color w:val="000000"/>
                <w:sz w:val="18"/>
                <w:szCs w:val="18"/>
                <w:lang w:eastAsia="pl-PL"/>
              </w:rPr>
              <w:br/>
              <w:t xml:space="preserve">ile w ogóle jest dostępna dla danego ujęcia) jest aktualna.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Mając na uwadze powyższe, konieczne jest wskazanie w IIaPGW (w odniesieniu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 xml:space="preserve">przeznaczonych do poboru wody na potrzeby zaopatrzenia ludności w wodę przeznaczoną do spożycia przez ludzi) działań polegających na: </w:t>
            </w:r>
            <w:r w:rsidRPr="005E78BB">
              <w:rPr>
                <w:rFonts w:ascii="Calibri" w:eastAsia="Times New Roman" w:hAnsi="Calibri" w:cs="Calibri"/>
                <w:color w:val="000000"/>
                <w:sz w:val="18"/>
                <w:szCs w:val="18"/>
                <w:lang w:eastAsia="pl-PL"/>
              </w:rPr>
              <w:br/>
              <w:t xml:space="preserve">1) wskazaniu terminu ustanowienia stref ochronnych obejmujących wyłącznie teren </w:t>
            </w:r>
            <w:r w:rsidRPr="005E78BB">
              <w:rPr>
                <w:rFonts w:ascii="Calibri" w:eastAsia="Times New Roman" w:hAnsi="Calibri" w:cs="Calibri"/>
                <w:color w:val="000000"/>
                <w:sz w:val="18"/>
                <w:szCs w:val="18"/>
                <w:lang w:eastAsia="pl-PL"/>
              </w:rPr>
              <w:br/>
              <w:t xml:space="preserve">ochrony bezpośredniej, </w:t>
            </w:r>
            <w:r w:rsidRPr="005E78BB">
              <w:rPr>
                <w:rFonts w:ascii="Calibri" w:eastAsia="Times New Roman" w:hAnsi="Calibri" w:cs="Calibri"/>
                <w:color w:val="000000"/>
                <w:sz w:val="18"/>
                <w:szCs w:val="18"/>
                <w:lang w:eastAsia="pl-PL"/>
              </w:rPr>
              <w:br/>
              <w:t xml:space="preserve">2) wprowadzeniu konieczności aktualizacji (reambulacji) dokumentacji </w:t>
            </w:r>
            <w:r w:rsidRPr="005E78BB">
              <w:rPr>
                <w:rFonts w:ascii="Calibri" w:eastAsia="Times New Roman" w:hAnsi="Calibri" w:cs="Calibri"/>
                <w:color w:val="000000"/>
                <w:sz w:val="18"/>
                <w:szCs w:val="18"/>
                <w:lang w:eastAsia="pl-PL"/>
              </w:rPr>
              <w:br/>
              <w:t xml:space="preserve">hydrologicznych i hydrogeologicznych dla ujęć wody - tak by zapewnić ich odpowiednią jakość przy podejmowaniu rozstrzygnięć w dziedzinie ustanawiania stref ochronnych ujęć </w:t>
            </w:r>
            <w:r w:rsidRPr="005E78BB">
              <w:rPr>
                <w:rFonts w:ascii="Calibri" w:eastAsia="Times New Roman" w:hAnsi="Calibri" w:cs="Calibri"/>
                <w:color w:val="000000"/>
                <w:sz w:val="18"/>
                <w:szCs w:val="18"/>
                <w:lang w:eastAsia="pl-PL"/>
              </w:rPr>
              <w:br/>
              <w:t xml:space="preserve">wody. </w:t>
            </w:r>
            <w:r w:rsidRPr="005E78BB">
              <w:rPr>
                <w:rFonts w:ascii="Calibri" w:eastAsia="Times New Roman" w:hAnsi="Calibri" w:cs="Calibri"/>
                <w:color w:val="000000"/>
                <w:sz w:val="18"/>
                <w:szCs w:val="18"/>
                <w:lang w:eastAsia="pl-PL"/>
              </w:rPr>
              <w:br/>
              <w:t xml:space="preserve">7. Projekty IIaPGW nie zawierają jakichkolwiek ustaleń na temat sposobu monitorowania </w:t>
            </w:r>
            <w:r w:rsidRPr="005E78BB">
              <w:rPr>
                <w:rFonts w:ascii="Calibri" w:eastAsia="Times New Roman" w:hAnsi="Calibri" w:cs="Calibri"/>
                <w:color w:val="000000"/>
                <w:sz w:val="18"/>
                <w:szCs w:val="18"/>
                <w:lang w:eastAsia="pl-PL"/>
              </w:rPr>
              <w:br/>
              <w:t xml:space="preserve">efektywności ich wdrażania pod względem efektywności w dążeniu do osiągnięciu </w:t>
            </w:r>
            <w:r w:rsidRPr="005E78BB">
              <w:rPr>
                <w:rFonts w:ascii="Calibri" w:eastAsia="Times New Roman" w:hAnsi="Calibri" w:cs="Calibri"/>
                <w:color w:val="000000"/>
                <w:sz w:val="18"/>
                <w:szCs w:val="18"/>
                <w:lang w:eastAsia="pl-PL"/>
              </w:rPr>
              <w:br/>
              <w:t xml:space="preserve">pożądanych skutków środowiskowych. Monitorowanie środowiska i sprawozdawczność z </w:t>
            </w:r>
            <w:r w:rsidRPr="005E78BB">
              <w:rPr>
                <w:rFonts w:ascii="Calibri" w:eastAsia="Times New Roman" w:hAnsi="Calibri" w:cs="Calibri"/>
                <w:color w:val="000000"/>
                <w:sz w:val="18"/>
                <w:szCs w:val="18"/>
                <w:lang w:eastAsia="pl-PL"/>
              </w:rPr>
              <w:br/>
              <w:t xml:space="preserve">realizacji PGW nie dostarczą danych na temat tego, czy sam dokument IIaPGW jest </w:t>
            </w:r>
            <w:r w:rsidRPr="005E78BB">
              <w:rPr>
                <w:rFonts w:ascii="Calibri" w:eastAsia="Times New Roman" w:hAnsi="Calibri" w:cs="Calibri"/>
                <w:color w:val="000000"/>
                <w:sz w:val="18"/>
                <w:szCs w:val="18"/>
                <w:lang w:eastAsia="pl-PL"/>
              </w:rPr>
              <w:br/>
              <w:t xml:space="preserve">skuteczny pod względem dążenia do osiągniecia celów środowiskowych. Monitorowanie </w:t>
            </w:r>
            <w:r w:rsidRPr="005E78BB">
              <w:rPr>
                <w:rFonts w:ascii="Calibri" w:eastAsia="Times New Roman" w:hAnsi="Calibri" w:cs="Calibri"/>
                <w:color w:val="000000"/>
                <w:sz w:val="18"/>
                <w:szCs w:val="18"/>
                <w:lang w:eastAsia="pl-PL"/>
              </w:rPr>
              <w:br/>
              <w:t xml:space="preserve">to jest niezbędne w celu określenia – w ramach kolejnego cyklu planistycznego – </w:t>
            </w:r>
            <w:r w:rsidRPr="005E78BB">
              <w:rPr>
                <w:rFonts w:ascii="Calibri" w:eastAsia="Times New Roman" w:hAnsi="Calibri" w:cs="Calibri"/>
                <w:color w:val="000000"/>
                <w:sz w:val="18"/>
                <w:szCs w:val="18"/>
                <w:lang w:eastAsia="pl-PL"/>
              </w:rPr>
              <w:br/>
              <w:t xml:space="preserve">możliwości poprawy krajowego systemu planistyki w gospodarce wodnej. </w:t>
            </w:r>
            <w:r w:rsidRPr="005E78BB">
              <w:rPr>
                <w:rFonts w:ascii="Calibri" w:eastAsia="Times New Roman" w:hAnsi="Calibri" w:cs="Calibri"/>
                <w:color w:val="000000"/>
                <w:sz w:val="18"/>
                <w:szCs w:val="18"/>
                <w:lang w:eastAsia="pl-PL"/>
              </w:rPr>
              <w:br/>
              <w:t xml:space="preserve">8. Wspomniany wyżej komunikat Komisji Europejskiej wskazuje również, że „Państwa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członkowskie powinny stosować przepływy hydrobiologiczne zgodnie z przyjętą </w:t>
            </w:r>
            <w:r w:rsidRPr="005E78BB">
              <w:rPr>
                <w:rFonts w:ascii="Calibri" w:eastAsia="Times New Roman" w:hAnsi="Calibri" w:cs="Calibri"/>
                <w:color w:val="000000"/>
                <w:sz w:val="18"/>
                <w:szCs w:val="18"/>
                <w:lang w:eastAsia="pl-PL"/>
              </w:rPr>
              <w:br/>
              <w:t xml:space="preserve">niedawno wytyczną w ramach wspólnej strategii wdrażania i stosować takie środki, które </w:t>
            </w:r>
            <w:r w:rsidRPr="005E78BB">
              <w:rPr>
                <w:rFonts w:ascii="Calibri" w:eastAsia="Times New Roman" w:hAnsi="Calibri" w:cs="Calibri"/>
                <w:color w:val="000000"/>
                <w:sz w:val="18"/>
                <w:szCs w:val="18"/>
                <w:lang w:eastAsia="pl-PL"/>
              </w:rPr>
              <w:br/>
              <w:t xml:space="preserve">będą chronić te przepływy lub przywracać je, w odniesieniu zarówno do istniejących, jak </w:t>
            </w:r>
            <w:r w:rsidRPr="005E78BB">
              <w:rPr>
                <w:rFonts w:ascii="Calibri" w:eastAsia="Times New Roman" w:hAnsi="Calibri" w:cs="Calibri"/>
                <w:color w:val="000000"/>
                <w:sz w:val="18"/>
                <w:szCs w:val="18"/>
                <w:lang w:eastAsia="pl-PL"/>
              </w:rPr>
              <w:br/>
              <w:t xml:space="preserve">i nowych zastosowań. W tym celu konieczne jest opracowanie przez państwa </w:t>
            </w:r>
            <w:r w:rsidRPr="005E78BB">
              <w:rPr>
                <w:rFonts w:ascii="Calibri" w:eastAsia="Times New Roman" w:hAnsi="Calibri" w:cs="Calibri"/>
                <w:color w:val="000000"/>
                <w:sz w:val="18"/>
                <w:szCs w:val="18"/>
                <w:lang w:eastAsia="pl-PL"/>
              </w:rPr>
              <w:br/>
              <w:t xml:space="preserve">członkowskie metod monitorowania i oceny zmian hydrologicznych w celu określenia </w:t>
            </w:r>
            <w:r w:rsidRPr="005E78BB">
              <w:rPr>
                <w:rFonts w:ascii="Calibri" w:eastAsia="Times New Roman" w:hAnsi="Calibri" w:cs="Calibri"/>
                <w:color w:val="000000"/>
                <w:sz w:val="18"/>
                <w:szCs w:val="18"/>
                <w:lang w:eastAsia="pl-PL"/>
              </w:rPr>
              <w:br/>
              <w:t xml:space="preserve">sytuacji, w których zmiany te mogą uniemożliwić osiągnięcie dobrego stanu </w:t>
            </w:r>
            <w:r w:rsidRPr="005E78BB">
              <w:rPr>
                <w:rFonts w:ascii="Calibri" w:eastAsia="Times New Roman" w:hAnsi="Calibri" w:cs="Calibri"/>
                <w:color w:val="000000"/>
                <w:sz w:val="18"/>
                <w:szCs w:val="18"/>
                <w:lang w:eastAsia="pl-PL"/>
              </w:rPr>
              <w:br/>
              <w:t xml:space="preserve">ekologicznego. Najbardziej znaczące zmiany można jednak już teraz wskazać i zająć się </w:t>
            </w:r>
            <w:r w:rsidRPr="005E78BB">
              <w:rPr>
                <w:rFonts w:ascii="Calibri" w:eastAsia="Times New Roman" w:hAnsi="Calibri" w:cs="Calibri"/>
                <w:color w:val="000000"/>
                <w:sz w:val="18"/>
                <w:szCs w:val="18"/>
                <w:lang w:eastAsia="pl-PL"/>
              </w:rPr>
              <w:br/>
              <w:t xml:space="preserve">nimi za pomocą dostępnych narzędzi i środków, a zmniejszanie wpływu poboru i regulacji </w:t>
            </w:r>
            <w:r w:rsidRPr="005E78BB">
              <w:rPr>
                <w:rFonts w:ascii="Calibri" w:eastAsia="Times New Roman" w:hAnsi="Calibri" w:cs="Calibri"/>
                <w:color w:val="000000"/>
                <w:sz w:val="18"/>
                <w:szCs w:val="18"/>
                <w:lang w:eastAsia="pl-PL"/>
              </w:rPr>
              <w:br/>
              <w:t xml:space="preserve">przepływu powinno być traktowane priorytetowo w kolejnych programach środków”.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Tymczasem, projekty IIaPGW zupełnie nie dostrzegają powyższego aspektu. Zrealizowany </w:t>
            </w:r>
            <w:r w:rsidRPr="005E78BB">
              <w:rPr>
                <w:rFonts w:ascii="Calibri" w:eastAsia="Times New Roman" w:hAnsi="Calibri" w:cs="Calibri"/>
                <w:color w:val="000000"/>
                <w:sz w:val="18"/>
                <w:szCs w:val="18"/>
                <w:lang w:eastAsia="pl-PL"/>
              </w:rPr>
              <w:br/>
              <w:t xml:space="preserve">w ostatnich latach (na zlecenie Krajowego Zarządu Gospodarki Wodnej) projekt dot. </w:t>
            </w:r>
            <w:r w:rsidRPr="005E78BB">
              <w:rPr>
                <w:rFonts w:ascii="Calibri" w:eastAsia="Times New Roman" w:hAnsi="Calibri" w:cs="Calibri"/>
                <w:color w:val="000000"/>
                <w:sz w:val="18"/>
                <w:szCs w:val="18"/>
                <w:lang w:eastAsia="pl-PL"/>
              </w:rPr>
              <w:br/>
              <w:t xml:space="preserve">szacowania przepływów środowiskowych nie znalazł żadnego odzwierciedlenia w treści </w:t>
            </w:r>
            <w:r w:rsidRPr="005E78BB">
              <w:rPr>
                <w:rFonts w:ascii="Calibri" w:eastAsia="Times New Roman" w:hAnsi="Calibri" w:cs="Calibri"/>
                <w:color w:val="000000"/>
                <w:sz w:val="18"/>
                <w:szCs w:val="18"/>
                <w:lang w:eastAsia="pl-PL"/>
              </w:rPr>
              <w:br/>
              <w:t xml:space="preserve">IIaPGW. Jest to utrata szansy na rozwój systemu zarządzania gospodarką wodną i ochroną wód. </w:t>
            </w:r>
            <w:r w:rsidRPr="005E78BB">
              <w:rPr>
                <w:rFonts w:ascii="Calibri" w:eastAsia="Times New Roman" w:hAnsi="Calibri" w:cs="Calibri"/>
                <w:color w:val="000000"/>
                <w:sz w:val="18"/>
                <w:szCs w:val="18"/>
                <w:lang w:eastAsia="pl-PL"/>
              </w:rPr>
              <w:br/>
              <w:t xml:space="preserve">9. Zasygnalizowane powyżej zagadnienie jest tym bardziej istotne, że według art. 565 ust. 3 ustawy Prawo wodne, dotychczasowe warunki korzystania z wód regionu wodnego oraz </w:t>
            </w:r>
            <w:r w:rsidRPr="005E78BB">
              <w:rPr>
                <w:rFonts w:ascii="Calibri" w:eastAsia="Times New Roman" w:hAnsi="Calibri" w:cs="Calibri"/>
                <w:color w:val="000000"/>
                <w:sz w:val="18"/>
                <w:szCs w:val="18"/>
                <w:lang w:eastAsia="pl-PL"/>
              </w:rPr>
              <w:br/>
              <w:t xml:space="preserve">warunki korzystania z wód zlewni stracą moc prawną w dniu 22.12.2021 r. Wyniki analizy </w:t>
            </w:r>
            <w:r w:rsidRPr="005E78BB">
              <w:rPr>
                <w:rFonts w:ascii="Calibri" w:eastAsia="Times New Roman" w:hAnsi="Calibri" w:cs="Calibri"/>
                <w:color w:val="000000"/>
                <w:sz w:val="18"/>
                <w:szCs w:val="18"/>
                <w:lang w:eastAsia="pl-PL"/>
              </w:rPr>
              <w:br/>
              <w:t xml:space="preserve">presji oraz dane o stanie wód (czyli: dane stanowiące podstawę do opracowania IIaPGW) </w:t>
            </w:r>
            <w:r w:rsidRPr="005E78BB">
              <w:rPr>
                <w:rFonts w:ascii="Calibri" w:eastAsia="Times New Roman" w:hAnsi="Calibri" w:cs="Calibri"/>
                <w:color w:val="000000"/>
                <w:sz w:val="18"/>
                <w:szCs w:val="18"/>
                <w:lang w:eastAsia="pl-PL"/>
              </w:rPr>
              <w:br/>
              <w:t xml:space="preserve">odnoszą się do perspektywy czasowej, w której obowiązywały w prawie całym kraju </w:t>
            </w:r>
            <w:r w:rsidRPr="005E78BB">
              <w:rPr>
                <w:rFonts w:ascii="Calibri" w:eastAsia="Times New Roman" w:hAnsi="Calibri" w:cs="Calibri"/>
                <w:color w:val="000000"/>
                <w:sz w:val="18"/>
                <w:szCs w:val="18"/>
                <w:lang w:eastAsia="pl-PL"/>
              </w:rPr>
              <w:br/>
              <w:t xml:space="preserve">rozporządzenia w sprawie warunków korzystania z wód regionu wodnego.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Należy mieć na uwadze fakt, że z chwilą wygaśnięcia tych rozporządzeń, radykalnie </w:t>
            </w:r>
            <w:r w:rsidRPr="005E78BB">
              <w:rPr>
                <w:rFonts w:ascii="Calibri" w:eastAsia="Times New Roman" w:hAnsi="Calibri" w:cs="Calibri"/>
                <w:color w:val="000000"/>
                <w:sz w:val="18"/>
                <w:szCs w:val="18"/>
                <w:lang w:eastAsia="pl-PL"/>
              </w:rPr>
              <w:br/>
              <w:t xml:space="preserve">obniżony zostanie prawny poziom ochrony wód w Polsce, przez co znacznie wzrośnie </w:t>
            </w:r>
            <w:r w:rsidRPr="005E78BB">
              <w:rPr>
                <w:rFonts w:ascii="Calibri" w:eastAsia="Times New Roman" w:hAnsi="Calibri" w:cs="Calibri"/>
                <w:color w:val="000000"/>
                <w:sz w:val="18"/>
                <w:szCs w:val="18"/>
                <w:lang w:eastAsia="pl-PL"/>
              </w:rPr>
              <w:br/>
              <w:t xml:space="preserve">poziom zagrożenia dla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Przede wszystkim wygasną regulacje dotyczące </w:t>
            </w:r>
            <w:r w:rsidRPr="005E78BB">
              <w:rPr>
                <w:rFonts w:ascii="Calibri" w:eastAsia="Times New Roman" w:hAnsi="Calibri" w:cs="Calibri"/>
                <w:color w:val="000000"/>
                <w:sz w:val="18"/>
                <w:szCs w:val="18"/>
                <w:lang w:eastAsia="pl-PL"/>
              </w:rPr>
              <w:lastRenderedPageBreak/>
              <w:t xml:space="preserve">konieczności zachowania przepływów nienaruszalnych oraz regulacje wskazujące na sparametryzowane wymagania techniczne dla ujęć wody oraz dla urządzeń umożliwiającej migrację ichtiofauny - a także szereg innych prośrodowiskowych ustaleń. </w:t>
            </w:r>
            <w:r w:rsidRPr="005E78BB">
              <w:rPr>
                <w:rFonts w:ascii="Calibri" w:eastAsia="Times New Roman" w:hAnsi="Calibri" w:cs="Calibri"/>
                <w:color w:val="000000"/>
                <w:sz w:val="18"/>
                <w:szCs w:val="18"/>
                <w:lang w:eastAsia="pl-PL"/>
              </w:rPr>
              <w:br/>
              <w:t xml:space="preserve">W związku z powyższym, diagnoza leżąca u podstaw IIaPGW stanie się nieadekwatna wraz z dniem wygaśnięcia obowiązujących warunków korzystania z wód. Dlatego też konieczne jest wprowadzenie do treści IIaPGW działań, które wypełnią lukę po ww. </w:t>
            </w:r>
            <w:r w:rsidRPr="005E78BB">
              <w:rPr>
                <w:rFonts w:ascii="Calibri" w:eastAsia="Times New Roman" w:hAnsi="Calibri" w:cs="Calibri"/>
                <w:color w:val="000000"/>
                <w:sz w:val="18"/>
                <w:szCs w:val="18"/>
                <w:lang w:eastAsia="pl-PL"/>
              </w:rPr>
              <w:br/>
              <w:t xml:space="preserve">rozporządzeniach. W przeciwnym razie konieczne będzie przyjęcie, że wszystkie zestawy </w:t>
            </w:r>
            <w:r w:rsidRPr="005E78BB">
              <w:rPr>
                <w:rFonts w:ascii="Calibri" w:eastAsia="Times New Roman" w:hAnsi="Calibri" w:cs="Calibri"/>
                <w:color w:val="000000"/>
                <w:sz w:val="18"/>
                <w:szCs w:val="18"/>
                <w:lang w:eastAsia="pl-PL"/>
              </w:rPr>
              <w:br/>
              <w:t xml:space="preserve">działań są nieadekwatne do wyzwań i problemów związanych z ochroną wód. </w:t>
            </w:r>
            <w:r w:rsidRPr="005E78BB">
              <w:rPr>
                <w:rFonts w:ascii="Calibri" w:eastAsia="Times New Roman" w:hAnsi="Calibri" w:cs="Calibri"/>
                <w:color w:val="000000"/>
                <w:sz w:val="18"/>
                <w:szCs w:val="18"/>
                <w:lang w:eastAsia="pl-PL"/>
              </w:rPr>
              <w:br/>
              <w:t xml:space="preserve">10. Rzeczą oczywistą i wskazywaną w wielu opracowaniach eksperckich (towarzyszących </w:t>
            </w:r>
            <w:r w:rsidRPr="005E78BB">
              <w:rPr>
                <w:rFonts w:ascii="Calibri" w:eastAsia="Times New Roman" w:hAnsi="Calibri" w:cs="Calibri"/>
                <w:color w:val="000000"/>
                <w:sz w:val="18"/>
                <w:szCs w:val="18"/>
                <w:lang w:eastAsia="pl-PL"/>
              </w:rPr>
              <w:br/>
              <w:t xml:space="preserve">np. opracowaniu Planu Przeciwdziałania Skutkom Suszy i Krajowego Programu </w:t>
            </w:r>
            <w:r w:rsidRPr="005E78BB">
              <w:rPr>
                <w:rFonts w:ascii="Calibri" w:eastAsia="Times New Roman" w:hAnsi="Calibri" w:cs="Calibri"/>
                <w:color w:val="000000"/>
                <w:sz w:val="18"/>
                <w:szCs w:val="18"/>
                <w:lang w:eastAsia="pl-PL"/>
              </w:rPr>
              <w:br/>
              <w:t xml:space="preserve">Renaturyzacji Wód Powierzchniowych) jest to, że problematyka ochrony wód obejmuje </w:t>
            </w:r>
            <w:r w:rsidRPr="005E78BB">
              <w:rPr>
                <w:rFonts w:ascii="Calibri" w:eastAsia="Times New Roman" w:hAnsi="Calibri" w:cs="Calibri"/>
                <w:color w:val="000000"/>
                <w:sz w:val="18"/>
                <w:szCs w:val="18"/>
                <w:lang w:eastAsia="pl-PL"/>
              </w:rPr>
              <w:br/>
              <w:t xml:space="preserve">nie tylko kwestie związane z różnorodnymi presjami, ale także zagadnienia stricte </w:t>
            </w:r>
            <w:r w:rsidRPr="005E78BB">
              <w:rPr>
                <w:rFonts w:ascii="Calibri" w:eastAsia="Times New Roman" w:hAnsi="Calibri" w:cs="Calibri"/>
                <w:color w:val="000000"/>
                <w:sz w:val="18"/>
                <w:szCs w:val="18"/>
                <w:lang w:eastAsia="pl-PL"/>
              </w:rPr>
              <w:br/>
              <w:t xml:space="preserve">systemowe, instytucjonalne i prawne. Są to problemy powszechnie znane, będące </w:t>
            </w:r>
            <w:r w:rsidRPr="005E78BB">
              <w:rPr>
                <w:rFonts w:ascii="Calibri" w:eastAsia="Times New Roman" w:hAnsi="Calibri" w:cs="Calibri"/>
                <w:color w:val="000000"/>
                <w:sz w:val="18"/>
                <w:szCs w:val="18"/>
                <w:lang w:eastAsia="pl-PL"/>
              </w:rPr>
              <w:br/>
              <w:t xml:space="preserve">przedmiotem dyskusji od co najmniej kilkunastu lat. Dotyczą one m.in. tak oczywistych </w:t>
            </w:r>
            <w:r w:rsidRPr="005E78BB">
              <w:rPr>
                <w:rFonts w:ascii="Calibri" w:eastAsia="Times New Roman" w:hAnsi="Calibri" w:cs="Calibri"/>
                <w:color w:val="000000"/>
                <w:sz w:val="18"/>
                <w:szCs w:val="18"/>
                <w:lang w:eastAsia="pl-PL"/>
              </w:rPr>
              <w:br/>
              <w:t xml:space="preserve">kwestii, jak m.in.: </w:t>
            </w:r>
            <w:r w:rsidRPr="005E78BB">
              <w:rPr>
                <w:rFonts w:ascii="Calibri" w:eastAsia="Times New Roman" w:hAnsi="Calibri" w:cs="Calibri"/>
                <w:color w:val="000000"/>
                <w:sz w:val="18"/>
                <w:szCs w:val="18"/>
                <w:lang w:eastAsia="pl-PL"/>
              </w:rPr>
              <w:br/>
              <w:t xml:space="preserve">1) brak bilansów jakościowych i ilościowych stanowiących podstawę do weryfikacji </w:t>
            </w:r>
            <w:r w:rsidRPr="005E78BB">
              <w:rPr>
                <w:rFonts w:ascii="Calibri" w:eastAsia="Times New Roman" w:hAnsi="Calibri" w:cs="Calibri"/>
                <w:color w:val="000000"/>
                <w:sz w:val="18"/>
                <w:szCs w:val="18"/>
                <w:lang w:eastAsia="pl-PL"/>
              </w:rPr>
              <w:br/>
              <w:t xml:space="preserve">operatów wodnoprawnych i przeglądu pozwoleń wodnoprawnych (obecnie takie </w:t>
            </w:r>
            <w:r w:rsidRPr="005E78BB">
              <w:rPr>
                <w:rFonts w:ascii="Calibri" w:eastAsia="Times New Roman" w:hAnsi="Calibri" w:cs="Calibri"/>
                <w:color w:val="000000"/>
                <w:sz w:val="18"/>
                <w:szCs w:val="18"/>
                <w:lang w:eastAsia="pl-PL"/>
              </w:rPr>
              <w:br/>
              <w:t xml:space="preserve">analizy są wykonywane jedynie w ramach dokumentacji hydrogeologicznych), </w:t>
            </w:r>
            <w:r w:rsidRPr="005E78BB">
              <w:rPr>
                <w:rFonts w:ascii="Calibri" w:eastAsia="Times New Roman" w:hAnsi="Calibri" w:cs="Calibri"/>
                <w:color w:val="000000"/>
                <w:sz w:val="18"/>
                <w:szCs w:val="18"/>
                <w:lang w:eastAsia="pl-PL"/>
              </w:rPr>
              <w:br/>
              <w:t xml:space="preserve">2) brak integracji wyników pracy państwowej służby hydrogeologicznej i państwowej </w:t>
            </w:r>
            <w:r w:rsidRPr="005E78BB">
              <w:rPr>
                <w:rFonts w:ascii="Calibri" w:eastAsia="Times New Roman" w:hAnsi="Calibri" w:cs="Calibri"/>
                <w:color w:val="000000"/>
                <w:sz w:val="18"/>
                <w:szCs w:val="18"/>
                <w:lang w:eastAsia="pl-PL"/>
              </w:rPr>
              <w:br/>
              <w:t xml:space="preserve">służby hydrologicznej z działalnością organów właściwych w sprawach zgód </w:t>
            </w:r>
            <w:r w:rsidRPr="005E78BB">
              <w:rPr>
                <w:rFonts w:ascii="Calibri" w:eastAsia="Times New Roman" w:hAnsi="Calibri" w:cs="Calibri"/>
                <w:color w:val="000000"/>
                <w:sz w:val="18"/>
                <w:szCs w:val="18"/>
                <w:lang w:eastAsia="pl-PL"/>
              </w:rPr>
              <w:br/>
              <w:t xml:space="preserve">wodnoprawnych, </w:t>
            </w:r>
            <w:r w:rsidRPr="005E78BB">
              <w:rPr>
                <w:rFonts w:ascii="Calibri" w:eastAsia="Times New Roman" w:hAnsi="Calibri" w:cs="Calibri"/>
                <w:color w:val="000000"/>
                <w:sz w:val="18"/>
                <w:szCs w:val="18"/>
                <w:lang w:eastAsia="pl-PL"/>
              </w:rPr>
              <w:br/>
              <w:t xml:space="preserve">3) brak danych na temat ładunków zanieczyszczeń prowadzonych w wodach </w:t>
            </w:r>
            <w:r w:rsidRPr="005E78BB">
              <w:rPr>
                <w:rFonts w:ascii="Calibri" w:eastAsia="Times New Roman" w:hAnsi="Calibri" w:cs="Calibri"/>
                <w:color w:val="000000"/>
                <w:sz w:val="18"/>
                <w:szCs w:val="18"/>
                <w:lang w:eastAsia="pl-PL"/>
              </w:rPr>
              <w:br/>
              <w:t xml:space="preserve">powierzchniowych, </w:t>
            </w:r>
            <w:r w:rsidRPr="005E78BB">
              <w:rPr>
                <w:rFonts w:ascii="Calibri" w:eastAsia="Times New Roman" w:hAnsi="Calibri" w:cs="Calibri"/>
                <w:color w:val="000000"/>
                <w:sz w:val="18"/>
                <w:szCs w:val="18"/>
                <w:lang w:eastAsia="pl-PL"/>
              </w:rPr>
              <w:br/>
              <w:t xml:space="preserve">4) brak przepisów dot. wykonania ustaleń wynikających z planów gospodarowania </w:t>
            </w:r>
            <w:r w:rsidRPr="005E78BB">
              <w:rPr>
                <w:rFonts w:ascii="Calibri" w:eastAsia="Times New Roman" w:hAnsi="Calibri" w:cs="Calibri"/>
                <w:color w:val="000000"/>
                <w:sz w:val="18"/>
                <w:szCs w:val="18"/>
                <w:lang w:eastAsia="pl-PL"/>
              </w:rPr>
              <w:br/>
              <w:t xml:space="preserve">wodami; obecnie nie ma żadnego mechanizmu określającego sposób postępowania </w:t>
            </w:r>
            <w:r w:rsidRPr="005E78BB">
              <w:rPr>
                <w:rFonts w:ascii="Calibri" w:eastAsia="Times New Roman" w:hAnsi="Calibri" w:cs="Calibri"/>
                <w:color w:val="000000"/>
                <w:sz w:val="18"/>
                <w:szCs w:val="18"/>
                <w:lang w:eastAsia="pl-PL"/>
              </w:rPr>
              <w:br/>
              <w:t xml:space="preserve">wobec podmiotów, które nie realizują przypisanych im (w PGW) działań, </w:t>
            </w:r>
            <w:r w:rsidRPr="005E78BB">
              <w:rPr>
                <w:rFonts w:ascii="Calibri" w:eastAsia="Times New Roman" w:hAnsi="Calibri" w:cs="Calibri"/>
                <w:color w:val="000000"/>
                <w:sz w:val="18"/>
                <w:szCs w:val="18"/>
                <w:lang w:eastAsia="pl-PL"/>
              </w:rPr>
              <w:br/>
              <w:t xml:space="preserve">5) brak przepisów sprzyjających rzetelnej sprawozdawczości z wykonania planów </w:t>
            </w:r>
            <w:r w:rsidRPr="005E78BB">
              <w:rPr>
                <w:rFonts w:ascii="Calibri" w:eastAsia="Times New Roman" w:hAnsi="Calibri" w:cs="Calibri"/>
                <w:color w:val="000000"/>
                <w:sz w:val="18"/>
                <w:szCs w:val="18"/>
                <w:lang w:eastAsia="pl-PL"/>
              </w:rPr>
              <w:br/>
              <w:t xml:space="preserve">gospodarowania wodami, </w:t>
            </w:r>
            <w:r w:rsidRPr="005E78BB">
              <w:rPr>
                <w:rFonts w:ascii="Calibri" w:eastAsia="Times New Roman" w:hAnsi="Calibri" w:cs="Calibri"/>
                <w:color w:val="000000"/>
                <w:sz w:val="18"/>
                <w:szCs w:val="18"/>
                <w:lang w:eastAsia="pl-PL"/>
              </w:rPr>
              <w:br/>
              <w:t xml:space="preserve">6) niestosowanie zasady „zanieczyszczający </w:t>
            </w:r>
            <w:r w:rsidRPr="005E78BB">
              <w:rPr>
                <w:rFonts w:ascii="Calibri" w:eastAsia="Times New Roman" w:hAnsi="Calibri" w:cs="Calibri"/>
                <w:color w:val="000000"/>
                <w:sz w:val="18"/>
                <w:szCs w:val="18"/>
                <w:lang w:eastAsia="pl-PL"/>
              </w:rPr>
              <w:lastRenderedPageBreak/>
              <w:t xml:space="preserve">płaci” wobec kopalni, które nie ponoszą </w:t>
            </w:r>
            <w:r w:rsidRPr="005E78BB">
              <w:rPr>
                <w:rFonts w:ascii="Calibri" w:eastAsia="Times New Roman" w:hAnsi="Calibri" w:cs="Calibri"/>
                <w:color w:val="000000"/>
                <w:sz w:val="18"/>
                <w:szCs w:val="18"/>
                <w:lang w:eastAsia="pl-PL"/>
              </w:rPr>
              <w:br/>
              <w:t xml:space="preserve">opłat za odwodnieniowy pobór wody oraz za odprowadzanie tych wód do rzek, a </w:t>
            </w:r>
            <w:r w:rsidRPr="005E78BB">
              <w:rPr>
                <w:rFonts w:ascii="Calibri" w:eastAsia="Times New Roman" w:hAnsi="Calibri" w:cs="Calibri"/>
                <w:color w:val="000000"/>
                <w:sz w:val="18"/>
                <w:szCs w:val="18"/>
                <w:lang w:eastAsia="pl-PL"/>
              </w:rPr>
              <w:br/>
              <w:t xml:space="preserve">także wobec wprowadzania do środowiska wód pochodzących z obiegów </w:t>
            </w:r>
            <w:r w:rsidRPr="005E78BB">
              <w:rPr>
                <w:rFonts w:ascii="Calibri" w:eastAsia="Times New Roman" w:hAnsi="Calibri" w:cs="Calibri"/>
                <w:color w:val="000000"/>
                <w:sz w:val="18"/>
                <w:szCs w:val="18"/>
                <w:lang w:eastAsia="pl-PL"/>
              </w:rPr>
              <w:br/>
              <w:t xml:space="preserve">chłodzących elektrowni lub elektrociepłowni, jeżeli ich temperatura nie przekracza </w:t>
            </w:r>
            <w:r w:rsidRPr="005E78BB">
              <w:rPr>
                <w:rFonts w:ascii="Calibri" w:eastAsia="Times New Roman" w:hAnsi="Calibri" w:cs="Calibri"/>
                <w:color w:val="000000"/>
                <w:sz w:val="18"/>
                <w:szCs w:val="18"/>
                <w:lang w:eastAsia="pl-PL"/>
              </w:rPr>
              <w:br/>
              <w:t xml:space="preserve">+26°C albo różnica między temperaturą wód pobranych i wprowadzanych do wód </w:t>
            </w:r>
            <w:r w:rsidRPr="005E78BB">
              <w:rPr>
                <w:rFonts w:ascii="Calibri" w:eastAsia="Times New Roman" w:hAnsi="Calibri" w:cs="Calibri"/>
                <w:color w:val="000000"/>
                <w:sz w:val="18"/>
                <w:szCs w:val="18"/>
                <w:lang w:eastAsia="pl-PL"/>
              </w:rPr>
              <w:br/>
              <w:t xml:space="preserve">lub do ziemi pochodzących z obiegów chłodzących elektrowni lub elektrociepłowni jest mniejsza niż 11°C; </w:t>
            </w:r>
            <w:r w:rsidRPr="005E78BB">
              <w:rPr>
                <w:rFonts w:ascii="Calibri" w:eastAsia="Times New Roman" w:hAnsi="Calibri" w:cs="Calibri"/>
                <w:color w:val="000000"/>
                <w:sz w:val="18"/>
                <w:szCs w:val="18"/>
                <w:lang w:eastAsia="pl-PL"/>
              </w:rPr>
              <w:br/>
              <w:t xml:space="preserve">7) brak wykonywania rzetelnych przeglądów pozwoleń wodnoprawnych, </w:t>
            </w:r>
            <w:r w:rsidRPr="005E78BB">
              <w:rPr>
                <w:rFonts w:ascii="Calibri" w:eastAsia="Times New Roman" w:hAnsi="Calibri" w:cs="Calibri"/>
                <w:color w:val="000000"/>
                <w:sz w:val="18"/>
                <w:szCs w:val="18"/>
                <w:lang w:eastAsia="pl-PL"/>
              </w:rPr>
              <w:br/>
              <w:t xml:space="preserve">8) brak udziału PGW WP przy wydawaniu pozwoleń zintegrowanych obejmujących </w:t>
            </w:r>
            <w:r w:rsidRPr="005E78BB">
              <w:rPr>
                <w:rFonts w:ascii="Calibri" w:eastAsia="Times New Roman" w:hAnsi="Calibri" w:cs="Calibri"/>
                <w:color w:val="000000"/>
                <w:sz w:val="18"/>
                <w:szCs w:val="18"/>
                <w:lang w:eastAsia="pl-PL"/>
              </w:rPr>
              <w:br/>
              <w:t xml:space="preserve">wprowadzanie ścieków do środowiska, </w:t>
            </w:r>
            <w:r w:rsidRPr="005E78BB">
              <w:rPr>
                <w:rFonts w:ascii="Calibri" w:eastAsia="Times New Roman" w:hAnsi="Calibri" w:cs="Calibri"/>
                <w:color w:val="000000"/>
                <w:sz w:val="18"/>
                <w:szCs w:val="18"/>
                <w:lang w:eastAsia="pl-PL"/>
              </w:rPr>
              <w:br/>
              <w:t xml:space="preserve">9) brak kompleksowych danych o presjach, </w:t>
            </w:r>
            <w:r w:rsidRPr="005E78BB">
              <w:rPr>
                <w:rFonts w:ascii="Calibri" w:eastAsia="Times New Roman" w:hAnsi="Calibri" w:cs="Calibri"/>
                <w:color w:val="000000"/>
                <w:sz w:val="18"/>
                <w:szCs w:val="18"/>
                <w:lang w:eastAsia="pl-PL"/>
              </w:rPr>
              <w:br/>
              <w:t xml:space="preserve">10) brak metodyk określających sposób wykonywania analiz wpływu na stan wód; </w:t>
            </w:r>
            <w:r w:rsidRPr="005E78BB">
              <w:rPr>
                <w:rFonts w:ascii="Calibri" w:eastAsia="Times New Roman" w:hAnsi="Calibri" w:cs="Calibri"/>
                <w:color w:val="000000"/>
                <w:sz w:val="18"/>
                <w:szCs w:val="18"/>
                <w:lang w:eastAsia="pl-PL"/>
              </w:rPr>
              <w:br/>
              <w:t xml:space="preserve">11) brak przepisów sprzyjających renaturyzacji wód oraz przeciwdziałania skutkom </w:t>
            </w:r>
            <w:r w:rsidRPr="005E78BB">
              <w:rPr>
                <w:rFonts w:ascii="Calibri" w:eastAsia="Times New Roman" w:hAnsi="Calibri" w:cs="Calibri"/>
                <w:color w:val="000000"/>
                <w:sz w:val="18"/>
                <w:szCs w:val="18"/>
                <w:lang w:eastAsia="pl-PL"/>
              </w:rPr>
              <w:br/>
              <w:t xml:space="preserve">suszy i niedoborom wody.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projektach IIaPGW ww. problematyka nie znajduje żadnego odzwierciedlenia. Wobec </w:t>
            </w:r>
            <w:r w:rsidRPr="005E78BB">
              <w:rPr>
                <w:rFonts w:ascii="Calibri" w:eastAsia="Times New Roman" w:hAnsi="Calibri" w:cs="Calibri"/>
                <w:color w:val="000000"/>
                <w:sz w:val="18"/>
                <w:szCs w:val="18"/>
                <w:lang w:eastAsia="pl-PL"/>
              </w:rPr>
              <w:br/>
              <w:t xml:space="preserve">powyższego konieczne jest opracowanie rozwiązania adekwatnego do ww. problemów. </w:t>
            </w:r>
            <w:r w:rsidRPr="005E78BB">
              <w:rPr>
                <w:rFonts w:ascii="Calibri" w:eastAsia="Times New Roman" w:hAnsi="Calibri" w:cs="Calibri"/>
                <w:color w:val="000000"/>
                <w:sz w:val="18"/>
                <w:szCs w:val="18"/>
                <w:lang w:eastAsia="pl-PL"/>
              </w:rPr>
              <w:br/>
              <w:t xml:space="preserve">W przeciwnym razie IIaPGW pozostanie kolejnym „martwym” dokumentem planistycznym i zostanie utracona szansa na wprowadzenie efektywnych rozwiązań postulowanych od wielu lat w kręgach eksperckich i w pracach zamawianych przez KZGW i PGW WP.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w:t>
            </w:r>
          </w:p>
        </w:tc>
        <w:tc>
          <w:tcPr>
            <w:tcW w:w="1918" w:type="dxa"/>
            <w:shd w:val="clear" w:color="auto" w:fill="auto"/>
            <w:hideMark/>
          </w:tcPr>
          <w:p w14:paraId="5618E4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1414B5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79D95F" w14:textId="4AD233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w zestawy dla każdej jcw, działania których </w:t>
            </w:r>
            <w:r w:rsidRPr="005E78BB">
              <w:rPr>
                <w:rFonts w:ascii="Calibri" w:eastAsia="Times New Roman" w:hAnsi="Calibri" w:cs="Calibri"/>
                <w:color w:val="000000"/>
                <w:sz w:val="18"/>
                <w:szCs w:val="18"/>
                <w:lang w:eastAsia="pl-PL"/>
              </w:rPr>
              <w:lastRenderedPageBreak/>
              <w:t>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 Poniżej przedstawiono odniesienie do poszczególnych zagadnień wskazanych w uwadze:</w:t>
            </w:r>
            <w:r w:rsidRPr="005E78BB">
              <w:rPr>
                <w:rFonts w:ascii="Calibri" w:eastAsia="Times New Roman" w:hAnsi="Calibri" w:cs="Calibri"/>
                <w:color w:val="000000"/>
                <w:sz w:val="18"/>
                <w:szCs w:val="18"/>
                <w:lang w:eastAsia="pl-PL"/>
              </w:rPr>
              <w:br/>
              <w:t>Ad 1) Zasada zwrotu kosztów usług wodnych stanowi element IIaPGW zaprezentowany m.in. w rozdziale 13.1. Informacje o planowanych i podjętych działaniach w zakresie zwrotu kosztów usług wodnych. Poza podsumowaniem podjętych dotychczas działań w tym zakresie, wskazane zostały również działania zaplanowane na okres 2022-2027: 1) Ustalanie taryf za zbiorowe zaopatrzenie w wodę i zbiorowe odprowadzanie ścieków z uwzględnieniem: kosztów związanych ze świadczeniem usług, zmian warunków ekonomicznych oraz wielkości usług i warunków ich świadczenia, kosztów wynikających z planowanych wydatków inwestycyjnych, 2) Uwzględnienie zasady zwrotu kosztów w stosunku do administrowanych rzek i obiektów.</w:t>
            </w:r>
            <w:r w:rsidRPr="005E78BB">
              <w:rPr>
                <w:rFonts w:ascii="Calibri" w:eastAsia="Times New Roman" w:hAnsi="Calibri" w:cs="Calibri"/>
                <w:color w:val="000000"/>
                <w:sz w:val="18"/>
                <w:szCs w:val="18"/>
                <w:lang w:eastAsia="pl-PL"/>
              </w:rPr>
              <w:br/>
              <w:t xml:space="preserve">Ad 2) Na pobór wód podziemnych w ramach szczególnego korzystania z wód wymagane jest uzyskanie pozwolenia wodnoprawnego. Mając na celu ochronę ilościową wód podziemnych w IIaPGW, poza działaniami krajowymi obowiązującymi na obszarze całego kraju (takimi jak: obowiązek uzyskania oceny wodnoprawnej dla inwestycji i działań mogących wpłynąć na możliwość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o stanie słabym ilościowym oraz zagrożonych ilościowo wprowadzono działanie pn.: "dodatkowy przegląd udzielonych pozwoleń wodnoprawnych związanych z poborem wód podziemnych". Wyniki dodatkowego przeglądu wodnoprawnego poparte wynikami monitoringu wód mogą być zgodnie z art. 415 ustawy Prawo wodne podstawą do cofnięcia lub ograniczenia pozwolenia wodnoprawnego. Ponadto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zagrożonych ilościowo w IIaPGW zaproponowano działania ukierunkowane na ograniczenie zużycia wody w przemyśle, zaś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 obrębie których </w:t>
            </w:r>
            <w:r w:rsidRPr="005E78BB">
              <w:rPr>
                <w:rFonts w:ascii="Calibri" w:eastAsia="Times New Roman" w:hAnsi="Calibri" w:cs="Calibri"/>
                <w:color w:val="000000"/>
                <w:sz w:val="18"/>
                <w:szCs w:val="18"/>
                <w:lang w:eastAsia="pl-PL"/>
              </w:rPr>
              <w:lastRenderedPageBreak/>
              <w:t>występuje eksploatacja kopalin zaplanowano bądź opracowanie dokumentacji hydrogeologicznej określającej warunki hydrogeologiczne w związku z zakończeniem odwadniania likwidowanych zakładów górniczych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nr 62) , bądź wykonanie opracowania "Analiza wpływu zagospodarowania wód z odwadniania zakładów górniczych na stan wód powierzchniowych i podziemnych"(</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nr 62), bądź opracowanie programu monitorowania stanu wód podziemnych w rejonie prowadzonej działalności górniczej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nr 105).</w:t>
            </w:r>
            <w:r w:rsidRPr="005E78BB">
              <w:rPr>
                <w:rFonts w:ascii="Calibri" w:eastAsia="Times New Roman" w:hAnsi="Calibri" w:cs="Calibri"/>
                <w:color w:val="000000"/>
                <w:sz w:val="18"/>
                <w:szCs w:val="18"/>
                <w:lang w:eastAsia="pl-PL"/>
              </w:rPr>
              <w:br/>
              <w:t xml:space="preserve">Ad 3) Realizacja przedsięwzięć wskazanych w aPZRP wymaga przygotowania indywidualnych dokumentacji środowiskowych i uzyskania wymaganych zgód i pozwoleń dla każdej inwestycji potencjalnie negatywnie oddziaływujących na środowisko, wymagane jest przeprowadzenie ocen oddziaływania na środowisko i wykonanie inwentaryzacji środowiskowych i ocen wpływu na cele RDW i cele obszarów chronionych; wskazane inwestycje to zbiór możliwych do realizacji przedsięwzięć nakierowanych na ograniczenie ryzyka przeciwpowodziowego zidentyfikowanego w danym obszarze, ale ich realizacja nie jest obligatoryjna, wiąże się z przeprowadzeniem procedur wymaganych prawnie, co więcej na etapie dokumentacji technicznych analizowane powinny być wszystkie rozwiązania alternatywne, wprowadzane minimalizacje oraz kompensacje, wymagane są pozytywne decyzje wydawane przez RDOŚ. Realizacja działań z aPZRP wymagać będzie w procesie przygotowania inwestycji analizy zgodności z działaniami wskazanymi w IIaPGW, czyli analizy zestawu działań proponowanego dla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IIaPGW.</w:t>
            </w:r>
            <w:r w:rsidRPr="005E78BB">
              <w:rPr>
                <w:rFonts w:ascii="Calibri" w:eastAsia="Times New Roman" w:hAnsi="Calibri" w:cs="Calibri"/>
                <w:color w:val="000000"/>
                <w:sz w:val="18"/>
                <w:szCs w:val="18"/>
                <w:lang w:eastAsia="pl-PL"/>
              </w:rPr>
              <w:br/>
              <w:t xml:space="preserve">Ad 4) Do Katalogu działań krajowych wprowadzono działanie: Ustalenie przepływów środowiskowych wymaganych do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Ad 5) 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w:t>
            </w:r>
            <w:r w:rsidRPr="005E78BB">
              <w:rPr>
                <w:rFonts w:ascii="Calibri" w:eastAsia="Times New Roman" w:hAnsi="Calibri" w:cs="Calibri"/>
                <w:color w:val="000000"/>
                <w:sz w:val="18"/>
                <w:szCs w:val="18"/>
                <w:lang w:eastAsia="pl-PL"/>
              </w:rPr>
              <w:lastRenderedPageBreak/>
              <w:t>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r w:rsidRPr="005E78BB">
              <w:rPr>
                <w:rFonts w:ascii="Calibri" w:eastAsia="Times New Roman" w:hAnsi="Calibri" w:cs="Calibri"/>
                <w:color w:val="000000"/>
                <w:sz w:val="18"/>
                <w:szCs w:val="18"/>
                <w:lang w:eastAsia="pl-PL"/>
              </w:rPr>
              <w:br/>
              <w:t>Ad 6) W IIaPGW nie przewidziano działań związanych z ustanowieniem obszaru ochronnego dla wszystkich GZWP. Lista priorytetowych GZWP, dla których przewidziano ustanowienie obszarów ochronnych w latach 2022-2027 została opracowana w oparciu o wskazania ze strony poszczególnych RZGW (ustalono listę 21 zbiorników).</w:t>
            </w:r>
            <w:r w:rsidRPr="005E78BB">
              <w:rPr>
                <w:rFonts w:ascii="Calibri" w:eastAsia="Times New Roman" w:hAnsi="Calibri" w:cs="Calibri"/>
                <w:color w:val="000000"/>
                <w:sz w:val="18"/>
                <w:szCs w:val="18"/>
                <w:lang w:eastAsia="pl-PL"/>
              </w:rPr>
              <w:br/>
              <w:t xml:space="preserve">Ad 7) W dowiązaniu do rozdz. 6. ustawy Prawo wodne strefa ochrona obejmująca teren ochrony bezpośredniej ujęcia ustanawiana jest z urzędu przez właściwy organ Wód Polskich. Dla nowych ujęć teren ochrony bezpośredniej jest ustanawiany w momencie uzyskiwania decyzji wodnoprawnej, zaś dla ujęć istniejących termin ten został określony w art. 551 ustawy Prawo wodne (6 miesięcy z od dnia wejścia w żucie ustawy). W IIaPGW znajdują się działania – [1] wykonanie dokumentacji hydrogeologicznej; [2] weryfikacja zasobów eksploatacyjnych ujęć wód podziemnych ustalonych na podstawie dokumentacji hydrogeologicznych wykonanych przed 2004 r. oraz [3] weryfikacja zasobów dyspozycyjnych wód podziemnych. W naszym rozumieniu są one adekwatne i wystarczające do realizacji celów środowiskowych dla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w:t>
            </w:r>
            <w:r w:rsidRPr="005E78BB">
              <w:rPr>
                <w:rFonts w:ascii="Calibri" w:eastAsia="Times New Roman" w:hAnsi="Calibri" w:cs="Calibri"/>
                <w:color w:val="000000"/>
                <w:sz w:val="18"/>
                <w:szCs w:val="18"/>
                <w:lang w:eastAsia="pl-PL"/>
              </w:rPr>
              <w:br/>
              <w:t xml:space="preserve">Ad 8) Warunki korzystania z wód stanowiły jeden z dokumentów źródłowych analizowany w ramach IIaPGW na potrzeby wypracowania zestawu działań. IIaPGW nie przejmuje wszystkich zapisów warunków korzystania z wód. IIaPGW przygotowane zostało na podstawie możliwie najaktualniejszych danych, w tym również dotyczących ocen stanu, które przeniesione zostały nie tylko na nowy układ planistyczny, ale również poddane przeliczeniom na potrzeby wskazania szacowanego stanu wód przy uwzględnieniu klasyfikacji obowiązującej od roku 2022. Tym samym dane IIaPGW nie ulegają dezaktualizacji po 2022 roku. W odniesieniu do zagadnienia przepływów hydrobiologicznych: zestawy działań uwzględniają działanie ustalenia przepływów </w:t>
            </w:r>
            <w:r w:rsidRPr="005E78BB">
              <w:rPr>
                <w:rFonts w:ascii="Calibri" w:eastAsia="Times New Roman" w:hAnsi="Calibri" w:cs="Calibri"/>
                <w:color w:val="000000"/>
                <w:sz w:val="18"/>
                <w:szCs w:val="18"/>
                <w:lang w:eastAsia="pl-PL"/>
              </w:rPr>
              <w:lastRenderedPageBreak/>
              <w:t>środowiskowych.</w:t>
            </w:r>
            <w:r w:rsidRPr="005E78BB">
              <w:rPr>
                <w:rFonts w:ascii="Calibri" w:eastAsia="Times New Roman" w:hAnsi="Calibri" w:cs="Calibri"/>
                <w:color w:val="000000"/>
                <w:sz w:val="18"/>
                <w:szCs w:val="18"/>
                <w:lang w:eastAsia="pl-PL"/>
              </w:rPr>
              <w:br/>
              <w:t xml:space="preserve">Ad 9) Zgodnie ze wskazaniem na wstępie odpowiedzi 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 xml:space="preserve">Ad 10a) Ewidencja ujęć wód podziemnych (zgodnej z zapisami obowiązującego prawa) jest prowadzona przez PSH pod nazwą Baza POBORY. Zawartość bazy jest jednak ograniczona do podmiotów/osób fizycznych raportujących pobór do PGW WP. Ilość zasobów dyspozycyjnych jest ustalana w trybie dokumentacji hydrogeologicznych opracowywanych dla jednostek bilansowych. </w:t>
            </w:r>
            <w:r w:rsidRPr="005E78BB">
              <w:rPr>
                <w:rFonts w:ascii="Calibri" w:eastAsia="Times New Roman" w:hAnsi="Calibri" w:cs="Calibri"/>
                <w:color w:val="000000"/>
                <w:sz w:val="18"/>
                <w:szCs w:val="18"/>
                <w:lang w:eastAsia="pl-PL"/>
              </w:rPr>
              <w:lastRenderedPageBreak/>
              <w:t>Informacje z zatwierdzonych dokumentacji hydrogeologicznych, przy uwzględnieniu informacji z bazy POBORY (aktualny pobór z ujęć) stanowi podstawę do udzielania pozwoleń wodnoprawnych.</w:t>
            </w:r>
            <w:r w:rsidRPr="005E78BB">
              <w:rPr>
                <w:rFonts w:ascii="Calibri" w:eastAsia="Times New Roman" w:hAnsi="Calibri" w:cs="Calibri"/>
                <w:color w:val="000000"/>
                <w:sz w:val="18"/>
                <w:szCs w:val="18"/>
                <w:lang w:eastAsia="pl-PL"/>
              </w:rPr>
              <w:br/>
              <w:t>Ad 10b) Wyniki prac PSH są przekazywane w ramach ustalonych umów do PGW WP oraz właściwego ministra nadzorującego. Efekty bieżących prac m.in. komunikaty, prognozy i biuletyny są publikowane na bieżąco i dostępne na stronach internetowych PSH,</w:t>
            </w:r>
            <w:r w:rsidRPr="005E78BB">
              <w:rPr>
                <w:rFonts w:ascii="Calibri" w:eastAsia="Times New Roman" w:hAnsi="Calibri" w:cs="Calibri"/>
                <w:color w:val="000000"/>
                <w:sz w:val="18"/>
                <w:szCs w:val="18"/>
                <w:lang w:eastAsia="pl-PL"/>
              </w:rPr>
              <w:br/>
              <w:t xml:space="preserve">Ad 10c) Informacje o ładunkach zanieczyszczeń zostały opracowane w ramach opracowania Analiza znaczących oddziaływań antropogenicznych wraz z oceną ich wpływu na stan wód oraz ryzykiem nieosiągnięcia celów środowiskowych. W dokumencie tym, opracowanym na potrzeby IIaPGW, zostały ujęte dane o substancjach uwalnianych do wód wraz z bilansowaniem ładunków substancji istotnych dla stanu wód parametrów fizykochemicznych i chemicznych. Wyniki analiz umożliwiły wskazanie presji od substancji pochodzących ze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dostarczanych ze zlewni z nią powiązanej.</w:t>
            </w:r>
            <w:r w:rsidRPr="005E78BB">
              <w:rPr>
                <w:rFonts w:ascii="Calibri" w:eastAsia="Times New Roman" w:hAnsi="Calibri" w:cs="Calibri"/>
                <w:color w:val="000000"/>
                <w:sz w:val="18"/>
                <w:szCs w:val="18"/>
                <w:lang w:eastAsia="pl-PL"/>
              </w:rPr>
              <w:br/>
              <w:t>Ad 10d)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 xml:space="preserve">Ad 10e)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w:t>
            </w:r>
            <w:r w:rsidRPr="005E78BB">
              <w:rPr>
                <w:rFonts w:ascii="Calibri" w:eastAsia="Times New Roman" w:hAnsi="Calibri" w:cs="Calibri"/>
                <w:color w:val="000000"/>
                <w:sz w:val="18"/>
                <w:szCs w:val="18"/>
                <w:lang w:eastAsia="pl-PL"/>
              </w:rPr>
              <w:lastRenderedPageBreak/>
              <w:t>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Ad 10f) Rolą IIaPGW nie jest regulowanie zasady „zanieczyszczający płaci”. Problem ten dotyczy wszystkich obszarów środowiska i jest regulowany obowiązującymi przepisami.</w:t>
            </w:r>
            <w:r w:rsidRPr="005E78BB">
              <w:rPr>
                <w:rFonts w:ascii="Calibri" w:eastAsia="Times New Roman" w:hAnsi="Calibri" w:cs="Calibri"/>
                <w:color w:val="000000"/>
                <w:sz w:val="18"/>
                <w:szCs w:val="18"/>
                <w:lang w:eastAsia="pl-PL"/>
              </w:rPr>
              <w:br/>
              <w:t>Ad 10g) W ramach IIaPGW wykonano przegląd pozwoleń wodnoprawnych na podstawie materiału dostarczonego przez poszczególne Regionalne Zarządy Gospodarki Wodnej (RZGW)</w:t>
            </w:r>
            <w:r w:rsidRPr="005E78BB">
              <w:rPr>
                <w:rFonts w:ascii="Calibri" w:eastAsia="Times New Roman" w:hAnsi="Calibri" w:cs="Calibri"/>
                <w:color w:val="000000"/>
                <w:sz w:val="18"/>
                <w:szCs w:val="18"/>
                <w:lang w:eastAsia="pl-PL"/>
              </w:rPr>
              <w:br/>
              <w:t>Ad 10h)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Ad 10i) Informacje o presjach są zawarte w opracowaniu Analiza znaczących oddziaływań antropogenicznych wraz z oceną ich wpływu na stan wód oraz ryzykiem nieosiągnięcia celów środowiskowych.</w:t>
            </w:r>
            <w:r w:rsidRPr="005E78BB">
              <w:rPr>
                <w:rFonts w:ascii="Calibri" w:eastAsia="Times New Roman" w:hAnsi="Calibri" w:cs="Calibri"/>
                <w:color w:val="000000"/>
                <w:sz w:val="18"/>
                <w:szCs w:val="18"/>
                <w:lang w:eastAsia="pl-PL"/>
              </w:rPr>
              <w:br/>
              <w:t>Ad 10j) Przepisy określające zawartość planów gospodarowania wodami nie zawierają delegacji do formułowania w IIaPGW zaleceń dot. metodyk badania wpływu presji na stan wód. Natomiast zakres i sposób prowadzenia badań oraz oceny stanu wód określają rozporządzenia wykonawcze do ustawy - Prawo wodne oraz metodyki opracowywane (i publikowane) przez GIOŚ – mogą one być wykorzystane do badań wpływu na stan wód.</w:t>
            </w:r>
            <w:r w:rsidRPr="005E78BB">
              <w:rPr>
                <w:rFonts w:ascii="Calibri" w:eastAsia="Times New Roman" w:hAnsi="Calibri" w:cs="Calibri"/>
                <w:color w:val="000000"/>
                <w:sz w:val="18"/>
                <w:szCs w:val="18"/>
                <w:lang w:eastAsia="pl-PL"/>
              </w:rPr>
              <w:br/>
              <w:t xml:space="preserve">Ad 10k)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w:t>
            </w:r>
            <w:r w:rsidRPr="005E78BB">
              <w:rPr>
                <w:rFonts w:ascii="Calibri" w:eastAsia="Times New Roman" w:hAnsi="Calibri" w:cs="Calibri"/>
                <w:color w:val="000000"/>
                <w:sz w:val="18"/>
                <w:szCs w:val="18"/>
                <w:lang w:eastAsia="pl-PL"/>
              </w:rPr>
              <w:lastRenderedPageBreak/>
              <w:t>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 Ustalenie przepisów dotyczących przeciwdziałania skautom suszy nie jest w kompetencji IIaPGW. Katalog działań w tym zakresie został ujęty w Planie Przeciwdziałania Skutkom Suszy i wiele z proponowanych w nim rozwiązań znalazło odbicie w katalogu działań krajowych wykonanym na potrzeby IIaPGW.</w:t>
            </w:r>
          </w:p>
        </w:tc>
      </w:tr>
      <w:tr w:rsidR="0085319C" w:rsidRPr="005E78BB" w14:paraId="48487763" w14:textId="77777777" w:rsidTr="00E92AE6">
        <w:trPr>
          <w:trHeight w:val="454"/>
        </w:trPr>
        <w:tc>
          <w:tcPr>
            <w:tcW w:w="562" w:type="dxa"/>
            <w:shd w:val="clear" w:color="auto" w:fill="auto"/>
            <w:hideMark/>
          </w:tcPr>
          <w:p w14:paraId="3A401D8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56</w:t>
            </w:r>
          </w:p>
        </w:tc>
        <w:tc>
          <w:tcPr>
            <w:tcW w:w="1021" w:type="dxa"/>
          </w:tcPr>
          <w:p w14:paraId="1A601C76" w14:textId="6AF60C3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224733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208A67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w:t>
            </w:r>
            <w:r w:rsidRPr="005E78BB">
              <w:rPr>
                <w:rFonts w:ascii="Calibri" w:eastAsia="Times New Roman" w:hAnsi="Calibri" w:cs="Calibri"/>
                <w:color w:val="000000"/>
                <w:sz w:val="18"/>
                <w:szCs w:val="18"/>
                <w:lang w:eastAsia="pl-PL"/>
              </w:rPr>
              <w:br/>
              <w:t xml:space="preserve">Rozdział 12 </w:t>
            </w:r>
            <w:r w:rsidRPr="005E78BB">
              <w:rPr>
                <w:rFonts w:ascii="Calibri" w:eastAsia="Times New Roman" w:hAnsi="Calibri" w:cs="Calibri"/>
                <w:color w:val="000000"/>
                <w:sz w:val="18"/>
                <w:szCs w:val="18"/>
                <w:lang w:eastAsia="pl-PL"/>
              </w:rPr>
              <w:br/>
              <w:t xml:space="preserve">Treść uwagi: Wady ustaleń IIaPGW dot. odstępstw z art. 4.4 i 4.5 Ramowej Dyrektywy </w:t>
            </w:r>
            <w:r w:rsidRPr="005E78BB">
              <w:rPr>
                <w:rFonts w:ascii="Calibri" w:eastAsia="Times New Roman" w:hAnsi="Calibri" w:cs="Calibri"/>
                <w:color w:val="000000"/>
                <w:sz w:val="18"/>
                <w:szCs w:val="18"/>
                <w:lang w:eastAsia="pl-PL"/>
              </w:rPr>
              <w:br/>
              <w:t xml:space="preserve">Wodnej </w:t>
            </w:r>
          </w:p>
        </w:tc>
        <w:tc>
          <w:tcPr>
            <w:tcW w:w="3377" w:type="dxa"/>
            <w:shd w:val="clear" w:color="auto" w:fill="auto"/>
            <w:hideMark/>
          </w:tcPr>
          <w:p w14:paraId="78B0945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brak wykazania spełnienia wszystkich przesłanek warunkujących zastosowanie </w:t>
            </w:r>
            <w:r w:rsidRPr="005E78BB">
              <w:rPr>
                <w:rFonts w:ascii="Calibri" w:eastAsia="Times New Roman" w:hAnsi="Calibri" w:cs="Calibri"/>
                <w:color w:val="000000"/>
                <w:sz w:val="18"/>
                <w:szCs w:val="18"/>
                <w:lang w:eastAsia="pl-PL"/>
              </w:rPr>
              <w:br/>
              <w:t xml:space="preserve">odstępstw z art. 4.4 i 4.5. Ramowej Dyrektywy Wodnej konieczne jest przeprowadzenie </w:t>
            </w:r>
            <w:r w:rsidRPr="005E78BB">
              <w:rPr>
                <w:rFonts w:ascii="Calibri" w:eastAsia="Times New Roman" w:hAnsi="Calibri" w:cs="Calibri"/>
                <w:color w:val="000000"/>
                <w:sz w:val="18"/>
                <w:szCs w:val="18"/>
                <w:lang w:eastAsia="pl-PL"/>
              </w:rPr>
              <w:br/>
              <w:t xml:space="preserve">analizy zasadności przyznania odstępstw ponownie, ze szczególnym uwzględnieniem  wprowadzenia adekwatnych i ambitnych zestawów działań będących w pełni odzwierciedleniem zasady „zanieczyszczający płaci”.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9382327" w14:textId="059632D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1. Odstępstwa w trybie art. 4.4 i 4.5 RDW zostały uzasadnione w IIaPGW w następujący </w:t>
            </w:r>
            <w:r w:rsidRPr="005E78BB">
              <w:rPr>
                <w:rFonts w:ascii="Calibri" w:eastAsia="Times New Roman" w:hAnsi="Calibri" w:cs="Calibri"/>
                <w:color w:val="000000"/>
                <w:sz w:val="18"/>
                <w:szCs w:val="18"/>
                <w:lang w:eastAsia="pl-PL"/>
              </w:rPr>
              <w:br/>
              <w:t xml:space="preserve">sposób: </w:t>
            </w:r>
            <w:r w:rsidRPr="005E78BB">
              <w:rPr>
                <w:rFonts w:ascii="Calibri" w:eastAsia="Times New Roman" w:hAnsi="Calibri" w:cs="Calibri"/>
                <w:color w:val="000000"/>
                <w:sz w:val="18"/>
                <w:szCs w:val="18"/>
                <w:lang w:eastAsia="pl-PL"/>
              </w:rPr>
              <w:br/>
              <w:t xml:space="preserve">1) określono wskaźniki, których wartości nie odpowiadają stanowi dobremu (są klasie </w:t>
            </w:r>
            <w:r w:rsidRPr="005E78BB">
              <w:rPr>
                <w:rFonts w:ascii="Calibri" w:eastAsia="Times New Roman" w:hAnsi="Calibri" w:cs="Calibri"/>
                <w:color w:val="000000"/>
                <w:sz w:val="18"/>
                <w:szCs w:val="18"/>
                <w:lang w:eastAsia="pl-PL"/>
              </w:rPr>
              <w:br/>
              <w:t xml:space="preserve">gorszej niż II), </w:t>
            </w:r>
            <w:r w:rsidRPr="005E78BB">
              <w:rPr>
                <w:rFonts w:ascii="Calibri" w:eastAsia="Times New Roman" w:hAnsi="Calibri" w:cs="Calibri"/>
                <w:color w:val="000000"/>
                <w:sz w:val="18"/>
                <w:szCs w:val="18"/>
                <w:lang w:eastAsia="pl-PL"/>
              </w:rPr>
              <w:br/>
              <w:t xml:space="preserve">2) wskazano presje determinujące zły stan wód, </w:t>
            </w:r>
            <w:r w:rsidRPr="005E78BB">
              <w:rPr>
                <w:rFonts w:ascii="Calibri" w:eastAsia="Times New Roman" w:hAnsi="Calibri" w:cs="Calibri"/>
                <w:color w:val="000000"/>
                <w:sz w:val="18"/>
                <w:szCs w:val="18"/>
                <w:lang w:eastAsia="pl-PL"/>
              </w:rPr>
              <w:br/>
              <w:t xml:space="preserve">3) określono wskaźniki, których wartości nie osiągną stanu dobrego (odpowiadającego </w:t>
            </w:r>
            <w:r w:rsidRPr="005E78BB">
              <w:rPr>
                <w:rFonts w:ascii="Calibri" w:eastAsia="Times New Roman" w:hAnsi="Calibri" w:cs="Calibri"/>
                <w:color w:val="000000"/>
                <w:sz w:val="18"/>
                <w:szCs w:val="18"/>
                <w:lang w:eastAsia="pl-PL"/>
              </w:rPr>
              <w:br/>
              <w:t xml:space="preserve">klasie II) mimo wdrożenia zestawów działań, </w:t>
            </w:r>
            <w:r w:rsidRPr="005E78BB">
              <w:rPr>
                <w:rFonts w:ascii="Calibri" w:eastAsia="Times New Roman" w:hAnsi="Calibri" w:cs="Calibri"/>
                <w:color w:val="000000"/>
                <w:sz w:val="18"/>
                <w:szCs w:val="18"/>
                <w:lang w:eastAsia="pl-PL"/>
              </w:rPr>
              <w:br/>
              <w:t xml:space="preserve">4) wskazano warunki naturalne, które uniemożliwiają lub opóźniają osiągnięcie celów </w:t>
            </w:r>
            <w:r w:rsidRPr="005E78BB">
              <w:rPr>
                <w:rFonts w:ascii="Calibri" w:eastAsia="Times New Roman" w:hAnsi="Calibri" w:cs="Calibri"/>
                <w:color w:val="000000"/>
                <w:sz w:val="18"/>
                <w:szCs w:val="18"/>
                <w:lang w:eastAsia="pl-PL"/>
              </w:rPr>
              <w:br/>
              <w:t xml:space="preserve">środowiskowych, </w:t>
            </w:r>
            <w:r w:rsidRPr="005E78BB">
              <w:rPr>
                <w:rFonts w:ascii="Calibri" w:eastAsia="Times New Roman" w:hAnsi="Calibri" w:cs="Calibri"/>
                <w:color w:val="000000"/>
                <w:sz w:val="18"/>
                <w:szCs w:val="18"/>
                <w:lang w:eastAsia="pl-PL"/>
              </w:rPr>
              <w:br/>
              <w:t xml:space="preserve">5) wskazano ważne potrzeby społeczno - gospodarcze, które (według projektów IIaPGW) </w:t>
            </w:r>
            <w:r w:rsidRPr="005E78BB">
              <w:rPr>
                <w:rFonts w:ascii="Calibri" w:eastAsia="Times New Roman" w:hAnsi="Calibri" w:cs="Calibri"/>
                <w:color w:val="000000"/>
                <w:sz w:val="18"/>
                <w:szCs w:val="18"/>
                <w:lang w:eastAsia="pl-PL"/>
              </w:rPr>
              <w:br/>
              <w:t xml:space="preserve">nie mogą być zaspokojone w inny alternatywny sposób. </w:t>
            </w:r>
            <w:r w:rsidRPr="005E78BB">
              <w:rPr>
                <w:rFonts w:ascii="Calibri" w:eastAsia="Times New Roman" w:hAnsi="Calibri" w:cs="Calibri"/>
                <w:color w:val="000000"/>
                <w:sz w:val="18"/>
                <w:szCs w:val="18"/>
                <w:lang w:eastAsia="pl-PL"/>
              </w:rPr>
              <w:br/>
              <w:t xml:space="preserve">Nie można jednak odnaleźć w projektach IIaPGW dowodu na przeprowadzenie analizy </w:t>
            </w:r>
            <w:r w:rsidRPr="005E78BB">
              <w:rPr>
                <w:rFonts w:ascii="Calibri" w:eastAsia="Times New Roman" w:hAnsi="Calibri" w:cs="Calibri"/>
                <w:color w:val="000000"/>
                <w:sz w:val="18"/>
                <w:szCs w:val="18"/>
                <w:lang w:eastAsia="pl-PL"/>
              </w:rPr>
              <w:br/>
              <w:t xml:space="preserve">wariantowej zestawów działań. Zestawy działań zostały poddane analizie kosztowej </w:t>
            </w:r>
            <w:r w:rsidRPr="005E78BB">
              <w:rPr>
                <w:rFonts w:ascii="Calibri" w:eastAsia="Times New Roman" w:hAnsi="Calibri" w:cs="Calibri"/>
                <w:color w:val="000000"/>
                <w:sz w:val="18"/>
                <w:szCs w:val="18"/>
                <w:lang w:eastAsia="pl-PL"/>
              </w:rPr>
              <w:br/>
              <w:t xml:space="preserve">i prognozie skuteczności – jednak nie ma dowodów na to, że nie ma możliwości </w:t>
            </w:r>
            <w:r w:rsidRPr="005E78BB">
              <w:rPr>
                <w:rFonts w:ascii="Calibri" w:eastAsia="Times New Roman" w:hAnsi="Calibri" w:cs="Calibri"/>
                <w:color w:val="000000"/>
                <w:sz w:val="18"/>
                <w:szCs w:val="18"/>
                <w:lang w:eastAsia="pl-PL"/>
              </w:rPr>
              <w:br/>
              <w:t xml:space="preserve">przeprowadzenia bardziej rozbudowanych (bardziej ambitnych) zestawów działań, </w:t>
            </w:r>
            <w:r w:rsidRPr="005E78BB">
              <w:rPr>
                <w:rFonts w:ascii="Calibri" w:eastAsia="Times New Roman" w:hAnsi="Calibri" w:cs="Calibri"/>
                <w:color w:val="000000"/>
                <w:sz w:val="18"/>
                <w:szCs w:val="18"/>
                <w:lang w:eastAsia="pl-PL"/>
              </w:rPr>
              <w:br/>
              <w:t xml:space="preserve">które byłyby racjonalne ekonomicznie, wykonalne pod względem technicznym. Istnieje </w:t>
            </w:r>
            <w:r w:rsidRPr="005E78BB">
              <w:rPr>
                <w:rFonts w:ascii="Calibri" w:eastAsia="Times New Roman" w:hAnsi="Calibri" w:cs="Calibri"/>
                <w:color w:val="000000"/>
                <w:sz w:val="18"/>
                <w:szCs w:val="18"/>
                <w:lang w:eastAsia="pl-PL"/>
              </w:rPr>
              <w:br/>
              <w:t xml:space="preserve">prawdopodobieństwo, że takie ambitniejsze zestawy działań zapewniłyby większą </w:t>
            </w:r>
            <w:r w:rsidRPr="005E78BB">
              <w:rPr>
                <w:rFonts w:ascii="Calibri" w:eastAsia="Times New Roman" w:hAnsi="Calibri" w:cs="Calibri"/>
                <w:color w:val="000000"/>
                <w:sz w:val="18"/>
                <w:szCs w:val="18"/>
                <w:lang w:eastAsia="pl-PL"/>
              </w:rPr>
              <w:br/>
              <w:t xml:space="preserve">skuteczność IIaPGW pod względem możliwości osiągnięcia celów środowiskowych. Brak </w:t>
            </w:r>
            <w:r w:rsidRPr="005E78BB">
              <w:rPr>
                <w:rFonts w:ascii="Calibri" w:eastAsia="Times New Roman" w:hAnsi="Calibri" w:cs="Calibri"/>
                <w:color w:val="000000"/>
                <w:sz w:val="18"/>
                <w:szCs w:val="18"/>
                <w:lang w:eastAsia="pl-PL"/>
              </w:rPr>
              <w:br/>
              <w:t xml:space="preserve">dowodów na to, że zestawy działań są najlepszą możliwą opcją (przy zachowaniu </w:t>
            </w:r>
            <w:r w:rsidRPr="005E78BB">
              <w:rPr>
                <w:rFonts w:ascii="Calibri" w:eastAsia="Times New Roman" w:hAnsi="Calibri" w:cs="Calibri"/>
                <w:color w:val="000000"/>
                <w:sz w:val="18"/>
                <w:szCs w:val="18"/>
                <w:lang w:eastAsia="pl-PL"/>
              </w:rPr>
              <w:br/>
              <w:t xml:space="preserve">racjonalności ekonomicznej i wykonalności </w:t>
            </w:r>
            <w:r w:rsidRPr="005E78BB">
              <w:rPr>
                <w:rFonts w:ascii="Calibri" w:eastAsia="Times New Roman" w:hAnsi="Calibri" w:cs="Calibri"/>
                <w:color w:val="000000"/>
                <w:sz w:val="18"/>
                <w:szCs w:val="18"/>
                <w:lang w:eastAsia="pl-PL"/>
              </w:rPr>
              <w:lastRenderedPageBreak/>
              <w:t xml:space="preserve">technicznej) oznacza, że nie jest spełniona </w:t>
            </w:r>
            <w:r w:rsidRPr="005E78BB">
              <w:rPr>
                <w:rFonts w:ascii="Calibri" w:eastAsia="Times New Roman" w:hAnsi="Calibri" w:cs="Calibri"/>
                <w:color w:val="000000"/>
                <w:sz w:val="18"/>
                <w:szCs w:val="18"/>
                <w:lang w:eastAsia="pl-PL"/>
              </w:rPr>
              <w:br/>
              <w:t xml:space="preserve">przesłanka dopuszczająca zastosowanie odstępstw polegająca na osiągnięciu możliwie </w:t>
            </w:r>
            <w:r w:rsidRPr="005E78BB">
              <w:rPr>
                <w:rFonts w:ascii="Calibri" w:eastAsia="Times New Roman" w:hAnsi="Calibri" w:cs="Calibri"/>
                <w:color w:val="000000"/>
                <w:sz w:val="18"/>
                <w:szCs w:val="18"/>
                <w:lang w:eastAsia="pl-PL"/>
              </w:rPr>
              <w:br/>
              <w:t xml:space="preserve">najlepszego stanu wód – który jest jedną z kluczowych przesłanek warunkujących </w:t>
            </w:r>
            <w:r w:rsidRPr="005E78BB">
              <w:rPr>
                <w:rFonts w:ascii="Calibri" w:eastAsia="Times New Roman" w:hAnsi="Calibri" w:cs="Calibri"/>
                <w:color w:val="000000"/>
                <w:sz w:val="18"/>
                <w:szCs w:val="18"/>
                <w:lang w:eastAsia="pl-PL"/>
              </w:rPr>
              <w:br/>
              <w:t xml:space="preserve">możliwość zastosowania odstępstw od osiągnięcia celów środowiskowych - zob. art. 4 </w:t>
            </w:r>
            <w:r w:rsidRPr="005E78BB">
              <w:rPr>
                <w:rFonts w:ascii="Calibri" w:eastAsia="Times New Roman" w:hAnsi="Calibri" w:cs="Calibri"/>
                <w:color w:val="000000"/>
                <w:sz w:val="18"/>
                <w:szCs w:val="18"/>
                <w:lang w:eastAsia="pl-PL"/>
              </w:rPr>
              <w:br/>
              <w:t xml:space="preserve">ust. 4 lit. a („Państwa Członkowskie ustalają, że wszystkie niezbędne poprawy stanu </w:t>
            </w:r>
            <w:r w:rsidRPr="005E78BB">
              <w:rPr>
                <w:rFonts w:ascii="Calibri" w:eastAsia="Times New Roman" w:hAnsi="Calibri" w:cs="Calibri"/>
                <w:color w:val="000000"/>
                <w:sz w:val="18"/>
                <w:szCs w:val="18"/>
                <w:lang w:eastAsia="pl-PL"/>
              </w:rPr>
              <w:br/>
              <w:t xml:space="preserve">części wód…”) oraz lit. d („Podsumowanie środków wymaganych na mocy art. 11, które </w:t>
            </w:r>
            <w:r w:rsidRPr="005E78BB">
              <w:rPr>
                <w:rFonts w:ascii="Calibri" w:eastAsia="Times New Roman" w:hAnsi="Calibri" w:cs="Calibri"/>
                <w:color w:val="000000"/>
                <w:sz w:val="18"/>
                <w:szCs w:val="18"/>
                <w:lang w:eastAsia="pl-PL"/>
              </w:rPr>
              <w:br/>
              <w:t xml:space="preserve">są przewidywane jako konieczne do spowodowania, żeby część wód przywracana była </w:t>
            </w:r>
            <w:r w:rsidRPr="005E78BB">
              <w:rPr>
                <w:rFonts w:ascii="Calibri" w:eastAsia="Times New Roman" w:hAnsi="Calibri" w:cs="Calibri"/>
                <w:color w:val="000000"/>
                <w:sz w:val="18"/>
                <w:szCs w:val="18"/>
                <w:lang w:eastAsia="pl-PL"/>
              </w:rPr>
              <w:br/>
              <w:t xml:space="preserve">stopniowo do wymaganego stanu w przedłużonym terminie”), a także art. 4 ust. 5 lit. b </w:t>
            </w:r>
            <w:r w:rsidRPr="005E78BB">
              <w:rPr>
                <w:rFonts w:ascii="Calibri" w:eastAsia="Times New Roman" w:hAnsi="Calibri" w:cs="Calibri"/>
                <w:color w:val="000000"/>
                <w:sz w:val="18"/>
                <w:szCs w:val="18"/>
                <w:lang w:eastAsia="pl-PL"/>
              </w:rPr>
              <w:br/>
              <w:t xml:space="preserve">Ramowej Dyrektywy Wodnej.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2. Zestawy działań nie stosują zasady „zanieczyszczający płaci”. W sposób uderzający widać to na przykładzie działań ukierunkowanych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znajdujących się pod </w:t>
            </w:r>
            <w:r w:rsidRPr="005E78BB">
              <w:rPr>
                <w:rFonts w:ascii="Calibri" w:eastAsia="Times New Roman" w:hAnsi="Calibri" w:cs="Calibri"/>
                <w:color w:val="000000"/>
                <w:sz w:val="18"/>
                <w:szCs w:val="18"/>
                <w:lang w:eastAsia="pl-PL"/>
              </w:rPr>
              <w:br/>
              <w:t xml:space="preserve">wpływem presji odwodnieniowej z górnictwa. W zestawach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żadnych </w:t>
            </w:r>
            <w:r w:rsidRPr="005E78BB">
              <w:rPr>
                <w:rFonts w:ascii="Calibri" w:eastAsia="Times New Roman" w:hAnsi="Calibri" w:cs="Calibri"/>
                <w:color w:val="000000"/>
                <w:sz w:val="18"/>
                <w:szCs w:val="18"/>
                <w:lang w:eastAsia="pl-PL"/>
              </w:rPr>
              <w:br/>
              <w:t xml:space="preserve">działań nie przypisuje się podmiotom prowadzącym działalność wydobywczą lub też </w:t>
            </w:r>
            <w:r w:rsidRPr="005E78BB">
              <w:rPr>
                <w:rFonts w:ascii="Calibri" w:eastAsia="Times New Roman" w:hAnsi="Calibri" w:cs="Calibri"/>
                <w:color w:val="000000"/>
                <w:sz w:val="18"/>
                <w:szCs w:val="18"/>
                <w:lang w:eastAsia="pl-PL"/>
              </w:rPr>
              <w:br/>
              <w:t xml:space="preserve">działania te wiążą się z koniecznością poniesienia niewielkich koszty związane z </w:t>
            </w:r>
            <w:r w:rsidRPr="005E78BB">
              <w:rPr>
                <w:rFonts w:ascii="Calibri" w:eastAsia="Times New Roman" w:hAnsi="Calibri" w:cs="Calibri"/>
                <w:color w:val="000000"/>
                <w:sz w:val="18"/>
                <w:szCs w:val="18"/>
                <w:lang w:eastAsia="pl-PL"/>
              </w:rPr>
              <w:br/>
              <w:t xml:space="preserve">nieprecyzyjnymi i nieweryfikowalnymi działaniami. Powstaje retoryczne pytanie: czy tak </w:t>
            </w:r>
            <w:r w:rsidRPr="005E78BB">
              <w:rPr>
                <w:rFonts w:ascii="Calibri" w:eastAsia="Times New Roman" w:hAnsi="Calibri" w:cs="Calibri"/>
                <w:color w:val="000000"/>
                <w:sz w:val="18"/>
                <w:szCs w:val="18"/>
                <w:lang w:eastAsia="pl-PL"/>
              </w:rPr>
              <w:br/>
              <w:t xml:space="preserve">określony katalog działań mających być zrealizowanych przez ten podmiot jest </w:t>
            </w:r>
            <w:r w:rsidRPr="005E78BB">
              <w:rPr>
                <w:rFonts w:ascii="Calibri" w:eastAsia="Times New Roman" w:hAnsi="Calibri" w:cs="Calibri"/>
                <w:color w:val="000000"/>
                <w:sz w:val="18"/>
                <w:szCs w:val="18"/>
                <w:lang w:eastAsia="pl-PL"/>
              </w:rPr>
              <w:br/>
              <w:t>wystarczające dla osiągnięcia możliwie najlepszego stanu wód i czy jest odzwierciedleniem zasady "zanieczyszczający płaci"?</w:t>
            </w:r>
            <w:r w:rsidRPr="005E78BB">
              <w:rPr>
                <w:rFonts w:ascii="Calibri" w:eastAsia="Times New Roman" w:hAnsi="Calibri" w:cs="Calibri"/>
                <w:color w:val="000000"/>
                <w:sz w:val="18"/>
                <w:szCs w:val="18"/>
                <w:lang w:eastAsia="pl-PL"/>
              </w:rPr>
              <w:br/>
              <w:t xml:space="preserve">Zasada „zanieczyszczający płaci” jest jednym z fundamentów krajowych i unijnych zasad </w:t>
            </w:r>
            <w:r w:rsidRPr="005E78BB">
              <w:rPr>
                <w:rFonts w:ascii="Calibri" w:eastAsia="Times New Roman" w:hAnsi="Calibri" w:cs="Calibri"/>
                <w:color w:val="000000"/>
                <w:sz w:val="18"/>
                <w:szCs w:val="18"/>
                <w:lang w:eastAsia="pl-PL"/>
              </w:rPr>
              <w:br/>
              <w:t xml:space="preserve">ochrony środowiska, wynika z art. 191 ust. 2 Traktatu o funkcjonowaniu Unii Europejskiej </w:t>
            </w:r>
            <w:r w:rsidRPr="005E78BB">
              <w:rPr>
                <w:rFonts w:ascii="Calibri" w:eastAsia="Times New Roman" w:hAnsi="Calibri" w:cs="Calibri"/>
                <w:color w:val="000000"/>
                <w:sz w:val="18"/>
                <w:szCs w:val="18"/>
                <w:lang w:eastAsia="pl-PL"/>
              </w:rPr>
              <w:br/>
              <w:t xml:space="preserve">oraz art. 7 ustawy z dnia 27 kwietnia 2001 r. - Prawo ochrony środowiska. Jest ona </w:t>
            </w:r>
            <w:r w:rsidRPr="005E78BB">
              <w:rPr>
                <w:rFonts w:ascii="Calibri" w:eastAsia="Times New Roman" w:hAnsi="Calibri" w:cs="Calibri"/>
                <w:color w:val="000000"/>
                <w:sz w:val="18"/>
                <w:szCs w:val="18"/>
                <w:lang w:eastAsia="pl-PL"/>
              </w:rPr>
              <w:br/>
              <w:t xml:space="preserve">odzwierciedlona również w art. 9 Ramowej Dyrektywy Wodnej. </w:t>
            </w:r>
            <w:r w:rsidRPr="005E78BB">
              <w:rPr>
                <w:rFonts w:ascii="Calibri" w:eastAsia="Times New Roman" w:hAnsi="Calibri" w:cs="Calibri"/>
                <w:color w:val="000000"/>
                <w:sz w:val="18"/>
                <w:szCs w:val="18"/>
                <w:lang w:eastAsia="pl-PL"/>
              </w:rPr>
              <w:br/>
              <w:t xml:space="preserve">Europejski Trybunał Obrachunkowy w Sprawozdaniu Specjalnym nr 12/2021 pn. </w:t>
            </w:r>
            <w:r w:rsidRPr="005E78BB">
              <w:rPr>
                <w:rFonts w:ascii="Calibri" w:eastAsia="Times New Roman" w:hAnsi="Calibri" w:cs="Calibri"/>
                <w:color w:val="000000"/>
                <w:sz w:val="18"/>
                <w:szCs w:val="18"/>
                <w:lang w:eastAsia="pl-PL"/>
              </w:rPr>
              <w:br/>
              <w:t xml:space="preserve">„»Zanieczyszczający płaci«” – niespójne stosowanie zasady w polityce i działaniach UE w </w:t>
            </w:r>
            <w:r w:rsidRPr="005E78BB">
              <w:rPr>
                <w:rFonts w:ascii="Calibri" w:eastAsia="Times New Roman" w:hAnsi="Calibri" w:cs="Calibri"/>
                <w:color w:val="000000"/>
                <w:sz w:val="18"/>
                <w:szCs w:val="18"/>
                <w:lang w:eastAsia="pl-PL"/>
              </w:rPr>
              <w:br/>
              <w:t xml:space="preserve">dziedzinie środowiska” zwrócił uwagę na to, </w:t>
            </w:r>
            <w:r w:rsidRPr="005E78BB">
              <w:rPr>
                <w:rFonts w:ascii="Calibri" w:eastAsia="Times New Roman" w:hAnsi="Calibri" w:cs="Calibri"/>
                <w:color w:val="000000"/>
                <w:sz w:val="18"/>
                <w:szCs w:val="18"/>
                <w:lang w:eastAsia="pl-PL"/>
              </w:rPr>
              <w:lastRenderedPageBreak/>
              <w:t xml:space="preserve">że w wielu krajach członkowskich Unii </w:t>
            </w:r>
            <w:r w:rsidRPr="005E78BB">
              <w:rPr>
                <w:rFonts w:ascii="Calibri" w:eastAsia="Times New Roman" w:hAnsi="Calibri" w:cs="Calibri"/>
                <w:color w:val="000000"/>
                <w:sz w:val="18"/>
                <w:szCs w:val="18"/>
                <w:lang w:eastAsia="pl-PL"/>
              </w:rPr>
              <w:br/>
              <w:t xml:space="preserve">Europejskiej, w tym w Polsce, w przypadku niektórych gałęzi przemysłu odprowadzane </w:t>
            </w:r>
            <w:r w:rsidRPr="005E78BB">
              <w:rPr>
                <w:rFonts w:ascii="Calibri" w:eastAsia="Times New Roman" w:hAnsi="Calibri" w:cs="Calibri"/>
                <w:color w:val="000000"/>
                <w:sz w:val="18"/>
                <w:szCs w:val="18"/>
                <w:lang w:eastAsia="pl-PL"/>
              </w:rPr>
              <w:br/>
              <w:t xml:space="preserve">przez nie opłaty za wodę nie pokrywają kosztów wiążących się z zanieczyszczeniami </w:t>
            </w:r>
            <w:r w:rsidRPr="005E78BB">
              <w:rPr>
                <w:rFonts w:ascii="Calibri" w:eastAsia="Times New Roman" w:hAnsi="Calibri" w:cs="Calibri"/>
                <w:color w:val="000000"/>
                <w:sz w:val="18"/>
                <w:szCs w:val="18"/>
                <w:lang w:eastAsia="pl-PL"/>
              </w:rPr>
              <w:br/>
              <w:t xml:space="preserve">odprowadzanymi do wód. </w:t>
            </w:r>
            <w:r w:rsidRPr="005E78BB">
              <w:rPr>
                <w:rFonts w:ascii="Calibri" w:eastAsia="Times New Roman" w:hAnsi="Calibri" w:cs="Calibri"/>
                <w:color w:val="000000"/>
                <w:sz w:val="18"/>
                <w:szCs w:val="18"/>
                <w:lang w:eastAsia="pl-PL"/>
              </w:rPr>
              <w:br/>
              <w:t xml:space="preserve">Przypomnieć również należy, że w pracy wykonanej w 2019 r. na zlecenie Krajowego </w:t>
            </w:r>
            <w:r w:rsidRPr="005E78BB">
              <w:rPr>
                <w:rFonts w:ascii="Calibri" w:eastAsia="Times New Roman" w:hAnsi="Calibri" w:cs="Calibri"/>
                <w:color w:val="000000"/>
                <w:sz w:val="18"/>
                <w:szCs w:val="18"/>
                <w:lang w:eastAsia="pl-PL"/>
              </w:rPr>
              <w:br/>
              <w:t xml:space="preserve">Zarządu Gospodarki Wodnej pn. „Analiza zwrotu kosztów za usługi wodne wraz z </w:t>
            </w:r>
            <w:r w:rsidRPr="005E78BB">
              <w:rPr>
                <w:rFonts w:ascii="Calibri" w:eastAsia="Times New Roman" w:hAnsi="Calibri" w:cs="Calibri"/>
                <w:color w:val="000000"/>
                <w:sz w:val="18"/>
                <w:szCs w:val="18"/>
                <w:lang w:eastAsia="pl-PL"/>
              </w:rPr>
              <w:br/>
              <w:t xml:space="preserve">prognozą rozwoju oraz analiza zwrotu kosztów środowiskowych i zasobowych w </w:t>
            </w:r>
            <w:r w:rsidRPr="005E78BB">
              <w:rPr>
                <w:rFonts w:ascii="Calibri" w:eastAsia="Times New Roman" w:hAnsi="Calibri" w:cs="Calibri"/>
                <w:color w:val="000000"/>
                <w:sz w:val="18"/>
                <w:szCs w:val="18"/>
                <w:lang w:eastAsia="pl-PL"/>
              </w:rPr>
              <w:br/>
              <w:t xml:space="preserve">regionach wodnych i na obszarach dorzeczy” zapisano, że w Polsce nie ma „bodźcowego </w:t>
            </w:r>
            <w:r w:rsidRPr="005E78BB">
              <w:rPr>
                <w:rFonts w:ascii="Calibri" w:eastAsia="Times New Roman" w:hAnsi="Calibri" w:cs="Calibri"/>
                <w:color w:val="000000"/>
                <w:sz w:val="18"/>
                <w:szCs w:val="18"/>
                <w:lang w:eastAsia="pl-PL"/>
              </w:rPr>
              <w:br/>
              <w:t xml:space="preserve">mechanizmu opłat za pobór czy zrzut ładunków zanieczyszczeń”, a system opłat za </w:t>
            </w:r>
            <w:r w:rsidRPr="005E78BB">
              <w:rPr>
                <w:rFonts w:ascii="Calibri" w:eastAsia="Times New Roman" w:hAnsi="Calibri" w:cs="Calibri"/>
                <w:color w:val="000000"/>
                <w:sz w:val="18"/>
                <w:szCs w:val="18"/>
                <w:lang w:eastAsia="pl-PL"/>
              </w:rPr>
              <w:br/>
              <w:t xml:space="preserve">korzystanie z usług wodnych nie miał i nie ma „charakteru opłacalnej alternatywy wobec </w:t>
            </w:r>
            <w:r w:rsidRPr="005E78BB">
              <w:rPr>
                <w:rFonts w:ascii="Calibri" w:eastAsia="Times New Roman" w:hAnsi="Calibri" w:cs="Calibri"/>
                <w:color w:val="000000"/>
                <w:sz w:val="18"/>
                <w:szCs w:val="18"/>
                <w:lang w:eastAsia="pl-PL"/>
              </w:rPr>
              <w:br/>
              <w:t xml:space="preserve">oszczędzania wody czy też oczyszczania ścieków”. Tu trzeba przypomnieć, że art. 268 ust. 2 ustawy z dnia 20 lipca 2017 r. - Prawo wodne wyłącza górnictwo węgla kamiennego i brunatnego z opłat za pobór odwodnieniowy kopalń, a art. 279 zwalnia je z opłat za </w:t>
            </w:r>
            <w:r w:rsidRPr="005E78BB">
              <w:rPr>
                <w:rFonts w:ascii="Calibri" w:eastAsia="Times New Roman" w:hAnsi="Calibri" w:cs="Calibri"/>
                <w:color w:val="000000"/>
                <w:sz w:val="18"/>
                <w:szCs w:val="18"/>
                <w:lang w:eastAsia="pl-PL"/>
              </w:rPr>
              <w:br/>
              <w:t xml:space="preserve">zrzucanie do wód ścieków o średnim ładunku zasolenia (tj. gdy wartość sumy chlorków i </w:t>
            </w:r>
            <w:r w:rsidRPr="005E78BB">
              <w:rPr>
                <w:rFonts w:ascii="Calibri" w:eastAsia="Times New Roman" w:hAnsi="Calibri" w:cs="Calibri"/>
                <w:color w:val="000000"/>
                <w:sz w:val="18"/>
                <w:szCs w:val="18"/>
                <w:lang w:eastAsia="pl-PL"/>
              </w:rPr>
              <w:br/>
              <w:t xml:space="preserve">siarczanów w ściekach nie przekracza 500 mg/l). </w:t>
            </w:r>
          </w:p>
        </w:tc>
        <w:tc>
          <w:tcPr>
            <w:tcW w:w="1918" w:type="dxa"/>
            <w:shd w:val="clear" w:color="auto" w:fill="auto"/>
            <w:hideMark/>
          </w:tcPr>
          <w:p w14:paraId="69A95C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2156D8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BC0A361" w14:textId="0DE2C0C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przedstawia uzasadnienia odstępstw od celów środowiskowych.</w:t>
            </w:r>
            <w:r w:rsidRPr="005E78BB">
              <w:rPr>
                <w:rFonts w:ascii="Calibri" w:eastAsia="Times New Roman" w:hAnsi="Calibri" w:cs="Calibri"/>
                <w:color w:val="000000"/>
                <w:sz w:val="18"/>
                <w:szCs w:val="18"/>
                <w:lang w:eastAsia="pl-PL"/>
              </w:rPr>
              <w:br/>
              <w:t>Odstępstwem od celów środowiskowych RDW jest sytuacja, w której cel środowiskowy nie został osiągnięty; taka sytuacja wymaga odpowiedniego uzasadnienia i wyjaśnienia oraz podjęcia adekwatnej reakcji (podjęcia działań naprawczych).</w:t>
            </w:r>
            <w:r w:rsidRPr="005E78BB">
              <w:rPr>
                <w:rFonts w:ascii="Calibri" w:eastAsia="Times New Roman" w:hAnsi="Calibri" w:cs="Calibri"/>
                <w:color w:val="000000"/>
                <w:sz w:val="18"/>
                <w:szCs w:val="18"/>
                <w:lang w:eastAsia="pl-PL"/>
              </w:rPr>
              <w:br/>
              <w:t xml:space="preserve">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Kryteria wykonalności technicznej i racjonalności kosztów są przedmiotem szerokich analiz związanych z opracowywaniem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w:t>
            </w:r>
            <w:r w:rsidRPr="005E78BB">
              <w:rPr>
                <w:rFonts w:ascii="Calibri" w:eastAsia="Times New Roman" w:hAnsi="Calibri" w:cs="Calibri"/>
                <w:color w:val="000000"/>
                <w:sz w:val="18"/>
                <w:szCs w:val="18"/>
                <w:lang w:eastAsia="pl-PL"/>
              </w:rPr>
              <w:lastRenderedPageBreak/>
              <w:t xml:space="preserve">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Zasada zwrotu kosztów usług wodnych stanowi element IIaPGW zaprezentowany m.in. w rozdziale 13.1. Informacje o planowanych i podjętych działaniach w zakresie zwrotu kosztów usług wodnych. Poza podsumowaniem podjętych dotychczas działań w tym zakresie, wskazane zostały również działania zaplanowane na okres 2022-2027: 1) Ustalanie taryf za zbiorowe zaopatrzenie w wodę i zbiorowe odprowadzanie ścieków z uwzględnieniem: kosztów związanych ze świadczeniem usług, zmian warunków ekonomicznych oraz wielkości usług i warunków ich świadczenia, kosztów wynikających z planowanych wydatków inwestycyjnych, 2) Uwzględnienie zasady zwrotu kosztów w stosunku do administrowanych rzek i obiektów.</w:t>
            </w:r>
            <w:r w:rsidRPr="005E78BB">
              <w:rPr>
                <w:rFonts w:ascii="Calibri" w:eastAsia="Times New Roman" w:hAnsi="Calibri" w:cs="Calibri"/>
                <w:color w:val="000000"/>
                <w:sz w:val="18"/>
                <w:szCs w:val="18"/>
                <w:lang w:eastAsia="pl-PL"/>
              </w:rPr>
              <w:br/>
              <w:t xml:space="preserve">Wskazany w uwadze postulat wprowadzenia pełnego wdrożenia zasady zwrotu kosztów usług wodnych i zasady zanieczyszczający płaci w stosunku do kopalni i elektrowni węglowych w ramach IIaPGW realizowany jest przy uwzględnieniu obowiązujących przepisów prawa. Zwolnienie z opłat za pobór </w:t>
            </w:r>
            <w:r w:rsidRPr="005E78BB">
              <w:rPr>
                <w:rFonts w:ascii="Calibri" w:eastAsia="Times New Roman" w:hAnsi="Calibri" w:cs="Calibri"/>
                <w:color w:val="000000"/>
                <w:sz w:val="18"/>
                <w:szCs w:val="18"/>
                <w:lang w:eastAsia="pl-PL"/>
              </w:rPr>
              <w:lastRenderedPageBreak/>
              <w:t xml:space="preserve">wód na cele odwodnień wyrobisk górniczych wynika z przepisów ustawy Prawo wodne i w IIaPGW nie mogą się znaleźć działania niezgodne z tymi przepisami. Projekt II aPGW nie obejmuje zmian legislacyjnych, dlatego też proponowane zestawy działań odnoszą się wyłącznie do obowiązujących przepisów prawa. Natomiast należy zaznaczyć, że w proponowanych zestawach działań znajdują się działania przypisane podmiotom prowadzącym działalność wydobywczą – np.: [1] wykonanie dokumentacji hydrogeologicznej (wykonanie dokumentacji hydrogeologicznej określającej warunki hydrogeologiczne w związku z zakończeniem odwadniania likwidowanych zakładów górniczych PAK Kopalni Węgla Brunatnego Konin SA w Kleczewie, opracowanej i zatwierdzonej zgodnie z ustawą z dnia 9 czerwca 2011 roku Prawo geologiczne i górnicze oraz rozporządzeniem Ministra Środowiska z dnia 18 listopada 2016 r. w sprawie dokumentacji hydrogeologicznej i geologiczno-inżynierskiej; wykonanie dokumentacji hydrogeologicznej określającej warunki hydrogeologiczne w związku z zakończeniem odwadniania odkrywki Tomisławice ZG PAK Kopalni Węgla Brunatnego Konin SA, opracowanej i zatwierdzonej zgodnie z ustawą z dnia 9 czerwca 2011 roku Prawo geologiczne i górnicze oraz rozporządzeniem Ministra Środowiska z dnia 18 listopada 2016 r. w sprawie dokumentacji hydrogeologicznej i geologiczno-inżynierskiej); [2] prowadzenie monitoringu w rejonie likwidowanej kopalni odkrywkowej margla w Rejowcu (zawodnienie wyrobiska); [3] wykonanie opracowania "Analiza wpływu zagospodarowania wód z odwadniania zakładów górniczych na stan wód powierzchniowych i podziemnych"; [4] opracowanie programu monitorowania stanu wód podziemnych w rejonie prowadzonej działalności górniczej (rozpoznanie warunków hydrodynamicznych w rejonie KWB Turów w celu oszacowania i określenia kierunków przepływów transgranicznych (opracowanie modelu numerycznego o zasięgu transgranicznym, rozwój sieci monitoringu). Działanie te maja na celu ograniczenie presji ilościowej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 obrębie których prowadzona jest działalność górnicza. Jednocześnie należy także zaznaczyć, iż zgodnie z przepisami ustawy Prawo geologiczne i górnicze oraz ustawy Prawo ochrony środowiska podmiot prowadzacy działalność działalność górniczą uiszcza opłatę </w:t>
            </w:r>
            <w:r w:rsidRPr="005E78BB">
              <w:rPr>
                <w:rFonts w:ascii="Calibri" w:eastAsia="Times New Roman" w:hAnsi="Calibri" w:cs="Calibri"/>
                <w:color w:val="000000"/>
                <w:sz w:val="18"/>
                <w:szCs w:val="18"/>
                <w:lang w:eastAsia="pl-PL"/>
              </w:rPr>
              <w:lastRenderedPageBreak/>
              <w:t>koncesyjną, która jest dzielona pomiędzy gminę, na terenie której jest prowadzona działalność wydobywcza (60%) oraz NFOŚiGW. Te środki są alokowane w celu ich późniejszego wykorzystania na potrzeby likwidacji szkód górniczych czy łagodzenia skutków tej działalności.</w:t>
            </w:r>
          </w:p>
        </w:tc>
      </w:tr>
      <w:tr w:rsidR="0085319C" w:rsidRPr="005E78BB" w14:paraId="55461F9A" w14:textId="77777777" w:rsidTr="00E92AE6">
        <w:trPr>
          <w:trHeight w:val="454"/>
        </w:trPr>
        <w:tc>
          <w:tcPr>
            <w:tcW w:w="562" w:type="dxa"/>
            <w:shd w:val="clear" w:color="auto" w:fill="auto"/>
            <w:hideMark/>
          </w:tcPr>
          <w:p w14:paraId="1F18DED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57</w:t>
            </w:r>
          </w:p>
        </w:tc>
        <w:tc>
          <w:tcPr>
            <w:tcW w:w="1021" w:type="dxa"/>
          </w:tcPr>
          <w:p w14:paraId="0886587A" w14:textId="7C3E974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Frank Bold</w:t>
            </w:r>
          </w:p>
        </w:tc>
        <w:tc>
          <w:tcPr>
            <w:tcW w:w="1630" w:type="dxa"/>
            <w:shd w:val="clear" w:color="auto" w:fill="auto"/>
            <w:hideMark/>
          </w:tcPr>
          <w:p w14:paraId="6F6ED0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0932A1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projektu planu, do której zgłaszana jest uwaga (numer rozdziału, strona dokumentu): </w:t>
            </w:r>
            <w:r w:rsidRPr="005E78BB">
              <w:rPr>
                <w:rFonts w:ascii="Calibri" w:eastAsia="Times New Roman" w:hAnsi="Calibri" w:cs="Calibri"/>
                <w:color w:val="000000"/>
                <w:sz w:val="18"/>
                <w:szCs w:val="18"/>
                <w:lang w:eastAsia="pl-PL"/>
              </w:rPr>
              <w:br w:type="page"/>
              <w:t xml:space="preserve">Rozdział 16 </w:t>
            </w:r>
            <w:r w:rsidRPr="005E78BB">
              <w:rPr>
                <w:rFonts w:ascii="Calibri" w:eastAsia="Times New Roman" w:hAnsi="Calibri" w:cs="Calibri"/>
                <w:color w:val="000000"/>
                <w:sz w:val="18"/>
                <w:szCs w:val="18"/>
                <w:lang w:eastAsia="pl-PL"/>
              </w:rPr>
              <w:br w:type="page"/>
              <w:t xml:space="preserve">Treść uwagi: Wady ustaleń IIaPGW dot. odstępstw z art. 4.7 Ramowej Dyrektywy Wodnej </w:t>
            </w:r>
          </w:p>
        </w:tc>
        <w:tc>
          <w:tcPr>
            <w:tcW w:w="3377" w:type="dxa"/>
            <w:shd w:val="clear" w:color="auto" w:fill="auto"/>
            <w:hideMark/>
          </w:tcPr>
          <w:p w14:paraId="765E47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Usunięcie z Wykazów Inwestycji i Działań: </w:t>
            </w:r>
            <w:r w:rsidRPr="005E78BB">
              <w:rPr>
                <w:rFonts w:ascii="Calibri" w:eastAsia="Times New Roman" w:hAnsi="Calibri" w:cs="Calibri"/>
                <w:color w:val="000000"/>
                <w:sz w:val="18"/>
                <w:szCs w:val="18"/>
                <w:lang w:eastAsia="pl-PL"/>
              </w:rPr>
              <w:br w:type="page"/>
              <w:t xml:space="preserve">1) przedsięwzięć nie posiadających ostatecznej decyzji administracyjnej poświadczającej </w:t>
            </w:r>
            <w:r w:rsidRPr="005E78BB">
              <w:rPr>
                <w:rFonts w:ascii="Calibri" w:eastAsia="Times New Roman" w:hAnsi="Calibri" w:cs="Calibri"/>
                <w:color w:val="000000"/>
                <w:sz w:val="18"/>
                <w:szCs w:val="18"/>
                <w:lang w:eastAsia="pl-PL"/>
              </w:rPr>
              <w:br w:type="page"/>
              <w:t xml:space="preserve">spełnienie warunków zastosowania tzw. derogacji 4.7 (tj. art. 68 ustawy Prawo </w:t>
            </w:r>
            <w:r w:rsidRPr="005E78BB">
              <w:rPr>
                <w:rFonts w:ascii="Calibri" w:eastAsia="Times New Roman" w:hAnsi="Calibri" w:cs="Calibri"/>
                <w:color w:val="000000"/>
                <w:sz w:val="18"/>
                <w:szCs w:val="18"/>
                <w:lang w:eastAsia="pl-PL"/>
              </w:rPr>
              <w:br w:type="page"/>
              <w:t xml:space="preserve">wodne), </w:t>
            </w:r>
            <w:r w:rsidRPr="005E78BB">
              <w:rPr>
                <w:rFonts w:ascii="Calibri" w:eastAsia="Times New Roman" w:hAnsi="Calibri" w:cs="Calibri"/>
                <w:color w:val="000000"/>
                <w:sz w:val="18"/>
                <w:szCs w:val="18"/>
                <w:lang w:eastAsia="pl-PL"/>
              </w:rPr>
              <w:br w:type="page"/>
              <w:t xml:space="preserve">2) przedsięwzięć, dla których zgodność z przesłankami wskazanymi w art. 4.7 RDW </w:t>
            </w:r>
            <w:r w:rsidRPr="005E78BB">
              <w:rPr>
                <w:rFonts w:ascii="Calibri" w:eastAsia="Times New Roman" w:hAnsi="Calibri" w:cs="Calibri"/>
                <w:color w:val="000000"/>
                <w:sz w:val="18"/>
                <w:szCs w:val="18"/>
                <w:lang w:eastAsia="pl-PL"/>
              </w:rPr>
              <w:br w:type="page"/>
              <w:t xml:space="preserve">określono wyłącznie w ramach aPGW z 2016 r. (mimo aktualizacji/próby aktualizacji </w:t>
            </w:r>
            <w:r w:rsidRPr="005E78BB">
              <w:rPr>
                <w:rFonts w:ascii="Calibri" w:eastAsia="Times New Roman" w:hAnsi="Calibri" w:cs="Calibri"/>
                <w:color w:val="000000"/>
                <w:sz w:val="18"/>
                <w:szCs w:val="18"/>
                <w:lang w:eastAsia="pl-PL"/>
              </w:rPr>
              <w:br w:type="page"/>
              <w:t xml:space="preserve">danych z aPGW w ramach przygotowania IIaPGW). </w:t>
            </w:r>
          </w:p>
        </w:tc>
        <w:tc>
          <w:tcPr>
            <w:tcW w:w="3401" w:type="dxa"/>
            <w:shd w:val="clear" w:color="auto" w:fill="auto"/>
            <w:hideMark/>
          </w:tcPr>
          <w:p w14:paraId="19F6CC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treścią IIaPGW, Wykaz Inwestycji i Działań zawiera zestawienie informacji </w:t>
            </w:r>
            <w:r w:rsidRPr="005E78BB">
              <w:rPr>
                <w:rFonts w:ascii="Calibri" w:eastAsia="Times New Roman" w:hAnsi="Calibri" w:cs="Calibri"/>
                <w:color w:val="000000"/>
                <w:sz w:val="18"/>
                <w:szCs w:val="18"/>
                <w:lang w:eastAsia="pl-PL"/>
              </w:rPr>
              <w:br w:type="page"/>
              <w:t xml:space="preserve">o działaniach i inwestycjach, dla których potwierdzono spełnienie warunków odstępstwa w trybie art. 4 ust. 7 Ramowej Dyrektywy Wodnej w ramach: </w:t>
            </w:r>
            <w:r w:rsidRPr="005E78BB">
              <w:rPr>
                <w:rFonts w:ascii="Calibri" w:eastAsia="Times New Roman" w:hAnsi="Calibri" w:cs="Calibri"/>
                <w:color w:val="000000"/>
                <w:sz w:val="18"/>
                <w:szCs w:val="18"/>
                <w:lang w:eastAsia="pl-PL"/>
              </w:rPr>
              <w:br w:type="page"/>
              <w:t xml:space="preserve">− decyzji administracyjnych wydanych z zastosowaniem art. 68 ustawy Prawo wodne, </w:t>
            </w:r>
            <w:r w:rsidRPr="005E78BB">
              <w:rPr>
                <w:rFonts w:ascii="Calibri" w:eastAsia="Times New Roman" w:hAnsi="Calibri" w:cs="Calibri"/>
                <w:color w:val="000000"/>
                <w:sz w:val="18"/>
                <w:szCs w:val="18"/>
                <w:lang w:eastAsia="pl-PL"/>
              </w:rPr>
              <w:br w:type="page"/>
              <w:t xml:space="preserve">− planów gospodarowania wodami na obszarach dorzeczy przyjętych w 2016 r. </w:t>
            </w:r>
            <w:r w:rsidRPr="005E78BB">
              <w:rPr>
                <w:rFonts w:ascii="Calibri" w:eastAsia="Times New Roman" w:hAnsi="Calibri" w:cs="Calibri"/>
                <w:color w:val="000000"/>
                <w:sz w:val="18"/>
                <w:szCs w:val="18"/>
                <w:lang w:eastAsia="pl-PL"/>
              </w:rPr>
              <w:br w:type="page"/>
              <w:t xml:space="preserve">Wobec takiego podejścia należy wysunąć dwa kluczowe zastrzeżenia: </w:t>
            </w:r>
            <w:r w:rsidRPr="005E78BB">
              <w:rPr>
                <w:rFonts w:ascii="Calibri" w:eastAsia="Times New Roman" w:hAnsi="Calibri" w:cs="Calibri"/>
                <w:color w:val="000000"/>
                <w:sz w:val="18"/>
                <w:szCs w:val="18"/>
                <w:lang w:eastAsia="pl-PL"/>
              </w:rPr>
              <w:br w:type="page"/>
              <w:t xml:space="preserve">a) nie jest uprawnione wskazywanie w Wykazie Inwestycji i Działań takich przedsięwzięć, </w:t>
            </w:r>
            <w:r w:rsidRPr="005E78BB">
              <w:rPr>
                <w:rFonts w:ascii="Calibri" w:eastAsia="Times New Roman" w:hAnsi="Calibri" w:cs="Calibri"/>
                <w:color w:val="000000"/>
                <w:sz w:val="18"/>
                <w:szCs w:val="18"/>
                <w:lang w:eastAsia="pl-PL"/>
              </w:rPr>
              <w:br w:type="page"/>
              <w:t xml:space="preserve">które nie mają ostatecznej decyzji o środowiskowych uwarunkowaniach (czyli: toczy się </w:t>
            </w:r>
            <w:r w:rsidRPr="005E78BB">
              <w:rPr>
                <w:rFonts w:ascii="Calibri" w:eastAsia="Times New Roman" w:hAnsi="Calibri" w:cs="Calibri"/>
                <w:color w:val="000000"/>
                <w:sz w:val="18"/>
                <w:szCs w:val="18"/>
                <w:lang w:eastAsia="pl-PL"/>
              </w:rPr>
              <w:br w:type="page"/>
              <w:t xml:space="preserve">postępowanie odwoławcze). Takie stanowisko zostało zaprezentowane w samym IIaPGW </w:t>
            </w:r>
            <w:r w:rsidRPr="005E78BB">
              <w:rPr>
                <w:rFonts w:ascii="Calibri" w:eastAsia="Times New Roman" w:hAnsi="Calibri" w:cs="Calibri"/>
                <w:color w:val="000000"/>
                <w:sz w:val="18"/>
                <w:szCs w:val="18"/>
                <w:lang w:eastAsia="pl-PL"/>
              </w:rPr>
              <w:br w:type="page"/>
              <w:t xml:space="preserve">na stronie 407, gdzie stwierdzono, że Zestawiają informacje wynikające z powyższej treści, należy podkreślić, że wykaz ten ma funkcję sprawozdawczą. Przedstawia on informacje wynikające z decyzji administracyjnych (decyzje o środowiskowych uwarunkowaniach, oceny wodnoprawne) na temat działań i przedsięwzięć, dla których wydano (w okresie od daty przyjęcia aPGW do 21 grudnia 2020 r. ) ostateczną decyzję potwierdzającą spełnieni warunków, o których mowa w art. 68 pkt 1, 3 i 4 ustawy pr.w.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Podczas gdy Wykaz Inwestycji i Działań zawiera inwestycję dla której wydana decyzja </w:t>
            </w:r>
            <w:r w:rsidRPr="005E78BB">
              <w:rPr>
                <w:rFonts w:ascii="Calibri" w:eastAsia="Times New Roman" w:hAnsi="Calibri" w:cs="Calibri"/>
                <w:color w:val="000000"/>
                <w:sz w:val="18"/>
                <w:szCs w:val="18"/>
                <w:lang w:eastAsia="pl-PL"/>
              </w:rPr>
              <w:br w:type="page"/>
              <w:t xml:space="preserve">środowiskowe nie jest ostateczne, czyli inwestycja pn. Eksploatacja węgla kamiennego i </w:t>
            </w:r>
            <w:r w:rsidRPr="005E78BB">
              <w:rPr>
                <w:rFonts w:ascii="Calibri" w:eastAsia="Times New Roman" w:hAnsi="Calibri" w:cs="Calibri"/>
                <w:color w:val="000000"/>
                <w:sz w:val="18"/>
                <w:szCs w:val="18"/>
                <w:lang w:eastAsia="pl-PL"/>
              </w:rPr>
              <w:br w:type="page"/>
              <w:t xml:space="preserve">metanu jako kopaliny towarzyszącej ze złoża „Dankowice 1”, dla którego wydana została </w:t>
            </w:r>
            <w:r w:rsidRPr="005E78BB">
              <w:rPr>
                <w:rFonts w:ascii="Calibri" w:eastAsia="Times New Roman" w:hAnsi="Calibri" w:cs="Calibri"/>
                <w:color w:val="000000"/>
                <w:sz w:val="18"/>
                <w:szCs w:val="18"/>
                <w:lang w:eastAsia="pl-PL"/>
              </w:rPr>
              <w:br w:type="page"/>
              <w:t xml:space="preserve">przez Regionalnego Dyrektora Ochrony Środowiska w Katowicach decyzja o </w:t>
            </w:r>
            <w:r w:rsidRPr="005E78BB">
              <w:rPr>
                <w:rFonts w:ascii="Calibri" w:eastAsia="Times New Roman" w:hAnsi="Calibri" w:cs="Calibri"/>
                <w:color w:val="000000"/>
                <w:sz w:val="18"/>
                <w:szCs w:val="18"/>
                <w:lang w:eastAsia="pl-PL"/>
              </w:rPr>
              <w:br w:type="page"/>
              <w:t xml:space="preserve">środowiskowych uwarunkowaniach dnia 21 lipca 2020 roku. Jednakże od decyzji tej </w:t>
            </w:r>
            <w:r w:rsidRPr="005E78BB">
              <w:rPr>
                <w:rFonts w:ascii="Calibri" w:eastAsia="Times New Roman" w:hAnsi="Calibri" w:cs="Calibri"/>
                <w:color w:val="000000"/>
                <w:sz w:val="18"/>
                <w:szCs w:val="18"/>
                <w:lang w:eastAsia="pl-PL"/>
              </w:rPr>
              <w:br w:type="page"/>
              <w:t xml:space="preserve">wniesione zostało odwołanie, a postępowanie odwoławcze w dalszym ciągu się toczy, co </w:t>
            </w:r>
            <w:r w:rsidRPr="005E78BB">
              <w:rPr>
                <w:rFonts w:ascii="Calibri" w:eastAsia="Times New Roman" w:hAnsi="Calibri" w:cs="Calibri"/>
                <w:color w:val="000000"/>
                <w:sz w:val="18"/>
                <w:szCs w:val="18"/>
                <w:lang w:eastAsia="pl-PL"/>
              </w:rPr>
              <w:br w:type="page"/>
              <w:t xml:space="preserve">zostało nawet wskazane w Załączniku 6 wiersz 278 dot. tejże inwestycji, kolumna Q i R. W </w:t>
            </w:r>
            <w:r w:rsidRPr="005E78BB">
              <w:rPr>
                <w:rFonts w:ascii="Calibri" w:eastAsia="Times New Roman" w:hAnsi="Calibri" w:cs="Calibri"/>
                <w:color w:val="000000"/>
                <w:sz w:val="18"/>
                <w:szCs w:val="18"/>
                <w:lang w:eastAsia="pl-PL"/>
              </w:rPr>
              <w:br w:type="page"/>
              <w:t xml:space="preserve">związku z tym wskazać należy, że IIaPGW jest po pierwsze wewnętrznie sprzeczny (z </w:t>
            </w:r>
            <w:r w:rsidRPr="005E78BB">
              <w:rPr>
                <w:rFonts w:ascii="Calibri" w:eastAsia="Times New Roman" w:hAnsi="Calibri" w:cs="Calibri"/>
                <w:color w:val="000000"/>
                <w:sz w:val="18"/>
                <w:szCs w:val="18"/>
                <w:lang w:eastAsia="pl-PL"/>
              </w:rPr>
              <w:br w:type="page"/>
              <w:t xml:space="preserve">jednej strony zakłada ujęcie wyłącznie inwestycji z ostatecznymi decyzjami środowiskowymi, a z drugiej strony świadomie uwzględniana </w:t>
            </w:r>
            <w:r w:rsidRPr="005E78BB">
              <w:rPr>
                <w:rFonts w:ascii="Calibri" w:eastAsia="Times New Roman" w:hAnsi="Calibri" w:cs="Calibri"/>
                <w:color w:val="000000"/>
                <w:sz w:val="18"/>
                <w:szCs w:val="18"/>
                <w:lang w:eastAsia="pl-PL"/>
              </w:rPr>
              <w:lastRenderedPageBreak/>
              <w:t xml:space="preserve">jest inwestycja z </w:t>
            </w:r>
            <w:r w:rsidRPr="005E78BB">
              <w:rPr>
                <w:rFonts w:ascii="Calibri" w:eastAsia="Times New Roman" w:hAnsi="Calibri" w:cs="Calibri"/>
                <w:color w:val="000000"/>
                <w:sz w:val="18"/>
                <w:szCs w:val="18"/>
                <w:lang w:eastAsia="pl-PL"/>
              </w:rPr>
              <w:br w:type="page"/>
              <w:t xml:space="preserve">nieostateczną decyzją środowiskową), po drugie jest sprzeczny z prawem. Nieostateczna </w:t>
            </w:r>
            <w:r w:rsidRPr="005E78BB">
              <w:rPr>
                <w:rFonts w:ascii="Calibri" w:eastAsia="Times New Roman" w:hAnsi="Calibri" w:cs="Calibri"/>
                <w:color w:val="000000"/>
                <w:sz w:val="18"/>
                <w:szCs w:val="18"/>
                <w:lang w:eastAsia="pl-PL"/>
              </w:rPr>
              <w:br w:type="page"/>
              <w:t xml:space="preserve">decyzja o środowiskowych uwarunkowaniach nie może w żaden sposób stanowić o tym, </w:t>
            </w:r>
            <w:r w:rsidRPr="005E78BB">
              <w:rPr>
                <w:rFonts w:ascii="Calibri" w:eastAsia="Times New Roman" w:hAnsi="Calibri" w:cs="Calibri"/>
                <w:color w:val="000000"/>
                <w:sz w:val="18"/>
                <w:szCs w:val="18"/>
                <w:lang w:eastAsia="pl-PL"/>
              </w:rPr>
              <w:br w:type="page"/>
              <w:t xml:space="preserve">że derogacja została w sposób ostateczny i pewny przyznana. Należy mieć na uwadze, że </w:t>
            </w:r>
            <w:r w:rsidRPr="005E78BB">
              <w:rPr>
                <w:rFonts w:ascii="Calibri" w:eastAsia="Times New Roman" w:hAnsi="Calibri" w:cs="Calibri"/>
                <w:color w:val="000000"/>
                <w:sz w:val="18"/>
                <w:szCs w:val="18"/>
                <w:lang w:eastAsia="pl-PL"/>
              </w:rPr>
              <w:br w:type="page"/>
              <w:t xml:space="preserve">w polskim postępowaniu administracyjnym, co do zasady dwuinstancyjnym, decyzja o </w:t>
            </w:r>
            <w:r w:rsidRPr="005E78BB">
              <w:rPr>
                <w:rFonts w:ascii="Calibri" w:eastAsia="Times New Roman" w:hAnsi="Calibri" w:cs="Calibri"/>
                <w:color w:val="000000"/>
                <w:sz w:val="18"/>
                <w:szCs w:val="18"/>
                <w:lang w:eastAsia="pl-PL"/>
              </w:rPr>
              <w:br w:type="page"/>
              <w:t xml:space="preserve">środowiskowych uwarunkowaniach może zostać w istotny sposób zmieniona, a nawet </w:t>
            </w:r>
            <w:r w:rsidRPr="005E78BB">
              <w:rPr>
                <w:rFonts w:ascii="Calibri" w:eastAsia="Times New Roman" w:hAnsi="Calibri" w:cs="Calibri"/>
                <w:color w:val="000000"/>
                <w:sz w:val="18"/>
                <w:szCs w:val="18"/>
                <w:lang w:eastAsia="pl-PL"/>
              </w:rPr>
              <w:br w:type="page"/>
              <w:t xml:space="preserve">uchylona w wyniku postępowania odwoławczego. Co więcej, w przebiegu postępowania </w:t>
            </w:r>
            <w:r w:rsidRPr="005E78BB">
              <w:rPr>
                <w:rFonts w:ascii="Calibri" w:eastAsia="Times New Roman" w:hAnsi="Calibri" w:cs="Calibri"/>
                <w:color w:val="000000"/>
                <w:sz w:val="18"/>
                <w:szCs w:val="18"/>
                <w:lang w:eastAsia="pl-PL"/>
              </w:rPr>
              <w:br w:type="page"/>
              <w:t xml:space="preserve">odwoławczego dochodzi niejednokrotnie do uzupełnienia lub istotnych modyfikacji treści </w:t>
            </w:r>
            <w:r w:rsidRPr="005E78BB">
              <w:rPr>
                <w:rFonts w:ascii="Calibri" w:eastAsia="Times New Roman" w:hAnsi="Calibri" w:cs="Calibri"/>
                <w:color w:val="000000"/>
                <w:sz w:val="18"/>
                <w:szCs w:val="18"/>
                <w:lang w:eastAsia="pl-PL"/>
              </w:rPr>
              <w:br w:type="page"/>
              <w:t xml:space="preserve">raportu oddziaływania przedsięwzięcia na środowisko, strony mają możliwość </w:t>
            </w:r>
            <w:r w:rsidRPr="005E78BB">
              <w:rPr>
                <w:rFonts w:ascii="Calibri" w:eastAsia="Times New Roman" w:hAnsi="Calibri" w:cs="Calibri"/>
                <w:color w:val="000000"/>
                <w:sz w:val="18"/>
                <w:szCs w:val="18"/>
                <w:lang w:eastAsia="pl-PL"/>
              </w:rPr>
              <w:br w:type="page"/>
              <w:t xml:space="preserve">przedstawiania nowych dowodów, tzw. kontrraportu, dopuszczalny jest również dowód z </w:t>
            </w:r>
            <w:r w:rsidRPr="005E78BB">
              <w:rPr>
                <w:rFonts w:ascii="Calibri" w:eastAsia="Times New Roman" w:hAnsi="Calibri" w:cs="Calibri"/>
                <w:color w:val="000000"/>
                <w:sz w:val="18"/>
                <w:szCs w:val="18"/>
                <w:lang w:eastAsia="pl-PL"/>
              </w:rPr>
              <w:br w:type="page"/>
              <w:t xml:space="preserve">opinii biegłego. Wszystko to sprawia, że po wydaniu decyzji w pierwszej instancji nie </w:t>
            </w:r>
            <w:r w:rsidRPr="005E78BB">
              <w:rPr>
                <w:rFonts w:ascii="Calibri" w:eastAsia="Times New Roman" w:hAnsi="Calibri" w:cs="Calibri"/>
                <w:color w:val="000000"/>
                <w:sz w:val="18"/>
                <w:szCs w:val="18"/>
                <w:lang w:eastAsia="pl-PL"/>
              </w:rPr>
              <w:br w:type="page"/>
              <w:t xml:space="preserve">można mówić o kompletnej i ukończonej ocenie spełnienia przesłanek do przyznania odstępstwa.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Nadmienić należy, iż waloru ostateczności nie zastępuje nadanie rygoru natychmiastowej wykonalności. Zgodnie z art. 16 § 1 k.p.a. decyzją ostateczną jest decyzja, od której nie służy odwołanie w administracyjnym toku instancji. Tym samym nadanie rygoru natychmiastowej wykonalności nie skutkuje przyznaniem decyzji, od której przysługuje odwołanie (lub co do której toczy się postępowanie odwoławcze), przymiotu ostateczności. Decyzja środowiskowa z nadanym rygorem natychmiastowej </w:t>
            </w:r>
            <w:r w:rsidRPr="005E78BB">
              <w:rPr>
                <w:rFonts w:ascii="Calibri" w:eastAsia="Times New Roman" w:hAnsi="Calibri" w:cs="Calibri"/>
                <w:color w:val="000000"/>
                <w:sz w:val="18"/>
                <w:szCs w:val="18"/>
                <w:lang w:eastAsia="pl-PL"/>
              </w:rPr>
              <w:br w:type="page"/>
              <w:t xml:space="preserve">wykonalności nie jest ostateczną decyzją środowiskową, w wyniku prowadzonego </w:t>
            </w:r>
            <w:r w:rsidRPr="005E78BB">
              <w:rPr>
                <w:rFonts w:ascii="Calibri" w:eastAsia="Times New Roman" w:hAnsi="Calibri" w:cs="Calibri"/>
                <w:color w:val="000000"/>
                <w:sz w:val="18"/>
                <w:szCs w:val="18"/>
                <w:lang w:eastAsia="pl-PL"/>
              </w:rPr>
              <w:br w:type="page"/>
              <w:t xml:space="preserve">postępowania odwoławczego może ona zostać uchylona lub jej treść znacząco zmieniona. Dotyczy to również zawartej w niej derogacji. Stąd też, w ocenie Fundacji, błędne i nieuprawnione jest ujmowanie w wykazie inwestycji przedsięwzięć, które nie posiadają ostatecznej decyzji o środowiskowych uwarunkowaniach. Dlatego też wszystkie inwestycji nie mające ostatecznej decyzji o środowiskowych uwarunkowaniach należy usunąć z wykazu, w szczególności przedsięwzięci pn. Eksploatacja węgla kamiennego i metanu jako kopaliny towarzyszącej ze złoża „Dankowice 1”. </w:t>
            </w:r>
            <w:r w:rsidRPr="005E78BB">
              <w:rPr>
                <w:rFonts w:ascii="Calibri" w:eastAsia="Times New Roman" w:hAnsi="Calibri" w:cs="Calibri"/>
                <w:color w:val="000000"/>
                <w:sz w:val="18"/>
                <w:szCs w:val="18"/>
                <w:lang w:eastAsia="pl-PL"/>
              </w:rPr>
              <w:br w:type="page"/>
              <w:t xml:space="preserve">b) Nie jest uprawnione (i nie ma podstawy prawnej) wskazywanie w Wykazie Inwestycji </w:t>
            </w:r>
            <w:r w:rsidRPr="005E78BB">
              <w:rPr>
                <w:rFonts w:ascii="Calibri" w:eastAsia="Times New Roman" w:hAnsi="Calibri" w:cs="Calibri"/>
                <w:color w:val="000000"/>
                <w:sz w:val="18"/>
                <w:szCs w:val="18"/>
                <w:lang w:eastAsia="pl-PL"/>
              </w:rPr>
              <w:br w:type="page"/>
              <w:t xml:space="preserve">i Działań takich przedsięwzięć, dla których zgodność z </w:t>
            </w:r>
            <w:r w:rsidRPr="005E78BB">
              <w:rPr>
                <w:rFonts w:ascii="Calibri" w:eastAsia="Times New Roman" w:hAnsi="Calibri" w:cs="Calibri"/>
                <w:color w:val="000000"/>
                <w:sz w:val="18"/>
                <w:szCs w:val="18"/>
                <w:lang w:eastAsia="pl-PL"/>
              </w:rPr>
              <w:lastRenderedPageBreak/>
              <w:t xml:space="preserve">warunkami ustanowienia odstępstwa oszacowano wyłącznie na etapie planów gospodarowania wodami na </w:t>
            </w:r>
            <w:r w:rsidRPr="005E78BB">
              <w:rPr>
                <w:rFonts w:ascii="Calibri" w:eastAsia="Times New Roman" w:hAnsi="Calibri" w:cs="Calibri"/>
                <w:color w:val="000000"/>
                <w:sz w:val="18"/>
                <w:szCs w:val="18"/>
                <w:lang w:eastAsia="pl-PL"/>
              </w:rPr>
              <w:br w:type="page"/>
              <w:t xml:space="preserve">obszarach dorzeczy przyjętych w 2016 r. </w:t>
            </w:r>
            <w:r w:rsidRPr="005E78BB">
              <w:rPr>
                <w:rFonts w:ascii="Calibri" w:eastAsia="Times New Roman" w:hAnsi="Calibri" w:cs="Calibri"/>
                <w:color w:val="000000"/>
                <w:sz w:val="18"/>
                <w:szCs w:val="18"/>
                <w:lang w:eastAsia="pl-PL"/>
              </w:rPr>
              <w:br w:type="page"/>
              <w:t xml:space="preserve">Obowiązujące Prawo wodne wprost wskazuje (art. 323 p.w. w związku z art. 435-436 p.w. </w:t>
            </w:r>
            <w:r w:rsidRPr="005E78BB">
              <w:rPr>
                <w:rFonts w:ascii="Calibri" w:eastAsia="Times New Roman" w:hAnsi="Calibri" w:cs="Calibri"/>
                <w:color w:val="000000"/>
                <w:sz w:val="18"/>
                <w:szCs w:val="18"/>
                <w:lang w:eastAsia="pl-PL"/>
              </w:rPr>
              <w:br w:type="page"/>
              <w:t xml:space="preserve">w zw. z art. 428 p.w.), że w wykazie inwestycji i działań powinny się znaleźć wyłącznie te </w:t>
            </w:r>
            <w:r w:rsidRPr="005E78BB">
              <w:rPr>
                <w:rFonts w:ascii="Calibri" w:eastAsia="Times New Roman" w:hAnsi="Calibri" w:cs="Calibri"/>
                <w:color w:val="000000"/>
                <w:sz w:val="18"/>
                <w:szCs w:val="18"/>
                <w:lang w:eastAsia="pl-PL"/>
              </w:rPr>
              <w:br w:type="page"/>
              <w:t xml:space="preserve">przypadki, dla których wydano decyzje administracyjne (decyzja o środowiskowych </w:t>
            </w:r>
            <w:r w:rsidRPr="005E78BB">
              <w:rPr>
                <w:rFonts w:ascii="Calibri" w:eastAsia="Times New Roman" w:hAnsi="Calibri" w:cs="Calibri"/>
                <w:color w:val="000000"/>
                <w:sz w:val="18"/>
                <w:szCs w:val="18"/>
                <w:lang w:eastAsia="pl-PL"/>
              </w:rPr>
              <w:br w:type="page"/>
              <w:t xml:space="preserve">uwarunkowaniach lub ocena wodnoprawna) z zastosowaniem art. 68 ww. ustawy </w:t>
            </w:r>
            <w:r w:rsidRPr="005E78BB">
              <w:rPr>
                <w:rFonts w:ascii="Calibri" w:eastAsia="Times New Roman" w:hAnsi="Calibri" w:cs="Calibri"/>
                <w:color w:val="000000"/>
                <w:sz w:val="18"/>
                <w:szCs w:val="18"/>
                <w:lang w:eastAsia="pl-PL"/>
              </w:rPr>
              <w:br w:type="page"/>
              <w:t xml:space="preserve">(tj. z derogację 4.7 RDW). W związku z tym uwzględnienie w IIaPGW szeregu inwestycji </w:t>
            </w:r>
            <w:r w:rsidRPr="005E78BB">
              <w:rPr>
                <w:rFonts w:ascii="Calibri" w:eastAsia="Times New Roman" w:hAnsi="Calibri" w:cs="Calibri"/>
                <w:color w:val="000000"/>
                <w:sz w:val="18"/>
                <w:szCs w:val="18"/>
                <w:lang w:eastAsia="pl-PL"/>
              </w:rPr>
              <w:br w:type="page"/>
              <w:t xml:space="preserve">dla których nie zostały wydane ostateczne decyzje administracyjne (decyzja o </w:t>
            </w:r>
            <w:r w:rsidRPr="005E78BB">
              <w:rPr>
                <w:rFonts w:ascii="Calibri" w:eastAsia="Times New Roman" w:hAnsi="Calibri" w:cs="Calibri"/>
                <w:color w:val="000000"/>
                <w:sz w:val="18"/>
                <w:szCs w:val="18"/>
                <w:lang w:eastAsia="pl-PL"/>
              </w:rPr>
              <w:br w:type="page"/>
              <w:t xml:space="preserve">środowiskowych uwarunkowaniach lub ocena wodnoprawna) z zastosowaniem art. 68 </w:t>
            </w:r>
            <w:r w:rsidRPr="005E78BB">
              <w:rPr>
                <w:rFonts w:ascii="Calibri" w:eastAsia="Times New Roman" w:hAnsi="Calibri" w:cs="Calibri"/>
                <w:color w:val="000000"/>
                <w:sz w:val="18"/>
                <w:szCs w:val="18"/>
                <w:lang w:eastAsia="pl-PL"/>
              </w:rPr>
              <w:br w:type="page"/>
              <w:t xml:space="preserve">p.w. jest sprzeczne z przepisami prawa.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Powyższe jest tym bardziej uzasadnione, że powielenie uzasadnień derogacji 4.7 RDW, nawet jeżeli zostały one zweryfikowane pod względem ich aktualności, utrwala mankamenty podejścia zastosowanego w 2016 r. Polegały one na tym, że udowodnienie przesłanek 4.7 RDW nie odnosiło się do konkretów, lecz wyłącznie do sfery deklaracji niepodlegających szczegółowej weryfikacji (taka jest bowiem możliwa co do zasady wyłącznie na etapie postępowań administracyjnych). Na istnienie tych samych wad wskazuje również sama treść IIaPGW, gdzie na stronie 407 wskazano, że Ponadto uwzględnia on informacje o planowanych i realizowanych inwestycjach i działaniach, dla których w aPGW z 2016 roku potwierdzono warunki spełniania odstępstwa w trybie art. 4.7 RDW Źródłem informacji dla wykazu była ankietyzacja, która objęto następujące podmioty: </w:t>
            </w:r>
            <w:r w:rsidRPr="005E78BB">
              <w:rPr>
                <w:rFonts w:ascii="Calibri" w:eastAsia="Times New Roman" w:hAnsi="Calibri" w:cs="Calibri"/>
                <w:color w:val="000000"/>
                <w:sz w:val="18"/>
                <w:szCs w:val="18"/>
                <w:lang w:eastAsia="pl-PL"/>
              </w:rPr>
              <w:br w:type="page"/>
              <w:t xml:space="preserve">1) Podmioty określone jako „Inwestor” w wykazach inwestycji stanowiących załącznik do </w:t>
            </w:r>
            <w:r w:rsidRPr="005E78BB">
              <w:rPr>
                <w:rFonts w:ascii="Calibri" w:eastAsia="Times New Roman" w:hAnsi="Calibri" w:cs="Calibri"/>
                <w:color w:val="000000"/>
                <w:sz w:val="18"/>
                <w:szCs w:val="18"/>
                <w:lang w:eastAsia="pl-PL"/>
              </w:rPr>
              <w:br w:type="page"/>
              <w:t xml:space="preserve">aPGW z 2016; uwzględniono włączenie Zarządów Melioracji u Urządzeń Wodnych </w:t>
            </w:r>
            <w:r w:rsidRPr="005E78BB">
              <w:rPr>
                <w:rFonts w:ascii="Calibri" w:eastAsia="Times New Roman" w:hAnsi="Calibri" w:cs="Calibri"/>
                <w:color w:val="000000"/>
                <w:sz w:val="18"/>
                <w:szCs w:val="18"/>
                <w:lang w:eastAsia="pl-PL"/>
              </w:rPr>
              <w:br w:type="page"/>
              <w:t xml:space="preserve">(wskazanych w aPGW z 2016 r. jako „Inwestor”) w struktury PGW WP; w przypadku </w:t>
            </w:r>
            <w:r w:rsidRPr="005E78BB">
              <w:rPr>
                <w:rFonts w:ascii="Calibri" w:eastAsia="Times New Roman" w:hAnsi="Calibri" w:cs="Calibri"/>
                <w:color w:val="000000"/>
                <w:sz w:val="18"/>
                <w:szCs w:val="18"/>
                <w:lang w:eastAsia="pl-PL"/>
              </w:rPr>
              <w:br w:type="page"/>
              <w:t xml:space="preserve">innych inwestorów skierowano ankiety do podmiotów kontynuujących zamierzenie </w:t>
            </w:r>
            <w:r w:rsidRPr="005E78BB">
              <w:rPr>
                <w:rFonts w:ascii="Calibri" w:eastAsia="Times New Roman" w:hAnsi="Calibri" w:cs="Calibri"/>
                <w:color w:val="000000"/>
                <w:sz w:val="18"/>
                <w:szCs w:val="18"/>
                <w:lang w:eastAsia="pl-PL"/>
              </w:rPr>
              <w:br w:type="page"/>
              <w:t xml:space="preserve">inwestycyjne; </w:t>
            </w:r>
            <w:r w:rsidRPr="005E78BB">
              <w:rPr>
                <w:rFonts w:ascii="Calibri" w:eastAsia="Times New Roman" w:hAnsi="Calibri" w:cs="Calibri"/>
                <w:color w:val="000000"/>
                <w:sz w:val="18"/>
                <w:szCs w:val="18"/>
                <w:lang w:eastAsia="pl-PL"/>
              </w:rPr>
              <w:br w:type="page"/>
              <w:t xml:space="preserve">2) Organy właściwe w sprawach ocen wodnoprawnych (które wydawały oceny </w:t>
            </w:r>
            <w:r w:rsidRPr="005E78BB">
              <w:rPr>
                <w:rFonts w:ascii="Calibri" w:eastAsia="Times New Roman" w:hAnsi="Calibri" w:cs="Calibri"/>
                <w:color w:val="000000"/>
                <w:sz w:val="18"/>
                <w:szCs w:val="18"/>
                <w:lang w:eastAsia="pl-PL"/>
              </w:rPr>
              <w:br w:type="page"/>
              <w:t xml:space="preserve">wodnoprawne, brały udział w postępowaniu w sprawie wydania decyzji o </w:t>
            </w:r>
            <w:r w:rsidRPr="005E78BB">
              <w:rPr>
                <w:rFonts w:ascii="Calibri" w:eastAsia="Times New Roman" w:hAnsi="Calibri" w:cs="Calibri"/>
                <w:color w:val="000000"/>
                <w:sz w:val="18"/>
                <w:szCs w:val="18"/>
                <w:lang w:eastAsia="pl-PL"/>
              </w:rPr>
              <w:br w:type="page"/>
              <w:t xml:space="preserve">środowiskowych uwarunkowaniach oraz powadziły wykaz inwestycji zgodnie z art. </w:t>
            </w:r>
            <w:r w:rsidRPr="005E78BB">
              <w:rPr>
                <w:rFonts w:ascii="Calibri" w:eastAsia="Times New Roman" w:hAnsi="Calibri" w:cs="Calibri"/>
                <w:color w:val="000000"/>
                <w:sz w:val="18"/>
                <w:szCs w:val="18"/>
                <w:lang w:eastAsia="pl-PL"/>
              </w:rPr>
              <w:br w:type="page"/>
              <w:t xml:space="preserve">435-436 ustawy pr.w.)’ </w:t>
            </w:r>
            <w:r w:rsidRPr="005E78BB">
              <w:rPr>
                <w:rFonts w:ascii="Calibri" w:eastAsia="Times New Roman" w:hAnsi="Calibri" w:cs="Calibri"/>
                <w:color w:val="000000"/>
                <w:sz w:val="18"/>
                <w:szCs w:val="18"/>
                <w:lang w:eastAsia="pl-PL"/>
              </w:rPr>
              <w:br w:type="page"/>
              <w:t xml:space="preserve">3) Organy wydające decyzje o środowiskowych uwarunkowaniach, przy </w:t>
            </w:r>
            <w:r w:rsidRPr="005E78BB">
              <w:rPr>
                <w:rFonts w:ascii="Calibri" w:eastAsia="Times New Roman" w:hAnsi="Calibri" w:cs="Calibri"/>
                <w:color w:val="000000"/>
                <w:sz w:val="18"/>
                <w:szCs w:val="18"/>
                <w:lang w:eastAsia="pl-PL"/>
              </w:rPr>
              <w:lastRenderedPageBreak/>
              <w:t xml:space="preserve">wydawaniu </w:t>
            </w:r>
            <w:r w:rsidRPr="005E78BB">
              <w:rPr>
                <w:rFonts w:ascii="Calibri" w:eastAsia="Times New Roman" w:hAnsi="Calibri" w:cs="Calibri"/>
                <w:color w:val="000000"/>
                <w:sz w:val="18"/>
                <w:szCs w:val="18"/>
                <w:lang w:eastAsia="pl-PL"/>
              </w:rPr>
              <w:br w:type="page"/>
              <w:t xml:space="preserve">których zastosowano art. 68 ustawy pr.w (wskazane przez organy właściwe w </w:t>
            </w:r>
            <w:r w:rsidRPr="005E78BB">
              <w:rPr>
                <w:rFonts w:ascii="Calibri" w:eastAsia="Times New Roman" w:hAnsi="Calibri" w:cs="Calibri"/>
                <w:color w:val="000000"/>
                <w:sz w:val="18"/>
                <w:szCs w:val="18"/>
                <w:lang w:eastAsia="pl-PL"/>
              </w:rPr>
              <w:br w:type="page"/>
              <w:t xml:space="preserve">sprawach ocen wodnoprawnych).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Ponadto w przypadku, gdy uzyskane dane były niewystarczające, uwzględniano dane </w:t>
            </w:r>
            <w:r w:rsidRPr="005E78BB">
              <w:rPr>
                <w:rFonts w:ascii="Calibri" w:eastAsia="Times New Roman" w:hAnsi="Calibri" w:cs="Calibri"/>
                <w:color w:val="000000"/>
                <w:sz w:val="18"/>
                <w:szCs w:val="18"/>
                <w:lang w:eastAsia="pl-PL"/>
              </w:rPr>
              <w:br w:type="page"/>
              <w:t xml:space="preserve">wynikające z treści decyzji administracyjnych.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Powyższe wskazuje więc, że podstawą do przepisania odstępstw przyznanych w aPGW z 2016 do IIaPGW była wyłącznie ankieta skierowana do Inwestorów. Brak jest jakiegokolwiek wskazania, aby po otrzymaniu ankiet przeprowadzone były jakiekolwiek dogłębne analizy spełnienia warunków do przyznania odstępstwa w oparciu o aktualną sytuację faktyczną i prawną. Za całkowicie błędne i wadliwe uznać należy działanie polegające na automatycznym uznaniu, że skoro przesłanki do przyznania odstępstwa były spełnione w 2016 roku (co w ocenie Fundacji jest wątpliwe) to w dalszym ciągu są spełnione. Za całkowicie błędne i wadliwe uznać należy również poleganie wyłącznie na twierdzeniach inwestorów w zakresie zasadności spełnienia warunków do przyznania odstępstwa. Oczywistym jest, że każdy inwestor będzie dążył do uzyskania odstępstwa, które umożliwi mu realizowanie inwestycji. Zadaniem zaś organów jest ocena czy warunki do jego przyznania zostały spełnione. W IIaPGW brak jest jakiegokolwiek śladu, że taka dogłębna analiza każdego przypadku została wykonana. Wręcz treść IIaPGW wskazuje, że odstępstwa zostały przyznane wyłącznie w oparciu o ankiety przedstawione przez inwestorów. Takie działanie w żaden sposób nie daje gwarancji, że odstępstwa zostały przyznane wyłącznie dla inwestycji, które rzeczywiście spełniają aktualnie warunki do ich przyznania.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Ponadto jest wysoce wątpliwe czy ktokolwiek, w tym inwestorzy czy organy badały aktualność spełniania warunków przez te odstępstwa. Dane w oparciu o które uzasadniono przyznanie odstępstwa są historyczne, w szczególności są to dane dotyczące: </w:t>
            </w:r>
            <w:r w:rsidRPr="005E78BB">
              <w:rPr>
                <w:rFonts w:ascii="Calibri" w:eastAsia="Times New Roman" w:hAnsi="Calibri" w:cs="Calibri"/>
                <w:color w:val="000000"/>
                <w:sz w:val="18"/>
                <w:szCs w:val="18"/>
                <w:lang w:eastAsia="pl-PL"/>
              </w:rPr>
              <w:br w:type="page"/>
              <w:t xml:space="preserve">- produkcji węgla w Polsce z 2013 roku, </w:t>
            </w:r>
            <w:r w:rsidRPr="005E78BB">
              <w:rPr>
                <w:rFonts w:ascii="Calibri" w:eastAsia="Times New Roman" w:hAnsi="Calibri" w:cs="Calibri"/>
                <w:color w:val="000000"/>
                <w:sz w:val="18"/>
                <w:szCs w:val="18"/>
                <w:lang w:eastAsia="pl-PL"/>
              </w:rPr>
              <w:br w:type="page"/>
              <w:t xml:space="preserve">- uzależnienia od importu energii w Polsce – dane GUS z 2013 roku, </w:t>
            </w:r>
            <w:r w:rsidRPr="005E78BB">
              <w:rPr>
                <w:rFonts w:ascii="Calibri" w:eastAsia="Times New Roman" w:hAnsi="Calibri" w:cs="Calibri"/>
                <w:color w:val="000000"/>
                <w:sz w:val="18"/>
                <w:szCs w:val="18"/>
                <w:lang w:eastAsia="pl-PL"/>
              </w:rPr>
              <w:br w:type="page"/>
              <w:t xml:space="preserve">- udziału OZE w produkcji energii elektrycznej w 2014 roku,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Powyższa okoliczność tym bardziej wskazuje na fakt, że organ nie dokonał analizy zasadności, prawidłowości i aktualności twierdzeń inwestorów w zakresie spełnienia w dalszym ciągu przesłanek do przyznania odstępstwa przez przedsięwzięcia uwzględnione w aPGW z 2016 roku.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Ponadto Fundacja </w:t>
            </w:r>
            <w:r w:rsidRPr="005E78BB">
              <w:rPr>
                <w:rFonts w:ascii="Calibri" w:eastAsia="Times New Roman" w:hAnsi="Calibri" w:cs="Calibri"/>
                <w:color w:val="000000"/>
                <w:sz w:val="18"/>
                <w:szCs w:val="18"/>
                <w:lang w:eastAsia="pl-PL"/>
              </w:rPr>
              <w:lastRenderedPageBreak/>
              <w:t xml:space="preserve">wskazuje, iż wiele z tych inwestycji nie spełnia warunków do przyznania </w:t>
            </w:r>
            <w:r w:rsidRPr="005E78BB">
              <w:rPr>
                <w:rFonts w:ascii="Calibri" w:eastAsia="Times New Roman" w:hAnsi="Calibri" w:cs="Calibri"/>
                <w:color w:val="000000"/>
                <w:sz w:val="18"/>
                <w:szCs w:val="18"/>
                <w:lang w:eastAsia="pl-PL"/>
              </w:rPr>
              <w:br w:type="page"/>
              <w:t xml:space="preserve">odstępstwa lub też warunki te nie zostały wykazane w IIaPGW, co zostanie wykazane poniżej: </w:t>
            </w:r>
            <w:r w:rsidRPr="005E78BB">
              <w:rPr>
                <w:rFonts w:ascii="Calibri" w:eastAsia="Times New Roman" w:hAnsi="Calibri" w:cs="Calibri"/>
                <w:color w:val="000000"/>
                <w:sz w:val="18"/>
                <w:szCs w:val="18"/>
                <w:lang w:eastAsia="pl-PL"/>
              </w:rPr>
              <w:br w:type="page"/>
              <w:t xml:space="preserve">1) „Eksploatacja węgla kamiennego ze złoża Ostrów”: </w:t>
            </w:r>
            <w:r w:rsidRPr="005E78BB">
              <w:rPr>
                <w:rFonts w:ascii="Calibri" w:eastAsia="Times New Roman" w:hAnsi="Calibri" w:cs="Calibri"/>
                <w:color w:val="000000"/>
                <w:sz w:val="18"/>
                <w:szCs w:val="18"/>
                <w:lang w:eastAsia="pl-PL"/>
              </w:rPr>
              <w:br w:type="page"/>
              <w:t xml:space="preserve">a) brak wydanej decyzji środowiskowej w oparciu o nowe przepisy ustawy Prawo wodne, </w:t>
            </w:r>
            <w:r w:rsidRPr="005E78BB">
              <w:rPr>
                <w:rFonts w:ascii="Calibri" w:eastAsia="Times New Roman" w:hAnsi="Calibri" w:cs="Calibri"/>
                <w:color w:val="000000"/>
                <w:sz w:val="18"/>
                <w:szCs w:val="18"/>
                <w:lang w:eastAsia="pl-PL"/>
              </w:rPr>
              <w:br w:type="page"/>
              <w:t xml:space="preserve">b) brak wykazania, że korzystne cele, którym służy ta inwestycja nie mogą być (ze względu na możliwości techniczne lub nieproporcjonalne koszty) osiągnięte za pomocą innych działań, znacznie korzystniejszych z punktu widzenia środowiska naturalnego. </w:t>
            </w:r>
            <w:r w:rsidRPr="005E78BB">
              <w:rPr>
                <w:rFonts w:ascii="Calibri" w:eastAsia="Times New Roman" w:hAnsi="Calibri" w:cs="Calibri"/>
                <w:color w:val="000000"/>
                <w:sz w:val="18"/>
                <w:szCs w:val="18"/>
                <w:lang w:eastAsia="pl-PL"/>
              </w:rPr>
              <w:br w:type="page"/>
              <w:t xml:space="preserve">i) brak wykazania aby dostarczenie energii elektrycznej z innych źródeł, w tym z </w:t>
            </w:r>
            <w:r w:rsidRPr="005E78BB">
              <w:rPr>
                <w:rFonts w:ascii="Calibri" w:eastAsia="Times New Roman" w:hAnsi="Calibri" w:cs="Calibri"/>
                <w:color w:val="000000"/>
                <w:sz w:val="18"/>
                <w:szCs w:val="18"/>
                <w:lang w:eastAsia="pl-PL"/>
              </w:rPr>
              <w:br w:type="page"/>
              <w:t xml:space="preserve">odnawialnych źródeł energii, wiązało się z nieproporcjonalnie wysokimi kosztami. </w:t>
            </w:r>
            <w:r w:rsidRPr="005E78BB">
              <w:rPr>
                <w:rFonts w:ascii="Calibri" w:eastAsia="Times New Roman" w:hAnsi="Calibri" w:cs="Calibri"/>
                <w:color w:val="000000"/>
                <w:sz w:val="18"/>
                <w:szCs w:val="18"/>
                <w:lang w:eastAsia="pl-PL"/>
              </w:rPr>
              <w:br w:type="page"/>
              <w:t xml:space="preserve">Możliwość dostarczenia energii elektrycznej z innych źródeł ma nie być tylko </w:t>
            </w:r>
            <w:r w:rsidRPr="005E78BB">
              <w:rPr>
                <w:rFonts w:ascii="Calibri" w:eastAsia="Times New Roman" w:hAnsi="Calibri" w:cs="Calibri"/>
                <w:color w:val="000000"/>
                <w:sz w:val="18"/>
                <w:szCs w:val="18"/>
                <w:lang w:eastAsia="pl-PL"/>
              </w:rPr>
              <w:br w:type="page"/>
              <w:t xml:space="preserve">droższa niż dostarczenie energii z węgla, a ma być nieproporcjonalnie droższa. </w:t>
            </w:r>
            <w:r w:rsidRPr="005E78BB">
              <w:rPr>
                <w:rFonts w:ascii="Calibri" w:eastAsia="Times New Roman" w:hAnsi="Calibri" w:cs="Calibri"/>
                <w:color w:val="000000"/>
                <w:sz w:val="18"/>
                <w:szCs w:val="18"/>
                <w:lang w:eastAsia="pl-PL"/>
              </w:rPr>
              <w:br w:type="page"/>
              <w:t xml:space="preserve">Brak jest jakiekolwiek porównania kosztów w tym zakresie, brak jakiegokolwiek </w:t>
            </w:r>
            <w:r w:rsidRPr="005E78BB">
              <w:rPr>
                <w:rFonts w:ascii="Calibri" w:eastAsia="Times New Roman" w:hAnsi="Calibri" w:cs="Calibri"/>
                <w:color w:val="000000"/>
                <w:sz w:val="18"/>
                <w:szCs w:val="18"/>
                <w:lang w:eastAsia="pl-PL"/>
              </w:rPr>
              <w:br w:type="page"/>
              <w:t xml:space="preserve">wykazania aby dostarczenie energii w inny sposób było nieproporcjonalnie </w:t>
            </w:r>
            <w:r w:rsidRPr="005E78BB">
              <w:rPr>
                <w:rFonts w:ascii="Calibri" w:eastAsia="Times New Roman" w:hAnsi="Calibri" w:cs="Calibri"/>
                <w:color w:val="000000"/>
                <w:sz w:val="18"/>
                <w:szCs w:val="18"/>
                <w:lang w:eastAsia="pl-PL"/>
              </w:rPr>
              <w:br w:type="page"/>
              <w:t xml:space="preserve">droższe. Uzasadnienie opiera się w tym zakresie wyłącznie na hasłowych </w:t>
            </w:r>
            <w:r w:rsidRPr="005E78BB">
              <w:rPr>
                <w:rFonts w:ascii="Calibri" w:eastAsia="Times New Roman" w:hAnsi="Calibri" w:cs="Calibri"/>
                <w:color w:val="000000"/>
                <w:sz w:val="18"/>
                <w:szCs w:val="18"/>
                <w:lang w:eastAsia="pl-PL"/>
              </w:rPr>
              <w:br w:type="page"/>
              <w:t xml:space="preserve">twierdzeniach: brak korzystniejszej alternatywy pod względem ekonomicznych i </w:t>
            </w:r>
            <w:r w:rsidRPr="005E78BB">
              <w:rPr>
                <w:rFonts w:ascii="Calibri" w:eastAsia="Times New Roman" w:hAnsi="Calibri" w:cs="Calibri"/>
                <w:color w:val="000000"/>
                <w:sz w:val="18"/>
                <w:szCs w:val="18"/>
                <w:lang w:eastAsia="pl-PL"/>
              </w:rPr>
              <w:br w:type="page"/>
              <w:t xml:space="preserve">społecznym; </w:t>
            </w:r>
            <w:r w:rsidRPr="005E78BB">
              <w:rPr>
                <w:rFonts w:ascii="Calibri" w:eastAsia="Times New Roman" w:hAnsi="Calibri" w:cs="Calibri"/>
                <w:color w:val="000000"/>
                <w:sz w:val="18"/>
                <w:szCs w:val="18"/>
                <w:lang w:eastAsia="pl-PL"/>
              </w:rPr>
              <w:br w:type="page"/>
              <w:t xml:space="preserve">ii) Brak wskazania, że uwzględniono aktualne dane dotyczących kosztów produkcji </w:t>
            </w:r>
            <w:r w:rsidRPr="005E78BB">
              <w:rPr>
                <w:rFonts w:ascii="Calibri" w:eastAsia="Times New Roman" w:hAnsi="Calibri" w:cs="Calibri"/>
                <w:color w:val="000000"/>
                <w:sz w:val="18"/>
                <w:szCs w:val="18"/>
                <w:lang w:eastAsia="pl-PL"/>
              </w:rPr>
              <w:br w:type="page"/>
              <w:t xml:space="preserve">energii elektrycznej z węgla, jak i kosztów produkcji energii elektrycznej z OZE, w </w:t>
            </w:r>
            <w:r w:rsidRPr="005E78BB">
              <w:rPr>
                <w:rFonts w:ascii="Calibri" w:eastAsia="Times New Roman" w:hAnsi="Calibri" w:cs="Calibri"/>
                <w:color w:val="000000"/>
                <w:sz w:val="18"/>
                <w:szCs w:val="18"/>
                <w:lang w:eastAsia="pl-PL"/>
              </w:rPr>
              <w:br w:type="page"/>
              <w:t xml:space="preserve">szczególności brak uwzględnienia aktualnych, bardzo wysokich cen za uprawnienia </w:t>
            </w:r>
            <w:r w:rsidRPr="005E78BB">
              <w:rPr>
                <w:rFonts w:ascii="Calibri" w:eastAsia="Times New Roman" w:hAnsi="Calibri" w:cs="Calibri"/>
                <w:color w:val="000000"/>
                <w:sz w:val="18"/>
                <w:szCs w:val="18"/>
                <w:lang w:eastAsia="pl-PL"/>
              </w:rPr>
              <w:br w:type="page"/>
              <w:t xml:space="preserve">do emisji CO2, które obecnie wynoszą aż 64 euro za tonę; </w:t>
            </w:r>
            <w:r w:rsidRPr="005E78BB">
              <w:rPr>
                <w:rFonts w:ascii="Calibri" w:eastAsia="Times New Roman" w:hAnsi="Calibri" w:cs="Calibri"/>
                <w:color w:val="000000"/>
                <w:sz w:val="18"/>
                <w:szCs w:val="18"/>
                <w:lang w:eastAsia="pl-PL"/>
              </w:rPr>
              <w:br w:type="page"/>
              <w:t xml:space="preserve">iii) większość uzasadnienia skupia się na skutkach społecznych i gospodarczych dla </w:t>
            </w:r>
            <w:r w:rsidRPr="005E78BB">
              <w:rPr>
                <w:rFonts w:ascii="Calibri" w:eastAsia="Times New Roman" w:hAnsi="Calibri" w:cs="Calibri"/>
                <w:color w:val="000000"/>
                <w:sz w:val="18"/>
                <w:szCs w:val="18"/>
                <w:lang w:eastAsia="pl-PL"/>
              </w:rPr>
              <w:br w:type="page"/>
              <w:t xml:space="preserve">regionu i możliwości jego rozwoju. Okoliczności te, zgodnie z treścią ustawy Prawo </w:t>
            </w:r>
            <w:r w:rsidRPr="005E78BB">
              <w:rPr>
                <w:rFonts w:ascii="Calibri" w:eastAsia="Times New Roman" w:hAnsi="Calibri" w:cs="Calibri"/>
                <w:color w:val="000000"/>
                <w:sz w:val="18"/>
                <w:szCs w:val="18"/>
                <w:lang w:eastAsia="pl-PL"/>
              </w:rPr>
              <w:br w:type="page"/>
              <w:t xml:space="preserve">wodne, jak i Ramowej Dyrektywy Wodnej, pozostają bez znaczenia dla oceny </w:t>
            </w:r>
            <w:r w:rsidRPr="005E78BB">
              <w:rPr>
                <w:rFonts w:ascii="Calibri" w:eastAsia="Times New Roman" w:hAnsi="Calibri" w:cs="Calibri"/>
                <w:color w:val="000000"/>
                <w:sz w:val="18"/>
                <w:szCs w:val="18"/>
                <w:lang w:eastAsia="pl-PL"/>
              </w:rPr>
              <w:br w:type="page"/>
              <w:t xml:space="preserve">spełnienia warunków do przyznania odstępstwa.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Podsumowując uzasadnienie to przyznania tego odstępstwa wskazać należy, iż wynika z niego, że odstępstwo przyznane zostało w oparciu o poza ustawowe i poza prawne przesłanki, podczas gdy brak jest jakiegokolwiek wykazania, że przesłanki wynikające z przepisów prawa zostały spełnione. </w:t>
            </w:r>
            <w:r w:rsidRPr="005E78BB">
              <w:rPr>
                <w:rFonts w:ascii="Calibri" w:eastAsia="Times New Roman" w:hAnsi="Calibri" w:cs="Calibri"/>
                <w:color w:val="000000"/>
                <w:sz w:val="18"/>
                <w:szCs w:val="18"/>
                <w:lang w:eastAsia="pl-PL"/>
              </w:rPr>
              <w:br w:type="page"/>
              <w:t xml:space="preserve">2) Inwestycja polegająca na eksploatacji węgla kamiennego w Lubelskim Zagłębiu </w:t>
            </w:r>
            <w:r w:rsidRPr="005E78BB">
              <w:rPr>
                <w:rFonts w:ascii="Calibri" w:eastAsia="Times New Roman" w:hAnsi="Calibri" w:cs="Calibri"/>
                <w:color w:val="000000"/>
                <w:sz w:val="18"/>
                <w:szCs w:val="18"/>
                <w:lang w:eastAsia="pl-PL"/>
              </w:rPr>
              <w:br w:type="page"/>
              <w:t xml:space="preserve">Węglowym, w obrębie udokumentowanych złóż węgla K-9, K-6-7-, K-8 i K-4-5 </w:t>
            </w:r>
            <w:r w:rsidRPr="005E78BB">
              <w:rPr>
                <w:rFonts w:ascii="Calibri" w:eastAsia="Times New Roman" w:hAnsi="Calibri" w:cs="Calibri"/>
                <w:color w:val="000000"/>
                <w:sz w:val="18"/>
                <w:szCs w:val="18"/>
                <w:lang w:eastAsia="pl-PL"/>
              </w:rPr>
              <w:br w:type="page"/>
              <w:t xml:space="preserve">Argumentacja Fundacji tożsama z tą dotyczącą derogacji opisanej w pkt. 1 pn. „Eksploatacja węgla kamiennego ze złoża Ostrów” </w:t>
            </w:r>
            <w:r w:rsidRPr="005E78BB">
              <w:rPr>
                <w:rFonts w:ascii="Calibri" w:eastAsia="Times New Roman" w:hAnsi="Calibri" w:cs="Calibri"/>
                <w:color w:val="000000"/>
                <w:sz w:val="18"/>
                <w:szCs w:val="18"/>
                <w:lang w:eastAsia="pl-PL"/>
              </w:rPr>
              <w:br w:type="page"/>
              <w:t xml:space="preserve">3) Eksploatacja kopaliny ze złoża </w:t>
            </w:r>
            <w:r w:rsidRPr="005E78BB">
              <w:rPr>
                <w:rFonts w:ascii="Calibri" w:eastAsia="Times New Roman" w:hAnsi="Calibri" w:cs="Calibri"/>
                <w:color w:val="000000"/>
                <w:sz w:val="18"/>
                <w:szCs w:val="18"/>
                <w:lang w:eastAsia="pl-PL"/>
              </w:rPr>
              <w:lastRenderedPageBreak/>
              <w:t xml:space="preserve">węgla kamiennego Brzeziny i Piekary </w:t>
            </w:r>
            <w:r w:rsidRPr="005E78BB">
              <w:rPr>
                <w:rFonts w:ascii="Calibri" w:eastAsia="Times New Roman" w:hAnsi="Calibri" w:cs="Calibri"/>
                <w:color w:val="000000"/>
                <w:sz w:val="18"/>
                <w:szCs w:val="18"/>
                <w:lang w:eastAsia="pl-PL"/>
              </w:rPr>
              <w:br w:type="page"/>
              <w:t xml:space="preserve">a. brak możliwości odniesienia do celów z IIaPGW, z uwagi na brak decyzji </w:t>
            </w:r>
            <w:r w:rsidRPr="005E78BB">
              <w:rPr>
                <w:rFonts w:ascii="Calibri" w:eastAsia="Times New Roman" w:hAnsi="Calibri" w:cs="Calibri"/>
                <w:color w:val="000000"/>
                <w:sz w:val="18"/>
                <w:szCs w:val="18"/>
                <w:lang w:eastAsia="pl-PL"/>
              </w:rPr>
              <w:br w:type="page"/>
              <w:t xml:space="preserve">środowiskowej, </w:t>
            </w:r>
            <w:r w:rsidRPr="005E78BB">
              <w:rPr>
                <w:rFonts w:ascii="Calibri" w:eastAsia="Times New Roman" w:hAnsi="Calibri" w:cs="Calibri"/>
                <w:color w:val="000000"/>
                <w:sz w:val="18"/>
                <w:szCs w:val="18"/>
                <w:lang w:eastAsia="pl-PL"/>
              </w:rPr>
              <w:br w:type="page"/>
              <w:t xml:space="preserve">b. brak wykazania, że korzystne cele, którym służy ta inwestycja nie mogą być (ze </w:t>
            </w:r>
            <w:r w:rsidRPr="005E78BB">
              <w:rPr>
                <w:rFonts w:ascii="Calibri" w:eastAsia="Times New Roman" w:hAnsi="Calibri" w:cs="Calibri"/>
                <w:color w:val="000000"/>
                <w:sz w:val="18"/>
                <w:szCs w:val="18"/>
                <w:lang w:eastAsia="pl-PL"/>
              </w:rPr>
              <w:br w:type="page"/>
              <w:t xml:space="preserve">względu na możliwości techniczne lub nieproporcjonalne koszty) osiągnięte za </w:t>
            </w:r>
            <w:r w:rsidRPr="005E78BB">
              <w:rPr>
                <w:rFonts w:ascii="Calibri" w:eastAsia="Times New Roman" w:hAnsi="Calibri" w:cs="Calibri"/>
                <w:color w:val="000000"/>
                <w:sz w:val="18"/>
                <w:szCs w:val="18"/>
                <w:lang w:eastAsia="pl-PL"/>
              </w:rPr>
              <w:br w:type="page"/>
              <w:t xml:space="preserve">pomocą innych działań, znacznie korzystniejszych z punktu widzenia </w:t>
            </w:r>
            <w:r w:rsidRPr="005E78BB">
              <w:rPr>
                <w:rFonts w:ascii="Calibri" w:eastAsia="Times New Roman" w:hAnsi="Calibri" w:cs="Calibri"/>
                <w:color w:val="000000"/>
                <w:sz w:val="18"/>
                <w:szCs w:val="18"/>
                <w:lang w:eastAsia="pl-PL"/>
              </w:rPr>
              <w:br w:type="page"/>
              <w:t xml:space="preserve">środowiska naturalnego. </w:t>
            </w:r>
            <w:r w:rsidRPr="005E78BB">
              <w:rPr>
                <w:rFonts w:ascii="Calibri" w:eastAsia="Times New Roman" w:hAnsi="Calibri" w:cs="Calibri"/>
                <w:color w:val="000000"/>
                <w:sz w:val="18"/>
                <w:szCs w:val="18"/>
                <w:lang w:eastAsia="pl-PL"/>
              </w:rPr>
              <w:br w:type="page"/>
              <w:t xml:space="preserve">W uzasadnieniu przyznania odstępstwa wskazano, że celem przyznanego </w:t>
            </w:r>
            <w:r w:rsidRPr="005E78BB">
              <w:rPr>
                <w:rFonts w:ascii="Calibri" w:eastAsia="Times New Roman" w:hAnsi="Calibri" w:cs="Calibri"/>
                <w:color w:val="000000"/>
                <w:sz w:val="18"/>
                <w:szCs w:val="18"/>
                <w:lang w:eastAsia="pl-PL"/>
              </w:rPr>
              <w:br w:type="page"/>
              <w:t xml:space="preserve">odstępstwa jest wydobywanie węgla do produkcji energii elektrycznej oraz </w:t>
            </w:r>
            <w:r w:rsidRPr="005E78BB">
              <w:rPr>
                <w:rFonts w:ascii="Calibri" w:eastAsia="Times New Roman" w:hAnsi="Calibri" w:cs="Calibri"/>
                <w:color w:val="000000"/>
                <w:sz w:val="18"/>
                <w:szCs w:val="18"/>
                <w:lang w:eastAsia="pl-PL"/>
              </w:rPr>
              <w:br w:type="page"/>
              <w:t xml:space="preserve">cieplnej. W uzasadnieniu odstępstwa starano się wykazać, że produkcja energii </w:t>
            </w:r>
            <w:r w:rsidRPr="005E78BB">
              <w:rPr>
                <w:rFonts w:ascii="Calibri" w:eastAsia="Times New Roman" w:hAnsi="Calibri" w:cs="Calibri"/>
                <w:color w:val="000000"/>
                <w:sz w:val="18"/>
                <w:szCs w:val="18"/>
                <w:lang w:eastAsia="pl-PL"/>
              </w:rPr>
              <w:br w:type="page"/>
              <w:t xml:space="preserve">elektrycznej z innych źródeł jest nieekonomiczna, jednakże tak przedstawione </w:t>
            </w:r>
            <w:r w:rsidRPr="005E78BB">
              <w:rPr>
                <w:rFonts w:ascii="Calibri" w:eastAsia="Times New Roman" w:hAnsi="Calibri" w:cs="Calibri"/>
                <w:color w:val="000000"/>
                <w:sz w:val="18"/>
                <w:szCs w:val="18"/>
                <w:lang w:eastAsia="pl-PL"/>
              </w:rPr>
              <w:br w:type="page"/>
              <w:t xml:space="preserve">uzasadnienie nie spełnia wymagań prawnych wynikających tak z ustawy, jak i z </w:t>
            </w:r>
            <w:r w:rsidRPr="005E78BB">
              <w:rPr>
                <w:rFonts w:ascii="Calibri" w:eastAsia="Times New Roman" w:hAnsi="Calibri" w:cs="Calibri"/>
                <w:color w:val="000000"/>
                <w:sz w:val="18"/>
                <w:szCs w:val="18"/>
                <w:lang w:eastAsia="pl-PL"/>
              </w:rPr>
              <w:br w:type="page"/>
              <w:t xml:space="preserve">Ramowej Dyrektywy Wodnej z następujących powodów: </w:t>
            </w:r>
            <w:r w:rsidRPr="005E78BB">
              <w:rPr>
                <w:rFonts w:ascii="Calibri" w:eastAsia="Times New Roman" w:hAnsi="Calibri" w:cs="Calibri"/>
                <w:color w:val="000000"/>
                <w:sz w:val="18"/>
                <w:szCs w:val="18"/>
                <w:lang w:eastAsia="pl-PL"/>
              </w:rPr>
              <w:br w:type="page"/>
              <w:t xml:space="preserve">• brak wykazania aby dostarczenie energii elektrycznej z innych źródeł, w tym z odnawialnych źródeł energii, wiązało się z nieproporcjonalnie wysokimi </w:t>
            </w:r>
            <w:r w:rsidRPr="005E78BB">
              <w:rPr>
                <w:rFonts w:ascii="Calibri" w:eastAsia="Times New Roman" w:hAnsi="Calibri" w:cs="Calibri"/>
                <w:color w:val="000000"/>
                <w:sz w:val="18"/>
                <w:szCs w:val="18"/>
                <w:lang w:eastAsia="pl-PL"/>
              </w:rPr>
              <w:br w:type="page"/>
              <w:t xml:space="preserve">kosztami. Możliwość dostarczenia energii elektrycznej z innych źródeł ma nie </w:t>
            </w:r>
            <w:r w:rsidRPr="005E78BB">
              <w:rPr>
                <w:rFonts w:ascii="Calibri" w:eastAsia="Times New Roman" w:hAnsi="Calibri" w:cs="Calibri"/>
                <w:color w:val="000000"/>
                <w:sz w:val="18"/>
                <w:szCs w:val="18"/>
                <w:lang w:eastAsia="pl-PL"/>
              </w:rPr>
              <w:br w:type="page"/>
              <w:t xml:space="preserve">być tylko droższa niż dostarczenie energii z węgla, a ma być </w:t>
            </w:r>
            <w:r w:rsidRPr="005E78BB">
              <w:rPr>
                <w:rFonts w:ascii="Calibri" w:eastAsia="Times New Roman" w:hAnsi="Calibri" w:cs="Calibri"/>
                <w:color w:val="000000"/>
                <w:sz w:val="18"/>
                <w:szCs w:val="18"/>
                <w:lang w:eastAsia="pl-PL"/>
              </w:rPr>
              <w:br w:type="page"/>
              <w:t xml:space="preserve">nieproporcjonalnie droższa. Brak jest jakiekolwiek porównania kosztów w tym </w:t>
            </w:r>
            <w:r w:rsidRPr="005E78BB">
              <w:rPr>
                <w:rFonts w:ascii="Calibri" w:eastAsia="Times New Roman" w:hAnsi="Calibri" w:cs="Calibri"/>
                <w:color w:val="000000"/>
                <w:sz w:val="18"/>
                <w:szCs w:val="18"/>
                <w:lang w:eastAsia="pl-PL"/>
              </w:rPr>
              <w:br w:type="page"/>
              <w:t xml:space="preserve">zakresie, brak jakiegokolwiek wykazania aby dostarczenie energii w inny </w:t>
            </w:r>
            <w:r w:rsidRPr="005E78BB">
              <w:rPr>
                <w:rFonts w:ascii="Calibri" w:eastAsia="Times New Roman" w:hAnsi="Calibri" w:cs="Calibri"/>
                <w:color w:val="000000"/>
                <w:sz w:val="18"/>
                <w:szCs w:val="18"/>
                <w:lang w:eastAsia="pl-PL"/>
              </w:rPr>
              <w:br w:type="page"/>
              <w:t xml:space="preserve">sposób było nieproporcjonalnie droższe. Uzasadnienie opiera się wyłącznie na </w:t>
            </w:r>
            <w:r w:rsidRPr="005E78BB">
              <w:rPr>
                <w:rFonts w:ascii="Calibri" w:eastAsia="Times New Roman" w:hAnsi="Calibri" w:cs="Calibri"/>
                <w:color w:val="000000"/>
                <w:sz w:val="18"/>
                <w:szCs w:val="18"/>
                <w:lang w:eastAsia="pl-PL"/>
              </w:rPr>
              <w:br w:type="page"/>
              <w:t xml:space="preserve">niepotwierdzonych tezach i hasłowych stwierdzeniach (np. że energia z OZE </w:t>
            </w:r>
            <w:r w:rsidRPr="005E78BB">
              <w:rPr>
                <w:rFonts w:ascii="Calibri" w:eastAsia="Times New Roman" w:hAnsi="Calibri" w:cs="Calibri"/>
                <w:color w:val="000000"/>
                <w:sz w:val="18"/>
                <w:szCs w:val="18"/>
                <w:lang w:eastAsia="pl-PL"/>
              </w:rPr>
              <w:br w:type="page"/>
              <w:t xml:space="preserve">nie jest konkurencyjna w stosunku do energii z węgla, bez wskazania </w:t>
            </w:r>
            <w:r w:rsidRPr="005E78BB">
              <w:rPr>
                <w:rFonts w:ascii="Calibri" w:eastAsia="Times New Roman" w:hAnsi="Calibri" w:cs="Calibri"/>
                <w:color w:val="000000"/>
                <w:sz w:val="18"/>
                <w:szCs w:val="18"/>
                <w:lang w:eastAsia="pl-PL"/>
              </w:rPr>
              <w:br w:type="page"/>
              <w:t xml:space="preserve">jakichkolwiek danych). </w:t>
            </w:r>
            <w:r w:rsidRPr="005E78BB">
              <w:rPr>
                <w:rFonts w:ascii="Calibri" w:eastAsia="Times New Roman" w:hAnsi="Calibri" w:cs="Calibri"/>
                <w:color w:val="000000"/>
                <w:sz w:val="18"/>
                <w:szCs w:val="18"/>
                <w:lang w:eastAsia="pl-PL"/>
              </w:rPr>
              <w:br w:type="page"/>
              <w:t xml:space="preserve">• Oparcie uzasadnienia na historycznych danych z 2013 roku i 2014 roku, brak </w:t>
            </w:r>
            <w:r w:rsidRPr="005E78BB">
              <w:rPr>
                <w:rFonts w:ascii="Calibri" w:eastAsia="Times New Roman" w:hAnsi="Calibri" w:cs="Calibri"/>
                <w:color w:val="000000"/>
                <w:sz w:val="18"/>
                <w:szCs w:val="18"/>
                <w:lang w:eastAsia="pl-PL"/>
              </w:rPr>
              <w:br w:type="page"/>
              <w:t xml:space="preserve">uwzględnienia aktualnych danych (dotyczących np. udziału w OZE w produkcji </w:t>
            </w:r>
            <w:r w:rsidRPr="005E78BB">
              <w:rPr>
                <w:rFonts w:ascii="Calibri" w:eastAsia="Times New Roman" w:hAnsi="Calibri" w:cs="Calibri"/>
                <w:color w:val="000000"/>
                <w:sz w:val="18"/>
                <w:szCs w:val="18"/>
                <w:lang w:eastAsia="pl-PL"/>
              </w:rPr>
              <w:br w:type="page"/>
              <w:t xml:space="preserve">energii elektrycznej, który aktualnie wynosi ponad 20%) </w:t>
            </w:r>
            <w:r w:rsidRPr="005E78BB">
              <w:rPr>
                <w:rFonts w:ascii="Calibri" w:eastAsia="Times New Roman" w:hAnsi="Calibri" w:cs="Calibri"/>
                <w:color w:val="000000"/>
                <w:sz w:val="18"/>
                <w:szCs w:val="18"/>
                <w:lang w:eastAsia="pl-PL"/>
              </w:rPr>
              <w:br w:type="page"/>
              <w:t xml:space="preserve">• Brak uwzględnienia aktualnych danych dotyczących kosztów produkcji energii </w:t>
            </w:r>
            <w:r w:rsidRPr="005E78BB">
              <w:rPr>
                <w:rFonts w:ascii="Calibri" w:eastAsia="Times New Roman" w:hAnsi="Calibri" w:cs="Calibri"/>
                <w:color w:val="000000"/>
                <w:sz w:val="18"/>
                <w:szCs w:val="18"/>
                <w:lang w:eastAsia="pl-PL"/>
              </w:rPr>
              <w:br w:type="page"/>
              <w:t xml:space="preserve">elektrycznej z węgla, jak i kosztów produkcji energii elektrycznej z OZE, w szczególności brak uwzględnienia aktualnych, bardzo wysokich cen za uprawnienia do emisji CO2, które obecnie wynoszą aż 64 euro za tonę (podczas gdy w latach 2013-2014 z których pochodziły dane zawarte w uzasadnieniu wynosiły poniżej 10 euro za tonę!). Dokonanie analizy w oparciu o aktualne danych, w szczególności w oparciu o aktualne cenach uprawnień do emisji CO2, z całą pewnością doprowadziłoby do odmiennych wniosków. </w:t>
            </w:r>
            <w:r w:rsidRPr="005E78BB">
              <w:rPr>
                <w:rFonts w:ascii="Calibri" w:eastAsia="Times New Roman" w:hAnsi="Calibri" w:cs="Calibri"/>
                <w:color w:val="000000"/>
                <w:sz w:val="18"/>
                <w:szCs w:val="18"/>
                <w:lang w:eastAsia="pl-PL"/>
              </w:rPr>
              <w:br w:type="page"/>
              <w:t xml:space="preserve">• Brak </w:t>
            </w:r>
            <w:r w:rsidRPr="005E78BB">
              <w:rPr>
                <w:rFonts w:ascii="Calibri" w:eastAsia="Times New Roman" w:hAnsi="Calibri" w:cs="Calibri"/>
                <w:color w:val="000000"/>
                <w:sz w:val="18"/>
                <w:szCs w:val="18"/>
                <w:lang w:eastAsia="pl-PL"/>
              </w:rPr>
              <w:lastRenderedPageBreak/>
              <w:t xml:space="preserve">uwzględnienie spadku kosztów produkcji energii z OZE w stosunku do </w:t>
            </w:r>
            <w:r w:rsidRPr="005E78BB">
              <w:rPr>
                <w:rFonts w:ascii="Calibri" w:eastAsia="Times New Roman" w:hAnsi="Calibri" w:cs="Calibri"/>
                <w:color w:val="000000"/>
                <w:sz w:val="18"/>
                <w:szCs w:val="18"/>
                <w:lang w:eastAsia="pl-PL"/>
              </w:rPr>
              <w:br w:type="page"/>
              <w:t xml:space="preserve">danych z 2013/2014 roku. Nie jest jasne jakie koszty produkcji energii z OZE </w:t>
            </w:r>
            <w:r w:rsidRPr="005E78BB">
              <w:rPr>
                <w:rFonts w:ascii="Calibri" w:eastAsia="Times New Roman" w:hAnsi="Calibri" w:cs="Calibri"/>
                <w:color w:val="000000"/>
                <w:sz w:val="18"/>
                <w:szCs w:val="18"/>
                <w:lang w:eastAsia="pl-PL"/>
              </w:rPr>
              <w:br w:type="page"/>
              <w:t xml:space="preserve">zostały przyjęte, albowiem w żaden sposób nie wynika to z uzasadnienia </w:t>
            </w:r>
            <w:r w:rsidRPr="005E78BB">
              <w:rPr>
                <w:rFonts w:ascii="Calibri" w:eastAsia="Times New Roman" w:hAnsi="Calibri" w:cs="Calibri"/>
                <w:color w:val="000000"/>
                <w:sz w:val="18"/>
                <w:szCs w:val="18"/>
                <w:lang w:eastAsia="pl-PL"/>
              </w:rPr>
              <w:br w:type="page"/>
              <w:t xml:space="preserve">odstępstwa, jednakże zdecydowanie należy założyć, iż były to historyczne </w:t>
            </w:r>
            <w:r w:rsidRPr="005E78BB">
              <w:rPr>
                <w:rFonts w:ascii="Calibri" w:eastAsia="Times New Roman" w:hAnsi="Calibri" w:cs="Calibri"/>
                <w:color w:val="000000"/>
                <w:sz w:val="18"/>
                <w:szCs w:val="18"/>
                <w:lang w:eastAsia="pl-PL"/>
              </w:rPr>
              <w:br w:type="page"/>
              <w:t xml:space="preserve">dane, tak jak dane dotyczące udziału OZE w produkcji energii czy też importu </w:t>
            </w:r>
            <w:r w:rsidRPr="005E78BB">
              <w:rPr>
                <w:rFonts w:ascii="Calibri" w:eastAsia="Times New Roman" w:hAnsi="Calibri" w:cs="Calibri"/>
                <w:color w:val="000000"/>
                <w:sz w:val="18"/>
                <w:szCs w:val="18"/>
                <w:lang w:eastAsia="pl-PL"/>
              </w:rPr>
              <w:br w:type="page"/>
              <w:t xml:space="preserve">węgla. </w:t>
            </w:r>
            <w:r w:rsidRPr="005E78BB">
              <w:rPr>
                <w:rFonts w:ascii="Calibri" w:eastAsia="Times New Roman" w:hAnsi="Calibri" w:cs="Calibri"/>
                <w:color w:val="000000"/>
                <w:sz w:val="18"/>
                <w:szCs w:val="18"/>
                <w:lang w:eastAsia="pl-PL"/>
              </w:rPr>
              <w:br w:type="page"/>
              <w:t xml:space="preserve">• Analizy eksperckie wręcz pokazują, że opieranie w dalszym ciągu energetyki na </w:t>
            </w:r>
            <w:r w:rsidRPr="005E78BB">
              <w:rPr>
                <w:rFonts w:ascii="Calibri" w:eastAsia="Times New Roman" w:hAnsi="Calibri" w:cs="Calibri"/>
                <w:color w:val="000000"/>
                <w:sz w:val="18"/>
                <w:szCs w:val="18"/>
                <w:lang w:eastAsia="pl-PL"/>
              </w:rPr>
              <w:br w:type="page"/>
              <w:t xml:space="preserve">węglu doprowadzi do gwałtownego wzrostu kosztu wytwarzania energii </w:t>
            </w:r>
            <w:r w:rsidRPr="005E78BB">
              <w:rPr>
                <w:rFonts w:ascii="Calibri" w:eastAsia="Times New Roman" w:hAnsi="Calibri" w:cs="Calibri"/>
                <w:color w:val="000000"/>
                <w:sz w:val="18"/>
                <w:szCs w:val="18"/>
                <w:lang w:eastAsia="pl-PL"/>
              </w:rPr>
              <w:br w:type="page"/>
              <w:t xml:space="preserve">elektrycznej aż o 61 % w latach 2021 – 20307.Zastosowanie scenariusza </w:t>
            </w:r>
            <w:r w:rsidRPr="005E78BB">
              <w:rPr>
                <w:rFonts w:ascii="Calibri" w:eastAsia="Times New Roman" w:hAnsi="Calibri" w:cs="Calibri"/>
                <w:color w:val="000000"/>
                <w:sz w:val="18"/>
                <w:szCs w:val="18"/>
                <w:lang w:eastAsia="pl-PL"/>
              </w:rPr>
              <w:br w:type="page"/>
              <w:t xml:space="preserve">rozwoju OZE proponowanego przez ekspertów może zmniejszyć ten koszt w </w:t>
            </w:r>
            <w:r w:rsidRPr="005E78BB">
              <w:rPr>
                <w:rFonts w:ascii="Calibri" w:eastAsia="Times New Roman" w:hAnsi="Calibri" w:cs="Calibri"/>
                <w:color w:val="000000"/>
                <w:sz w:val="18"/>
                <w:szCs w:val="18"/>
                <w:lang w:eastAsia="pl-PL"/>
              </w:rPr>
              <w:br w:type="page"/>
              <w:t xml:space="preserve">2030 roku o 31-50% w stosunku do scenariusza „węglowego”. W związku z tym </w:t>
            </w:r>
            <w:r w:rsidRPr="005E78BB">
              <w:rPr>
                <w:rFonts w:ascii="Calibri" w:eastAsia="Times New Roman" w:hAnsi="Calibri" w:cs="Calibri"/>
                <w:color w:val="000000"/>
                <w:sz w:val="18"/>
                <w:szCs w:val="18"/>
                <w:lang w:eastAsia="pl-PL"/>
              </w:rPr>
              <w:br w:type="page"/>
              <w:t xml:space="preserve">wydobywanie węgla do produkcji energii elektrycznej nie jest w żaden sposób </w:t>
            </w:r>
            <w:r w:rsidRPr="005E78BB">
              <w:rPr>
                <w:rFonts w:ascii="Calibri" w:eastAsia="Times New Roman" w:hAnsi="Calibri" w:cs="Calibri"/>
                <w:color w:val="000000"/>
                <w:sz w:val="18"/>
                <w:szCs w:val="18"/>
                <w:lang w:eastAsia="pl-PL"/>
              </w:rPr>
              <w:br w:type="page"/>
              <w:t xml:space="preserve">korzystniejszą ekonomicznie opcją w stosunku do innych dostępnych możliwości. </w:t>
            </w:r>
            <w:r w:rsidRPr="005E78BB">
              <w:rPr>
                <w:rFonts w:ascii="Calibri" w:eastAsia="Times New Roman" w:hAnsi="Calibri" w:cs="Calibri"/>
                <w:color w:val="000000"/>
                <w:sz w:val="18"/>
                <w:szCs w:val="18"/>
                <w:lang w:eastAsia="pl-PL"/>
              </w:rPr>
              <w:br w:type="page"/>
              <w:t xml:space="preserve">4) „Wydobycie węgla kamiennego ze złóż na podstawie koncesji z kopalń Katowickiego </w:t>
            </w:r>
            <w:r w:rsidRPr="005E78BB">
              <w:rPr>
                <w:rFonts w:ascii="Calibri" w:eastAsia="Times New Roman" w:hAnsi="Calibri" w:cs="Calibri"/>
                <w:color w:val="000000"/>
                <w:sz w:val="18"/>
                <w:szCs w:val="18"/>
                <w:lang w:eastAsia="pl-PL"/>
              </w:rPr>
              <w:br w:type="page"/>
              <w:t xml:space="preserve">Holdingu Węglowego S.A. – przedłużenie posiadanych koncesji: </w:t>
            </w:r>
            <w:r w:rsidRPr="005E78BB">
              <w:rPr>
                <w:rFonts w:ascii="Calibri" w:eastAsia="Times New Roman" w:hAnsi="Calibri" w:cs="Calibri"/>
                <w:color w:val="000000"/>
                <w:sz w:val="18"/>
                <w:szCs w:val="18"/>
                <w:lang w:eastAsia="pl-PL"/>
              </w:rPr>
              <w:br w:type="page"/>
              <w:t xml:space="preserve">a) brak wydanej decyzji środowiskowej, </w:t>
            </w:r>
            <w:r w:rsidRPr="005E78BB">
              <w:rPr>
                <w:rFonts w:ascii="Calibri" w:eastAsia="Times New Roman" w:hAnsi="Calibri" w:cs="Calibri"/>
                <w:color w:val="000000"/>
                <w:sz w:val="18"/>
                <w:szCs w:val="18"/>
                <w:lang w:eastAsia="pl-PL"/>
              </w:rPr>
              <w:br w:type="page"/>
              <w:t xml:space="preserve">b) brak wykazania, że korzystne cele, którym służy ta inwestycja nie mogą być ze względu </w:t>
            </w:r>
            <w:r w:rsidRPr="005E78BB">
              <w:rPr>
                <w:rFonts w:ascii="Calibri" w:eastAsia="Times New Roman" w:hAnsi="Calibri" w:cs="Calibri"/>
                <w:color w:val="000000"/>
                <w:sz w:val="18"/>
                <w:szCs w:val="18"/>
                <w:lang w:eastAsia="pl-PL"/>
              </w:rPr>
              <w:br w:type="page"/>
              <w:t xml:space="preserve">na możliwości techniczne lub nieproporcjonalne koszty osiągnięte za pomocą innych </w:t>
            </w:r>
            <w:r w:rsidRPr="005E78BB">
              <w:rPr>
                <w:rFonts w:ascii="Calibri" w:eastAsia="Times New Roman" w:hAnsi="Calibri" w:cs="Calibri"/>
                <w:color w:val="000000"/>
                <w:sz w:val="18"/>
                <w:szCs w:val="18"/>
                <w:lang w:eastAsia="pl-PL"/>
              </w:rPr>
              <w:br w:type="page"/>
              <w:t xml:space="preserve">działań, znacznie korzystniejszych z punktu widzenia środowiska naturalnego.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treści uzasadnienia odstępstwa wskazano, że wydobywanie węgla kamiennego przez inwestora umożliwi produkcję energii elektrycznej, co nie może być osiągnięte innymi, bardziej korzystnymi ze względów środowiskowych, metodami, z uwagi na brak możliwości realizacji polityki energetycznej kraju, a tym samym zapewnienia bezpieczeństwa energetycznego Polski. Całość uzasadnienia odstępstwa opiera się wyłącznie na wykazaniu, że Polityka energetyczna Polski do 2030 roku oraz projekt Polityki energetycznej Polski do 2040 roku przewiduje znaczny udział węgla. W związku </w:t>
            </w:r>
            <w:r w:rsidRPr="005E78BB">
              <w:rPr>
                <w:rFonts w:ascii="Calibri" w:eastAsia="Times New Roman" w:hAnsi="Calibri" w:cs="Calibri"/>
                <w:color w:val="000000"/>
                <w:sz w:val="18"/>
                <w:szCs w:val="18"/>
                <w:lang w:eastAsia="pl-PL"/>
              </w:rPr>
              <w:br w:type="page"/>
              <w:t xml:space="preserve">z tym w ocenie autora uzasadnienia przyznanie odstępstwa jest konieczne.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Fundacja wskazuje, iż powyższe okoliczności pozostają bez znaczenia dla </w:t>
            </w:r>
            <w:r w:rsidRPr="005E78BB">
              <w:rPr>
                <w:rFonts w:ascii="Calibri" w:eastAsia="Times New Roman" w:hAnsi="Calibri" w:cs="Calibri"/>
                <w:color w:val="000000"/>
                <w:sz w:val="18"/>
                <w:szCs w:val="18"/>
                <w:lang w:eastAsia="pl-PL"/>
              </w:rPr>
              <w:br w:type="page"/>
              <w:t xml:space="preserve">przyznania odstępstwa. Warunkiem przyznania odstępstwa jest wykazania, że korzystne cele, którym służy inwestycja nie mogą być osiągnięte za pomocą innych działań, znacznie korzystniejszych z punktu widzenia </w:t>
            </w:r>
            <w:r w:rsidRPr="005E78BB">
              <w:rPr>
                <w:rFonts w:ascii="Calibri" w:eastAsia="Times New Roman" w:hAnsi="Calibri" w:cs="Calibri"/>
                <w:color w:val="000000"/>
                <w:sz w:val="18"/>
                <w:szCs w:val="18"/>
                <w:lang w:eastAsia="pl-PL"/>
              </w:rPr>
              <w:lastRenderedPageBreak/>
              <w:t xml:space="preserve">środowiska naturalnego, ze względu na możliwości techniczne lub nieproporcjonalne koszty. Bez znaczenie dla spełnienie warunków przyznania odstępstwa jest fakt czy jakiś dokument wewnętrzny jak np. polityka energetyczna państwa, przewiduje określone działanie. Jedyne warunki uzasadniające przyznanie odstępstwa winny dotyczyć albo braku możliwości technicznych podjęcia innych działań albo ich nieproporcjonalnie wysokich kosztów. W uzasadnieniu dla przyznanego odstępstwa brak jest jakichkolwiek argumentów </w:t>
            </w:r>
            <w:r w:rsidRPr="005E78BB">
              <w:rPr>
                <w:rFonts w:ascii="Calibri" w:eastAsia="Times New Roman" w:hAnsi="Calibri" w:cs="Calibri"/>
                <w:color w:val="000000"/>
                <w:sz w:val="18"/>
                <w:szCs w:val="18"/>
                <w:lang w:eastAsia="pl-PL"/>
              </w:rPr>
              <w:br w:type="page"/>
              <w:t xml:space="preserve">dotyczących braku możliwości technicznych lub nieproporcjonalnie wysokich </w:t>
            </w:r>
            <w:r w:rsidRPr="005E78BB">
              <w:rPr>
                <w:rFonts w:ascii="Calibri" w:eastAsia="Times New Roman" w:hAnsi="Calibri" w:cs="Calibri"/>
                <w:color w:val="000000"/>
                <w:sz w:val="18"/>
                <w:szCs w:val="18"/>
                <w:lang w:eastAsia="pl-PL"/>
              </w:rPr>
              <w:br w:type="page"/>
              <w:t xml:space="preserve">kosztów.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Niezależnie od powyższego Fundacja wskazuje, że analizy eksperckie pokazują, że opieranie w dalszym ciągu energetyki na węglu, tak jak wynika to z Polityki energetycznej polski do 2040 roku (PEP2040), doprowadzi do gwałtownego wzrostu kosztu wytwarzania energii elektrycznej aż o 61 % w latach 2021 – 2030.Zastosowanie zaś scenariusza rozwoju OZE proponowanego przez ekspertów może zmniejszyć ten koszt w 2030 roku o 31-50% w stosunku do PEP2040. W związku z tym wydobywanie węgla do produkcji energii elektrycznej nie jest w żaden sposób korzystniejszą ekonomicznie opcją w </w:t>
            </w:r>
            <w:r w:rsidRPr="005E78BB">
              <w:rPr>
                <w:rFonts w:ascii="Calibri" w:eastAsia="Times New Roman" w:hAnsi="Calibri" w:cs="Calibri"/>
                <w:color w:val="000000"/>
                <w:sz w:val="18"/>
                <w:szCs w:val="18"/>
                <w:lang w:eastAsia="pl-PL"/>
              </w:rPr>
              <w:br w:type="page"/>
              <w:t xml:space="preserve">stosunku do innych dostępnych możliwości.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Przedstawione powyżej wady przyznanych odstępstw dotyczą również pozostałych </w:t>
            </w:r>
            <w:r w:rsidRPr="005E78BB">
              <w:rPr>
                <w:rFonts w:ascii="Calibri" w:eastAsia="Times New Roman" w:hAnsi="Calibri" w:cs="Calibri"/>
                <w:color w:val="000000"/>
                <w:sz w:val="18"/>
                <w:szCs w:val="18"/>
                <w:lang w:eastAsia="pl-PL"/>
              </w:rPr>
              <w:br w:type="page"/>
              <w:t xml:space="preserve">przyznanych odstępstw dla inwestycji węglowych: </w:t>
            </w:r>
            <w:r w:rsidRPr="005E78BB">
              <w:rPr>
                <w:rFonts w:ascii="Calibri" w:eastAsia="Times New Roman" w:hAnsi="Calibri" w:cs="Calibri"/>
                <w:color w:val="000000"/>
                <w:sz w:val="18"/>
                <w:szCs w:val="18"/>
                <w:lang w:eastAsia="pl-PL"/>
              </w:rPr>
              <w:br w:type="page"/>
              <w:t xml:space="preserve">• Wydobywanie kopaliny ze złoża „Janina” oraz rozszerzenie eksploatacji w nowo </w:t>
            </w:r>
            <w:r w:rsidRPr="005E78BB">
              <w:rPr>
                <w:rFonts w:ascii="Calibri" w:eastAsia="Times New Roman" w:hAnsi="Calibri" w:cs="Calibri"/>
                <w:color w:val="000000"/>
                <w:sz w:val="18"/>
                <w:szCs w:val="18"/>
                <w:lang w:eastAsia="pl-PL"/>
              </w:rPr>
              <w:br w:type="page"/>
              <w:t xml:space="preserve">udostępnionym złożu „Wisła I Wisła II-1” </w:t>
            </w:r>
            <w:r w:rsidRPr="005E78BB">
              <w:rPr>
                <w:rFonts w:ascii="Calibri" w:eastAsia="Times New Roman" w:hAnsi="Calibri" w:cs="Calibri"/>
                <w:color w:val="000000"/>
                <w:sz w:val="18"/>
                <w:szCs w:val="18"/>
                <w:lang w:eastAsia="pl-PL"/>
              </w:rPr>
              <w:br w:type="page"/>
              <w:t xml:space="preserve">• Eksploatacja podziemne węgla kamiennego ze złoża Brzezinka 3 </w:t>
            </w:r>
            <w:r w:rsidRPr="005E78BB">
              <w:rPr>
                <w:rFonts w:ascii="Calibri" w:eastAsia="Times New Roman" w:hAnsi="Calibri" w:cs="Calibri"/>
                <w:color w:val="000000"/>
                <w:sz w:val="18"/>
                <w:szCs w:val="18"/>
                <w:lang w:eastAsia="pl-PL"/>
              </w:rPr>
              <w:br w:type="page"/>
              <w:t xml:space="preserve">• Wydobywanie kopaliny ze złoża węgla kamiennego Jaworzno, Dziećkowice, Byczyna </w:t>
            </w:r>
            <w:r w:rsidRPr="005E78BB">
              <w:rPr>
                <w:rFonts w:ascii="Calibri" w:eastAsia="Times New Roman" w:hAnsi="Calibri" w:cs="Calibri"/>
                <w:color w:val="000000"/>
                <w:sz w:val="18"/>
                <w:szCs w:val="18"/>
                <w:lang w:eastAsia="pl-PL"/>
              </w:rPr>
              <w:br w:type="page"/>
              <w:t xml:space="preserve">oraz rozpoczęcie eksploatacji w nowo projektowanych do udostępnienia złożach </w:t>
            </w:r>
            <w:r w:rsidRPr="005E78BB">
              <w:rPr>
                <w:rFonts w:ascii="Calibri" w:eastAsia="Times New Roman" w:hAnsi="Calibri" w:cs="Calibri"/>
                <w:color w:val="000000"/>
                <w:sz w:val="18"/>
                <w:szCs w:val="18"/>
                <w:lang w:eastAsia="pl-PL"/>
              </w:rPr>
              <w:br w:type="page"/>
              <w:t xml:space="preserve">„Brzezinka 1” i „Dąb”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wymienionych powyżej odstępstwach również: </w:t>
            </w:r>
            <w:r w:rsidRPr="005E78BB">
              <w:rPr>
                <w:rFonts w:ascii="Calibri" w:eastAsia="Times New Roman" w:hAnsi="Calibri" w:cs="Calibri"/>
                <w:color w:val="000000"/>
                <w:sz w:val="18"/>
                <w:szCs w:val="18"/>
                <w:lang w:eastAsia="pl-PL"/>
              </w:rPr>
              <w:br w:type="page"/>
              <w:t xml:space="preserve">• brak wydanej decyzji środowiskowej w oparciu o nowe przepisy ustawy Prawo wodne, </w:t>
            </w:r>
            <w:r w:rsidRPr="005E78BB">
              <w:rPr>
                <w:rFonts w:ascii="Calibri" w:eastAsia="Times New Roman" w:hAnsi="Calibri" w:cs="Calibri"/>
                <w:color w:val="000000"/>
                <w:sz w:val="18"/>
                <w:szCs w:val="18"/>
                <w:lang w:eastAsia="pl-PL"/>
              </w:rPr>
              <w:br w:type="page"/>
              <w:t xml:space="preserve">• brak wykazania, że korzystne cele, którym służy ta inwestycja nie mogą być (ze względu </w:t>
            </w:r>
            <w:r w:rsidRPr="005E78BB">
              <w:rPr>
                <w:rFonts w:ascii="Calibri" w:eastAsia="Times New Roman" w:hAnsi="Calibri" w:cs="Calibri"/>
                <w:color w:val="000000"/>
                <w:sz w:val="18"/>
                <w:szCs w:val="18"/>
                <w:lang w:eastAsia="pl-PL"/>
              </w:rPr>
              <w:br w:type="page"/>
              <w:t xml:space="preserve">na możliwości techniczne lub nieproporcjonalne koszty) osiągnięte za pomocą innych </w:t>
            </w:r>
            <w:r w:rsidRPr="005E78BB">
              <w:rPr>
                <w:rFonts w:ascii="Calibri" w:eastAsia="Times New Roman" w:hAnsi="Calibri" w:cs="Calibri"/>
                <w:color w:val="000000"/>
                <w:sz w:val="18"/>
                <w:szCs w:val="18"/>
                <w:lang w:eastAsia="pl-PL"/>
              </w:rPr>
              <w:br w:type="page"/>
              <w:t xml:space="preserve">działań, znacznie korzystniejszych z punktu widzenia środowiska naturalnego.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uzasadnieniu przyznania odstępstwa wskazano, że celem przyznanego odstępstwa jest </w:t>
            </w:r>
            <w:r w:rsidRPr="005E78BB">
              <w:rPr>
                <w:rFonts w:ascii="Calibri" w:eastAsia="Times New Roman" w:hAnsi="Calibri" w:cs="Calibri"/>
                <w:color w:val="000000"/>
                <w:sz w:val="18"/>
                <w:szCs w:val="18"/>
                <w:lang w:eastAsia="pl-PL"/>
              </w:rPr>
              <w:br w:type="page"/>
              <w:t xml:space="preserve">wydobywanie węgla do produkcji energii elektrycznej oraz </w:t>
            </w:r>
            <w:r w:rsidRPr="005E78BB">
              <w:rPr>
                <w:rFonts w:ascii="Calibri" w:eastAsia="Times New Roman" w:hAnsi="Calibri" w:cs="Calibri"/>
                <w:color w:val="000000"/>
                <w:sz w:val="18"/>
                <w:szCs w:val="18"/>
                <w:lang w:eastAsia="pl-PL"/>
              </w:rPr>
              <w:lastRenderedPageBreak/>
              <w:t xml:space="preserve">cieplnej. W uzasadnieniu </w:t>
            </w:r>
            <w:r w:rsidRPr="005E78BB">
              <w:rPr>
                <w:rFonts w:ascii="Calibri" w:eastAsia="Times New Roman" w:hAnsi="Calibri" w:cs="Calibri"/>
                <w:color w:val="000000"/>
                <w:sz w:val="18"/>
                <w:szCs w:val="18"/>
                <w:lang w:eastAsia="pl-PL"/>
              </w:rPr>
              <w:br w:type="page"/>
              <w:t xml:space="preserve">odstępstwa starano się wykazać, że produkcja energii elektrycznej z innych źródeł mniej </w:t>
            </w:r>
            <w:r w:rsidRPr="005E78BB">
              <w:rPr>
                <w:rFonts w:ascii="Calibri" w:eastAsia="Times New Roman" w:hAnsi="Calibri" w:cs="Calibri"/>
                <w:color w:val="000000"/>
                <w:sz w:val="18"/>
                <w:szCs w:val="18"/>
                <w:lang w:eastAsia="pl-PL"/>
              </w:rPr>
              <w:br w:type="page"/>
              <w:t xml:space="preserve">korzystną ekonomicznie opcją, jednakże tak przedstawione uzasadnienie nie spełnia wymagań prawnych wynikających tak z ustawy, jak i z Ramowej Dyrektywy Wodnej z następujących powodów: </w:t>
            </w:r>
            <w:r w:rsidRPr="005E78BB">
              <w:rPr>
                <w:rFonts w:ascii="Calibri" w:eastAsia="Times New Roman" w:hAnsi="Calibri" w:cs="Calibri"/>
                <w:color w:val="000000"/>
                <w:sz w:val="18"/>
                <w:szCs w:val="18"/>
                <w:lang w:eastAsia="pl-PL"/>
              </w:rPr>
              <w:br w:type="page"/>
              <w:t xml:space="preserve">i) brak wykazania aby dostarczenie energii elektrycznej z innych źródeł, w tym z </w:t>
            </w:r>
            <w:r w:rsidRPr="005E78BB">
              <w:rPr>
                <w:rFonts w:ascii="Calibri" w:eastAsia="Times New Roman" w:hAnsi="Calibri" w:cs="Calibri"/>
                <w:color w:val="000000"/>
                <w:sz w:val="18"/>
                <w:szCs w:val="18"/>
                <w:lang w:eastAsia="pl-PL"/>
              </w:rPr>
              <w:br w:type="page"/>
              <w:t xml:space="preserve">odnawialnych źródeł energii, wiązało się z nieproporcjonalnie wysokimi kosztami. Możliwość dostarczenia energii elektrycznej z innych źródeł ma nie być tylko droższa niż dostarczenie energii z węgla, a ma być nieproporcjonalnie droższa. Brak jest jakiekolwiek porównania kosztów w tym zakresie, brak jakiegokolwiek wykazania aby dostarczenie energii w inny sposób było nieproporcjonalnie droższe. Uzasadnienie opiera się w tym zakresie wyłącznie na hasłowych twierdzeniach, </w:t>
            </w:r>
            <w:r w:rsidRPr="005E78BB">
              <w:rPr>
                <w:rFonts w:ascii="Calibri" w:eastAsia="Times New Roman" w:hAnsi="Calibri" w:cs="Calibri"/>
                <w:color w:val="000000"/>
                <w:sz w:val="18"/>
                <w:szCs w:val="18"/>
                <w:lang w:eastAsia="pl-PL"/>
              </w:rPr>
              <w:br w:type="page"/>
              <w:t xml:space="preserve">ii) Brak wskazania, że uwzględniono aktualne dane dotyczących kosztów produkcji </w:t>
            </w:r>
            <w:r w:rsidRPr="005E78BB">
              <w:rPr>
                <w:rFonts w:ascii="Calibri" w:eastAsia="Times New Roman" w:hAnsi="Calibri" w:cs="Calibri"/>
                <w:color w:val="000000"/>
                <w:sz w:val="18"/>
                <w:szCs w:val="18"/>
                <w:lang w:eastAsia="pl-PL"/>
              </w:rPr>
              <w:br w:type="page"/>
              <w:t xml:space="preserve">energii elektrycznej z węgla, jak i kosztów produkcji energii elektrycznej z OZE, w </w:t>
            </w:r>
            <w:r w:rsidRPr="005E78BB">
              <w:rPr>
                <w:rFonts w:ascii="Calibri" w:eastAsia="Times New Roman" w:hAnsi="Calibri" w:cs="Calibri"/>
                <w:color w:val="000000"/>
                <w:sz w:val="18"/>
                <w:szCs w:val="18"/>
                <w:lang w:eastAsia="pl-PL"/>
              </w:rPr>
              <w:br w:type="page"/>
              <w:t xml:space="preserve">szczególności brak uwzględnienia aktualnych, bardzo wysokich cen za uprawnienia </w:t>
            </w:r>
            <w:r w:rsidRPr="005E78BB">
              <w:rPr>
                <w:rFonts w:ascii="Calibri" w:eastAsia="Times New Roman" w:hAnsi="Calibri" w:cs="Calibri"/>
                <w:color w:val="000000"/>
                <w:sz w:val="18"/>
                <w:szCs w:val="18"/>
                <w:lang w:eastAsia="pl-PL"/>
              </w:rPr>
              <w:br w:type="page"/>
              <w:t xml:space="preserve">do emisji CO2, które obecnie wynoszą aż 64 euro za tonę;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Ponadto w uzasadnienia powołano również wszelkie możliwe trudności związanych z </w:t>
            </w:r>
            <w:r w:rsidRPr="005E78BB">
              <w:rPr>
                <w:rFonts w:ascii="Calibri" w:eastAsia="Times New Roman" w:hAnsi="Calibri" w:cs="Calibri"/>
                <w:color w:val="000000"/>
                <w:sz w:val="18"/>
                <w:szCs w:val="18"/>
                <w:lang w:eastAsia="pl-PL"/>
              </w:rPr>
              <w:br w:type="page"/>
              <w:t xml:space="preserve">budowaniem alternatywnych źródeł energii (trudności, które również towarzyszą </w:t>
            </w:r>
            <w:r w:rsidRPr="005E78BB">
              <w:rPr>
                <w:rFonts w:ascii="Calibri" w:eastAsia="Times New Roman" w:hAnsi="Calibri" w:cs="Calibri"/>
                <w:color w:val="000000"/>
                <w:sz w:val="18"/>
                <w:szCs w:val="18"/>
                <w:lang w:eastAsia="pl-PL"/>
              </w:rPr>
              <w:br w:type="page"/>
              <w:t xml:space="preserve">inwestycjom węglowym). Jednakże te trudności w żaden sposób nie świadczą o braku </w:t>
            </w:r>
            <w:r w:rsidRPr="005E78BB">
              <w:rPr>
                <w:rFonts w:ascii="Calibri" w:eastAsia="Times New Roman" w:hAnsi="Calibri" w:cs="Calibri"/>
                <w:color w:val="000000"/>
                <w:sz w:val="18"/>
                <w:szCs w:val="18"/>
                <w:lang w:eastAsia="pl-PL"/>
              </w:rPr>
              <w:br w:type="page"/>
              <w:t xml:space="preserve">możliwości technicznych do produkcji energii elektrycznej w oparciu o inne źródła niż węgiel. Występowanie trudności takich jak hałas czy zmiana mikroklimatu nie świadczy o braku możliwości technicznych. Okoliczności te, zgodnie z treścią ustawy Prawo wodne, jak i Ramowej Dyrektywy Wodnej, pozostają bez znaczenia dla oceny spełnienia warunków do przyznania odstępstwa.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Podsumowując uzasadnienie do przyznania tego odstępstwa wskazać należy, iż wynika z </w:t>
            </w:r>
            <w:r w:rsidRPr="005E78BB">
              <w:rPr>
                <w:rFonts w:ascii="Calibri" w:eastAsia="Times New Roman" w:hAnsi="Calibri" w:cs="Calibri"/>
                <w:color w:val="000000"/>
                <w:sz w:val="18"/>
                <w:szCs w:val="18"/>
                <w:lang w:eastAsia="pl-PL"/>
              </w:rPr>
              <w:br w:type="page"/>
              <w:t xml:space="preserve">niego, że odstępstwa przyznane zostały w oparciu o pozaustawowe i pozaprawne przesłanki, podczas gdy brak jest jakiegokolwiek wykazania, że przesłanki wynikające z przepisów prawa zostały rzeczywiście spełnione.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Uwzględniając powyższe stwierdzić należy, iż w przypadku wszystkich wskazanych powyżej odstępstw nie zostało wykazane spełnienie przesłanek do ich przyznania, jak również brak jest dowodu </w:t>
            </w:r>
            <w:r w:rsidRPr="005E78BB">
              <w:rPr>
                <w:rFonts w:ascii="Calibri" w:eastAsia="Times New Roman" w:hAnsi="Calibri" w:cs="Calibri"/>
                <w:color w:val="000000"/>
                <w:sz w:val="18"/>
                <w:szCs w:val="18"/>
                <w:lang w:eastAsia="pl-PL"/>
              </w:rPr>
              <w:lastRenderedPageBreak/>
              <w:t xml:space="preserve">aby przeprowadzona została należyta analiza w tym zakresie.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C173D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50-57_FundFrankBold_Wisła</w:t>
            </w:r>
          </w:p>
        </w:tc>
        <w:tc>
          <w:tcPr>
            <w:tcW w:w="1276" w:type="dxa"/>
            <w:shd w:val="clear" w:color="auto" w:fill="auto"/>
            <w:hideMark/>
          </w:tcPr>
          <w:p w14:paraId="12AAAE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8EF741C" w14:textId="0655143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29FA0A92" w14:textId="77777777" w:rsidTr="00E92AE6">
        <w:trPr>
          <w:trHeight w:val="454"/>
        </w:trPr>
        <w:tc>
          <w:tcPr>
            <w:tcW w:w="562" w:type="dxa"/>
            <w:shd w:val="clear" w:color="auto" w:fill="auto"/>
            <w:hideMark/>
          </w:tcPr>
          <w:p w14:paraId="7E37311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58</w:t>
            </w:r>
          </w:p>
        </w:tc>
        <w:tc>
          <w:tcPr>
            <w:tcW w:w="1021" w:type="dxa"/>
          </w:tcPr>
          <w:p w14:paraId="17B7240F" w14:textId="083F6D9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Biebrzański Park Narodowy</w:t>
            </w:r>
          </w:p>
        </w:tc>
        <w:tc>
          <w:tcPr>
            <w:tcW w:w="1630" w:type="dxa"/>
            <w:shd w:val="clear" w:color="auto" w:fill="auto"/>
            <w:hideMark/>
          </w:tcPr>
          <w:p w14:paraId="3A3EE7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4038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nr 7.3._Zestaw _dzialan_RW_ODWisła - wiersz 815, rzeka San, region </w:t>
            </w:r>
            <w:r w:rsidRPr="005E78BB">
              <w:rPr>
                <w:rFonts w:ascii="Calibri" w:eastAsia="Times New Roman" w:hAnsi="Calibri" w:cs="Calibri"/>
                <w:color w:val="000000"/>
                <w:sz w:val="18"/>
                <w:szCs w:val="18"/>
                <w:lang w:eastAsia="pl-PL"/>
              </w:rPr>
              <w:br/>
              <w:t xml:space="preserve">wodny Górnej-Wschodniej Wisły, województwo podkarpackie  Biebrzański Park Narodowy został wpisany jako jednostka odpowiedzialna za realizację.  Park leży w regionie Narwi, woj. podlaskie. Błędnie wpisano jednostkę odpowiedzialną za realizację. </w:t>
            </w:r>
          </w:p>
        </w:tc>
        <w:tc>
          <w:tcPr>
            <w:tcW w:w="3377" w:type="dxa"/>
            <w:shd w:val="clear" w:color="auto" w:fill="auto"/>
            <w:hideMark/>
          </w:tcPr>
          <w:p w14:paraId="2CB4330E" w14:textId="53BD05C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do Załącznik nr 7.3._Zestaw_dzialan_RW_ODWisła działania realizowanego </w:t>
            </w:r>
            <w:r w:rsidRPr="005E78BB">
              <w:rPr>
                <w:rFonts w:ascii="Calibri" w:eastAsia="Times New Roman" w:hAnsi="Calibri" w:cs="Calibri"/>
                <w:color w:val="000000"/>
                <w:sz w:val="18"/>
                <w:szCs w:val="18"/>
                <w:lang w:eastAsia="pl-PL"/>
              </w:rPr>
              <w:br/>
              <w:t xml:space="preserve">przez Biebrzański Park Narodowy. </w:t>
            </w:r>
            <w:r w:rsidRPr="005E78BB">
              <w:rPr>
                <w:rFonts w:ascii="Calibri" w:eastAsia="Times New Roman" w:hAnsi="Calibri" w:cs="Calibri"/>
                <w:color w:val="000000"/>
                <w:sz w:val="18"/>
                <w:szCs w:val="18"/>
                <w:lang w:eastAsia="pl-PL"/>
              </w:rPr>
              <w:br/>
              <w:t xml:space="preserve">Kategoria działań: Kształtowanie stosunków wodnych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Poprawa warunków </w:t>
            </w:r>
            <w:r w:rsidRPr="005E78BB">
              <w:rPr>
                <w:rFonts w:ascii="Calibri" w:eastAsia="Times New Roman" w:hAnsi="Calibri" w:cs="Calibri"/>
                <w:color w:val="000000"/>
                <w:sz w:val="18"/>
                <w:szCs w:val="18"/>
                <w:lang w:eastAsia="pl-PL"/>
              </w:rPr>
              <w:br/>
              <w:t xml:space="preserve">dla obszarów chronionych/ Zapewnienie ciągłości biologicznej i morfologicznej </w:t>
            </w:r>
            <w:r w:rsidRPr="005E78BB">
              <w:rPr>
                <w:rFonts w:ascii="Calibri" w:eastAsia="Times New Roman" w:hAnsi="Calibri" w:cs="Calibri"/>
                <w:color w:val="000000"/>
                <w:sz w:val="18"/>
                <w:szCs w:val="18"/>
                <w:lang w:eastAsia="pl-PL"/>
              </w:rPr>
              <w:br/>
              <w:t xml:space="preserve">rzek i potoków </w:t>
            </w:r>
            <w:r w:rsidRPr="005E78BB">
              <w:rPr>
                <w:rFonts w:ascii="Calibri" w:eastAsia="Times New Roman" w:hAnsi="Calibri" w:cs="Calibri"/>
                <w:color w:val="000000"/>
                <w:sz w:val="18"/>
                <w:szCs w:val="18"/>
                <w:lang w:eastAsia="pl-PL"/>
              </w:rPr>
              <w:br/>
              <w:t xml:space="preserve">Grupa działań: Ochrona i odtwarzanie naturalnych procesów hydromorfologicznych </w:t>
            </w:r>
            <w:r w:rsidRPr="005E78BB">
              <w:rPr>
                <w:rFonts w:ascii="Calibri" w:eastAsia="Times New Roman" w:hAnsi="Calibri" w:cs="Calibri"/>
                <w:color w:val="000000"/>
                <w:sz w:val="18"/>
                <w:szCs w:val="18"/>
                <w:lang w:eastAsia="pl-PL"/>
              </w:rPr>
              <w:br/>
              <w:t xml:space="preserve">w korycie w zakresie spełnienia celów środowiskowych obszarów przyrodniczych </w:t>
            </w:r>
            <w:r w:rsidRPr="005E78BB">
              <w:rPr>
                <w:rFonts w:ascii="Calibri" w:eastAsia="Times New Roman" w:hAnsi="Calibri" w:cs="Calibri"/>
                <w:color w:val="000000"/>
                <w:sz w:val="18"/>
                <w:szCs w:val="18"/>
                <w:lang w:eastAsia="pl-PL"/>
              </w:rPr>
              <w:br/>
              <w:t xml:space="preserve">Kod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RW2000112628999 </w:t>
            </w:r>
            <w:r w:rsidRPr="005E78BB">
              <w:rPr>
                <w:rFonts w:ascii="Calibri" w:eastAsia="Times New Roman" w:hAnsi="Calibri" w:cs="Calibri"/>
                <w:color w:val="000000"/>
                <w:sz w:val="18"/>
                <w:szCs w:val="18"/>
                <w:lang w:eastAsia="pl-PL"/>
              </w:rPr>
              <w:br/>
              <w:t xml:space="preserve">Nazwa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Ełk od wypływu z jez. Ełckiego do ujścia </w:t>
            </w:r>
            <w:r w:rsidRPr="005E78BB">
              <w:rPr>
                <w:rFonts w:ascii="Calibri" w:eastAsia="Times New Roman" w:hAnsi="Calibri" w:cs="Calibri"/>
                <w:color w:val="000000"/>
                <w:sz w:val="18"/>
                <w:szCs w:val="18"/>
                <w:lang w:eastAsia="pl-PL"/>
              </w:rPr>
              <w:br/>
              <w:t xml:space="preserve">Dorzecze: Wisła </w:t>
            </w:r>
            <w:r w:rsidRPr="005E78BB">
              <w:rPr>
                <w:rFonts w:ascii="Calibri" w:eastAsia="Times New Roman" w:hAnsi="Calibri" w:cs="Calibri"/>
                <w:color w:val="000000"/>
                <w:sz w:val="18"/>
                <w:szCs w:val="18"/>
                <w:lang w:eastAsia="pl-PL"/>
              </w:rPr>
              <w:br/>
              <w:t xml:space="preserve">Region wodny: Narwi </w:t>
            </w:r>
            <w:r w:rsidRPr="005E78BB">
              <w:rPr>
                <w:rFonts w:ascii="Calibri" w:eastAsia="Times New Roman" w:hAnsi="Calibri" w:cs="Calibri"/>
                <w:color w:val="000000"/>
                <w:sz w:val="18"/>
                <w:szCs w:val="18"/>
                <w:lang w:eastAsia="pl-PL"/>
              </w:rPr>
              <w:br/>
              <w:t xml:space="preserve">Województwo: woj. podlaskie </w:t>
            </w:r>
            <w:r w:rsidRPr="005E78BB">
              <w:rPr>
                <w:rFonts w:ascii="Calibri" w:eastAsia="Times New Roman" w:hAnsi="Calibri" w:cs="Calibri"/>
                <w:color w:val="000000"/>
                <w:sz w:val="18"/>
                <w:szCs w:val="18"/>
                <w:lang w:eastAsia="pl-PL"/>
              </w:rPr>
              <w:br/>
              <w:t xml:space="preserve">Powiat: grajewski </w:t>
            </w:r>
            <w:r w:rsidRPr="005E78BB">
              <w:rPr>
                <w:rFonts w:ascii="Calibri" w:eastAsia="Times New Roman" w:hAnsi="Calibri" w:cs="Calibri"/>
                <w:color w:val="000000"/>
                <w:sz w:val="18"/>
                <w:szCs w:val="18"/>
                <w:lang w:eastAsia="pl-PL"/>
              </w:rPr>
              <w:br/>
              <w:t xml:space="preserve">Gmina: gmina Grajewo </w:t>
            </w:r>
            <w:r w:rsidRPr="005E78BB">
              <w:rPr>
                <w:rFonts w:ascii="Calibri" w:eastAsia="Times New Roman" w:hAnsi="Calibri" w:cs="Calibri"/>
                <w:color w:val="000000"/>
                <w:sz w:val="18"/>
                <w:szCs w:val="18"/>
                <w:lang w:eastAsia="pl-PL"/>
              </w:rPr>
              <w:br/>
              <w:t xml:space="preserve">RZGW: Białystok </w:t>
            </w:r>
            <w:r w:rsidRPr="005E78BB">
              <w:rPr>
                <w:rFonts w:ascii="Calibri" w:eastAsia="Times New Roman" w:hAnsi="Calibri" w:cs="Calibri"/>
                <w:color w:val="000000"/>
                <w:sz w:val="18"/>
                <w:szCs w:val="18"/>
                <w:lang w:eastAsia="pl-PL"/>
              </w:rPr>
              <w:br/>
              <w:t xml:space="preserve">Zarząd Zlewni: Zarząd Zlewni w Augustowie </w:t>
            </w:r>
            <w:r w:rsidRPr="005E78BB">
              <w:rPr>
                <w:rFonts w:ascii="Calibri" w:eastAsia="Times New Roman" w:hAnsi="Calibri" w:cs="Calibri"/>
                <w:color w:val="000000"/>
                <w:sz w:val="18"/>
                <w:szCs w:val="18"/>
                <w:lang w:eastAsia="pl-PL"/>
              </w:rPr>
              <w:br/>
              <w:t xml:space="preserve">Status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w:t>
            </w:r>
            <w:r w:rsidRPr="005E78BB">
              <w:rPr>
                <w:rFonts w:ascii="Calibri" w:eastAsia="Times New Roman" w:hAnsi="Calibri" w:cs="Calibri"/>
                <w:color w:val="000000"/>
                <w:sz w:val="18"/>
                <w:szCs w:val="18"/>
                <w:lang w:eastAsia="pl-PL"/>
              </w:rPr>
              <w:br/>
              <w:t xml:space="preserve">Nazwa działania: Działania renaturyzacyjne </w:t>
            </w:r>
            <w:r w:rsidRPr="005E78BB">
              <w:rPr>
                <w:rFonts w:ascii="Calibri" w:eastAsia="Times New Roman" w:hAnsi="Calibri" w:cs="Calibri"/>
                <w:color w:val="000000"/>
                <w:sz w:val="18"/>
                <w:szCs w:val="18"/>
                <w:lang w:eastAsia="pl-PL"/>
              </w:rPr>
              <w:br/>
              <w:t>Opis działania: Przywrócenie stałego przepływu w starym korycie rzeki Ełk. Zatrzy</w:t>
            </w:r>
            <w:r w:rsidRPr="005E78BB">
              <w:rPr>
                <w:rFonts w:ascii="Calibri" w:eastAsia="Times New Roman" w:hAnsi="Calibri" w:cs="Calibri"/>
                <w:color w:val="000000"/>
                <w:sz w:val="18"/>
                <w:szCs w:val="18"/>
                <w:lang w:eastAsia="pl-PL"/>
              </w:rPr>
              <w:br/>
              <w:t xml:space="preserve">manie procesów degradacyjnych siedlisk od wód zależnych w rejonie systemu wodnego: Kanał Rudzki - rzeka Ełk - rzeka Jegrznia - Kanał Woźnawiejski. </w:t>
            </w:r>
            <w:r w:rsidRPr="005E78BB">
              <w:rPr>
                <w:rFonts w:ascii="Calibri" w:eastAsia="Times New Roman" w:hAnsi="Calibri" w:cs="Calibri"/>
                <w:color w:val="000000"/>
                <w:sz w:val="18"/>
                <w:szCs w:val="18"/>
                <w:lang w:eastAsia="pl-PL"/>
              </w:rPr>
              <w:br/>
              <w:t xml:space="preserve">Typ działania: techniczne </w:t>
            </w:r>
            <w:r w:rsidRPr="005E78BB">
              <w:rPr>
                <w:rFonts w:ascii="Calibri" w:eastAsia="Times New Roman" w:hAnsi="Calibri" w:cs="Calibri"/>
                <w:color w:val="000000"/>
                <w:sz w:val="18"/>
                <w:szCs w:val="18"/>
                <w:lang w:eastAsia="pl-PL"/>
              </w:rPr>
              <w:br/>
              <w:t xml:space="preserve">Podstawa prawna działania: art. 324 ust. 2 pkt 1 lit b. pr.w. </w:t>
            </w:r>
            <w:r w:rsidRPr="005E78BB">
              <w:rPr>
                <w:rFonts w:ascii="Calibri" w:eastAsia="Times New Roman" w:hAnsi="Calibri" w:cs="Calibri"/>
                <w:color w:val="000000"/>
                <w:sz w:val="18"/>
                <w:szCs w:val="18"/>
                <w:lang w:eastAsia="pl-PL"/>
              </w:rPr>
              <w:br/>
              <w:t xml:space="preserve">Harmonogram: 2027 </w:t>
            </w:r>
            <w:r w:rsidRPr="005E78BB">
              <w:rPr>
                <w:rFonts w:ascii="Calibri" w:eastAsia="Times New Roman" w:hAnsi="Calibri" w:cs="Calibri"/>
                <w:color w:val="000000"/>
                <w:sz w:val="18"/>
                <w:szCs w:val="18"/>
                <w:lang w:eastAsia="pl-PL"/>
              </w:rPr>
              <w:br/>
              <w:t xml:space="preserve">Jednostka odpowiedzialna za realizacjęwskazanie ogólne: Sprawujący zarząd i sprawujący nadzór nad obszarami chronionymi </w:t>
            </w:r>
            <w:r w:rsidRPr="005E78BB">
              <w:rPr>
                <w:rFonts w:ascii="Calibri" w:eastAsia="Times New Roman" w:hAnsi="Calibri" w:cs="Calibri"/>
                <w:color w:val="000000"/>
                <w:sz w:val="18"/>
                <w:szCs w:val="18"/>
                <w:lang w:eastAsia="pl-PL"/>
              </w:rPr>
              <w:br/>
              <w:t xml:space="preserve">Jednostka odpowiedzialna za realizacjęwskazanie szczegółowe: Biebrzański Park Narodowy </w:t>
            </w:r>
            <w:r w:rsidRPr="005E78BB">
              <w:rPr>
                <w:rFonts w:ascii="Calibri" w:eastAsia="Times New Roman" w:hAnsi="Calibri" w:cs="Calibri"/>
                <w:color w:val="000000"/>
                <w:sz w:val="18"/>
                <w:szCs w:val="18"/>
                <w:lang w:eastAsia="pl-PL"/>
              </w:rPr>
              <w:br/>
              <w:t xml:space="preserve">Jednostka odpowiedzialna za sprawozdawczość: Biebrzański Park Narodowy </w:t>
            </w:r>
            <w:r w:rsidRPr="005E78BB">
              <w:rPr>
                <w:rFonts w:ascii="Calibri" w:eastAsia="Times New Roman" w:hAnsi="Calibri" w:cs="Calibri"/>
                <w:color w:val="000000"/>
                <w:sz w:val="18"/>
                <w:szCs w:val="18"/>
                <w:lang w:eastAsia="pl-PL"/>
              </w:rPr>
              <w:br/>
              <w:t xml:space="preserve">Koszt realizacji: Zgodnie z wycenąsprawującego nadzór nad obszarem </w:t>
            </w:r>
            <w:r w:rsidRPr="005E78BB">
              <w:rPr>
                <w:rFonts w:ascii="Calibri" w:eastAsia="Times New Roman" w:hAnsi="Calibri" w:cs="Calibri"/>
                <w:color w:val="000000"/>
                <w:sz w:val="18"/>
                <w:szCs w:val="18"/>
                <w:lang w:eastAsia="pl-PL"/>
              </w:rPr>
              <w:br/>
              <w:t xml:space="preserve">Źródła finansowania: fundusz LIFE, NFOŚiGW, Biebrzański Park Narodowy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401" w:type="dxa"/>
            <w:shd w:val="clear" w:color="auto" w:fill="auto"/>
            <w:hideMark/>
          </w:tcPr>
          <w:p w14:paraId="181767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art. 323 Prawa Wodnego</w:t>
            </w:r>
          </w:p>
        </w:tc>
        <w:tc>
          <w:tcPr>
            <w:tcW w:w="1918" w:type="dxa"/>
            <w:shd w:val="clear" w:color="auto" w:fill="auto"/>
            <w:hideMark/>
          </w:tcPr>
          <w:p w14:paraId="54DBCB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58-59_BiebrzańskiPN_Wisła</w:t>
            </w:r>
          </w:p>
        </w:tc>
        <w:tc>
          <w:tcPr>
            <w:tcW w:w="1276" w:type="dxa"/>
            <w:shd w:val="clear" w:color="auto" w:fill="auto"/>
            <w:hideMark/>
          </w:tcPr>
          <w:p w14:paraId="0F106E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46822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jednostkę odpwoedzialną za realizację i sprawozdawczość działania (Bieszczadzki Park Narodowy).</w:t>
            </w:r>
          </w:p>
        </w:tc>
      </w:tr>
      <w:tr w:rsidR="0085319C" w:rsidRPr="005E78BB" w14:paraId="21814509" w14:textId="77777777" w:rsidTr="00E92AE6">
        <w:trPr>
          <w:trHeight w:val="454"/>
        </w:trPr>
        <w:tc>
          <w:tcPr>
            <w:tcW w:w="562" w:type="dxa"/>
            <w:shd w:val="clear" w:color="auto" w:fill="auto"/>
            <w:hideMark/>
          </w:tcPr>
          <w:p w14:paraId="787447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w:t>
            </w:r>
          </w:p>
        </w:tc>
        <w:tc>
          <w:tcPr>
            <w:tcW w:w="1021" w:type="dxa"/>
          </w:tcPr>
          <w:p w14:paraId="5A39A921" w14:textId="045B32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Biebrzański Park Narodowy</w:t>
            </w:r>
          </w:p>
        </w:tc>
        <w:tc>
          <w:tcPr>
            <w:tcW w:w="1630" w:type="dxa"/>
            <w:shd w:val="clear" w:color="auto" w:fill="auto"/>
            <w:hideMark/>
          </w:tcPr>
          <w:p w14:paraId="659EC5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703DAF7" w14:textId="789A82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Częśćprojektu planu, do którego zgłaszana jest uwaga (numer rozdziału, strona dokumentu) Załącznik nr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Biebrzański Park Narodowy realizuje projekt LIFE13 NAT/PL/000050 </w:t>
            </w:r>
            <w:r w:rsidRPr="005E78BB">
              <w:rPr>
                <w:rFonts w:ascii="Calibri" w:eastAsia="Times New Roman" w:hAnsi="Calibri" w:cs="Calibri"/>
                <w:color w:val="000000"/>
                <w:sz w:val="18"/>
                <w:szCs w:val="18"/>
                <w:lang w:eastAsia="pl-PL"/>
              </w:rPr>
              <w:lastRenderedPageBreak/>
              <w:t xml:space="preserve">„Renaturyzacja </w:t>
            </w:r>
            <w:r w:rsidRPr="005E78BB">
              <w:rPr>
                <w:rFonts w:ascii="Calibri" w:eastAsia="Times New Roman" w:hAnsi="Calibri" w:cs="Calibri"/>
                <w:color w:val="000000"/>
                <w:sz w:val="18"/>
                <w:szCs w:val="18"/>
                <w:lang w:eastAsia="pl-PL"/>
              </w:rPr>
              <w:br/>
              <w:t xml:space="preserve">sieci hydrograficznej w Basenie Srodkowym doliny Biebrzy. Etap II" współfinansowany </w:t>
            </w:r>
            <w:r w:rsidRPr="005E78BB">
              <w:rPr>
                <w:rFonts w:ascii="Calibri" w:eastAsia="Times New Roman" w:hAnsi="Calibri" w:cs="Calibri"/>
                <w:color w:val="000000"/>
                <w:sz w:val="18"/>
                <w:szCs w:val="18"/>
                <w:lang w:eastAsia="pl-PL"/>
              </w:rPr>
              <w:br/>
              <w:t xml:space="preserve">przez instrument finansowy LIFE+ Komisji Europejskiej, Narodowy Fundusz Ochrony Srodowiska i Gospodarki Wodnej oraz Biebrzański Park Narodowy.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Głównym zadaniem projektu jest przebudowa węzła urządzeńwodnych Modzelówka </w:t>
            </w:r>
            <w:r w:rsidRPr="005E78BB">
              <w:rPr>
                <w:rFonts w:ascii="Calibri" w:eastAsia="Times New Roman" w:hAnsi="Calibri" w:cs="Calibri"/>
                <w:color w:val="000000"/>
                <w:sz w:val="18"/>
                <w:szCs w:val="18"/>
                <w:lang w:eastAsia="pl-PL"/>
              </w:rPr>
              <w:br/>
              <w:t xml:space="preserve">i modernizacja jazu znajdującego sięna rzece Ełk (nazwa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Ełk od wypływu z jez. Ełckiego do ujścia, kod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RW2000112628999) oraz odtworzenie i udrożnienie starego koryta rzeki Ełk w wyniku czego część wód rzeki Ełk zostanie przekierowana do odtworzonego starego koryta rzeki (nazwa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Stare koryto Ełku, kod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 xml:space="preserve">RW20002326269829).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Cel przedsięwzięcia: Przywrócenie stałego przepływu w martwym korycie rzeki Ełk </w:t>
            </w:r>
            <w:r w:rsidRPr="005E78BB">
              <w:rPr>
                <w:rFonts w:ascii="Calibri" w:eastAsia="Times New Roman" w:hAnsi="Calibri" w:cs="Calibri"/>
                <w:color w:val="000000"/>
                <w:sz w:val="18"/>
                <w:szCs w:val="18"/>
                <w:lang w:eastAsia="pl-PL"/>
              </w:rPr>
              <w:br/>
              <w:t xml:space="preserve">(RW20002326269829). Poprawa funkcjonowania siedlisk kształtowanych przez </w:t>
            </w:r>
            <w:r w:rsidRPr="005E78BB">
              <w:rPr>
                <w:rFonts w:ascii="Calibri" w:eastAsia="Times New Roman" w:hAnsi="Calibri" w:cs="Calibri"/>
                <w:color w:val="000000"/>
                <w:sz w:val="18"/>
                <w:szCs w:val="18"/>
                <w:lang w:eastAsia="pl-PL"/>
              </w:rPr>
              <w:br/>
              <w:t xml:space="preserve">wodęw Basenie środkowym doliny Biebrzy poprzez kontrolowane gospodarowanie i </w:t>
            </w:r>
            <w:r w:rsidRPr="005E78BB">
              <w:rPr>
                <w:rFonts w:ascii="Calibri" w:eastAsia="Times New Roman" w:hAnsi="Calibri" w:cs="Calibri"/>
                <w:color w:val="000000"/>
                <w:sz w:val="18"/>
                <w:szCs w:val="18"/>
                <w:lang w:eastAsia="pl-PL"/>
              </w:rPr>
              <w:br/>
              <w:t xml:space="preserve">zasilanie w wodęobszaru. Zatrzymanie procesów degradacyjnych siedlisk od wód zależnych </w:t>
            </w:r>
            <w:r w:rsidRPr="005E78BB">
              <w:rPr>
                <w:rFonts w:ascii="Calibri" w:eastAsia="Times New Roman" w:hAnsi="Calibri" w:cs="Calibri"/>
                <w:color w:val="000000"/>
                <w:sz w:val="18"/>
                <w:szCs w:val="18"/>
                <w:lang w:eastAsia="pl-PL"/>
              </w:rPr>
              <w:br/>
              <w:t xml:space="preserve">w rejonie systemu wodnego: Kanał Rudzki - rzeka Ełk - rzeka Jegrznia - Kanał Woźnawiejski. Kształtowanie warunków siedliskowych dla awifauny otwartych ekosystemów bagiennych. </w:t>
            </w:r>
          </w:p>
        </w:tc>
        <w:tc>
          <w:tcPr>
            <w:tcW w:w="3377" w:type="dxa"/>
            <w:shd w:val="clear" w:color="auto" w:fill="auto"/>
            <w:hideMark/>
          </w:tcPr>
          <w:p w14:paraId="09F3EDDB" w14:textId="03E931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Dodanie do Załącznik nr 7.3._Zestaw_dzialan_RW_ODWisła działania realizowanego przez Biebrzański Park Narodowy.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Kategoria działań: Kształtowanie stosunków wodnych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Poprawa warunków </w:t>
            </w:r>
            <w:r w:rsidRPr="005E78BB">
              <w:rPr>
                <w:rFonts w:ascii="Calibri" w:eastAsia="Times New Roman" w:hAnsi="Calibri" w:cs="Calibri"/>
                <w:color w:val="000000"/>
                <w:sz w:val="18"/>
                <w:szCs w:val="18"/>
                <w:lang w:eastAsia="pl-PL"/>
              </w:rPr>
              <w:br/>
              <w:t xml:space="preserve">dla obszarów chronionych/Zapewnienie ciągłości biologicznej i morfologicznej rzek i potoków </w:t>
            </w:r>
            <w:r w:rsidRPr="005E78BB">
              <w:rPr>
                <w:rFonts w:ascii="Calibri" w:eastAsia="Times New Roman" w:hAnsi="Calibri" w:cs="Calibri"/>
                <w:color w:val="000000"/>
                <w:sz w:val="18"/>
                <w:szCs w:val="18"/>
                <w:lang w:eastAsia="pl-PL"/>
              </w:rPr>
              <w:br/>
              <w:t xml:space="preserve">Grupa działań: Ochrona ekosystemów wodnych i od wód zależnych/ odtwarzanie warunków siedliskowych z uwzględnieniem celów środowiskowych wskazanych dla obszarów przyrodniczych; Ochrona i odtwarzanie naturalnych procesów hydromorfologicznych w korycie w zakresie spełnienia celów środowiskowych obszarów przyrodniczych </w:t>
            </w:r>
            <w:r w:rsidRPr="005E78BB">
              <w:rPr>
                <w:rFonts w:ascii="Calibri" w:eastAsia="Times New Roman" w:hAnsi="Calibri" w:cs="Calibri"/>
                <w:color w:val="000000"/>
                <w:sz w:val="18"/>
                <w:szCs w:val="18"/>
                <w:lang w:eastAsia="pl-PL"/>
              </w:rPr>
              <w:br/>
              <w:t xml:space="preserve">Kod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RW20002326269829 </w:t>
            </w:r>
            <w:r w:rsidRPr="005E78BB">
              <w:rPr>
                <w:rFonts w:ascii="Calibri" w:eastAsia="Times New Roman" w:hAnsi="Calibri" w:cs="Calibri"/>
                <w:color w:val="000000"/>
                <w:sz w:val="18"/>
                <w:szCs w:val="18"/>
                <w:lang w:eastAsia="pl-PL"/>
              </w:rPr>
              <w:br/>
              <w:t xml:space="preserve">Nazwa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Stare koryto Ełku </w:t>
            </w:r>
            <w:r w:rsidRPr="005E78BB">
              <w:rPr>
                <w:rFonts w:ascii="Calibri" w:eastAsia="Times New Roman" w:hAnsi="Calibri" w:cs="Calibri"/>
                <w:color w:val="000000"/>
                <w:sz w:val="18"/>
                <w:szCs w:val="18"/>
                <w:lang w:eastAsia="pl-PL"/>
              </w:rPr>
              <w:br/>
              <w:t xml:space="preserve">Dorzecze: Wisła </w:t>
            </w:r>
            <w:r w:rsidRPr="005E78BB">
              <w:rPr>
                <w:rFonts w:ascii="Calibri" w:eastAsia="Times New Roman" w:hAnsi="Calibri" w:cs="Calibri"/>
                <w:color w:val="000000"/>
                <w:sz w:val="18"/>
                <w:szCs w:val="18"/>
                <w:lang w:eastAsia="pl-PL"/>
              </w:rPr>
              <w:br/>
              <w:t xml:space="preserve">Region wodny: Narwi </w:t>
            </w:r>
            <w:r w:rsidRPr="005E78BB">
              <w:rPr>
                <w:rFonts w:ascii="Calibri" w:eastAsia="Times New Roman" w:hAnsi="Calibri" w:cs="Calibri"/>
                <w:color w:val="000000"/>
                <w:sz w:val="18"/>
                <w:szCs w:val="18"/>
                <w:lang w:eastAsia="pl-PL"/>
              </w:rPr>
              <w:br/>
              <w:t xml:space="preserve">Województwo: woj. podlaskie </w:t>
            </w:r>
            <w:r w:rsidRPr="005E78BB">
              <w:rPr>
                <w:rFonts w:ascii="Calibri" w:eastAsia="Times New Roman" w:hAnsi="Calibri" w:cs="Calibri"/>
                <w:color w:val="000000"/>
                <w:sz w:val="18"/>
                <w:szCs w:val="18"/>
                <w:lang w:eastAsia="pl-PL"/>
              </w:rPr>
              <w:br/>
              <w:t xml:space="preserve">Powiat: grajewski </w:t>
            </w:r>
            <w:r w:rsidRPr="005E78BB">
              <w:rPr>
                <w:rFonts w:ascii="Calibri" w:eastAsia="Times New Roman" w:hAnsi="Calibri" w:cs="Calibri"/>
                <w:color w:val="000000"/>
                <w:sz w:val="18"/>
                <w:szCs w:val="18"/>
                <w:lang w:eastAsia="pl-PL"/>
              </w:rPr>
              <w:br/>
              <w:t xml:space="preserve">Gmina: gmina Grajewo </w:t>
            </w:r>
            <w:r w:rsidRPr="005E78BB">
              <w:rPr>
                <w:rFonts w:ascii="Calibri" w:eastAsia="Times New Roman" w:hAnsi="Calibri" w:cs="Calibri"/>
                <w:color w:val="000000"/>
                <w:sz w:val="18"/>
                <w:szCs w:val="18"/>
                <w:lang w:eastAsia="pl-PL"/>
              </w:rPr>
              <w:br/>
              <w:t xml:space="preserve">RZGW: Białystok </w:t>
            </w:r>
            <w:r w:rsidRPr="005E78BB">
              <w:rPr>
                <w:rFonts w:ascii="Calibri" w:eastAsia="Times New Roman" w:hAnsi="Calibri" w:cs="Calibri"/>
                <w:color w:val="000000"/>
                <w:sz w:val="18"/>
                <w:szCs w:val="18"/>
                <w:lang w:eastAsia="pl-PL"/>
              </w:rPr>
              <w:br/>
              <w:t xml:space="preserve">Zarząd Zlewni: Zarząd Zlewni w Augustowie </w:t>
            </w:r>
            <w:r w:rsidRPr="005E78BB">
              <w:rPr>
                <w:rFonts w:ascii="Calibri" w:eastAsia="Times New Roman" w:hAnsi="Calibri" w:cs="Calibri"/>
                <w:color w:val="000000"/>
                <w:sz w:val="18"/>
                <w:szCs w:val="18"/>
                <w:lang w:eastAsia="pl-PL"/>
              </w:rPr>
              <w:br/>
              <w:t xml:space="preserve">Status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w:t>
            </w:r>
            <w:r w:rsidRPr="005E78BB">
              <w:rPr>
                <w:rFonts w:ascii="Calibri" w:eastAsia="Times New Roman" w:hAnsi="Calibri" w:cs="Calibri"/>
                <w:color w:val="000000"/>
                <w:sz w:val="18"/>
                <w:szCs w:val="18"/>
                <w:lang w:eastAsia="pl-PL"/>
              </w:rPr>
              <w:br/>
              <w:t xml:space="preserve">Nazwa działania: Działania renaturyzacyjne </w:t>
            </w:r>
            <w:r w:rsidRPr="005E78BB">
              <w:rPr>
                <w:rFonts w:ascii="Calibri" w:eastAsia="Times New Roman" w:hAnsi="Calibri" w:cs="Calibri"/>
                <w:color w:val="000000"/>
                <w:sz w:val="18"/>
                <w:szCs w:val="18"/>
                <w:lang w:eastAsia="pl-PL"/>
              </w:rPr>
              <w:br/>
              <w:t xml:space="preserve">Opis działania: Przywrócenie stałego przepływu w starym korycie rzeki Ełk. Zatrzymanie </w:t>
            </w:r>
            <w:r w:rsidRPr="005E78BB">
              <w:rPr>
                <w:rFonts w:ascii="Calibri" w:eastAsia="Times New Roman" w:hAnsi="Calibri" w:cs="Calibri"/>
                <w:color w:val="000000"/>
                <w:sz w:val="18"/>
                <w:szCs w:val="18"/>
                <w:lang w:eastAsia="pl-PL"/>
              </w:rPr>
              <w:br/>
              <w:t xml:space="preserve">procesów degradacyjnych siedlisk od wód zależnych w rejonie systemu wodnego: </w:t>
            </w:r>
            <w:r w:rsidRPr="005E78BB">
              <w:rPr>
                <w:rFonts w:ascii="Calibri" w:eastAsia="Times New Roman" w:hAnsi="Calibri" w:cs="Calibri"/>
                <w:color w:val="000000"/>
                <w:sz w:val="18"/>
                <w:szCs w:val="18"/>
                <w:lang w:eastAsia="pl-PL"/>
              </w:rPr>
              <w:br/>
              <w:t xml:space="preserve">Kanał Rudzki - rzeka Ełk - rzeka Jegrznia - Kanał Woźnawiejski. </w:t>
            </w:r>
            <w:r w:rsidRPr="005E78BB">
              <w:rPr>
                <w:rFonts w:ascii="Calibri" w:eastAsia="Times New Roman" w:hAnsi="Calibri" w:cs="Calibri"/>
                <w:color w:val="000000"/>
                <w:sz w:val="18"/>
                <w:szCs w:val="18"/>
                <w:lang w:eastAsia="pl-PL"/>
              </w:rPr>
              <w:br/>
              <w:t xml:space="preserve">Typ działania: techniczne </w:t>
            </w:r>
            <w:r w:rsidRPr="005E78BB">
              <w:rPr>
                <w:rFonts w:ascii="Calibri" w:eastAsia="Times New Roman" w:hAnsi="Calibri" w:cs="Calibri"/>
                <w:color w:val="000000"/>
                <w:sz w:val="18"/>
                <w:szCs w:val="18"/>
                <w:lang w:eastAsia="pl-PL"/>
              </w:rPr>
              <w:br/>
              <w:t xml:space="preserve">Podstawa prawna działania: art. 324 ust. 2 pkt 1 lit b. pr.w. </w:t>
            </w:r>
            <w:r w:rsidRPr="005E78BB">
              <w:rPr>
                <w:rFonts w:ascii="Calibri" w:eastAsia="Times New Roman" w:hAnsi="Calibri" w:cs="Calibri"/>
                <w:color w:val="000000"/>
                <w:sz w:val="18"/>
                <w:szCs w:val="18"/>
                <w:lang w:eastAsia="pl-PL"/>
              </w:rPr>
              <w:br/>
              <w:t xml:space="preserve">Harmonogram: 2027 </w:t>
            </w:r>
            <w:r w:rsidRPr="005E78BB">
              <w:rPr>
                <w:rFonts w:ascii="Calibri" w:eastAsia="Times New Roman" w:hAnsi="Calibri" w:cs="Calibri"/>
                <w:color w:val="000000"/>
                <w:sz w:val="18"/>
                <w:szCs w:val="18"/>
                <w:lang w:eastAsia="pl-PL"/>
              </w:rPr>
              <w:br/>
              <w:t xml:space="preserve">Jednostka odpowiedzialna za realizacjęwskazanie ogólne: Sprawujący zarząd i sprawujący nadzór nad obszarami chronionymi </w:t>
            </w:r>
            <w:r w:rsidRPr="005E78BB">
              <w:rPr>
                <w:rFonts w:ascii="Calibri" w:eastAsia="Times New Roman" w:hAnsi="Calibri" w:cs="Calibri"/>
                <w:color w:val="000000"/>
                <w:sz w:val="18"/>
                <w:szCs w:val="18"/>
                <w:lang w:eastAsia="pl-PL"/>
              </w:rPr>
              <w:br/>
              <w:t xml:space="preserve">Jednostka odpowiedzialna za realizacjęwskazanie szczegółowe: Biebrzański Park Narodowy </w:t>
            </w:r>
            <w:r w:rsidRPr="005E78BB">
              <w:rPr>
                <w:rFonts w:ascii="Calibri" w:eastAsia="Times New Roman" w:hAnsi="Calibri" w:cs="Calibri"/>
                <w:color w:val="000000"/>
                <w:sz w:val="18"/>
                <w:szCs w:val="18"/>
                <w:lang w:eastAsia="pl-PL"/>
              </w:rPr>
              <w:br/>
              <w:t xml:space="preserve">Jednostka odpowiedzialna za sprawozdawczość: Biebrzański Park Narodowy </w:t>
            </w:r>
            <w:r w:rsidRPr="005E78BB">
              <w:rPr>
                <w:rFonts w:ascii="Calibri" w:eastAsia="Times New Roman" w:hAnsi="Calibri" w:cs="Calibri"/>
                <w:color w:val="000000"/>
                <w:sz w:val="18"/>
                <w:szCs w:val="18"/>
                <w:lang w:eastAsia="pl-PL"/>
              </w:rPr>
              <w:br/>
              <w:t xml:space="preserve">Koszt realizacji: Zgodnie z wyceną sprawującego nadzór nad obszarem </w:t>
            </w:r>
            <w:r w:rsidRPr="005E78BB">
              <w:rPr>
                <w:rFonts w:ascii="Calibri" w:eastAsia="Times New Roman" w:hAnsi="Calibri" w:cs="Calibri"/>
                <w:color w:val="000000"/>
                <w:sz w:val="18"/>
                <w:szCs w:val="18"/>
                <w:lang w:eastAsia="pl-PL"/>
              </w:rPr>
              <w:br/>
              <w:t xml:space="preserve">Źródła finansowania: fundusz LIFE, NFOSiGW, Biebrzański Park Narodowy </w:t>
            </w:r>
          </w:p>
        </w:tc>
        <w:tc>
          <w:tcPr>
            <w:tcW w:w="3401" w:type="dxa"/>
            <w:shd w:val="clear" w:color="auto" w:fill="auto"/>
            <w:hideMark/>
          </w:tcPr>
          <w:p w14:paraId="6DF89F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art. 323 Prawa Wodnego</w:t>
            </w:r>
          </w:p>
        </w:tc>
        <w:tc>
          <w:tcPr>
            <w:tcW w:w="1918" w:type="dxa"/>
            <w:shd w:val="clear" w:color="auto" w:fill="auto"/>
            <w:hideMark/>
          </w:tcPr>
          <w:p w14:paraId="761B6D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58-59_BiebrzańskiPN_Wisła</w:t>
            </w:r>
          </w:p>
        </w:tc>
        <w:tc>
          <w:tcPr>
            <w:tcW w:w="1276" w:type="dxa"/>
            <w:shd w:val="clear" w:color="auto" w:fill="auto"/>
            <w:hideMark/>
          </w:tcPr>
          <w:p w14:paraId="154C9E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7610E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Dodano działanie zgodnie z uwagą.</w:t>
            </w:r>
          </w:p>
        </w:tc>
      </w:tr>
      <w:tr w:rsidR="0085319C" w:rsidRPr="005E78BB" w14:paraId="56980067" w14:textId="77777777" w:rsidTr="00E92AE6">
        <w:trPr>
          <w:trHeight w:val="454"/>
        </w:trPr>
        <w:tc>
          <w:tcPr>
            <w:tcW w:w="562" w:type="dxa"/>
            <w:shd w:val="clear" w:color="auto" w:fill="auto"/>
            <w:hideMark/>
          </w:tcPr>
          <w:p w14:paraId="7742221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w:t>
            </w:r>
          </w:p>
        </w:tc>
        <w:tc>
          <w:tcPr>
            <w:tcW w:w="1021" w:type="dxa"/>
          </w:tcPr>
          <w:p w14:paraId="14011000" w14:textId="39B169D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Polska Grupa Górnicza S.A.</w:t>
            </w:r>
          </w:p>
        </w:tc>
        <w:tc>
          <w:tcPr>
            <w:tcW w:w="1630" w:type="dxa"/>
            <w:shd w:val="clear" w:color="auto" w:fill="auto"/>
            <w:hideMark/>
          </w:tcPr>
          <w:p w14:paraId="3128E8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96C34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Obszar dorzecza do którego zgłaszana jest uwaga: Obszar Dorzecza Wisły, Region Wodny </w:t>
            </w:r>
            <w:r w:rsidRPr="005E78BB">
              <w:rPr>
                <w:rFonts w:ascii="Calibri" w:eastAsia="Times New Roman" w:hAnsi="Calibri" w:cs="Calibri"/>
                <w:color w:val="000000"/>
                <w:sz w:val="18"/>
                <w:szCs w:val="18"/>
                <w:lang w:eastAsia="pl-PL"/>
              </w:rPr>
              <w:br w:type="page"/>
              <w:t xml:space="preserve">Małej Wisły. Część planu do którego zgłaszana jest uwaga: Załącznik II aPGW_OD_ Wisła cz.i, Załącznik nr 6 — Wykaz działańOD_Wisła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Wnioskujemy o wpisanie do istniejącego wykazu inwestycji i działańinwestycji </w:t>
            </w:r>
            <w:r w:rsidRPr="005E78BB">
              <w:rPr>
                <w:rFonts w:ascii="Calibri" w:eastAsia="Times New Roman" w:hAnsi="Calibri" w:cs="Calibri"/>
                <w:color w:val="000000"/>
                <w:sz w:val="18"/>
                <w:szCs w:val="18"/>
                <w:lang w:eastAsia="pl-PL"/>
              </w:rPr>
              <w:br w:type="page"/>
              <w:t xml:space="preserve">prowadzonych przez :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PGG S.A Oddział KWK Bolesław Śmiały, </w:t>
            </w:r>
            <w:r w:rsidRPr="005E78BB">
              <w:rPr>
                <w:rFonts w:ascii="Calibri" w:eastAsia="Times New Roman" w:hAnsi="Calibri" w:cs="Calibri"/>
                <w:color w:val="000000"/>
                <w:sz w:val="18"/>
                <w:szCs w:val="18"/>
                <w:lang w:eastAsia="pl-PL"/>
              </w:rPr>
              <w:br w:type="page"/>
              <w:t xml:space="preserve">PGG S.A Oddział KWK Piast - Ziemowit Ruch Piast, </w:t>
            </w:r>
            <w:r w:rsidRPr="005E78BB">
              <w:rPr>
                <w:rFonts w:ascii="Calibri" w:eastAsia="Times New Roman" w:hAnsi="Calibri" w:cs="Calibri"/>
                <w:color w:val="000000"/>
                <w:sz w:val="18"/>
                <w:szCs w:val="18"/>
                <w:lang w:eastAsia="pl-PL"/>
              </w:rPr>
              <w:br w:type="page"/>
              <w:t xml:space="preserve">PGG S.A Oddział KWK Piast - Ziemowit Ruch Ziemowit, </w:t>
            </w:r>
            <w:r w:rsidRPr="005E78BB">
              <w:rPr>
                <w:rFonts w:ascii="Calibri" w:eastAsia="Times New Roman" w:hAnsi="Calibri" w:cs="Calibri"/>
                <w:color w:val="000000"/>
                <w:sz w:val="18"/>
                <w:szCs w:val="18"/>
                <w:lang w:eastAsia="pl-PL"/>
              </w:rPr>
              <w:br w:type="page"/>
              <w:t xml:space="preserve">PGG S.A Oddział KWK Mysłowice - </w:t>
            </w:r>
            <w:r w:rsidRPr="005E78BB">
              <w:rPr>
                <w:rFonts w:ascii="Calibri" w:eastAsia="Times New Roman" w:hAnsi="Calibri" w:cs="Calibri"/>
                <w:color w:val="000000"/>
                <w:sz w:val="18"/>
                <w:szCs w:val="18"/>
                <w:lang w:eastAsia="pl-PL"/>
              </w:rPr>
              <w:lastRenderedPageBreak/>
              <w:t xml:space="preserve">Wesoła, </w:t>
            </w:r>
            <w:r w:rsidRPr="005E78BB">
              <w:rPr>
                <w:rFonts w:ascii="Calibri" w:eastAsia="Times New Roman" w:hAnsi="Calibri" w:cs="Calibri"/>
                <w:color w:val="000000"/>
                <w:sz w:val="18"/>
                <w:szCs w:val="18"/>
                <w:lang w:eastAsia="pl-PL"/>
              </w:rPr>
              <w:br w:type="page"/>
              <w:t xml:space="preserve">PGG S.A Oddział KWK Staszic - Wujek Ruch Staszic,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i objęcie ich odstępstwem z art. 4.7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Uzasadnienie uwagi znajduje się w załączonym pliku. </w:t>
            </w:r>
          </w:p>
        </w:tc>
        <w:tc>
          <w:tcPr>
            <w:tcW w:w="3377" w:type="dxa"/>
            <w:shd w:val="clear" w:color="auto" w:fill="auto"/>
            <w:hideMark/>
          </w:tcPr>
          <w:p w14:paraId="17173C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7166EB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461A8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60_PGG_Wisła</w:t>
            </w:r>
          </w:p>
        </w:tc>
        <w:tc>
          <w:tcPr>
            <w:tcW w:w="1276" w:type="dxa"/>
            <w:shd w:val="clear" w:color="auto" w:fill="auto"/>
            <w:hideMark/>
          </w:tcPr>
          <w:p w14:paraId="0197BC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52E91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Wykazie Inwestycji i Działań mogą być ujęte (i zostały ujęte) wyłącznie takie nowe działania i przedsięwzięcie, co do których wiadomo że spowodują one zagrożenie dla celów środowiskowych oraz potwierdzono dopuszczalność tego zagrożenia w formie przypisania odstępstwa w trybie art. 4 ust. 7 </w:t>
            </w:r>
            <w:r w:rsidRPr="005E78BB">
              <w:rPr>
                <w:rFonts w:ascii="Calibri" w:eastAsia="Times New Roman" w:hAnsi="Calibri" w:cs="Calibri"/>
                <w:color w:val="000000"/>
                <w:sz w:val="18"/>
                <w:szCs w:val="18"/>
                <w:lang w:eastAsia="pl-PL"/>
              </w:rPr>
              <w:lastRenderedPageBreak/>
              <w:t>Ramowej Dyrektywy Wodnej w formie wpisu do aPGW z 2016 r. lub/oraz wydania decyzji (oceny wodnoprawnej lub decyzji o środowiskowych uwarunkowaniach) z zastosowaniem art. 68 ustawy Prawo wodne. Nie ma prawnej możliwości (ani rzeczywistej potrzeby) wpisywania innych inwestycji do Wykazu Inwestycji i Działań. Brak tego wpisu nie jest przeszkodą do realizacji przedsięwzięcia lub kontynuowania dotychczasowej działalności.</w:t>
            </w:r>
          </w:p>
        </w:tc>
      </w:tr>
      <w:tr w:rsidR="0085319C" w:rsidRPr="005E78BB" w14:paraId="6ADD67B5" w14:textId="77777777" w:rsidTr="00E92AE6">
        <w:trPr>
          <w:trHeight w:val="454"/>
        </w:trPr>
        <w:tc>
          <w:tcPr>
            <w:tcW w:w="562" w:type="dxa"/>
            <w:shd w:val="clear" w:color="auto" w:fill="auto"/>
            <w:hideMark/>
          </w:tcPr>
          <w:p w14:paraId="2054513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61</w:t>
            </w:r>
          </w:p>
        </w:tc>
        <w:tc>
          <w:tcPr>
            <w:tcW w:w="1021" w:type="dxa"/>
          </w:tcPr>
          <w:p w14:paraId="432100E2" w14:textId="6635DE1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Miasto Białystok, Urząd Miejski w Białysmtoku </w:t>
            </w:r>
          </w:p>
        </w:tc>
        <w:tc>
          <w:tcPr>
            <w:tcW w:w="1630" w:type="dxa"/>
            <w:shd w:val="clear" w:color="auto" w:fill="auto"/>
            <w:hideMark/>
          </w:tcPr>
          <w:p w14:paraId="449F69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29062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Proszę o włączenie/ dodanie do odpowiedniego załącznika IIa PGW obszarze dorzecza Wisły lub odpowiedniej części tego dokumentu przedsięwzięć planowanych przez Miasto Białystok, które w swoim zakresie dotyczą budowy, przebudowy lub remont urządzeń wodnych i infrastruktury towarzyszącej służących zmniejszeniu skutków powodzi lub suszy. Niniejsze projekty są ważne z punktu widzenia lokalnego gospodarowania wodami w dorzeczu Wisły.</w:t>
            </w:r>
          </w:p>
        </w:tc>
        <w:tc>
          <w:tcPr>
            <w:tcW w:w="3377" w:type="dxa"/>
            <w:shd w:val="clear" w:color="auto" w:fill="auto"/>
            <w:hideMark/>
          </w:tcPr>
          <w:p w14:paraId="68211C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Proszę o dodanie/ włączenie do Programu czterech projektów do odpowiedniego załącznika (nr 6 lub nr7): </w:t>
            </w:r>
            <w:r w:rsidRPr="005E78BB">
              <w:rPr>
                <w:rFonts w:ascii="Calibri" w:eastAsia="Times New Roman" w:hAnsi="Calibri" w:cs="Calibri"/>
                <w:color w:val="000000"/>
                <w:sz w:val="18"/>
                <w:szCs w:val="18"/>
                <w:lang w:eastAsia="pl-PL"/>
              </w:rPr>
              <w:br/>
              <w:t>1. Dostosowanie infrastruktury miejskiej do następstw zmian klimatu poprzez rozbudowę systemu kanalizacji deszczowej wraz ze zbiornikami retencyjnymi  w Białymstoku (koszt 30 mln zł),</w:t>
            </w:r>
            <w:r w:rsidRPr="005E78BB">
              <w:rPr>
                <w:rFonts w:ascii="Calibri" w:eastAsia="Times New Roman" w:hAnsi="Calibri" w:cs="Calibri"/>
                <w:color w:val="000000"/>
                <w:sz w:val="18"/>
                <w:szCs w:val="18"/>
                <w:lang w:eastAsia="pl-PL"/>
              </w:rPr>
              <w:br/>
              <w:t xml:space="preserve">2. Zagospodarowanie bulwarów nad rzeką Białą w Białymstoku (koszt 200 mln zł), </w:t>
            </w:r>
            <w:r w:rsidRPr="005E78BB">
              <w:rPr>
                <w:rFonts w:ascii="Calibri" w:eastAsia="Times New Roman" w:hAnsi="Calibri" w:cs="Calibri"/>
                <w:color w:val="000000"/>
                <w:sz w:val="18"/>
                <w:szCs w:val="18"/>
                <w:lang w:eastAsia="pl-PL"/>
              </w:rPr>
              <w:br/>
              <w:t>3. Rewitalizacja zbiornika plażowego przy Ośrodku Sportów Wodnych Dojlidy w Białymstoku (koszt 30 mln zł),</w:t>
            </w:r>
            <w:r w:rsidRPr="005E78BB">
              <w:rPr>
                <w:rFonts w:ascii="Calibri" w:eastAsia="Times New Roman" w:hAnsi="Calibri" w:cs="Calibri"/>
                <w:color w:val="000000"/>
                <w:sz w:val="18"/>
                <w:szCs w:val="18"/>
                <w:lang w:eastAsia="pl-PL"/>
              </w:rPr>
              <w:br/>
              <w:t>4. Zwiększenie zdolności retencyjnej zlewni rzeki Białej (koszt 100 mln zł).</w:t>
            </w:r>
          </w:p>
        </w:tc>
        <w:tc>
          <w:tcPr>
            <w:tcW w:w="3401" w:type="dxa"/>
            <w:shd w:val="clear" w:color="auto" w:fill="auto"/>
            <w:hideMark/>
          </w:tcPr>
          <w:p w14:paraId="5946A8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planowane do realizacji przez Miasto Białystok dotyczą poprawy systemu gospodarowania wodami opadowymi w Mieście Białystok niedostosowanego do zmieniających się warunków klimatycznych. Postępujące zmiany klimatyczne wymagają dostosowania gospodarki do zmieniających się warunków i zabezpieczenia przed anomaliami pogody. Jak wynika z prognoz portalu Klimada, w Polsce, w tym w woj. podlaskim, prognozuje się wzrost okresów suszy przy jednoczesnym występowaniu nawałnic i deszczy nawalnych. W celu zabezpieczenia istniejącej infrastruktury przed zniszczeniem a jednocześnie zapewnienia dostępu do wody w okresach bezdeszczowych, niezbędne jest rozbudowanie systemu jej zbierania i magazynowania. Nastąpi to poprzez realizację zaplanowanych przedsięwzięć.  </w:t>
            </w:r>
            <w:r w:rsidRPr="005E78BB">
              <w:rPr>
                <w:rFonts w:ascii="Calibri" w:eastAsia="Times New Roman" w:hAnsi="Calibri" w:cs="Calibri"/>
                <w:color w:val="000000"/>
                <w:sz w:val="18"/>
                <w:szCs w:val="18"/>
                <w:lang w:eastAsia="pl-PL"/>
              </w:rPr>
              <w:br/>
              <w:t xml:space="preserve">W okresach utrzymującej się suszy hydrologicznej rzeka Biała jest i będzie zagrożona wysychaniem. Jej przetrwanie zależy obecnie od rygorystycznego przestrzegania zasady wyłączenia z zabudowy dolin rzecznych i przyległych terenów, które mają zdolności retencyjne oraz budowy odpowiedniej infrastruktury hydrotechnicznej, umożliwiającej piętrzenie i kaskadowanie wody w dolinie Białej. Konieczne jest utrzymanie i ochrona obszarów o właściwościach retencyjnych takich jak tereny źródlisk, olszyny, obszary łąkowe itp. </w:t>
            </w:r>
            <w:r w:rsidRPr="005E78BB">
              <w:rPr>
                <w:rFonts w:ascii="Calibri" w:eastAsia="Times New Roman" w:hAnsi="Calibri" w:cs="Calibri"/>
                <w:color w:val="000000"/>
                <w:sz w:val="18"/>
                <w:szCs w:val="18"/>
                <w:lang w:eastAsia="pl-PL"/>
              </w:rPr>
              <w:br/>
              <w:t>Zachowanie, odbudowa i powiększanie udziału terenów, na których możliwa jest infiltracja, retencja wód opadowych (ogródki działkowe, tereny zieleni miejskiej), a także ochrona przed zabudową zachowanych jeszcze w dobrym stanie fragmentów doliny Białej i jej dopływów jest najtańszym, sposobem na poprawę stanu gospodarki wodnej w Białymstoku.</w:t>
            </w:r>
            <w:r w:rsidRPr="005E78BB">
              <w:rPr>
                <w:rFonts w:ascii="Calibri" w:eastAsia="Times New Roman" w:hAnsi="Calibri" w:cs="Calibri"/>
                <w:color w:val="000000"/>
                <w:sz w:val="18"/>
                <w:szCs w:val="18"/>
                <w:lang w:eastAsia="pl-PL"/>
              </w:rPr>
              <w:br/>
              <w:t xml:space="preserve">W projekcie 1  Dostosowanie infrastruktury miejskiej do następstw zmian klimatu poprzez rozbudowę systemu kanalizacji deszczowej wraz ze zbiornikami </w:t>
            </w:r>
            <w:r w:rsidRPr="005E78BB">
              <w:rPr>
                <w:rFonts w:ascii="Calibri" w:eastAsia="Times New Roman" w:hAnsi="Calibri" w:cs="Calibri"/>
                <w:color w:val="000000"/>
                <w:sz w:val="18"/>
                <w:szCs w:val="18"/>
                <w:lang w:eastAsia="pl-PL"/>
              </w:rPr>
              <w:lastRenderedPageBreak/>
              <w:t>retencyjnymi  w Białymstoku zaplanowano obok budowy kanalizacji deszczowej, budowę zbiorników retencyjnych na rzece Białej i rzece Dolistówka w Białymstoku. Przykładowe zadania możliwe do realizacji: Zbiornik Węglowa - EC II, Zbiornik retencyjny w rej. ul. Kaczorowskiego / Mazowieckiej, Zbiornik retencyjny w rejonie ul. Cedrowej, Przebudowa odwodnienia w rejonie Ronda Antonowicza, zagospodarowanie zbiorników retencyjnych wzdłuż Trasy Niepodległości.</w:t>
            </w:r>
            <w:r w:rsidRPr="005E78BB">
              <w:rPr>
                <w:rFonts w:ascii="Calibri" w:eastAsia="Times New Roman" w:hAnsi="Calibri" w:cs="Calibri"/>
                <w:color w:val="000000"/>
                <w:sz w:val="18"/>
                <w:szCs w:val="18"/>
                <w:lang w:eastAsia="pl-PL"/>
              </w:rPr>
              <w:br/>
              <w:t>Projekt 2  Zagospodarowanie bulwarów nad rzeką Białą w Białymstoku zakłada wykorzystanie terenów położonych wzdłuż rzeki Białej do zwiększenia retencji wody.  Zgodnie z opracowaną koncepcją, realizacja przedsięwzięcia wiąże się z budową urządzeń wodnych - piętrzących wodę.  Dzięki jego realizacji nastąpi poprawa retencji wodnej gleb oraz zbiorników wodnych, zmniejszenie zagrożenia suszą oraz poprawa jakości środowiska na terenach objętych projektem. Projekt będzie realizowany etapowo.</w:t>
            </w:r>
            <w:r w:rsidRPr="005E78BB">
              <w:rPr>
                <w:rFonts w:ascii="Calibri" w:eastAsia="Times New Roman" w:hAnsi="Calibri" w:cs="Calibri"/>
                <w:color w:val="000000"/>
                <w:sz w:val="18"/>
                <w:szCs w:val="18"/>
                <w:lang w:eastAsia="pl-PL"/>
              </w:rPr>
              <w:br/>
              <w:t xml:space="preserve">Projekt 3 Rewitalizacja zbiornika plażowego przy Ośrodku Sportów Wodnych Dojlidy w Białymstoku obejmuje  oczyszczenie i pogłębienie zbiornika  „Dojlidy”, który posiada aktualnie ograniczone funkcje retencyjne z uwagi na zarastanie i zamulanie.  Dzięki realizacji zaplanowanych zadań nastąpi  przystosowanie zbiornika do pełnienia funkcji retencyjno- rekreacyjnej. </w:t>
            </w:r>
            <w:r w:rsidRPr="005E78BB">
              <w:rPr>
                <w:rFonts w:ascii="Calibri" w:eastAsia="Times New Roman" w:hAnsi="Calibri" w:cs="Calibri"/>
                <w:color w:val="000000"/>
                <w:sz w:val="18"/>
                <w:szCs w:val="18"/>
                <w:lang w:eastAsia="pl-PL"/>
              </w:rPr>
              <w:br/>
              <w:t xml:space="preserve"> Projekt 4  Zwiększenie zdolności retencyjnej zlewni rzeki Białej obejmuje realizację  zadań o znaczeniu lokalnym dla miasta ale ponadlokalnym dla dorzecza Wisły, takich jak  budowa zbiorników retencyjnych, budowa  urządzeń wodnych piętrzących wodę, oczka wodne, parki, skwery zalewowe, zagłębienia terenowe, parki kieszonkowe (np. Botaniczny Park Kieszonkowy na Nowym Mieście, Lawendowy Park Kieszonkowy, Park Kieszonkowy przy ul. Gen. Wł. Andersa), prowadzenie inwestycji drogowych, infrastrukturalnych z uwzględnieniem małej retencji, utrzymanie bioróżnorodności w powiązaniu z terenami nadrzecznymi. Projekt obejmuje również inne działania takie jak dostawa i montaż wiat przystankowych z funkcją retencjonowania wody opadowej, założenie i pielęgnacja łąk kwietnych w pasach drogowych i na działkach gminnych na terenie Białegostoku, dzięki którym nastąpi zwiększenie retencji w dolinie rzeki Białej oraz  zwiększenie </w:t>
            </w:r>
            <w:r w:rsidRPr="005E78BB">
              <w:rPr>
                <w:rFonts w:ascii="Calibri" w:eastAsia="Times New Roman" w:hAnsi="Calibri" w:cs="Calibri"/>
                <w:color w:val="000000"/>
                <w:sz w:val="18"/>
                <w:szCs w:val="18"/>
                <w:lang w:eastAsia="pl-PL"/>
              </w:rPr>
              <w:lastRenderedPageBreak/>
              <w:t>zdolności retencyjnych zlewni rzeki Białej.</w:t>
            </w:r>
            <w:r w:rsidRPr="005E78BB">
              <w:rPr>
                <w:rFonts w:ascii="Calibri" w:eastAsia="Times New Roman" w:hAnsi="Calibri" w:cs="Calibri"/>
                <w:color w:val="000000"/>
                <w:sz w:val="18"/>
                <w:szCs w:val="18"/>
                <w:lang w:eastAsia="pl-PL"/>
              </w:rPr>
              <w:br/>
              <w:t xml:space="preserve">Ponadto,  w związku z pracami nad przygotowaniem  programów operacyjnych do nowej perspektywy i  zgodnie z  podziałem interwencji i zasad wdrażania krajowych i regionalnych programów operacyjnych w perspektywie finansowej na lata 2021-2027 dla celu Polityki 2  BARDZIEJ PRZYJAZNA DLA ŚRODOWISKA, NISKOEMISYJNA EUROPA DZIĘKI PROMOWANIU CZYSTEJ I SPRAWIEDLIWEJ TRANSFORMACJI ENERGETYKI, ZIELONYCH I NIEBIESKICH INWESTYCJI, GOSPODARKI O OBIEGU ZAMKNIĘTYM, PRZYSTOSOWANIA SIĘ DO ZMIANY KLIMATU ORAZ ZAPOBIEGANIA RYZYKU I ZARZĄDZANIA RYZYKIEM, możliwe będzie uzyskanie dofinansowania na wspieranie działań w zakresie dostosowania do zmiany klimatu, zapobiegania ryzyku i odporności na klęski żywiołowe polegające na budowie, przebudowie lub remoncie urządzeń wodnych i infrastruktury towarzyszącej służących zmniejszeniu skutków powodzi lub suszy. Projekty finansowane z poziomu krajowego  muszą wynikać z listy ministra właściwego ds. gospodarki wodnej oraz ministra właściwego ds. klimatu natomiast z poziomu regionalnego będą mogły być współfinansowanie projekty o charakterze regionalnym i lokalnym wynikające z analiz ministra właściwego ds. gospodarki wodnej oraz ministra właściwego ds. klimatu, tj. listy projektów wynikającej z potrzeb JST. W zawiązku z tym niezbędne jest wpisanie zaplanowanych projektów Miasta Białystok  do odpowiedniego załącznika IIaPGW. </w:t>
            </w:r>
          </w:p>
        </w:tc>
        <w:tc>
          <w:tcPr>
            <w:tcW w:w="1918" w:type="dxa"/>
            <w:shd w:val="clear" w:color="auto" w:fill="auto"/>
            <w:hideMark/>
          </w:tcPr>
          <w:p w14:paraId="06CC9E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72F09E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EC49F1" w14:textId="7DBEFF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Wskazane w uwadze inwestycje nie wpisują się w cele IIaPGW w zakresie działań naprawczych, powinny zostać przeanalizowane w ramach planów/programów ukierunkowanych na przeciwdziałanie skutkom suszy albo przeciwdziałanie ryzyku powodziowemu (w zależności od ich zakresu). Programy takie jak plan przeciwdziałania skutkom suszy (PPSS), Program przeciwdziałania niedoborowi wody (PPNW) przostały uwzględnione przy identyfikacji zagrożenia poszczególnych zlewni suszą i ocenie możliwości skuteczności działań naprawczych IIaPGW mających na celu umożliwienie spełnienia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dodatkowo dane z tych projektów wykorzystano przy identyfikacji działań nakierowanych na poprawę naturalnej retencji w zlewniach zagrożonych 4 typami suszy, w których stwierdzono na podstawie wyników monitoringu GIOŚ i analizy presji ryzyko nieosiągnięcia celów środowiskowych. Ponadto, przywołane przedsięwzięcie nie mogą być wpisane do Wykazu Inwestycji i Działań, ponieważ Wykaz ten nie pełni funkcji planistycznej - lecz wyłącznie funkcję sprawozdawczą, tj. przedstawia informacje o już ustanowionych (w ramach decyzji administracyjnych lub w ramach aPGW z 2016 r.) odstępstwach dla przedsięwzięć uniemożliwiających osiągnięcie celów środowiskowych, co do których potwierdzono spełnienie przesłanek dopuszczalności wskazanych w art. 4 ust. 7 Ramowej Dyrektywy Wodnej.</w:t>
            </w:r>
          </w:p>
        </w:tc>
      </w:tr>
      <w:tr w:rsidR="0085319C" w:rsidRPr="005E78BB" w14:paraId="334C11C1" w14:textId="77777777" w:rsidTr="00E92AE6">
        <w:trPr>
          <w:trHeight w:val="454"/>
        </w:trPr>
        <w:tc>
          <w:tcPr>
            <w:tcW w:w="562" w:type="dxa"/>
            <w:shd w:val="clear" w:color="auto" w:fill="auto"/>
            <w:hideMark/>
          </w:tcPr>
          <w:p w14:paraId="4AE07DB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62</w:t>
            </w:r>
          </w:p>
        </w:tc>
        <w:tc>
          <w:tcPr>
            <w:tcW w:w="1021" w:type="dxa"/>
          </w:tcPr>
          <w:p w14:paraId="7C64A869" w14:textId="3B958CF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Sobkowie</w:t>
            </w:r>
          </w:p>
        </w:tc>
        <w:tc>
          <w:tcPr>
            <w:tcW w:w="1630" w:type="dxa"/>
            <w:shd w:val="clear" w:color="auto" w:fill="auto"/>
            <w:hideMark/>
          </w:tcPr>
          <w:p w14:paraId="1DDA11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1D7BA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zestawienia inwestycji kierunkowych - dokument towarzyszący. Brak w  zestawieniu projektu z zakresu zwiększenia retencji wód (budowy zbiornika wodnego) oraz przeciwdziałania skutkom suszy poprzez budowę zbiornika małej retencji na rzece Biała Nida w gminie Sobków oraz Chęciny.</w:t>
            </w:r>
          </w:p>
        </w:tc>
        <w:tc>
          <w:tcPr>
            <w:tcW w:w="3377" w:type="dxa"/>
            <w:shd w:val="clear" w:color="auto" w:fill="auto"/>
            <w:hideMark/>
          </w:tcPr>
          <w:p w14:paraId="5C120B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Prosimy o włączenie inwestycji zgodnie z zestawieniem: </w:t>
            </w:r>
            <w:r w:rsidRPr="005E78BB">
              <w:rPr>
                <w:rFonts w:ascii="Calibri" w:eastAsia="Times New Roman" w:hAnsi="Calibri" w:cs="Calibri"/>
                <w:color w:val="000000"/>
                <w:sz w:val="18"/>
                <w:szCs w:val="18"/>
                <w:lang w:eastAsia="pl-PL"/>
              </w:rPr>
              <w:br/>
              <w:t>1.  Dokument strategiczny, w którym inwestycja została ujęta: Brak</w:t>
            </w:r>
            <w:r w:rsidRPr="005E78BB">
              <w:rPr>
                <w:rFonts w:ascii="Calibri" w:eastAsia="Times New Roman" w:hAnsi="Calibri" w:cs="Calibri"/>
                <w:color w:val="000000"/>
                <w:sz w:val="18"/>
                <w:szCs w:val="18"/>
                <w:lang w:eastAsia="pl-PL"/>
              </w:rPr>
              <w:br/>
              <w:t>2. Nazwa inwestycji: Budowa zbiornika małej retencji na rzece Biała Nida w gminie Sobków oraz Chęciny.</w:t>
            </w:r>
            <w:r w:rsidRPr="005E78BB">
              <w:rPr>
                <w:rFonts w:ascii="Calibri" w:eastAsia="Times New Roman" w:hAnsi="Calibri" w:cs="Calibri"/>
                <w:color w:val="000000"/>
                <w:sz w:val="18"/>
                <w:szCs w:val="18"/>
                <w:lang w:eastAsia="pl-PL"/>
              </w:rPr>
              <w:br/>
              <w:t>3. Główny cel inwestycji: Przeciwdziałanie skutkom suszy</w:t>
            </w:r>
            <w:r w:rsidRPr="005E78BB">
              <w:rPr>
                <w:rFonts w:ascii="Calibri" w:eastAsia="Times New Roman" w:hAnsi="Calibri" w:cs="Calibri"/>
                <w:color w:val="000000"/>
                <w:sz w:val="18"/>
                <w:szCs w:val="18"/>
                <w:lang w:eastAsia="pl-PL"/>
              </w:rPr>
              <w:br/>
              <w:t>4. Ciek: Biała Nida</w:t>
            </w:r>
          </w:p>
        </w:tc>
        <w:tc>
          <w:tcPr>
            <w:tcW w:w="3401" w:type="dxa"/>
            <w:shd w:val="clear" w:color="auto" w:fill="auto"/>
            <w:hideMark/>
          </w:tcPr>
          <w:p w14:paraId="3B5BF2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Jedną z niekorzystnych cech klimatu Polski jest częste występowanie susz. Pojawiają się one okresowo, w różnych porach roku i powodują niekiedy poważne straty gospodarcze. Bezpośrednim skutkiem suszy jest zakłócenie naturalnego bilansu wodnego danego obszaru. W Gminie Sobków w ostatnich sześciu latach susza występowała aż 3 krotnie – w 2019 r.  powierzchnia dotknięta suszą zgłoszona przez rolników wynosiła 469,13 ha, w 2018 r. powierzchnia zgłoszona to 891,04 ha, w 2015 r. powierzchnia wynosiła 109,71 ha. Podane powierzchnie wynikają ze złożonych wniosków o oszacowanie szkód w gospodarstwach, jednak powierzchnia gminy dotknięta suszą jest dużo większa. Zgodnie z Monitoringiem Warunków Glebowych w obszarze tym występują gleby podatne na suszę, w związku z czym </w:t>
            </w:r>
            <w:r w:rsidRPr="005E78BB">
              <w:rPr>
                <w:rFonts w:ascii="Calibri" w:eastAsia="Times New Roman" w:hAnsi="Calibri" w:cs="Calibri"/>
                <w:color w:val="000000"/>
                <w:sz w:val="18"/>
                <w:szCs w:val="18"/>
                <w:lang w:eastAsia="pl-PL"/>
              </w:rPr>
              <w:lastRenderedPageBreak/>
              <w:t>zachodzi przesłanka  do wykonania zbiornika retencyjnego.</w:t>
            </w:r>
          </w:p>
        </w:tc>
        <w:tc>
          <w:tcPr>
            <w:tcW w:w="1918" w:type="dxa"/>
            <w:shd w:val="clear" w:color="auto" w:fill="auto"/>
            <w:hideMark/>
          </w:tcPr>
          <w:p w14:paraId="516454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11101F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29258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w:t>
            </w:r>
            <w:r w:rsidRPr="005E78BB">
              <w:rPr>
                <w:rFonts w:ascii="Calibri" w:eastAsia="Times New Roman" w:hAnsi="Calibri" w:cs="Calibri"/>
                <w:color w:val="000000"/>
                <w:sz w:val="18"/>
                <w:szCs w:val="18"/>
                <w:lang w:eastAsia="pl-PL"/>
              </w:rPr>
              <w:lastRenderedPageBreak/>
              <w:t>poprzez zgłoszenie i wprowadzenie zmian do PPI oraz aPZRP.</w:t>
            </w:r>
          </w:p>
        </w:tc>
      </w:tr>
      <w:tr w:rsidR="0085319C" w:rsidRPr="005E78BB" w14:paraId="64126F2D" w14:textId="77777777" w:rsidTr="00E92AE6">
        <w:trPr>
          <w:trHeight w:val="454"/>
        </w:trPr>
        <w:tc>
          <w:tcPr>
            <w:tcW w:w="562" w:type="dxa"/>
            <w:shd w:val="clear" w:color="auto" w:fill="auto"/>
            <w:hideMark/>
          </w:tcPr>
          <w:p w14:paraId="0851E7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63</w:t>
            </w:r>
          </w:p>
        </w:tc>
        <w:tc>
          <w:tcPr>
            <w:tcW w:w="1021" w:type="dxa"/>
          </w:tcPr>
          <w:p w14:paraId="088B7E39" w14:textId="734DC88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456781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EE46A88"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Załącznik 7.3_Zestaw_dzialan_RW_ODWisła</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lp.1378 w opisie działania (kolumnaT) „Likwidacja oczyszczalni ścieków w aglomeracji Kraków (IDoczyszczalni: b.d.)” nie jest uwzględnione ID oczyszczalni Wadów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0BD7BE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Uwzględnić uzupełniony opis działania o treści: Likwidacja oczyszczalni ścieków w aglomeracji Kraków (ID oczyszczalni: PLMP0018)</w:t>
            </w:r>
          </w:p>
        </w:tc>
        <w:tc>
          <w:tcPr>
            <w:tcW w:w="3401" w:type="dxa"/>
            <w:shd w:val="clear" w:color="auto" w:fill="auto"/>
            <w:hideMark/>
          </w:tcPr>
          <w:p w14:paraId="6EC608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ID oczyszczalni ścieków Wadów - PLMP0018 wynika z Krajowego Programu Oczyszczania Ścieków Komunalnych</w:t>
            </w:r>
          </w:p>
        </w:tc>
        <w:tc>
          <w:tcPr>
            <w:tcW w:w="1918" w:type="dxa"/>
            <w:shd w:val="clear" w:color="auto" w:fill="auto"/>
            <w:hideMark/>
          </w:tcPr>
          <w:p w14:paraId="3E4429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58055A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06D81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Uzupełniono opis działania o ID oczyszczalni.</w:t>
            </w:r>
          </w:p>
        </w:tc>
      </w:tr>
      <w:tr w:rsidR="0085319C" w:rsidRPr="005E78BB" w14:paraId="5B2721B2" w14:textId="77777777" w:rsidTr="00E92AE6">
        <w:trPr>
          <w:trHeight w:val="454"/>
        </w:trPr>
        <w:tc>
          <w:tcPr>
            <w:tcW w:w="562" w:type="dxa"/>
            <w:shd w:val="clear" w:color="auto" w:fill="auto"/>
            <w:hideMark/>
          </w:tcPr>
          <w:p w14:paraId="323FF6F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w:t>
            </w:r>
          </w:p>
        </w:tc>
        <w:tc>
          <w:tcPr>
            <w:tcW w:w="1021" w:type="dxa"/>
          </w:tcPr>
          <w:p w14:paraId="4F964DB3" w14:textId="0A13CDD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i Gminy Chmielnik</w:t>
            </w:r>
          </w:p>
        </w:tc>
        <w:tc>
          <w:tcPr>
            <w:tcW w:w="1630" w:type="dxa"/>
            <w:shd w:val="clear" w:color="auto" w:fill="auto"/>
            <w:hideMark/>
          </w:tcPr>
          <w:p w14:paraId="04A596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5F8783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inwestycji bądź działań związanych z konserwacją w obrębie miasta i  gminy Chmielnik  rzeki " Sanica", "Dopływu od Ługów", "Cieku od Lubani" </w:t>
            </w:r>
          </w:p>
        </w:tc>
        <w:tc>
          <w:tcPr>
            <w:tcW w:w="3377" w:type="dxa"/>
            <w:shd w:val="clear" w:color="auto" w:fill="auto"/>
            <w:hideMark/>
          </w:tcPr>
          <w:p w14:paraId="6CC7B5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Ujęcie w wykazie inwestycji i działań, inwestycji związanych z zapobieganiem tworzenia się rozlewiska wodnego w obrębie rzeki Sanica w miejscowości Suskrajowice gmina Chmielnik i w miejscowości Bugaj i Kostera w gminie Gnojno, z uwagi na to że rzeka Sanica na tym odcinku występuje z brzegów i zalewa nie tylko drogi i pola uprawne ale także gospodarstwa domowe i rolne. Ponadto zdarza się po intensywnych opadach deszczu zalewanie pól, łąk oraz posesji mieszkalnych w obrębie Dopływu od Ługów na odcinku Suchowola - Ługi. Również w obrębie Cieku od Lubani zdarzają się podtopienia pól i posesji oraz dróg. </w:t>
            </w:r>
          </w:p>
        </w:tc>
        <w:tc>
          <w:tcPr>
            <w:tcW w:w="3401" w:type="dxa"/>
            <w:shd w:val="clear" w:color="auto" w:fill="auto"/>
            <w:hideMark/>
          </w:tcPr>
          <w:p w14:paraId="4496F8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częste podtopienia, a ostatnio zalewanie  posesji mieszkalnych w obrębie rzeki Sanica w miejscowości Suskrajowice, Dopływu od Ługów w miejscowości Suchowola-Ługi, Cieku od Lubani w Lubani - na terenie gminy Chmielnik, woj. świętokrzyskie, powiat kielecki.</w:t>
            </w:r>
          </w:p>
        </w:tc>
        <w:tc>
          <w:tcPr>
            <w:tcW w:w="1918" w:type="dxa"/>
            <w:shd w:val="clear" w:color="auto" w:fill="auto"/>
            <w:hideMark/>
          </w:tcPr>
          <w:p w14:paraId="6ED1D8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6235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9D85E9" w14:textId="4267A47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Inwestycji i Działań nie pełni funkcji planistycznej, lecz funkcję "sprawozdawczą", tzn. przedstawia on informacje wyłącznie dla takich przedsięwzięć, co do których już stwierdzono (w ramach decyzji o środowiskowych uwarunkowaniach, oceny wodnoprawnej lub aPGW z 2016 r.) że spowodują one nieosiągnięcie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lub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jednak spełniają one przesłanki odstępstwa w trybie art. 68 ustawy Prawo wodne. Pozostałe inwestycje nie mogą się znaleźć w Wykazie Inwestycji i Działań (nie jest to prawnie możliwe i nie jest to potrzebne). Brak wpisania przedsięwzięcia do Wykazu Inwestycji i Działań nie oznacza braku możliwości jego realizacji.</w:t>
            </w:r>
          </w:p>
        </w:tc>
      </w:tr>
      <w:tr w:rsidR="0085319C" w:rsidRPr="005E78BB" w14:paraId="2F763ADA" w14:textId="77777777" w:rsidTr="00E92AE6">
        <w:trPr>
          <w:trHeight w:val="454"/>
        </w:trPr>
        <w:tc>
          <w:tcPr>
            <w:tcW w:w="562" w:type="dxa"/>
            <w:shd w:val="clear" w:color="auto" w:fill="auto"/>
            <w:hideMark/>
          </w:tcPr>
          <w:p w14:paraId="074492A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w:t>
            </w:r>
          </w:p>
        </w:tc>
        <w:tc>
          <w:tcPr>
            <w:tcW w:w="1021" w:type="dxa"/>
          </w:tcPr>
          <w:p w14:paraId="4245EF78" w14:textId="34CCC4C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Kamila Trzaska</w:t>
            </w:r>
          </w:p>
        </w:tc>
        <w:tc>
          <w:tcPr>
            <w:tcW w:w="1630" w:type="dxa"/>
            <w:shd w:val="clear" w:color="auto" w:fill="auto"/>
            <w:hideMark/>
          </w:tcPr>
          <w:p w14:paraId="458498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ACADE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wnoszę o zniesienie stref zalewowych z terenu mojej działki nr 431 położonej w miejscowości Długołęka utrudnia to możliwość nowej zabudowy</w:t>
            </w:r>
          </w:p>
        </w:tc>
        <w:tc>
          <w:tcPr>
            <w:tcW w:w="3377" w:type="dxa"/>
            <w:shd w:val="clear" w:color="auto" w:fill="auto"/>
            <w:hideMark/>
          </w:tcPr>
          <w:p w14:paraId="23B962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1A01A4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C0D9F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1A30F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7A2E6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002370F2" w14:textId="77777777" w:rsidTr="00E92AE6">
        <w:trPr>
          <w:trHeight w:val="454"/>
        </w:trPr>
        <w:tc>
          <w:tcPr>
            <w:tcW w:w="562" w:type="dxa"/>
            <w:shd w:val="clear" w:color="auto" w:fill="auto"/>
            <w:hideMark/>
          </w:tcPr>
          <w:p w14:paraId="65BC95E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w:t>
            </w:r>
          </w:p>
        </w:tc>
        <w:tc>
          <w:tcPr>
            <w:tcW w:w="1021" w:type="dxa"/>
          </w:tcPr>
          <w:p w14:paraId="02E32C2A" w14:textId="2EA653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Adam Kabata</w:t>
            </w:r>
          </w:p>
        </w:tc>
        <w:tc>
          <w:tcPr>
            <w:tcW w:w="1630" w:type="dxa"/>
            <w:shd w:val="clear" w:color="auto" w:fill="auto"/>
            <w:hideMark/>
          </w:tcPr>
          <w:p w14:paraId="58FF93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FCD83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p>
        </w:tc>
        <w:tc>
          <w:tcPr>
            <w:tcW w:w="3377" w:type="dxa"/>
            <w:shd w:val="clear" w:color="auto" w:fill="auto"/>
            <w:hideMark/>
          </w:tcPr>
          <w:p w14:paraId="6A439D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EFE78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36AD5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49936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C4E2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6E8C6AA5" w14:textId="77777777" w:rsidTr="00E92AE6">
        <w:trPr>
          <w:trHeight w:val="454"/>
        </w:trPr>
        <w:tc>
          <w:tcPr>
            <w:tcW w:w="562" w:type="dxa"/>
            <w:shd w:val="clear" w:color="auto" w:fill="auto"/>
            <w:hideMark/>
          </w:tcPr>
          <w:p w14:paraId="6AB0916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w:t>
            </w:r>
          </w:p>
        </w:tc>
        <w:tc>
          <w:tcPr>
            <w:tcW w:w="1021" w:type="dxa"/>
          </w:tcPr>
          <w:p w14:paraId="1501146D" w14:textId="3DE7A27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Krzysztof Okoń</w:t>
            </w:r>
          </w:p>
        </w:tc>
        <w:tc>
          <w:tcPr>
            <w:tcW w:w="1630" w:type="dxa"/>
            <w:shd w:val="clear" w:color="auto" w:fill="auto"/>
            <w:hideMark/>
          </w:tcPr>
          <w:p w14:paraId="2721AA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1A2BC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W-GZW-1393</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zniesienie z terenu mojej działki nr 434 położonej w miejscowości Długołęka stref zalewowych utrudnia to możliwość nowej zabudowy</w:t>
            </w:r>
          </w:p>
        </w:tc>
        <w:tc>
          <w:tcPr>
            <w:tcW w:w="3377" w:type="dxa"/>
            <w:shd w:val="clear" w:color="auto" w:fill="auto"/>
            <w:hideMark/>
          </w:tcPr>
          <w:p w14:paraId="6B1F1F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3FDEF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FEA3A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7D9E8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A7EF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13C7A99B" w14:textId="77777777" w:rsidTr="00E92AE6">
        <w:trPr>
          <w:trHeight w:val="454"/>
        </w:trPr>
        <w:tc>
          <w:tcPr>
            <w:tcW w:w="562" w:type="dxa"/>
            <w:shd w:val="clear" w:color="auto" w:fill="auto"/>
            <w:hideMark/>
          </w:tcPr>
          <w:p w14:paraId="1BE4309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w:t>
            </w:r>
          </w:p>
        </w:tc>
        <w:tc>
          <w:tcPr>
            <w:tcW w:w="1021" w:type="dxa"/>
          </w:tcPr>
          <w:p w14:paraId="7D9F34C1" w14:textId="7A50DED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Paweł Banaś</w:t>
            </w:r>
          </w:p>
        </w:tc>
        <w:tc>
          <w:tcPr>
            <w:tcW w:w="1630" w:type="dxa"/>
            <w:shd w:val="clear" w:color="auto" w:fill="auto"/>
            <w:hideMark/>
          </w:tcPr>
          <w:p w14:paraId="7EB143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17C7A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zniesienie z terenu mojej działki nr 401 położonej w miejscowości Długołęka stref zalewowych utrudnia to możliwość nowej zabudowy</w:t>
            </w:r>
          </w:p>
        </w:tc>
        <w:tc>
          <w:tcPr>
            <w:tcW w:w="3377" w:type="dxa"/>
            <w:shd w:val="clear" w:color="auto" w:fill="auto"/>
            <w:hideMark/>
          </w:tcPr>
          <w:p w14:paraId="4F870D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B1846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D67EC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6F1FB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C4B67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17BC7502" w14:textId="77777777" w:rsidTr="00E92AE6">
        <w:trPr>
          <w:trHeight w:val="454"/>
        </w:trPr>
        <w:tc>
          <w:tcPr>
            <w:tcW w:w="562" w:type="dxa"/>
            <w:shd w:val="clear" w:color="auto" w:fill="auto"/>
            <w:hideMark/>
          </w:tcPr>
          <w:p w14:paraId="6DC259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w:t>
            </w:r>
          </w:p>
        </w:tc>
        <w:tc>
          <w:tcPr>
            <w:tcW w:w="1021" w:type="dxa"/>
          </w:tcPr>
          <w:p w14:paraId="2A54FE73" w14:textId="0B8295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Marek Kos</w:t>
            </w:r>
          </w:p>
        </w:tc>
        <w:tc>
          <w:tcPr>
            <w:tcW w:w="1630" w:type="dxa"/>
            <w:shd w:val="clear" w:color="auto" w:fill="auto"/>
            <w:hideMark/>
          </w:tcPr>
          <w:p w14:paraId="5E8495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F7443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zniesienie z terenu mojej działki nr 446 położonej w miejscowości Długołęka stref zalewowych utrudnia to możliwość nowej zabudowy</w:t>
            </w:r>
          </w:p>
        </w:tc>
        <w:tc>
          <w:tcPr>
            <w:tcW w:w="3377" w:type="dxa"/>
            <w:shd w:val="clear" w:color="auto" w:fill="auto"/>
            <w:hideMark/>
          </w:tcPr>
          <w:p w14:paraId="4A5BBC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Proponuję wyczyszczenie zadrzewień w obrębie Wisły pogłębić i wyregulować koryto rzeki Wisły oraz meliorowanie rowów dopływających do rzeki </w:t>
            </w:r>
          </w:p>
        </w:tc>
        <w:tc>
          <w:tcPr>
            <w:tcW w:w="3401" w:type="dxa"/>
            <w:shd w:val="clear" w:color="auto" w:fill="auto"/>
            <w:hideMark/>
          </w:tcPr>
          <w:p w14:paraId="3C524D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C7E93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EE5B9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15DC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28DECB14" w14:textId="77777777" w:rsidTr="00E92AE6">
        <w:trPr>
          <w:trHeight w:val="454"/>
        </w:trPr>
        <w:tc>
          <w:tcPr>
            <w:tcW w:w="562" w:type="dxa"/>
            <w:shd w:val="clear" w:color="auto" w:fill="auto"/>
            <w:hideMark/>
          </w:tcPr>
          <w:p w14:paraId="33E193A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70</w:t>
            </w:r>
          </w:p>
        </w:tc>
        <w:tc>
          <w:tcPr>
            <w:tcW w:w="1021" w:type="dxa"/>
          </w:tcPr>
          <w:p w14:paraId="680D499D" w14:textId="2BA012E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Okoń</w:t>
            </w:r>
          </w:p>
        </w:tc>
        <w:tc>
          <w:tcPr>
            <w:tcW w:w="1630" w:type="dxa"/>
            <w:shd w:val="clear" w:color="auto" w:fill="auto"/>
            <w:hideMark/>
          </w:tcPr>
          <w:p w14:paraId="6FBC23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FB673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402 i 492 położonej w miejscowości Długołęka stref zalewowych utrudnia to możliwość nowych zabudowów na w/w działkach </w:t>
            </w:r>
          </w:p>
        </w:tc>
        <w:tc>
          <w:tcPr>
            <w:tcW w:w="3377" w:type="dxa"/>
            <w:shd w:val="clear" w:color="auto" w:fill="auto"/>
            <w:hideMark/>
          </w:tcPr>
          <w:p w14:paraId="357C8A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oczyszczenie zadrzewień wzmocnienie i dbanie o jakość wałów przeciwpowodziowych</w:t>
            </w:r>
          </w:p>
        </w:tc>
        <w:tc>
          <w:tcPr>
            <w:tcW w:w="3401" w:type="dxa"/>
            <w:shd w:val="clear" w:color="auto" w:fill="auto"/>
            <w:hideMark/>
          </w:tcPr>
          <w:p w14:paraId="05E856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D5A46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B4C25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340D2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64EEBA21" w14:textId="77777777" w:rsidTr="00E92AE6">
        <w:trPr>
          <w:trHeight w:val="454"/>
        </w:trPr>
        <w:tc>
          <w:tcPr>
            <w:tcW w:w="562" w:type="dxa"/>
            <w:shd w:val="clear" w:color="auto" w:fill="auto"/>
            <w:hideMark/>
          </w:tcPr>
          <w:p w14:paraId="062199C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w:t>
            </w:r>
          </w:p>
        </w:tc>
        <w:tc>
          <w:tcPr>
            <w:tcW w:w="1021" w:type="dxa"/>
          </w:tcPr>
          <w:p w14:paraId="5AF7BA7F" w14:textId="370190F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Okoń</w:t>
            </w:r>
          </w:p>
        </w:tc>
        <w:tc>
          <w:tcPr>
            <w:tcW w:w="1630" w:type="dxa"/>
            <w:shd w:val="clear" w:color="auto" w:fill="auto"/>
            <w:hideMark/>
          </w:tcPr>
          <w:p w14:paraId="70B302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E7A30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402 i 492 położonej w miejscowości Długołęka stref zalewowych utrudnia to możliwość nowych zabudowów na w/w działkach </w:t>
            </w:r>
          </w:p>
        </w:tc>
        <w:tc>
          <w:tcPr>
            <w:tcW w:w="3377" w:type="dxa"/>
            <w:shd w:val="clear" w:color="auto" w:fill="auto"/>
            <w:hideMark/>
          </w:tcPr>
          <w:p w14:paraId="50A6DC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oczyszczenie zadrzewień wzmocnienie i dbanie o jakość wałów przeciwpowodziowych</w:t>
            </w:r>
          </w:p>
        </w:tc>
        <w:tc>
          <w:tcPr>
            <w:tcW w:w="3401" w:type="dxa"/>
            <w:shd w:val="clear" w:color="auto" w:fill="auto"/>
            <w:hideMark/>
          </w:tcPr>
          <w:p w14:paraId="2C5319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B0D2A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31379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D22A3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065D22AA" w14:textId="77777777" w:rsidTr="00E92AE6">
        <w:trPr>
          <w:trHeight w:val="454"/>
        </w:trPr>
        <w:tc>
          <w:tcPr>
            <w:tcW w:w="562" w:type="dxa"/>
            <w:shd w:val="clear" w:color="auto" w:fill="auto"/>
            <w:hideMark/>
          </w:tcPr>
          <w:p w14:paraId="3567758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w:t>
            </w:r>
          </w:p>
        </w:tc>
        <w:tc>
          <w:tcPr>
            <w:tcW w:w="1021" w:type="dxa"/>
          </w:tcPr>
          <w:p w14:paraId="49112335" w14:textId="522423C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Stanisław Kucwaj</w:t>
            </w:r>
          </w:p>
        </w:tc>
        <w:tc>
          <w:tcPr>
            <w:tcW w:w="1630" w:type="dxa"/>
            <w:shd w:val="clear" w:color="auto" w:fill="auto"/>
            <w:hideMark/>
          </w:tcPr>
          <w:p w14:paraId="585971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A6EB0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483 położonej w miejscowości Długołęka stref zalewowych utrudnia to możliwość nowych zabudowy </w:t>
            </w:r>
          </w:p>
        </w:tc>
        <w:tc>
          <w:tcPr>
            <w:tcW w:w="3377" w:type="dxa"/>
            <w:shd w:val="clear" w:color="auto" w:fill="auto"/>
            <w:hideMark/>
          </w:tcPr>
          <w:p w14:paraId="03820D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F4818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BEB82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4FF29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BE39F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4CCA14E8" w14:textId="77777777" w:rsidTr="00E92AE6">
        <w:trPr>
          <w:trHeight w:val="454"/>
        </w:trPr>
        <w:tc>
          <w:tcPr>
            <w:tcW w:w="562" w:type="dxa"/>
            <w:shd w:val="clear" w:color="auto" w:fill="auto"/>
            <w:hideMark/>
          </w:tcPr>
          <w:p w14:paraId="3E078D8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w:t>
            </w:r>
          </w:p>
        </w:tc>
        <w:tc>
          <w:tcPr>
            <w:tcW w:w="1021" w:type="dxa"/>
          </w:tcPr>
          <w:p w14:paraId="28CF729E" w14:textId="4F7DA2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Borycki</w:t>
            </w:r>
          </w:p>
        </w:tc>
        <w:tc>
          <w:tcPr>
            <w:tcW w:w="1630" w:type="dxa"/>
            <w:shd w:val="clear" w:color="auto" w:fill="auto"/>
            <w:hideMark/>
          </w:tcPr>
          <w:p w14:paraId="5973C5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97810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456/1 położonej w miejscowości Długołęka stref zalewowych utrudnia to możliwość nowych zabudowy </w:t>
            </w:r>
          </w:p>
        </w:tc>
        <w:tc>
          <w:tcPr>
            <w:tcW w:w="3377" w:type="dxa"/>
            <w:shd w:val="clear" w:color="auto" w:fill="auto"/>
            <w:hideMark/>
          </w:tcPr>
          <w:p w14:paraId="1E2985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9FA2B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D6B0A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E6E86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138D8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36192611" w14:textId="77777777" w:rsidTr="00E92AE6">
        <w:trPr>
          <w:trHeight w:val="454"/>
        </w:trPr>
        <w:tc>
          <w:tcPr>
            <w:tcW w:w="562" w:type="dxa"/>
            <w:shd w:val="clear" w:color="auto" w:fill="auto"/>
            <w:hideMark/>
          </w:tcPr>
          <w:p w14:paraId="7F90EAF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w:t>
            </w:r>
          </w:p>
        </w:tc>
        <w:tc>
          <w:tcPr>
            <w:tcW w:w="1021" w:type="dxa"/>
          </w:tcPr>
          <w:p w14:paraId="22500FC4" w14:textId="21D9533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Glica</w:t>
            </w:r>
          </w:p>
        </w:tc>
        <w:tc>
          <w:tcPr>
            <w:tcW w:w="1630" w:type="dxa"/>
            <w:shd w:val="clear" w:color="auto" w:fill="auto"/>
            <w:hideMark/>
          </w:tcPr>
          <w:p w14:paraId="1A1CC9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D63D6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453/3 położonej w miejscowości Długołęka stref zalewowych utrudnia to możliwość nowych zabudowy </w:t>
            </w:r>
          </w:p>
        </w:tc>
        <w:tc>
          <w:tcPr>
            <w:tcW w:w="3377" w:type="dxa"/>
            <w:shd w:val="clear" w:color="auto" w:fill="auto"/>
            <w:hideMark/>
          </w:tcPr>
          <w:p w14:paraId="5A1D88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A0750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5AA2F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CF4D7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7F250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5CE26FF0" w14:textId="77777777" w:rsidTr="00E92AE6">
        <w:trPr>
          <w:trHeight w:val="454"/>
        </w:trPr>
        <w:tc>
          <w:tcPr>
            <w:tcW w:w="562" w:type="dxa"/>
            <w:shd w:val="clear" w:color="auto" w:fill="auto"/>
            <w:hideMark/>
          </w:tcPr>
          <w:p w14:paraId="7DD62A3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w:t>
            </w:r>
          </w:p>
        </w:tc>
        <w:tc>
          <w:tcPr>
            <w:tcW w:w="1021" w:type="dxa"/>
          </w:tcPr>
          <w:p w14:paraId="793D4583" w14:textId="295AA9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Tomasz Wyrzykowski</w:t>
            </w:r>
          </w:p>
        </w:tc>
        <w:tc>
          <w:tcPr>
            <w:tcW w:w="1630" w:type="dxa"/>
            <w:shd w:val="clear" w:color="auto" w:fill="auto"/>
            <w:hideMark/>
          </w:tcPr>
          <w:p w14:paraId="3C5E28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34134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422/2 położonej w miejscowości Długołęka stref zalewowych utrudnia to możliwość nowych zabudowy </w:t>
            </w:r>
          </w:p>
        </w:tc>
        <w:tc>
          <w:tcPr>
            <w:tcW w:w="3377" w:type="dxa"/>
            <w:shd w:val="clear" w:color="auto" w:fill="auto"/>
            <w:hideMark/>
          </w:tcPr>
          <w:p w14:paraId="779A96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08D20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117F6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F65CB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4B75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7E3C9871" w14:textId="77777777" w:rsidTr="00E92AE6">
        <w:trPr>
          <w:trHeight w:val="454"/>
        </w:trPr>
        <w:tc>
          <w:tcPr>
            <w:tcW w:w="562" w:type="dxa"/>
            <w:shd w:val="clear" w:color="auto" w:fill="auto"/>
            <w:hideMark/>
          </w:tcPr>
          <w:p w14:paraId="75ED2D6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w:t>
            </w:r>
          </w:p>
        </w:tc>
        <w:tc>
          <w:tcPr>
            <w:tcW w:w="1021" w:type="dxa"/>
          </w:tcPr>
          <w:p w14:paraId="34E3F3E9" w14:textId="162EB76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Instytut Meteorologii i Gospodarki Wodnej - Państwowy Instytut Badawczy</w:t>
            </w:r>
          </w:p>
        </w:tc>
        <w:tc>
          <w:tcPr>
            <w:tcW w:w="1630" w:type="dxa"/>
            <w:shd w:val="clear" w:color="auto" w:fill="auto"/>
            <w:hideMark/>
          </w:tcPr>
          <w:p w14:paraId="5D39B5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09FF70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zapisów w dokumentach IIaPGW, które bezpośrednio wpływają na zakres realizacji zadań statutowych IMGW-PIB – uwaga dotyczy również IIaPGW dla innych obszarów dorzeczy.</w:t>
            </w:r>
            <w:r w:rsidRPr="005E78BB">
              <w:rPr>
                <w:rFonts w:ascii="Calibri" w:eastAsia="Times New Roman" w:hAnsi="Calibri" w:cs="Calibri"/>
                <w:color w:val="000000"/>
                <w:sz w:val="18"/>
                <w:szCs w:val="18"/>
                <w:lang w:eastAsia="pl-PL"/>
              </w:rPr>
              <w:br/>
              <w:t>W nawiązaniu do prowadzonych konsultacji społecznych II aktualizacji planów gospodarowania wodami Instytut Meteorologii i Gospodarki Wodnej – Państwowy Instytut Badawczy (IMGW-PIB) przesyła poniżej stanowisko w przedmiotowej sprawie.</w:t>
            </w:r>
            <w:r w:rsidRPr="005E78BB">
              <w:rPr>
                <w:rFonts w:ascii="Calibri" w:eastAsia="Times New Roman" w:hAnsi="Calibri" w:cs="Calibri"/>
                <w:color w:val="000000"/>
                <w:sz w:val="18"/>
                <w:szCs w:val="18"/>
                <w:lang w:eastAsia="pl-PL"/>
              </w:rPr>
              <w:br/>
              <w:t>IMGW-PIB posiada rozbudowaną sieć stacji pomiarowo-obserwacyjnych w całej Polsce, w skład której wchodzi 856 stacji hydrologicznych gdzie wykonywane są między innymi pomiary i obserwacje stanów wody, pomiary natężenia przepływu oraz obserwacje zarastania koryt rzecznych oraz zlodzenia w okresie zimy.</w:t>
            </w:r>
            <w:r w:rsidRPr="005E78BB">
              <w:rPr>
                <w:rFonts w:ascii="Calibri" w:eastAsia="Times New Roman" w:hAnsi="Calibri" w:cs="Calibri"/>
                <w:color w:val="000000"/>
                <w:sz w:val="18"/>
                <w:szCs w:val="18"/>
                <w:lang w:eastAsia="pl-PL"/>
              </w:rPr>
              <w:br/>
              <w:t xml:space="preserve">Obecnie Instytut realizuje Projekt ochrony przeciwpowodziowej w dorzeczu Odry i Wisły (POPDOW) finansowany z funduszy Banku Światowego. W ramach Projektu do obecnie funkcjonującej sieci stacji wodowskazowych PSHM (856 stacji w całej Polsce) dołączonych zostanie około 100 nowych stacji hydrologicznych, a 168 dotychczasowych stacji zostanie zautomatyzowanych. Lokalizacje stacji hydrologicznych uwzględnionych w POPDOW wybrane zostały we współpracy z PGW WP przy założeniu maksymalnego zoptymalizowania lokalizacji punktów pomiarowych PSHM pod względem wypełniania zapisów i postanowień </w:t>
            </w:r>
            <w:r w:rsidRPr="005E78BB">
              <w:rPr>
                <w:rFonts w:ascii="Calibri" w:eastAsia="Times New Roman" w:hAnsi="Calibri" w:cs="Calibri"/>
                <w:color w:val="000000"/>
                <w:sz w:val="18"/>
                <w:szCs w:val="18"/>
                <w:lang w:eastAsia="pl-PL"/>
              </w:rPr>
              <w:lastRenderedPageBreak/>
              <w:t>zawartych w Ustawie Prawo Wodne art. 367 pkt.1 oraz zapewnienia osłony hydrologicznej zgodnie z zapotrzebowaniem. Zakończenie ww. Projektu w całej Polsce wg harmonogramu planowane jest na I kwartał 2024 roku.</w:t>
            </w:r>
            <w:r w:rsidRPr="005E78BB">
              <w:rPr>
                <w:rFonts w:ascii="Calibri" w:eastAsia="Times New Roman" w:hAnsi="Calibri" w:cs="Calibri"/>
                <w:color w:val="000000"/>
                <w:sz w:val="18"/>
                <w:szCs w:val="18"/>
                <w:lang w:eastAsia="pl-PL"/>
              </w:rPr>
              <w:br/>
              <w:t xml:space="preserve">W przedstawionej do konsultacji społecznych aktualizacji Projektu Gospodarki Wodnej IMGW-PIB został wskazany jako realizator działań w zakresie działań RWH 03.02 dotyczących stworzenia zintegrowanego systemu monitoringu stanów wód (suszy) w zakresie rozbudowy sieci monitoringu przepływu w rzekach zagrożonych znaczącym zmniejszeniem przepływów, zakładającej utworzenie punktów pomiarowych na ponad 200 jednolitych częściach wód powierzchniowych. Wypełniając ze starannością i dbałością o interes publiczny zapisy zawarte w Ustawie Prawo Wodne dotyczące działalności PSHM nie ma uzasadnienia tworzenie tak rozbudowanej i zagęszczonej sieci stacji pomiarowych w tym dublowanie punktów pomiarowych jaką proponuje się w IIaPGW. Należałoby nadmienić, iż szacunkowy koszt budowy stacji hydrologicznej wyposażonej w co najmniej dwie łaty wodowskazowe oraz czujnik stanu wody z przekazem telemetrycznym to szacunkowy koszt kilkudziesięciu tysięcy złotych. W przypadku kiedy stacja wymaga posadowienia większej liczby łat wodowskazowych koszt budowy ulega proporcjonalnemu zwiększeniu. Liczba łat wodowskazowych musi objąć całą amplitudę stanów wody i zależna jest od kształtu oraz rozmiarów koryta, dlatego też indywidualnie dla każdej stacji koszt budowy musi zostać skrupulatnie wyliczony. Nadto należałoby doliczyć również koszty poniesione w ramach użytkowania rzeczowej stacji pomiarowo-obserwacyjnej w tym np. zakup specjalistycznej aparatury pomiarowej do wykonywania pomiarów natężenia przepływu wody w rzekach oraz opłaty wynikające z najmu, dzierżawy czy użytkowania gruntu, na których posadowiona jest stacja hydrologiczna, a także koszty dodatkowych wyjazdów serwisowych i etatów niezbędnych do sprawnego funkcjonowania sieci. Tak rozbudowana sieć hydrologicznych stacji pomiarowo-obserwacyjnych, jaka miałaby powstać zakładając realizację założeń w IIaPGW, generowałaby olbrzymie koszty wynikające z jej utworzenia oraz utrzymania, co dodatkowo obciążałoby budżet Państwa, z którego finansowane jest PSHM nie dostarczając jednocześnie danych o dużym znaczeniu dla pełnienia osłony hydrologicznej i meteorologicznej kraju. IMGW-PIB ze względu na wydatkowanie środków publicznych przeznaczonych na działalność PSHM, każdorazowo bardzo skrupulatnie weryfikuje konieczność posadowienia nowej stacji pomiarowej, jej przydatności na wielu płaszczyznach oraz maksymalnego wykorzystania zbieranych danych. </w:t>
            </w:r>
            <w:r w:rsidRPr="005E78BB">
              <w:rPr>
                <w:rFonts w:ascii="Calibri" w:eastAsia="Times New Roman" w:hAnsi="Calibri" w:cs="Calibri"/>
                <w:color w:val="000000"/>
                <w:sz w:val="18"/>
                <w:szCs w:val="18"/>
                <w:lang w:eastAsia="pl-PL"/>
              </w:rPr>
              <w:br/>
              <w:t xml:space="preserve">Mając na uwadze powyższą argumentację wnosimy o rozważanie przyjęcia istniejących i nowopowstałych stacji hydrologicznych (w ramach POPDOW) jako realizację zadań nałożonych na IMGW-PIB w IIaPGW. Jeżeli jest taka potrzeba możemy również przekazać pliki shapefile z lokalizacjami stacji, o których mowa powyżej. </w:t>
            </w:r>
            <w:r w:rsidRPr="005E78BB">
              <w:rPr>
                <w:rFonts w:ascii="Calibri" w:eastAsia="Times New Roman" w:hAnsi="Calibri" w:cs="Calibri"/>
                <w:color w:val="000000"/>
                <w:sz w:val="18"/>
                <w:szCs w:val="18"/>
                <w:lang w:eastAsia="pl-PL"/>
              </w:rPr>
              <w:br/>
              <w:t>Dodatkowo zwracamy się z prośbą o przekazanie informacji nt. sposobu umieszczenia ww. zadań przypisanych do IMGW-PIB w IIaPGW. Zgodnie z posiadaną wiedzą Instytut nie wnosił o ujęcie go jako realizatora zadania RWH 03.02 dotyczących stworzenia zintegrowanego systemu monitoringu stanów wód oraz nie odpowiada za zakres działań i wysokość kosztów ujętych w IIaPGW.</w:t>
            </w:r>
          </w:p>
        </w:tc>
        <w:tc>
          <w:tcPr>
            <w:tcW w:w="3377" w:type="dxa"/>
            <w:shd w:val="clear" w:color="auto" w:fill="auto"/>
            <w:hideMark/>
          </w:tcPr>
          <w:p w14:paraId="279D1C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Informacje uwzględnione w treści uwagi.</w:t>
            </w:r>
          </w:p>
        </w:tc>
        <w:tc>
          <w:tcPr>
            <w:tcW w:w="3401" w:type="dxa"/>
            <w:shd w:val="clear" w:color="auto" w:fill="auto"/>
            <w:hideMark/>
          </w:tcPr>
          <w:p w14:paraId="51586E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uwzględnione w treści uwagi.</w:t>
            </w:r>
          </w:p>
        </w:tc>
        <w:tc>
          <w:tcPr>
            <w:tcW w:w="1918" w:type="dxa"/>
            <w:shd w:val="clear" w:color="auto" w:fill="auto"/>
            <w:hideMark/>
          </w:tcPr>
          <w:p w14:paraId="48A6E7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60FFD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E7449B5" w14:textId="26472E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Uwzględniając wskazane w uwadze uwarunkowania dokonano zmiany działania. Obecne działanie uwzględnione w IIaPGW to: „Przekazanie informacji do PGW WP o braku przepływu lub braku wody w korycie cieku przy przeprowadzeniu badań monitoringowych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strategicznego programu PMŚ”. Jednostka odpowiedzialna za realizację działania: GIOŚ.</w:t>
            </w:r>
          </w:p>
        </w:tc>
      </w:tr>
      <w:tr w:rsidR="0085319C" w:rsidRPr="005E78BB" w14:paraId="188FF4BA" w14:textId="77777777" w:rsidTr="00E92AE6">
        <w:trPr>
          <w:trHeight w:val="454"/>
        </w:trPr>
        <w:tc>
          <w:tcPr>
            <w:tcW w:w="562" w:type="dxa"/>
            <w:shd w:val="clear" w:color="auto" w:fill="auto"/>
            <w:hideMark/>
          </w:tcPr>
          <w:p w14:paraId="75B1124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w:t>
            </w:r>
          </w:p>
        </w:tc>
        <w:tc>
          <w:tcPr>
            <w:tcW w:w="1021" w:type="dxa"/>
          </w:tcPr>
          <w:p w14:paraId="2DF8A7FE" w14:textId="193F2BB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Stanisław Matłok</w:t>
            </w:r>
          </w:p>
        </w:tc>
        <w:tc>
          <w:tcPr>
            <w:tcW w:w="1630" w:type="dxa"/>
            <w:shd w:val="clear" w:color="auto" w:fill="auto"/>
            <w:hideMark/>
          </w:tcPr>
          <w:p w14:paraId="79656A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2B258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W-GZW-1393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Proszę o zniesienie z terenu mojej działki nr 584 położonej w miejscowości Długołęka stref zalewowych utrudnia to możliwość nowej zabudowy </w:t>
            </w:r>
          </w:p>
        </w:tc>
        <w:tc>
          <w:tcPr>
            <w:tcW w:w="3377" w:type="dxa"/>
            <w:shd w:val="clear" w:color="auto" w:fill="auto"/>
            <w:hideMark/>
          </w:tcPr>
          <w:p w14:paraId="4F07AC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7478C1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7AB70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6703F5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DF9F0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DB474A7" w14:textId="77777777" w:rsidTr="00E92AE6">
        <w:trPr>
          <w:trHeight w:val="454"/>
        </w:trPr>
        <w:tc>
          <w:tcPr>
            <w:tcW w:w="562" w:type="dxa"/>
            <w:shd w:val="clear" w:color="auto" w:fill="auto"/>
            <w:hideMark/>
          </w:tcPr>
          <w:p w14:paraId="65AC408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w:t>
            </w:r>
          </w:p>
        </w:tc>
        <w:tc>
          <w:tcPr>
            <w:tcW w:w="1021" w:type="dxa"/>
          </w:tcPr>
          <w:p w14:paraId="4CB04F4A" w14:textId="277D970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Beata Misiak</w:t>
            </w:r>
          </w:p>
        </w:tc>
        <w:tc>
          <w:tcPr>
            <w:tcW w:w="1630" w:type="dxa"/>
            <w:shd w:val="clear" w:color="auto" w:fill="auto"/>
            <w:hideMark/>
          </w:tcPr>
          <w:p w14:paraId="519229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F4B78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br/>
              <w:t xml:space="preserve">Uwaga: Proszę o zniesienie stref zalewowych z terenu mojej działki nr 407/1 położonej w miejscowości Długołęka utrudnia to możliwość nowej zabudowy </w:t>
            </w:r>
          </w:p>
        </w:tc>
        <w:tc>
          <w:tcPr>
            <w:tcW w:w="3377" w:type="dxa"/>
            <w:shd w:val="clear" w:color="auto" w:fill="auto"/>
            <w:hideMark/>
          </w:tcPr>
          <w:p w14:paraId="3D5DEB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Proponuję zadbać o pogłębienie i regulację koryta rzeki Wisły oraz wyczyszczenie </w:t>
            </w:r>
            <w:r w:rsidRPr="005E78BB">
              <w:rPr>
                <w:rFonts w:ascii="Calibri" w:eastAsia="Times New Roman" w:hAnsi="Calibri" w:cs="Calibri"/>
                <w:color w:val="000000"/>
                <w:sz w:val="18"/>
                <w:szCs w:val="18"/>
                <w:lang w:eastAsia="pl-PL"/>
              </w:rPr>
              <w:lastRenderedPageBreak/>
              <w:t>zadrzewień co da dodatkową powierzchnię na wezbranie wody powodziowe.</w:t>
            </w:r>
          </w:p>
        </w:tc>
        <w:tc>
          <w:tcPr>
            <w:tcW w:w="3401" w:type="dxa"/>
            <w:shd w:val="clear" w:color="auto" w:fill="auto"/>
            <w:hideMark/>
          </w:tcPr>
          <w:p w14:paraId="571AEC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1918" w:type="dxa"/>
            <w:shd w:val="clear" w:color="auto" w:fill="auto"/>
            <w:hideMark/>
          </w:tcPr>
          <w:p w14:paraId="3EEB3B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616102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1A623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nie dotyczy bezpośrednio konsultowanego dokumentu. IIaPGW nie </w:t>
            </w:r>
            <w:r w:rsidRPr="005E78BB">
              <w:rPr>
                <w:rFonts w:ascii="Calibri" w:eastAsia="Times New Roman" w:hAnsi="Calibri" w:cs="Calibri"/>
                <w:color w:val="000000"/>
                <w:sz w:val="18"/>
                <w:szCs w:val="18"/>
                <w:lang w:eastAsia="pl-PL"/>
              </w:rPr>
              <w:lastRenderedPageBreak/>
              <w:t>ustala stref zalewowych. Zagadnienia zagrożenia i ryzyka powodziowego stanowią element planów zarządzania ryzykiem powodziowym i ich aktualizacji.</w:t>
            </w:r>
          </w:p>
        </w:tc>
      </w:tr>
      <w:tr w:rsidR="0085319C" w:rsidRPr="005E78BB" w14:paraId="3129DC45" w14:textId="77777777" w:rsidTr="00E92AE6">
        <w:trPr>
          <w:trHeight w:val="454"/>
        </w:trPr>
        <w:tc>
          <w:tcPr>
            <w:tcW w:w="562" w:type="dxa"/>
            <w:shd w:val="clear" w:color="auto" w:fill="auto"/>
            <w:hideMark/>
          </w:tcPr>
          <w:p w14:paraId="4EEBF05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79</w:t>
            </w:r>
          </w:p>
        </w:tc>
        <w:tc>
          <w:tcPr>
            <w:tcW w:w="1021" w:type="dxa"/>
          </w:tcPr>
          <w:p w14:paraId="51FF6498" w14:textId="181899B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Kopeć</w:t>
            </w:r>
          </w:p>
        </w:tc>
        <w:tc>
          <w:tcPr>
            <w:tcW w:w="1630" w:type="dxa"/>
            <w:shd w:val="clear" w:color="auto" w:fill="auto"/>
            <w:hideMark/>
          </w:tcPr>
          <w:p w14:paraId="1378CC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C449B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382, 383 położonej w miejscowości Długołęka utrudnia to możliwość nowej zabudowy </w:t>
            </w:r>
          </w:p>
        </w:tc>
        <w:tc>
          <w:tcPr>
            <w:tcW w:w="3377" w:type="dxa"/>
            <w:shd w:val="clear" w:color="auto" w:fill="auto"/>
            <w:hideMark/>
          </w:tcPr>
          <w:p w14:paraId="0F11FC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40134B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F452F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C37F5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DBD2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27626CCB" w14:textId="77777777" w:rsidTr="00E92AE6">
        <w:trPr>
          <w:trHeight w:val="454"/>
        </w:trPr>
        <w:tc>
          <w:tcPr>
            <w:tcW w:w="562" w:type="dxa"/>
            <w:shd w:val="clear" w:color="auto" w:fill="auto"/>
            <w:hideMark/>
          </w:tcPr>
          <w:p w14:paraId="2DF4038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80</w:t>
            </w:r>
          </w:p>
        </w:tc>
        <w:tc>
          <w:tcPr>
            <w:tcW w:w="1021" w:type="dxa"/>
          </w:tcPr>
          <w:p w14:paraId="4CA761F4" w14:textId="02CD48E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Janiusz Czosnek</w:t>
            </w:r>
          </w:p>
        </w:tc>
        <w:tc>
          <w:tcPr>
            <w:tcW w:w="1630" w:type="dxa"/>
            <w:shd w:val="clear" w:color="auto" w:fill="auto"/>
            <w:hideMark/>
          </w:tcPr>
          <w:p w14:paraId="35B04E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B0D7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462/1, 463 położonej w miejscowości Długołęka utrudnia to możliwość nowej zabudowy </w:t>
            </w:r>
          </w:p>
        </w:tc>
        <w:tc>
          <w:tcPr>
            <w:tcW w:w="3377" w:type="dxa"/>
            <w:shd w:val="clear" w:color="auto" w:fill="auto"/>
            <w:hideMark/>
          </w:tcPr>
          <w:p w14:paraId="66440E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5BDA7E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833E6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A2027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9864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28AD5A96" w14:textId="77777777" w:rsidTr="00E92AE6">
        <w:trPr>
          <w:trHeight w:val="454"/>
        </w:trPr>
        <w:tc>
          <w:tcPr>
            <w:tcW w:w="562" w:type="dxa"/>
            <w:shd w:val="clear" w:color="auto" w:fill="auto"/>
            <w:hideMark/>
          </w:tcPr>
          <w:p w14:paraId="05F480E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81</w:t>
            </w:r>
          </w:p>
        </w:tc>
        <w:tc>
          <w:tcPr>
            <w:tcW w:w="1021" w:type="dxa"/>
          </w:tcPr>
          <w:p w14:paraId="760FE63C" w14:textId="1872E72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Norbert Miekurzak</w:t>
            </w:r>
          </w:p>
        </w:tc>
        <w:tc>
          <w:tcPr>
            <w:tcW w:w="1630" w:type="dxa"/>
            <w:shd w:val="clear" w:color="auto" w:fill="auto"/>
            <w:hideMark/>
          </w:tcPr>
          <w:p w14:paraId="42EA50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22421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Uwaga: Proszę o zniesienie stref zalewowych z terenu mojej działki nr 468, 652, 635, 898 położonej w miejscowości Długołęka gmina Osiek utrudnia to możliwość zamieszkania, dojazd do pracy, możliwość nowej zabudowy. </w:t>
            </w:r>
          </w:p>
        </w:tc>
        <w:tc>
          <w:tcPr>
            <w:tcW w:w="3377" w:type="dxa"/>
            <w:shd w:val="clear" w:color="auto" w:fill="auto"/>
            <w:hideMark/>
          </w:tcPr>
          <w:p w14:paraId="2F2DE1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przedpowodziowe.</w:t>
            </w:r>
          </w:p>
        </w:tc>
        <w:tc>
          <w:tcPr>
            <w:tcW w:w="3401" w:type="dxa"/>
            <w:shd w:val="clear" w:color="auto" w:fill="auto"/>
            <w:hideMark/>
          </w:tcPr>
          <w:p w14:paraId="0E3DBA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130CE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86F04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08BF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2FBF770D" w14:textId="77777777" w:rsidTr="00E92AE6">
        <w:trPr>
          <w:trHeight w:val="454"/>
        </w:trPr>
        <w:tc>
          <w:tcPr>
            <w:tcW w:w="562" w:type="dxa"/>
            <w:shd w:val="clear" w:color="auto" w:fill="auto"/>
            <w:hideMark/>
          </w:tcPr>
          <w:p w14:paraId="1D78FC1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82</w:t>
            </w:r>
          </w:p>
        </w:tc>
        <w:tc>
          <w:tcPr>
            <w:tcW w:w="1021" w:type="dxa"/>
          </w:tcPr>
          <w:p w14:paraId="3FF08332" w14:textId="0B1B0BE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Małgorzata Niekurzak</w:t>
            </w:r>
          </w:p>
        </w:tc>
        <w:tc>
          <w:tcPr>
            <w:tcW w:w="1630" w:type="dxa"/>
            <w:shd w:val="clear" w:color="auto" w:fill="auto"/>
            <w:hideMark/>
          </w:tcPr>
          <w:p w14:paraId="32439B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6B4D7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471 położonej w miejscowości Długołęka gmina Osiek utrudnia to możliwość zamieszkania, dojazd do pracy, możliwość nowej zabudowy. </w:t>
            </w:r>
          </w:p>
        </w:tc>
        <w:tc>
          <w:tcPr>
            <w:tcW w:w="3377" w:type="dxa"/>
            <w:shd w:val="clear" w:color="auto" w:fill="auto"/>
            <w:hideMark/>
          </w:tcPr>
          <w:p w14:paraId="42BB6B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B196F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9D7E1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9EE62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557D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E5381EF" w14:textId="77777777" w:rsidTr="00E92AE6">
        <w:trPr>
          <w:trHeight w:val="454"/>
        </w:trPr>
        <w:tc>
          <w:tcPr>
            <w:tcW w:w="562" w:type="dxa"/>
            <w:shd w:val="clear" w:color="auto" w:fill="auto"/>
            <w:hideMark/>
          </w:tcPr>
          <w:p w14:paraId="5F46F0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83</w:t>
            </w:r>
          </w:p>
        </w:tc>
        <w:tc>
          <w:tcPr>
            <w:tcW w:w="1021" w:type="dxa"/>
          </w:tcPr>
          <w:p w14:paraId="79B55805" w14:textId="27A47F0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044778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4D5F3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1378 w kolumnie AI wpisany został koszt realizacji działania pn. „Likwidacja oczyszczalni ścieków w aglomeracji Kraków (ID oczyszczalni: b.d.)” na poziomie 230 000 000 zł, co jest kwotą zdecydowanie za wysoką i odnosi się ona w znacznej części do realizacji kilku inwestycji zgłoszonych do VI AKPOŚK, które mają dotyczyć oczyszczalni ścieków Płaszów (ID PLMP0011) oraz oczyszczalni ścieków Kujawy ID (ID PLMP0016)</w:t>
            </w:r>
          </w:p>
        </w:tc>
        <w:tc>
          <w:tcPr>
            <w:tcW w:w="3377" w:type="dxa"/>
            <w:shd w:val="clear" w:color="auto" w:fill="auto"/>
            <w:hideMark/>
          </w:tcPr>
          <w:p w14:paraId="5EFD82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Zamiast wartości 230 000 000 należy wpisać: „Brak danych do wyceny”</w:t>
            </w:r>
          </w:p>
        </w:tc>
        <w:tc>
          <w:tcPr>
            <w:tcW w:w="3401" w:type="dxa"/>
            <w:shd w:val="clear" w:color="auto" w:fill="auto"/>
            <w:hideMark/>
          </w:tcPr>
          <w:p w14:paraId="3E8284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 VI AKPOŚK została zgłoszona kwota 230 00 tys. zł na realizację kilku inwestycji w zakresie oczyszczalni ścieków wraz z przeróbką osadu i jego zagospodarowaniem co zasadniczo dotyczy OŚ Kujawy i OŚ Płaszów. Umieszczenia tej kwoty w wierszu dotyczącym likwidacji oczyszczalni ścieków w aglomeracji Kraków (ID oczyszczalni: b.d.) sugeruje że taka kwota przewidziana jest właśnie na likwidację tej oczyszczalni co nie jest zgodne z prawdą. Na dzień dzisiejszy trudno oszacować koszty związane z likwi- dacją oczyszczalni ścieków Wadów o ID PLMP0018</w:t>
            </w:r>
          </w:p>
        </w:tc>
        <w:tc>
          <w:tcPr>
            <w:tcW w:w="1918" w:type="dxa"/>
            <w:shd w:val="clear" w:color="auto" w:fill="auto"/>
            <w:hideMark/>
          </w:tcPr>
          <w:p w14:paraId="302856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168B90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33409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Poprawiono zgodnie z uwagą.</w:t>
            </w:r>
          </w:p>
        </w:tc>
      </w:tr>
      <w:tr w:rsidR="0085319C" w:rsidRPr="005E78BB" w14:paraId="6DA34CE0" w14:textId="77777777" w:rsidTr="00E92AE6">
        <w:trPr>
          <w:trHeight w:val="454"/>
        </w:trPr>
        <w:tc>
          <w:tcPr>
            <w:tcW w:w="562" w:type="dxa"/>
            <w:shd w:val="clear" w:color="auto" w:fill="auto"/>
            <w:hideMark/>
          </w:tcPr>
          <w:p w14:paraId="64ACBC0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84</w:t>
            </w:r>
          </w:p>
        </w:tc>
        <w:tc>
          <w:tcPr>
            <w:tcW w:w="1021" w:type="dxa"/>
          </w:tcPr>
          <w:p w14:paraId="1408BC6E" w14:textId="6CA8F3E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Lucyna Cabaj</w:t>
            </w:r>
          </w:p>
        </w:tc>
        <w:tc>
          <w:tcPr>
            <w:tcW w:w="1630" w:type="dxa"/>
            <w:shd w:val="clear" w:color="auto" w:fill="auto"/>
            <w:hideMark/>
          </w:tcPr>
          <w:p w14:paraId="69020D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EBD15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454 położonej w miejscowości Długołęka gmina Osiek utrudnia to możliwość nowej zabudowy. </w:t>
            </w:r>
          </w:p>
        </w:tc>
        <w:tc>
          <w:tcPr>
            <w:tcW w:w="3377" w:type="dxa"/>
            <w:shd w:val="clear" w:color="auto" w:fill="auto"/>
            <w:hideMark/>
          </w:tcPr>
          <w:p w14:paraId="070103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4CFE32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EE992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1B91D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5A107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1F12B650" w14:textId="77777777" w:rsidTr="00E92AE6">
        <w:trPr>
          <w:trHeight w:val="454"/>
        </w:trPr>
        <w:tc>
          <w:tcPr>
            <w:tcW w:w="562" w:type="dxa"/>
            <w:shd w:val="clear" w:color="auto" w:fill="auto"/>
            <w:hideMark/>
          </w:tcPr>
          <w:p w14:paraId="2CC9170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85</w:t>
            </w:r>
          </w:p>
        </w:tc>
        <w:tc>
          <w:tcPr>
            <w:tcW w:w="1021" w:type="dxa"/>
          </w:tcPr>
          <w:p w14:paraId="3C25602E" w14:textId="28A2852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4316D8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E85463D" w14:textId="320676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 pozycji lp. 1377 w kolumnie U dot. ilościowego określenia zakresu rzeczowego działania podano nieprawidłową długość kanalizacji planowanej do budowy. Jest 321,4 a powinno być 154,6 . Ponadto należy zauważyć iż zgodnie z danymi zgłoszonymi do VI AKPOŚK wielkość 154,6 km odnosi się do całego obszaru aglomeracji Kraków a nie tylko obszaru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Potok Kościelnicki do którego została przypisana.</w:t>
            </w:r>
          </w:p>
        </w:tc>
        <w:tc>
          <w:tcPr>
            <w:tcW w:w="3377" w:type="dxa"/>
            <w:shd w:val="clear" w:color="auto" w:fill="auto"/>
            <w:hideMark/>
          </w:tcPr>
          <w:p w14:paraId="39E476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Skorygować wartość na: 154,6</w:t>
            </w:r>
          </w:p>
        </w:tc>
        <w:tc>
          <w:tcPr>
            <w:tcW w:w="3401" w:type="dxa"/>
            <w:shd w:val="clear" w:color="auto" w:fill="auto"/>
            <w:hideMark/>
          </w:tcPr>
          <w:p w14:paraId="0CB0DA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Długość sieci kanalizacyjnej planowanej do budowy w całym obszarze aglomeracji Kraków tj. 154,4 km wynika z danych zgłoszonych do IV AKPOŚK w ramach przeprowadzonych w listopadzie 2020 r., marcu 2021 r. i sierpniu 2021 r. konsultacji społecznych dokumentu</w:t>
            </w:r>
          </w:p>
        </w:tc>
        <w:tc>
          <w:tcPr>
            <w:tcW w:w="1918" w:type="dxa"/>
            <w:shd w:val="clear" w:color="auto" w:fill="auto"/>
            <w:hideMark/>
          </w:tcPr>
          <w:p w14:paraId="77CB53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4E3CC5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C5E77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Poprawiono zgodnie z uwagą.</w:t>
            </w:r>
          </w:p>
        </w:tc>
      </w:tr>
      <w:tr w:rsidR="0085319C" w:rsidRPr="005E78BB" w14:paraId="0F8B0418" w14:textId="77777777" w:rsidTr="00E92AE6">
        <w:trPr>
          <w:trHeight w:val="454"/>
        </w:trPr>
        <w:tc>
          <w:tcPr>
            <w:tcW w:w="562" w:type="dxa"/>
            <w:shd w:val="clear" w:color="auto" w:fill="auto"/>
            <w:hideMark/>
          </w:tcPr>
          <w:p w14:paraId="2BE8D48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86</w:t>
            </w:r>
          </w:p>
        </w:tc>
        <w:tc>
          <w:tcPr>
            <w:tcW w:w="1021" w:type="dxa"/>
          </w:tcPr>
          <w:p w14:paraId="4D0E632F" w14:textId="7DDB93C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Zygmunt Kurik</w:t>
            </w:r>
          </w:p>
        </w:tc>
        <w:tc>
          <w:tcPr>
            <w:tcW w:w="1630" w:type="dxa"/>
            <w:shd w:val="clear" w:color="auto" w:fill="auto"/>
            <w:hideMark/>
          </w:tcPr>
          <w:p w14:paraId="7111B0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AC24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422 położonej w miejscowości Długołęka gmina Osiek utrudnia to możliwość nowej zabudowy. </w:t>
            </w:r>
          </w:p>
        </w:tc>
        <w:tc>
          <w:tcPr>
            <w:tcW w:w="3377" w:type="dxa"/>
            <w:shd w:val="clear" w:color="auto" w:fill="auto"/>
            <w:hideMark/>
          </w:tcPr>
          <w:p w14:paraId="3D01C0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7516B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98D60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FABBE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BAE9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F1598ED" w14:textId="77777777" w:rsidTr="00E92AE6">
        <w:trPr>
          <w:trHeight w:val="454"/>
        </w:trPr>
        <w:tc>
          <w:tcPr>
            <w:tcW w:w="562" w:type="dxa"/>
            <w:shd w:val="clear" w:color="auto" w:fill="auto"/>
            <w:hideMark/>
          </w:tcPr>
          <w:p w14:paraId="6328CFE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87</w:t>
            </w:r>
          </w:p>
        </w:tc>
        <w:tc>
          <w:tcPr>
            <w:tcW w:w="1021" w:type="dxa"/>
          </w:tcPr>
          <w:p w14:paraId="624E1583" w14:textId="6BC0BB8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Marek Kubicki</w:t>
            </w:r>
          </w:p>
        </w:tc>
        <w:tc>
          <w:tcPr>
            <w:tcW w:w="1630" w:type="dxa"/>
            <w:shd w:val="clear" w:color="auto" w:fill="auto"/>
            <w:hideMark/>
          </w:tcPr>
          <w:p w14:paraId="1BC93B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1EFD7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585 i 610 położonej w miejscowości Długołęka gmina Osiek utrudnia to możliwość nowej zabudowy. </w:t>
            </w:r>
          </w:p>
        </w:tc>
        <w:tc>
          <w:tcPr>
            <w:tcW w:w="3377" w:type="dxa"/>
            <w:shd w:val="clear" w:color="auto" w:fill="auto"/>
            <w:hideMark/>
          </w:tcPr>
          <w:p w14:paraId="391E01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4F197D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FF60D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D7339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86C55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DCBF38D" w14:textId="77777777" w:rsidTr="00E92AE6">
        <w:trPr>
          <w:trHeight w:val="454"/>
        </w:trPr>
        <w:tc>
          <w:tcPr>
            <w:tcW w:w="562" w:type="dxa"/>
            <w:shd w:val="clear" w:color="auto" w:fill="auto"/>
            <w:hideMark/>
          </w:tcPr>
          <w:p w14:paraId="3A9898A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88</w:t>
            </w:r>
          </w:p>
        </w:tc>
        <w:tc>
          <w:tcPr>
            <w:tcW w:w="1021" w:type="dxa"/>
          </w:tcPr>
          <w:p w14:paraId="4A851C68" w14:textId="5BE7885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0E4B5A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D6F0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2803 w kolumnie AD - Jednostka odpowiedzialna za realizację wskazano „gmina Kraków (wiodąca w aglomeracji); PW-K gminy Kraków (wiodąca w aglomeracji)”. Działanie w tej pozycji obejmuje „Analizy techniczno-ekonomiczne gospodarowania ściekami w obszarze gminy poza aglomeracjami” w szczególności „Przygotowanie analizy techniczno-ekonomicznej gospodarowania ściekami w obszarze nie- zurbanizowanym na obszarze gminy w celu ograniczenia dopływu zanieczyszczeń komunalnych do wód” i dotyczy terenów 3 gmin a nie tylko gminy Kraków, ponadto adnotacja „wiodąca w aglomeracji” jest myląca skoro działanie dotyczy obszarów gminy poza aglomeracjami.</w:t>
            </w:r>
          </w:p>
        </w:tc>
        <w:tc>
          <w:tcPr>
            <w:tcW w:w="3377" w:type="dxa"/>
            <w:shd w:val="clear" w:color="auto" w:fill="auto"/>
            <w:hideMark/>
          </w:tcPr>
          <w:p w14:paraId="7FD890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 „gmina Kraków (wiodąca w aglomeracji); PW-K gminy Kraków (wiodąca w aglomeracji)” należy zmienić na: gmina Kraków, gmina Biskupice, gmina Wieliczka; PW-K gminy Kraków, PW-K gminy Biskupice, PW-K gminy Wieliczka</w:t>
            </w:r>
          </w:p>
        </w:tc>
        <w:tc>
          <w:tcPr>
            <w:tcW w:w="3401" w:type="dxa"/>
            <w:shd w:val="clear" w:color="auto" w:fill="auto"/>
            <w:hideMark/>
          </w:tcPr>
          <w:p w14:paraId="323C6C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w pozycji lp. 2803 dot. obszarów rozlokowanych na terenie 3 gmin poza aglomeracjami stąd nieadekwatne jest określenie że jednostką odpowiedzialną za realizację będzie gmina wiodąca w aglomeracji.</w:t>
            </w:r>
            <w:r w:rsidRPr="005E78BB">
              <w:rPr>
                <w:rFonts w:ascii="Calibri" w:eastAsia="Times New Roman" w:hAnsi="Calibri" w:cs="Calibri"/>
                <w:color w:val="000000"/>
                <w:sz w:val="18"/>
                <w:szCs w:val="18"/>
                <w:lang w:eastAsia="pl-PL"/>
              </w:rPr>
              <w:br/>
              <w:t>Ponadto gmina Kraków nie może być odpowiedzialna za wykonanie Analiz techniczno-ekonomicznych gospodarowania ściekami w obszarze gminy poza aglomeracjami dotyczących terenów zlokalizowanych w gminie Biskupice oraz gminie Wieliczka</w:t>
            </w:r>
          </w:p>
        </w:tc>
        <w:tc>
          <w:tcPr>
            <w:tcW w:w="1918" w:type="dxa"/>
            <w:shd w:val="clear" w:color="auto" w:fill="auto"/>
            <w:hideMark/>
          </w:tcPr>
          <w:p w14:paraId="532A92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233725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5969B2E" w14:textId="7296BD4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Poprawiono zgodnie z uwagą - działanie przypisane zostało wszystkim gminom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analogicznie jak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tym działaniem.</w:t>
            </w:r>
          </w:p>
        </w:tc>
      </w:tr>
      <w:tr w:rsidR="0085319C" w:rsidRPr="005E78BB" w14:paraId="2564CBB2" w14:textId="77777777" w:rsidTr="00E92AE6">
        <w:trPr>
          <w:trHeight w:val="454"/>
        </w:trPr>
        <w:tc>
          <w:tcPr>
            <w:tcW w:w="562" w:type="dxa"/>
            <w:shd w:val="clear" w:color="auto" w:fill="auto"/>
            <w:hideMark/>
          </w:tcPr>
          <w:p w14:paraId="244B38C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89</w:t>
            </w:r>
          </w:p>
        </w:tc>
        <w:tc>
          <w:tcPr>
            <w:tcW w:w="1021" w:type="dxa"/>
          </w:tcPr>
          <w:p w14:paraId="57788793" w14:textId="5C66E23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Bożena Dyl</w:t>
            </w:r>
          </w:p>
        </w:tc>
        <w:tc>
          <w:tcPr>
            <w:tcW w:w="1630" w:type="dxa"/>
            <w:shd w:val="clear" w:color="auto" w:fill="auto"/>
            <w:hideMark/>
          </w:tcPr>
          <w:p w14:paraId="1485F0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17B2C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586 położonej w miejscowości Długołęka gmina Osiek utrudnia to możliwość nowej zabudowy. </w:t>
            </w:r>
          </w:p>
        </w:tc>
        <w:tc>
          <w:tcPr>
            <w:tcW w:w="3377" w:type="dxa"/>
            <w:shd w:val="clear" w:color="auto" w:fill="auto"/>
            <w:hideMark/>
          </w:tcPr>
          <w:p w14:paraId="1D743B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F29DF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468B8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0889D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13C4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0ACE92C" w14:textId="77777777" w:rsidTr="00E92AE6">
        <w:trPr>
          <w:trHeight w:val="454"/>
        </w:trPr>
        <w:tc>
          <w:tcPr>
            <w:tcW w:w="562" w:type="dxa"/>
            <w:shd w:val="clear" w:color="auto" w:fill="auto"/>
            <w:hideMark/>
          </w:tcPr>
          <w:p w14:paraId="26E7239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90</w:t>
            </w:r>
          </w:p>
        </w:tc>
        <w:tc>
          <w:tcPr>
            <w:tcW w:w="1021" w:type="dxa"/>
          </w:tcPr>
          <w:p w14:paraId="05D3DF71" w14:textId="7200A1E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5D5FFB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64773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2803 w kolumnie AE - Jednostka odpowiedzialna za sprawozdawczość błędnie wskazano „gmina Kraków (wiodąca w aglomeracji); PW-K gminy Kraków (wiodąca w aglomeracji)”. Działanie w tej pozycji obejmuje „Analizy techniczno-ekonomiczne gospodarowania ściekami w obszarze gminy poza aglomeracjami” w szczególności „Przygotowanie analizy techniczno-ekonomicznej gospodarowania ściekami w obszarze niezurbanizowanym na obszarze gminy w celu ograniczenia dopływu zanieczyszczeń komunalnych do wód” i dotyczy terenów 3 gmin a nie tylko gminy Kraków, ponadto adnotacja „wiodąca w aglomeracji” jest myląca skoro działanie dotyczy obszarów gminy poza aglomeracjami.</w:t>
            </w:r>
          </w:p>
        </w:tc>
        <w:tc>
          <w:tcPr>
            <w:tcW w:w="3377" w:type="dxa"/>
            <w:shd w:val="clear" w:color="auto" w:fill="auto"/>
            <w:hideMark/>
          </w:tcPr>
          <w:p w14:paraId="3E1DD9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 „gmina Kraków (wiodąca w aglomeracji)” należy zmienić na: gmina Kraków,</w:t>
            </w:r>
            <w:r w:rsidRPr="005E78BB">
              <w:rPr>
                <w:rFonts w:ascii="Calibri" w:eastAsia="Times New Roman" w:hAnsi="Calibri" w:cs="Calibri"/>
                <w:color w:val="000000"/>
                <w:sz w:val="18"/>
                <w:szCs w:val="18"/>
                <w:lang w:eastAsia="pl-PL"/>
              </w:rPr>
              <w:br/>
              <w:t>gmina Biskupice, gmina Wieliczka;</w:t>
            </w:r>
          </w:p>
        </w:tc>
        <w:tc>
          <w:tcPr>
            <w:tcW w:w="3401" w:type="dxa"/>
            <w:shd w:val="clear" w:color="auto" w:fill="auto"/>
            <w:hideMark/>
          </w:tcPr>
          <w:p w14:paraId="1A3BA4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w pozycji lp. 2803 dot. obszarów rozlokowanych na terenie 3 gmin poza aglomeracjami, stąd nieadekwatne jest określenie że jednostką odpowiedzialną za sprawozdawczość będzie gmina wiodąca w aglomeracji.</w:t>
            </w:r>
            <w:r w:rsidRPr="005E78BB">
              <w:rPr>
                <w:rFonts w:ascii="Calibri" w:eastAsia="Times New Roman" w:hAnsi="Calibri" w:cs="Calibri"/>
                <w:color w:val="000000"/>
                <w:sz w:val="18"/>
                <w:szCs w:val="18"/>
                <w:lang w:eastAsia="pl-PL"/>
              </w:rPr>
              <w:br/>
              <w:t>Ponadto gmina Kraków nie może być odpowiedzialna za sprawozdanie z realizacji Analizy techniczno-ekonomicznych gospodarowania ściekami w obszarze gminy poza aglomeracjami opracowanej dla terenów zlokalizowanych w gminie Biskupice oraz gminie Wieliczka</w:t>
            </w:r>
          </w:p>
        </w:tc>
        <w:tc>
          <w:tcPr>
            <w:tcW w:w="1918" w:type="dxa"/>
            <w:shd w:val="clear" w:color="auto" w:fill="auto"/>
            <w:hideMark/>
          </w:tcPr>
          <w:p w14:paraId="7D2E9B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001EB1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498B036" w14:textId="7D2A062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Poprawiono zgodnie z uwagą - działanie przypisane zostało wszystkim gminom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analogicznie jak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tym działaniem.</w:t>
            </w:r>
          </w:p>
        </w:tc>
      </w:tr>
      <w:tr w:rsidR="0085319C" w:rsidRPr="005E78BB" w14:paraId="4887FDBC" w14:textId="77777777" w:rsidTr="00E92AE6">
        <w:trPr>
          <w:trHeight w:val="454"/>
        </w:trPr>
        <w:tc>
          <w:tcPr>
            <w:tcW w:w="562" w:type="dxa"/>
            <w:shd w:val="clear" w:color="auto" w:fill="auto"/>
            <w:hideMark/>
          </w:tcPr>
          <w:p w14:paraId="647A383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91</w:t>
            </w:r>
          </w:p>
        </w:tc>
        <w:tc>
          <w:tcPr>
            <w:tcW w:w="1021" w:type="dxa"/>
          </w:tcPr>
          <w:p w14:paraId="3AF3BD75" w14:textId="1D4F2F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Małgorzata Pazdur</w:t>
            </w:r>
          </w:p>
        </w:tc>
        <w:tc>
          <w:tcPr>
            <w:tcW w:w="1630" w:type="dxa"/>
            <w:shd w:val="clear" w:color="auto" w:fill="auto"/>
            <w:hideMark/>
          </w:tcPr>
          <w:p w14:paraId="21A3BA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14140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386/1, 385/1 położonej w miejscowości Długołęka gmina Osiek utrudnia to możliwość nowej zabudowy. </w:t>
            </w:r>
          </w:p>
        </w:tc>
        <w:tc>
          <w:tcPr>
            <w:tcW w:w="3377" w:type="dxa"/>
            <w:shd w:val="clear" w:color="auto" w:fill="auto"/>
            <w:hideMark/>
          </w:tcPr>
          <w:p w14:paraId="5F470C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43B89A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C1077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ECE6D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4880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208992DE" w14:textId="77777777" w:rsidTr="00E92AE6">
        <w:trPr>
          <w:trHeight w:val="454"/>
        </w:trPr>
        <w:tc>
          <w:tcPr>
            <w:tcW w:w="562" w:type="dxa"/>
            <w:shd w:val="clear" w:color="auto" w:fill="auto"/>
            <w:hideMark/>
          </w:tcPr>
          <w:p w14:paraId="241E011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92</w:t>
            </w:r>
          </w:p>
        </w:tc>
        <w:tc>
          <w:tcPr>
            <w:tcW w:w="1021" w:type="dxa"/>
          </w:tcPr>
          <w:p w14:paraId="354A8FA5" w14:textId="01DA1CD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47026C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2FA6F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6704 w kolumnie AD - Jednostka odpowiedzialna za realizację wskazano „gmina Kraków (wiodąca w aglomeracji); PW-K gminy Kraków (wiodąca w aglo- meracji)”. Działanie w tej pozycji obejmuje „Analizy techniczno-ekonomiczne gospo- darowania ściekami w obszarze gminy poza aglomeracjami” w szczególności „Przygotowanie analizy techniczno-</w:t>
            </w:r>
            <w:r w:rsidRPr="005E78BB">
              <w:rPr>
                <w:rFonts w:ascii="Calibri" w:eastAsia="Times New Roman" w:hAnsi="Calibri" w:cs="Calibri"/>
                <w:color w:val="000000"/>
                <w:sz w:val="18"/>
                <w:szCs w:val="18"/>
                <w:lang w:eastAsia="pl-PL"/>
              </w:rPr>
              <w:lastRenderedPageBreak/>
              <w:t>ekonomicznej gospodarowania ściekami w obszarze niezurbanizowanym na obszarze gminy w celu ograniczenia dopływu zanieczyszczeń komunalnych do wód” i dotyczy terenów 7 gmin a nie tylko gminy Kraków, ponadto adnotacja „wiodąca w aglomeracji” jest myląca skoro działanie ma dotyczyć obszarów gminy poza aglomeracjami.</w:t>
            </w:r>
          </w:p>
        </w:tc>
        <w:tc>
          <w:tcPr>
            <w:tcW w:w="3377" w:type="dxa"/>
            <w:shd w:val="clear" w:color="auto" w:fill="auto"/>
            <w:hideMark/>
          </w:tcPr>
          <w:p w14:paraId="1CA587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Zapis „gmina Kraków (wiodąca w aglomeracji); PW-K gminy Kraków (wiodąca w aglomeracji)” należy zmienić na: gmina Liszki, gmina Kraków, gmina Wieliczka, gmina Skawina, gmina Niepołomice, gmina Czernichów, gmina Kocmyrzów-Luborzyca; PW-K gminy Liszki, PW-K gminy Kraków, </w:t>
            </w:r>
            <w:r w:rsidRPr="005E78BB">
              <w:rPr>
                <w:rFonts w:ascii="Calibri" w:eastAsia="Times New Roman" w:hAnsi="Calibri" w:cs="Calibri"/>
                <w:color w:val="000000"/>
                <w:sz w:val="18"/>
                <w:szCs w:val="18"/>
                <w:lang w:eastAsia="pl-PL"/>
              </w:rPr>
              <w:lastRenderedPageBreak/>
              <w:t>PW-K gminy Wieliczka, PW-K gminy Skawina, PW-K gminy Niepołomice, PW-K gminy Czernichów, PW-K gminy Kocmyrzów-Luborzyca</w:t>
            </w:r>
          </w:p>
        </w:tc>
        <w:tc>
          <w:tcPr>
            <w:tcW w:w="3401" w:type="dxa"/>
            <w:shd w:val="clear" w:color="auto" w:fill="auto"/>
            <w:hideMark/>
          </w:tcPr>
          <w:p w14:paraId="1558C5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Działanie w pozycji lp. 6704 dot. obszarów rozlokowanych na terenie 7 gmin poza aglomeracjami stąd nieadekwatne jest określenie że jednostką odpowiedzialną za realizację będzie gmina wiodąca w aglomeracji.</w:t>
            </w:r>
            <w:r w:rsidRPr="005E78BB">
              <w:rPr>
                <w:rFonts w:ascii="Calibri" w:eastAsia="Times New Roman" w:hAnsi="Calibri" w:cs="Calibri"/>
                <w:color w:val="000000"/>
                <w:sz w:val="18"/>
                <w:szCs w:val="18"/>
                <w:lang w:eastAsia="pl-PL"/>
              </w:rPr>
              <w:br/>
              <w:t xml:space="preserve">Ponadto gmina Kraków nie może być </w:t>
            </w:r>
            <w:r w:rsidRPr="005E78BB">
              <w:rPr>
                <w:rFonts w:ascii="Calibri" w:eastAsia="Times New Roman" w:hAnsi="Calibri" w:cs="Calibri"/>
                <w:color w:val="000000"/>
                <w:sz w:val="18"/>
                <w:szCs w:val="18"/>
                <w:lang w:eastAsia="pl-PL"/>
              </w:rPr>
              <w:lastRenderedPageBreak/>
              <w:t>odpowiedzialna za wykonanie Analiz techniczno-ekonomicznych gospodarowania ściekami w obszarze gminy poza aglomeracjami dotyczących terenów zlokalizowanych w gminie Liszki, gminie Wieliczka, gminie Skawina, gminie Niepołomice, gminie Czernichów, gminie Kocmyrzów-Luborzyca</w:t>
            </w:r>
          </w:p>
        </w:tc>
        <w:tc>
          <w:tcPr>
            <w:tcW w:w="1918" w:type="dxa"/>
            <w:shd w:val="clear" w:color="auto" w:fill="auto"/>
            <w:hideMark/>
          </w:tcPr>
          <w:p w14:paraId="09AEF7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GminaMiejska_Kraków_Wisła</w:t>
            </w:r>
          </w:p>
        </w:tc>
        <w:tc>
          <w:tcPr>
            <w:tcW w:w="1276" w:type="dxa"/>
            <w:shd w:val="clear" w:color="auto" w:fill="auto"/>
            <w:hideMark/>
          </w:tcPr>
          <w:p w14:paraId="1862B5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DE620EB" w14:textId="36F8079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Poprawiono zgodnie z uwagą - działanie przypisanezostało wszystkim gminom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analogicznie jak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tym działaniem.</w:t>
            </w:r>
          </w:p>
        </w:tc>
      </w:tr>
      <w:tr w:rsidR="0085319C" w:rsidRPr="005E78BB" w14:paraId="4D94C9AE" w14:textId="77777777" w:rsidTr="00E92AE6">
        <w:trPr>
          <w:trHeight w:val="454"/>
        </w:trPr>
        <w:tc>
          <w:tcPr>
            <w:tcW w:w="562" w:type="dxa"/>
            <w:shd w:val="clear" w:color="auto" w:fill="auto"/>
            <w:hideMark/>
          </w:tcPr>
          <w:p w14:paraId="58D40AA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93</w:t>
            </w:r>
          </w:p>
        </w:tc>
        <w:tc>
          <w:tcPr>
            <w:tcW w:w="1021" w:type="dxa"/>
          </w:tcPr>
          <w:p w14:paraId="1C95DCCD" w14:textId="27924F0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Iwona Seremak</w:t>
            </w:r>
          </w:p>
        </w:tc>
        <w:tc>
          <w:tcPr>
            <w:tcW w:w="1630" w:type="dxa"/>
            <w:shd w:val="clear" w:color="auto" w:fill="auto"/>
            <w:hideMark/>
          </w:tcPr>
          <w:p w14:paraId="6B16FF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C55FD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Uwaga: Proszę o zniesienie stref zalewowych z terenu mojej działki nr 587 położonej w miejscowości Długołęka gmina Osiek utrudnia to możliwość nowej zabudowy. </w:t>
            </w:r>
          </w:p>
        </w:tc>
        <w:tc>
          <w:tcPr>
            <w:tcW w:w="3377" w:type="dxa"/>
            <w:shd w:val="clear" w:color="auto" w:fill="auto"/>
            <w:hideMark/>
          </w:tcPr>
          <w:p w14:paraId="39E4D3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1A80F7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0AE82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1D645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376E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08805626" w14:textId="77777777" w:rsidTr="00E92AE6">
        <w:trPr>
          <w:trHeight w:val="454"/>
        </w:trPr>
        <w:tc>
          <w:tcPr>
            <w:tcW w:w="562" w:type="dxa"/>
            <w:shd w:val="clear" w:color="auto" w:fill="auto"/>
            <w:hideMark/>
          </w:tcPr>
          <w:p w14:paraId="6009EFE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94</w:t>
            </w:r>
          </w:p>
        </w:tc>
        <w:tc>
          <w:tcPr>
            <w:tcW w:w="1021" w:type="dxa"/>
          </w:tcPr>
          <w:p w14:paraId="268CC454" w14:textId="32EFC7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701033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88B07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6704 w kolumnie AE - Jednostka odpowiedzialna za sprawozdawczość błędnie wskazano „gmina Kraków (wiodąca w aglomeracji); PW-K gminy Kraków (wiodąca w aglomeracji)”. Działanie w tej pozycji obejmuje „Analizy techniczno-ekonomiczne gospodarowania ściekami w obszarze gminy poza aglomeracjami” w szczególności „Przygotowanie analizy techniczno-ekonomicznej gospodarowania ściekami w obszarze niezurbanizowanym na obszarze gminy w celu ograniczenia dopływu zanieczyszczeń komunalnych do wód” i dotyczy terenów 7 gmin a nie tylko Gminy Miejskiej Kraków, ponadto adnotacja „wiodąca w aglomeracji” jest myląca skoro działanie dotyczy obszarów gminy poza aglomeracjami.</w:t>
            </w:r>
          </w:p>
        </w:tc>
        <w:tc>
          <w:tcPr>
            <w:tcW w:w="3377" w:type="dxa"/>
            <w:shd w:val="clear" w:color="auto" w:fill="auto"/>
            <w:hideMark/>
          </w:tcPr>
          <w:p w14:paraId="48BDC0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 „gmina Kraków (wiodąca w aglomeracji)” należy zmienić na: gmina Liszki, gmina Kraków, gmina Wieliczka, gmina Skawina, gmina Niepołomice, gmina Czernichów, gmina Kocmyrzów-Luborzyca</w:t>
            </w:r>
          </w:p>
        </w:tc>
        <w:tc>
          <w:tcPr>
            <w:tcW w:w="3401" w:type="dxa"/>
            <w:shd w:val="clear" w:color="auto" w:fill="auto"/>
            <w:hideMark/>
          </w:tcPr>
          <w:p w14:paraId="3295E2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w pozycji lp. 6704 dot. obszarów rozlokowanych na terenie 7 gmin poza aglomeracjami, stąd nieadekwatne jest określenie że jednostką odpowiedzialną za sprawozdawczość będzie gmina wiodąca w aglomeracji.</w:t>
            </w:r>
            <w:r w:rsidRPr="005E78BB">
              <w:rPr>
                <w:rFonts w:ascii="Calibri" w:eastAsia="Times New Roman" w:hAnsi="Calibri" w:cs="Calibri"/>
                <w:color w:val="000000"/>
                <w:sz w:val="18"/>
                <w:szCs w:val="18"/>
                <w:lang w:eastAsia="pl-PL"/>
              </w:rPr>
              <w:br/>
              <w:t>Ponadto gmina Kraków nie może być odpowiedzialna za sprawozdanie z realizacji Analizy techniczno-ekonomicznych gospodarowania ściekami w obszarze gminy poza aglomeracjami opracowanej dla terenów zlokalizowanych w gminie Liszki, gminie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Wieliczka, gminie Skawina, g gminie Niepołomice, gminie Czernichów, gminie Kocmyrzów-Luborzyca</w:t>
            </w:r>
          </w:p>
        </w:tc>
        <w:tc>
          <w:tcPr>
            <w:tcW w:w="1918" w:type="dxa"/>
            <w:shd w:val="clear" w:color="auto" w:fill="auto"/>
            <w:hideMark/>
          </w:tcPr>
          <w:p w14:paraId="3B23E0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6A78C4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626C5D5" w14:textId="6821EEB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Poprawiono zgodnie z uwagą - działanie przypisane zostało wszystkim gminom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analogicznie jak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tym działaniem.</w:t>
            </w:r>
          </w:p>
        </w:tc>
      </w:tr>
      <w:tr w:rsidR="0085319C" w:rsidRPr="005E78BB" w14:paraId="4DF6FC9D" w14:textId="77777777" w:rsidTr="00E92AE6">
        <w:trPr>
          <w:trHeight w:val="454"/>
        </w:trPr>
        <w:tc>
          <w:tcPr>
            <w:tcW w:w="562" w:type="dxa"/>
            <w:shd w:val="clear" w:color="auto" w:fill="auto"/>
            <w:hideMark/>
          </w:tcPr>
          <w:p w14:paraId="3E75942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95</w:t>
            </w:r>
          </w:p>
        </w:tc>
        <w:tc>
          <w:tcPr>
            <w:tcW w:w="1021" w:type="dxa"/>
          </w:tcPr>
          <w:p w14:paraId="246EE88C" w14:textId="33B9A4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Halina Seremak</w:t>
            </w:r>
          </w:p>
        </w:tc>
        <w:tc>
          <w:tcPr>
            <w:tcW w:w="1630" w:type="dxa"/>
            <w:shd w:val="clear" w:color="auto" w:fill="auto"/>
            <w:hideMark/>
          </w:tcPr>
          <w:p w14:paraId="70E65A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02A63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394/1, 393, 752, 806, 807,808, 817, 804, 312, 316, 737, 726, 727,728 położonych w miejscowości Długołęka gmina Osiek utrudnia to możliwość nowej zabudowy. </w:t>
            </w:r>
          </w:p>
        </w:tc>
        <w:tc>
          <w:tcPr>
            <w:tcW w:w="3377" w:type="dxa"/>
            <w:shd w:val="clear" w:color="auto" w:fill="auto"/>
            <w:hideMark/>
          </w:tcPr>
          <w:p w14:paraId="0526A4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w:t>
            </w:r>
          </w:p>
        </w:tc>
        <w:tc>
          <w:tcPr>
            <w:tcW w:w="3401" w:type="dxa"/>
            <w:shd w:val="clear" w:color="auto" w:fill="auto"/>
            <w:hideMark/>
          </w:tcPr>
          <w:p w14:paraId="3671F3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C8FAE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F33F8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7C790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E8723B9" w14:textId="77777777" w:rsidTr="00E92AE6">
        <w:trPr>
          <w:trHeight w:val="454"/>
        </w:trPr>
        <w:tc>
          <w:tcPr>
            <w:tcW w:w="562" w:type="dxa"/>
            <w:shd w:val="clear" w:color="auto" w:fill="auto"/>
            <w:hideMark/>
          </w:tcPr>
          <w:p w14:paraId="1745E0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96</w:t>
            </w:r>
          </w:p>
        </w:tc>
        <w:tc>
          <w:tcPr>
            <w:tcW w:w="1021" w:type="dxa"/>
          </w:tcPr>
          <w:p w14:paraId="0CE78300" w14:textId="73E2ECB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55143E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4BDDA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 pozycji lp. 2797 w kolumnie U – Ilościowe określenie zakresu rzeczowego działania wyszczególniono: „Modernizacja tylko w zakresie części osadowej oczyszczalni; Istniejąca oczyszczalnia, która wymaga zarówno rozbudowy ze względu na przepustowość, jak i modernizacji”. Opis ten nie do końca wskazuje rzeczywisty zakres rzeczowy przewidziany do realizacji w oczyszczalni ścieków Płaszów (PLMP0011)</w:t>
            </w:r>
          </w:p>
        </w:tc>
        <w:tc>
          <w:tcPr>
            <w:tcW w:w="3377" w:type="dxa"/>
            <w:shd w:val="clear" w:color="auto" w:fill="auto"/>
            <w:hideMark/>
          </w:tcPr>
          <w:p w14:paraId="02700A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 „Modernizacja tylko w zakresie części osadowej oczyszczalni; Istniejąca oczyszczalnia, która wymaga zarówno rozbudowy ze względu na przepustowość, jak i m dernizacji” należy zmienić na: Rozbudowa i modernizacja oczyszczalni ścieków w celu zwiększenia przepustowości i zapewnienia zgodności z Dyrektywą 91/271/EWG (PLMP0011)</w:t>
            </w:r>
          </w:p>
        </w:tc>
        <w:tc>
          <w:tcPr>
            <w:tcW w:w="3401" w:type="dxa"/>
            <w:shd w:val="clear" w:color="auto" w:fill="auto"/>
            <w:hideMark/>
          </w:tcPr>
          <w:p w14:paraId="1F43C7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Urealniono opis odnoszący się do zakresu rzeczowego przewidzianego do realizacji w oczyszczalni ścieków Płaszów (PLMP0011)</w:t>
            </w:r>
          </w:p>
        </w:tc>
        <w:tc>
          <w:tcPr>
            <w:tcW w:w="1918" w:type="dxa"/>
            <w:shd w:val="clear" w:color="auto" w:fill="auto"/>
            <w:hideMark/>
          </w:tcPr>
          <w:p w14:paraId="0654E0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013C88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A5D76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Poprawiono zgodnie z uwagą.</w:t>
            </w:r>
          </w:p>
        </w:tc>
      </w:tr>
      <w:tr w:rsidR="0085319C" w:rsidRPr="005E78BB" w14:paraId="6E2C50BA" w14:textId="77777777" w:rsidTr="00E92AE6">
        <w:trPr>
          <w:trHeight w:val="454"/>
        </w:trPr>
        <w:tc>
          <w:tcPr>
            <w:tcW w:w="562" w:type="dxa"/>
            <w:shd w:val="clear" w:color="auto" w:fill="auto"/>
            <w:hideMark/>
          </w:tcPr>
          <w:p w14:paraId="617242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97</w:t>
            </w:r>
          </w:p>
        </w:tc>
        <w:tc>
          <w:tcPr>
            <w:tcW w:w="1021" w:type="dxa"/>
          </w:tcPr>
          <w:p w14:paraId="1F37B48D" w14:textId="639FB7B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Zofia Godzwon</w:t>
            </w:r>
          </w:p>
        </w:tc>
        <w:tc>
          <w:tcPr>
            <w:tcW w:w="1630" w:type="dxa"/>
            <w:shd w:val="clear" w:color="auto" w:fill="auto"/>
            <w:hideMark/>
          </w:tcPr>
          <w:p w14:paraId="0CFF96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43B26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376,397,487 położonych w miejscowości Długołęka gmina Osiek utrudnia to możliwość nowej zabudowy. </w:t>
            </w:r>
          </w:p>
        </w:tc>
        <w:tc>
          <w:tcPr>
            <w:tcW w:w="3377" w:type="dxa"/>
            <w:shd w:val="clear" w:color="auto" w:fill="auto"/>
            <w:hideMark/>
          </w:tcPr>
          <w:p w14:paraId="2C3063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57585D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41285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058E6F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44D8D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6BDC1B1E" w14:textId="77777777" w:rsidTr="00E92AE6">
        <w:trPr>
          <w:trHeight w:val="454"/>
        </w:trPr>
        <w:tc>
          <w:tcPr>
            <w:tcW w:w="562" w:type="dxa"/>
            <w:shd w:val="clear" w:color="auto" w:fill="auto"/>
            <w:hideMark/>
          </w:tcPr>
          <w:p w14:paraId="3521E7A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98</w:t>
            </w:r>
          </w:p>
        </w:tc>
        <w:tc>
          <w:tcPr>
            <w:tcW w:w="1021" w:type="dxa"/>
          </w:tcPr>
          <w:p w14:paraId="6BD48DD3" w14:textId="0156D65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Miejska Kraków</w:t>
            </w:r>
          </w:p>
        </w:tc>
        <w:tc>
          <w:tcPr>
            <w:tcW w:w="1630" w:type="dxa"/>
            <w:shd w:val="clear" w:color="auto" w:fill="auto"/>
            <w:hideMark/>
          </w:tcPr>
          <w:p w14:paraId="588731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5702E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Załącznik 7.3_Zestaw_dzialan_RW_ODWisła </w:t>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 pozycji lp. 6702 w kolumnie U – Ilościowe określenie zakresu rzeczowego działania wyszczególniono: „Modernizacja tylko w zakresie </w:t>
            </w:r>
            <w:r w:rsidRPr="005E78BB">
              <w:rPr>
                <w:rFonts w:ascii="Calibri" w:eastAsia="Times New Roman" w:hAnsi="Calibri" w:cs="Calibri"/>
                <w:color w:val="000000"/>
                <w:sz w:val="18"/>
                <w:szCs w:val="18"/>
                <w:lang w:eastAsia="pl-PL"/>
              </w:rPr>
              <w:lastRenderedPageBreak/>
              <w:t>części osadowej oczyszczalni; Istniejąca oczyszczalnia, która wymaga zarówno rozbudowy ze względu na przepustowość, jak i modernizacji”. Opis ten nie do końca wskazuje rzeczywisty zakres rzeczowy przewidziany do realizacji w oczyszczalni ścieków Kujawy (PLMP0016)</w:t>
            </w:r>
          </w:p>
        </w:tc>
        <w:tc>
          <w:tcPr>
            <w:tcW w:w="3377" w:type="dxa"/>
            <w:shd w:val="clear" w:color="auto" w:fill="auto"/>
            <w:hideMark/>
          </w:tcPr>
          <w:p w14:paraId="4BB8ED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Zapis „Modernizacja tylko w zakresie części osadowej oczyszczalni; Istniejąca oczyszczalnia, która wymaga zarówno rozbudowy ze względu na przepustowość, </w:t>
            </w:r>
            <w:r w:rsidRPr="005E78BB">
              <w:rPr>
                <w:rFonts w:ascii="Calibri" w:eastAsia="Times New Roman" w:hAnsi="Calibri" w:cs="Calibri"/>
                <w:color w:val="000000"/>
                <w:sz w:val="18"/>
                <w:szCs w:val="18"/>
                <w:lang w:eastAsia="pl-PL"/>
              </w:rPr>
              <w:lastRenderedPageBreak/>
              <w:t>jak i modernizacji” należy zmienić na: Modernizacja tylko w zakresie części osadowej oczyszczalni</w:t>
            </w:r>
          </w:p>
        </w:tc>
        <w:tc>
          <w:tcPr>
            <w:tcW w:w="3401" w:type="dxa"/>
            <w:shd w:val="clear" w:color="auto" w:fill="auto"/>
            <w:hideMark/>
          </w:tcPr>
          <w:p w14:paraId="1079C8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Urealniono opis odnoszący się do zakresu rzeczowego przewidzianego do realizacji w oczyszczalni ścieków Kujawy (PLMP0016)</w:t>
            </w:r>
          </w:p>
        </w:tc>
        <w:tc>
          <w:tcPr>
            <w:tcW w:w="1918" w:type="dxa"/>
            <w:shd w:val="clear" w:color="auto" w:fill="auto"/>
            <w:hideMark/>
          </w:tcPr>
          <w:p w14:paraId="2B1025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GminaMiejska_Kraków_Wisła</w:t>
            </w:r>
          </w:p>
        </w:tc>
        <w:tc>
          <w:tcPr>
            <w:tcW w:w="1276" w:type="dxa"/>
            <w:shd w:val="clear" w:color="auto" w:fill="auto"/>
            <w:hideMark/>
          </w:tcPr>
          <w:p w14:paraId="25706D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532E0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Poprawiono zgodnie z uwagą.</w:t>
            </w:r>
          </w:p>
        </w:tc>
      </w:tr>
      <w:tr w:rsidR="0085319C" w:rsidRPr="005E78BB" w14:paraId="29F6E919" w14:textId="77777777" w:rsidTr="00E92AE6">
        <w:trPr>
          <w:trHeight w:val="454"/>
        </w:trPr>
        <w:tc>
          <w:tcPr>
            <w:tcW w:w="562" w:type="dxa"/>
            <w:shd w:val="clear" w:color="auto" w:fill="auto"/>
            <w:hideMark/>
          </w:tcPr>
          <w:p w14:paraId="76092EB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99</w:t>
            </w:r>
          </w:p>
        </w:tc>
        <w:tc>
          <w:tcPr>
            <w:tcW w:w="1021" w:type="dxa"/>
          </w:tcPr>
          <w:p w14:paraId="60B9366A" w14:textId="7B69CE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Stanisław Swatek</w:t>
            </w:r>
          </w:p>
        </w:tc>
        <w:tc>
          <w:tcPr>
            <w:tcW w:w="1630" w:type="dxa"/>
            <w:shd w:val="clear" w:color="auto" w:fill="auto"/>
            <w:hideMark/>
          </w:tcPr>
          <w:p w14:paraId="2BF2C1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E9AD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597 położonej w miejscowości Długołęka gmina Osiek utrudnia to możliwość nowej zabudowy. </w:t>
            </w:r>
          </w:p>
        </w:tc>
        <w:tc>
          <w:tcPr>
            <w:tcW w:w="3377" w:type="dxa"/>
            <w:shd w:val="clear" w:color="auto" w:fill="auto"/>
            <w:hideMark/>
          </w:tcPr>
          <w:p w14:paraId="119F72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CED29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15D1F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0C8BD7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BDD75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6F29EB19" w14:textId="77777777" w:rsidTr="00E92AE6">
        <w:trPr>
          <w:trHeight w:val="454"/>
        </w:trPr>
        <w:tc>
          <w:tcPr>
            <w:tcW w:w="562" w:type="dxa"/>
            <w:shd w:val="clear" w:color="auto" w:fill="auto"/>
            <w:hideMark/>
          </w:tcPr>
          <w:p w14:paraId="005939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100</w:t>
            </w:r>
          </w:p>
        </w:tc>
        <w:tc>
          <w:tcPr>
            <w:tcW w:w="1021" w:type="dxa"/>
          </w:tcPr>
          <w:p w14:paraId="312BF4F6" w14:textId="2511B72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Mirosław Dziuba</w:t>
            </w:r>
          </w:p>
        </w:tc>
        <w:tc>
          <w:tcPr>
            <w:tcW w:w="1630" w:type="dxa"/>
            <w:shd w:val="clear" w:color="auto" w:fill="auto"/>
            <w:hideMark/>
          </w:tcPr>
          <w:p w14:paraId="2E4A3D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11E54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473 położonej w miejscowości Długołęka gmina Osiek utrudnia to możliwość nowej zabudowy. </w:t>
            </w:r>
          </w:p>
        </w:tc>
        <w:tc>
          <w:tcPr>
            <w:tcW w:w="3377" w:type="dxa"/>
            <w:shd w:val="clear" w:color="auto" w:fill="auto"/>
            <w:hideMark/>
          </w:tcPr>
          <w:p w14:paraId="33957A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892CA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27442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132A0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3C02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46A09A5" w14:textId="77777777" w:rsidTr="00E92AE6">
        <w:trPr>
          <w:trHeight w:val="454"/>
        </w:trPr>
        <w:tc>
          <w:tcPr>
            <w:tcW w:w="562" w:type="dxa"/>
            <w:shd w:val="clear" w:color="auto" w:fill="auto"/>
            <w:hideMark/>
          </w:tcPr>
          <w:p w14:paraId="362D12B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101</w:t>
            </w:r>
          </w:p>
        </w:tc>
        <w:tc>
          <w:tcPr>
            <w:tcW w:w="1021" w:type="dxa"/>
          </w:tcPr>
          <w:p w14:paraId="76CCBF3E" w14:textId="33ABA1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Paweł Pietrzyk</w:t>
            </w:r>
          </w:p>
        </w:tc>
        <w:tc>
          <w:tcPr>
            <w:tcW w:w="1630" w:type="dxa"/>
            <w:shd w:val="clear" w:color="auto" w:fill="auto"/>
            <w:hideMark/>
          </w:tcPr>
          <w:p w14:paraId="5DBB65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94105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478 położonej w miejscowości Długołęka gmina Osiek utrudnia to możliwość nowej zabudowy. </w:t>
            </w:r>
          </w:p>
        </w:tc>
        <w:tc>
          <w:tcPr>
            <w:tcW w:w="3377" w:type="dxa"/>
            <w:shd w:val="clear" w:color="auto" w:fill="auto"/>
            <w:hideMark/>
          </w:tcPr>
          <w:p w14:paraId="4E8428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F1932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4B3B8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DAFBE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1F78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41B14F40" w14:textId="77777777" w:rsidTr="00E92AE6">
        <w:trPr>
          <w:trHeight w:val="454"/>
        </w:trPr>
        <w:tc>
          <w:tcPr>
            <w:tcW w:w="562" w:type="dxa"/>
            <w:shd w:val="clear" w:color="auto" w:fill="auto"/>
            <w:hideMark/>
          </w:tcPr>
          <w:p w14:paraId="3300C91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102</w:t>
            </w:r>
          </w:p>
        </w:tc>
        <w:tc>
          <w:tcPr>
            <w:tcW w:w="1021" w:type="dxa"/>
          </w:tcPr>
          <w:p w14:paraId="325306B2" w14:textId="5A70676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Barbara Niekurzak</w:t>
            </w:r>
          </w:p>
        </w:tc>
        <w:tc>
          <w:tcPr>
            <w:tcW w:w="1630" w:type="dxa"/>
            <w:shd w:val="clear" w:color="auto" w:fill="auto"/>
            <w:hideMark/>
          </w:tcPr>
          <w:p w14:paraId="1F45F6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A183D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365, 665 położonej w miejscowości Długołęka gmina Osiek utrudnia to możliwość nowej zabudowy. </w:t>
            </w:r>
          </w:p>
        </w:tc>
        <w:tc>
          <w:tcPr>
            <w:tcW w:w="3377" w:type="dxa"/>
            <w:shd w:val="clear" w:color="auto" w:fill="auto"/>
            <w:hideMark/>
          </w:tcPr>
          <w:p w14:paraId="6EEDED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8CAE6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B01D3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01E60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872A8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7E8C2EEC" w14:textId="77777777" w:rsidTr="00E92AE6">
        <w:trPr>
          <w:trHeight w:val="454"/>
        </w:trPr>
        <w:tc>
          <w:tcPr>
            <w:tcW w:w="562" w:type="dxa"/>
            <w:shd w:val="clear" w:color="auto" w:fill="auto"/>
            <w:hideMark/>
          </w:tcPr>
          <w:p w14:paraId="4A3A19D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103</w:t>
            </w:r>
          </w:p>
        </w:tc>
        <w:tc>
          <w:tcPr>
            <w:tcW w:w="1021" w:type="dxa"/>
          </w:tcPr>
          <w:p w14:paraId="1FEC1FCE" w14:textId="253CA86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Dorota Skowon</w:t>
            </w:r>
          </w:p>
        </w:tc>
        <w:tc>
          <w:tcPr>
            <w:tcW w:w="1630" w:type="dxa"/>
            <w:shd w:val="clear" w:color="auto" w:fill="auto"/>
            <w:hideMark/>
          </w:tcPr>
          <w:p w14:paraId="669A32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49FFC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577 położonej w miejscowości Długołęka gmina Osiek utrudnia to możliwość nowej zabudowy. </w:t>
            </w:r>
          </w:p>
        </w:tc>
        <w:tc>
          <w:tcPr>
            <w:tcW w:w="3377" w:type="dxa"/>
            <w:shd w:val="clear" w:color="auto" w:fill="auto"/>
            <w:hideMark/>
          </w:tcPr>
          <w:p w14:paraId="489DC4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679874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EAB69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0F4B1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56E4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9BFCF84" w14:textId="77777777" w:rsidTr="00E92AE6">
        <w:trPr>
          <w:trHeight w:val="454"/>
        </w:trPr>
        <w:tc>
          <w:tcPr>
            <w:tcW w:w="562" w:type="dxa"/>
            <w:shd w:val="clear" w:color="auto" w:fill="auto"/>
            <w:hideMark/>
          </w:tcPr>
          <w:p w14:paraId="62F10B3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104</w:t>
            </w:r>
          </w:p>
        </w:tc>
        <w:tc>
          <w:tcPr>
            <w:tcW w:w="1021" w:type="dxa"/>
          </w:tcPr>
          <w:p w14:paraId="764A8AF2" w14:textId="2314344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Kucwaj</w:t>
            </w:r>
          </w:p>
        </w:tc>
        <w:tc>
          <w:tcPr>
            <w:tcW w:w="1630" w:type="dxa"/>
            <w:shd w:val="clear" w:color="auto" w:fill="auto"/>
            <w:hideMark/>
          </w:tcPr>
          <w:p w14:paraId="190048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AF831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368, 494 położonych w miejscowości Długołęka gmina Osiek utrudnia to możliwość nowej zabudowy. </w:t>
            </w:r>
          </w:p>
        </w:tc>
        <w:tc>
          <w:tcPr>
            <w:tcW w:w="3377" w:type="dxa"/>
            <w:shd w:val="clear" w:color="auto" w:fill="auto"/>
            <w:hideMark/>
          </w:tcPr>
          <w:p w14:paraId="5E95DF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Proponuję pogłębienie i regulację koryta rzeki Wisły oraz wyczyszczenie zadrzewień </w:t>
            </w:r>
          </w:p>
        </w:tc>
        <w:tc>
          <w:tcPr>
            <w:tcW w:w="3401" w:type="dxa"/>
            <w:shd w:val="clear" w:color="auto" w:fill="auto"/>
            <w:hideMark/>
          </w:tcPr>
          <w:p w14:paraId="369A30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Stworzenie strefy zalewowej spowoduje powstanie długotrwałych rozlewisk, które doprowadzą do likwidacji sadu. (Przekonałem się o tym w 2010 r. gdy w ciągu 3 lat doprowadziło do wymarcia drzew. </w:t>
            </w:r>
          </w:p>
        </w:tc>
        <w:tc>
          <w:tcPr>
            <w:tcW w:w="1918" w:type="dxa"/>
            <w:shd w:val="clear" w:color="auto" w:fill="auto"/>
            <w:hideMark/>
          </w:tcPr>
          <w:p w14:paraId="54402B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CD845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FE25A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286B8443" w14:textId="77777777" w:rsidTr="00E92AE6">
        <w:trPr>
          <w:trHeight w:val="454"/>
        </w:trPr>
        <w:tc>
          <w:tcPr>
            <w:tcW w:w="562" w:type="dxa"/>
            <w:shd w:val="clear" w:color="auto" w:fill="auto"/>
            <w:hideMark/>
          </w:tcPr>
          <w:p w14:paraId="0E88C00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105</w:t>
            </w:r>
          </w:p>
        </w:tc>
        <w:tc>
          <w:tcPr>
            <w:tcW w:w="1021" w:type="dxa"/>
          </w:tcPr>
          <w:p w14:paraId="2A8B7DD1" w14:textId="59276E7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Zdzisław Lipiec</w:t>
            </w:r>
          </w:p>
        </w:tc>
        <w:tc>
          <w:tcPr>
            <w:tcW w:w="1630" w:type="dxa"/>
            <w:shd w:val="clear" w:color="auto" w:fill="auto"/>
            <w:hideMark/>
          </w:tcPr>
          <w:p w14:paraId="2CA1EB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AD633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467/1 położonej w miejscowości Długołęka gmina Osiek utrudnia to możliwość nowej zabudowy. </w:t>
            </w:r>
          </w:p>
        </w:tc>
        <w:tc>
          <w:tcPr>
            <w:tcW w:w="3377" w:type="dxa"/>
            <w:shd w:val="clear" w:color="auto" w:fill="auto"/>
            <w:hideMark/>
          </w:tcPr>
          <w:p w14:paraId="667EAC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4A1A3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817D5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55E2B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8B23A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50AB0277" w14:textId="77777777" w:rsidTr="00E92AE6">
        <w:trPr>
          <w:trHeight w:val="454"/>
        </w:trPr>
        <w:tc>
          <w:tcPr>
            <w:tcW w:w="562" w:type="dxa"/>
            <w:shd w:val="clear" w:color="auto" w:fill="auto"/>
            <w:hideMark/>
          </w:tcPr>
          <w:p w14:paraId="3FBDB42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106</w:t>
            </w:r>
          </w:p>
        </w:tc>
        <w:tc>
          <w:tcPr>
            <w:tcW w:w="1021" w:type="dxa"/>
          </w:tcPr>
          <w:p w14:paraId="2C18AF63" w14:textId="58C6058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Anna Gacoń</w:t>
            </w:r>
          </w:p>
        </w:tc>
        <w:tc>
          <w:tcPr>
            <w:tcW w:w="1630" w:type="dxa"/>
            <w:shd w:val="clear" w:color="auto" w:fill="auto"/>
            <w:hideMark/>
          </w:tcPr>
          <w:p w14:paraId="08824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94DB2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589/2 położonej w miejscowości Długołęka gmina Osiek utrudnia to możliwość nowej zabudowy. </w:t>
            </w:r>
          </w:p>
        </w:tc>
        <w:tc>
          <w:tcPr>
            <w:tcW w:w="3377" w:type="dxa"/>
            <w:shd w:val="clear" w:color="auto" w:fill="auto"/>
            <w:hideMark/>
          </w:tcPr>
          <w:p w14:paraId="04D7A5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Zadbać o pogłębienie i regulację koryta rzeki Wisły oraz wyczyścić i pogłębić pobliskie rowy, usunąć zadrzewienia co da miejsce na wezbranie wody powodziowe.</w:t>
            </w:r>
          </w:p>
        </w:tc>
        <w:tc>
          <w:tcPr>
            <w:tcW w:w="3401" w:type="dxa"/>
            <w:shd w:val="clear" w:color="auto" w:fill="auto"/>
            <w:hideMark/>
          </w:tcPr>
          <w:p w14:paraId="5FFF29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 miejsce na wezbranie wody powodziowe.</w:t>
            </w:r>
          </w:p>
        </w:tc>
        <w:tc>
          <w:tcPr>
            <w:tcW w:w="1918" w:type="dxa"/>
            <w:shd w:val="clear" w:color="auto" w:fill="auto"/>
            <w:hideMark/>
          </w:tcPr>
          <w:p w14:paraId="5AEB7A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6C533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648C4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57830042" w14:textId="77777777" w:rsidTr="00E92AE6">
        <w:trPr>
          <w:trHeight w:val="454"/>
        </w:trPr>
        <w:tc>
          <w:tcPr>
            <w:tcW w:w="562" w:type="dxa"/>
            <w:shd w:val="clear" w:color="auto" w:fill="auto"/>
            <w:hideMark/>
          </w:tcPr>
          <w:p w14:paraId="4B8A63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107</w:t>
            </w:r>
          </w:p>
        </w:tc>
        <w:tc>
          <w:tcPr>
            <w:tcW w:w="1021" w:type="dxa"/>
          </w:tcPr>
          <w:p w14:paraId="79D709DC" w14:textId="3FCDEE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Edward Kucwaj</w:t>
            </w:r>
          </w:p>
        </w:tc>
        <w:tc>
          <w:tcPr>
            <w:tcW w:w="1630" w:type="dxa"/>
            <w:shd w:val="clear" w:color="auto" w:fill="auto"/>
            <w:hideMark/>
          </w:tcPr>
          <w:p w14:paraId="7DF9F7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9A31A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Uwaga: Proszę o zniesienie stref zalewowych z terenu mojej działki nr 410/1, 409/3 położonych w miejscowości Długołęka gmina Osiek utrudnia to możliwość nowej zabudowy. </w:t>
            </w:r>
          </w:p>
        </w:tc>
        <w:tc>
          <w:tcPr>
            <w:tcW w:w="3377" w:type="dxa"/>
            <w:shd w:val="clear" w:color="auto" w:fill="auto"/>
            <w:hideMark/>
          </w:tcPr>
          <w:p w14:paraId="013E99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598AC4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B97E9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DF129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E140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nie dotyczy bezpośrednio konsultowanego dokumentu. IIaPGW nie ustala stref zalewowych. Zagadnienia zagrożenia i ryzyka powodziowego stanowią </w:t>
            </w:r>
            <w:r w:rsidRPr="005E78BB">
              <w:rPr>
                <w:rFonts w:ascii="Calibri" w:eastAsia="Times New Roman" w:hAnsi="Calibri" w:cs="Calibri"/>
                <w:color w:val="000000"/>
                <w:sz w:val="18"/>
                <w:szCs w:val="18"/>
                <w:lang w:eastAsia="pl-PL"/>
              </w:rPr>
              <w:lastRenderedPageBreak/>
              <w:t>element Planów zarządzania ryzykiem powodziowym i ich aktualizacji.</w:t>
            </w:r>
          </w:p>
        </w:tc>
      </w:tr>
      <w:tr w:rsidR="0085319C" w:rsidRPr="005E78BB" w14:paraId="20DCDD42" w14:textId="77777777" w:rsidTr="00E92AE6">
        <w:trPr>
          <w:trHeight w:val="454"/>
        </w:trPr>
        <w:tc>
          <w:tcPr>
            <w:tcW w:w="562" w:type="dxa"/>
            <w:shd w:val="clear" w:color="auto" w:fill="auto"/>
            <w:hideMark/>
          </w:tcPr>
          <w:p w14:paraId="57ADBBD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108</w:t>
            </w:r>
          </w:p>
        </w:tc>
        <w:tc>
          <w:tcPr>
            <w:tcW w:w="1021" w:type="dxa"/>
          </w:tcPr>
          <w:p w14:paraId="6CE80AC9" w14:textId="5A4DCB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Sławomir Zaręba</w:t>
            </w:r>
          </w:p>
        </w:tc>
        <w:tc>
          <w:tcPr>
            <w:tcW w:w="1630" w:type="dxa"/>
            <w:shd w:val="clear" w:color="auto" w:fill="auto"/>
            <w:hideMark/>
          </w:tcPr>
          <w:p w14:paraId="732A21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26013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715, 795, 859 położonych w miejscowości Długołęka gmina Osiek utrudnia to możliwość nowej zabudowy. </w:t>
            </w:r>
          </w:p>
        </w:tc>
        <w:tc>
          <w:tcPr>
            <w:tcW w:w="3377" w:type="dxa"/>
            <w:shd w:val="clear" w:color="auto" w:fill="auto"/>
            <w:hideMark/>
          </w:tcPr>
          <w:p w14:paraId="2AD57D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5B4B1F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C0AB1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1454E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AF2D4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6F5D56F" w14:textId="77777777" w:rsidTr="00E92AE6">
        <w:trPr>
          <w:trHeight w:val="454"/>
        </w:trPr>
        <w:tc>
          <w:tcPr>
            <w:tcW w:w="562" w:type="dxa"/>
            <w:shd w:val="clear" w:color="auto" w:fill="auto"/>
            <w:hideMark/>
          </w:tcPr>
          <w:p w14:paraId="5420DE9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109</w:t>
            </w:r>
          </w:p>
        </w:tc>
        <w:tc>
          <w:tcPr>
            <w:tcW w:w="1021" w:type="dxa"/>
          </w:tcPr>
          <w:p w14:paraId="2542382E" w14:textId="757CB9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Edyta i Tadeusz Januszewscy</w:t>
            </w:r>
          </w:p>
        </w:tc>
        <w:tc>
          <w:tcPr>
            <w:tcW w:w="1630" w:type="dxa"/>
            <w:shd w:val="clear" w:color="auto" w:fill="auto"/>
            <w:hideMark/>
          </w:tcPr>
          <w:p w14:paraId="1F0614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5468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450/3, 450/4, 450/5, 450/3, 527/2 położonych w miejscowości Długołęka gmina Osiek utrudnia to możliwość nowej zabudowy. </w:t>
            </w:r>
          </w:p>
        </w:tc>
        <w:tc>
          <w:tcPr>
            <w:tcW w:w="3377" w:type="dxa"/>
            <w:shd w:val="clear" w:color="auto" w:fill="auto"/>
            <w:hideMark/>
          </w:tcPr>
          <w:p w14:paraId="0C4531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557C67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0A46F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F5E7F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75B5C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0ADADAE9" w14:textId="77777777" w:rsidTr="00E92AE6">
        <w:trPr>
          <w:trHeight w:val="454"/>
        </w:trPr>
        <w:tc>
          <w:tcPr>
            <w:tcW w:w="562" w:type="dxa"/>
            <w:shd w:val="clear" w:color="auto" w:fill="auto"/>
            <w:hideMark/>
          </w:tcPr>
          <w:p w14:paraId="7009C54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110</w:t>
            </w:r>
          </w:p>
        </w:tc>
        <w:tc>
          <w:tcPr>
            <w:tcW w:w="1021" w:type="dxa"/>
          </w:tcPr>
          <w:p w14:paraId="4AC11D70" w14:textId="4CF50C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Edyta i Tadeusz Januszewscy</w:t>
            </w:r>
          </w:p>
        </w:tc>
        <w:tc>
          <w:tcPr>
            <w:tcW w:w="1630" w:type="dxa"/>
            <w:shd w:val="clear" w:color="auto" w:fill="auto"/>
            <w:hideMark/>
          </w:tcPr>
          <w:p w14:paraId="007341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0B04C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613/2, 614/2 położonych w miejscowości Długołęka gmina Osiek utrudnia to możliwość nowej zabudowy. </w:t>
            </w:r>
          </w:p>
        </w:tc>
        <w:tc>
          <w:tcPr>
            <w:tcW w:w="3377" w:type="dxa"/>
            <w:shd w:val="clear" w:color="auto" w:fill="auto"/>
            <w:hideMark/>
          </w:tcPr>
          <w:p w14:paraId="6677CF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1D5389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8CAF3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0CF259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62A1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4793B7CF" w14:textId="77777777" w:rsidTr="00E92AE6">
        <w:trPr>
          <w:trHeight w:val="454"/>
        </w:trPr>
        <w:tc>
          <w:tcPr>
            <w:tcW w:w="562" w:type="dxa"/>
            <w:shd w:val="clear" w:color="auto" w:fill="auto"/>
            <w:hideMark/>
          </w:tcPr>
          <w:p w14:paraId="090CD89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111</w:t>
            </w:r>
          </w:p>
        </w:tc>
        <w:tc>
          <w:tcPr>
            <w:tcW w:w="1021" w:type="dxa"/>
          </w:tcPr>
          <w:p w14:paraId="4455508E" w14:textId="6FE55B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Marzena Bąk</w:t>
            </w:r>
          </w:p>
        </w:tc>
        <w:tc>
          <w:tcPr>
            <w:tcW w:w="1630" w:type="dxa"/>
            <w:shd w:val="clear" w:color="auto" w:fill="auto"/>
            <w:hideMark/>
          </w:tcPr>
          <w:p w14:paraId="75C095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841EB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899 położonej w miejscowości Długołęka gmina Osiek utrudnia to możliwość nowej zabudowy. </w:t>
            </w:r>
          </w:p>
        </w:tc>
        <w:tc>
          <w:tcPr>
            <w:tcW w:w="3377" w:type="dxa"/>
            <w:shd w:val="clear" w:color="auto" w:fill="auto"/>
            <w:hideMark/>
          </w:tcPr>
          <w:p w14:paraId="13E5C1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7047CE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DB9A6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634DF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6966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9C605F3" w14:textId="77777777" w:rsidTr="00E92AE6">
        <w:trPr>
          <w:trHeight w:val="454"/>
        </w:trPr>
        <w:tc>
          <w:tcPr>
            <w:tcW w:w="562" w:type="dxa"/>
            <w:shd w:val="clear" w:color="auto" w:fill="auto"/>
            <w:hideMark/>
          </w:tcPr>
          <w:p w14:paraId="08FF614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112</w:t>
            </w:r>
          </w:p>
        </w:tc>
        <w:tc>
          <w:tcPr>
            <w:tcW w:w="1021" w:type="dxa"/>
          </w:tcPr>
          <w:p w14:paraId="5CED57D1" w14:textId="4CF08D8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Leszek Kosior</w:t>
            </w:r>
          </w:p>
        </w:tc>
        <w:tc>
          <w:tcPr>
            <w:tcW w:w="1630" w:type="dxa"/>
            <w:shd w:val="clear" w:color="auto" w:fill="auto"/>
            <w:hideMark/>
          </w:tcPr>
          <w:p w14:paraId="13EFC0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FAA31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589 położonej w miejscowości Długołęka gmina Osiek utrudnia to możliwość nowej zabudowy. </w:t>
            </w:r>
          </w:p>
        </w:tc>
        <w:tc>
          <w:tcPr>
            <w:tcW w:w="3377" w:type="dxa"/>
            <w:shd w:val="clear" w:color="auto" w:fill="auto"/>
            <w:hideMark/>
          </w:tcPr>
          <w:p w14:paraId="6F3871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636D02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7F9C2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39F0B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8E50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439039F" w14:textId="77777777" w:rsidTr="00E92AE6">
        <w:trPr>
          <w:trHeight w:val="454"/>
        </w:trPr>
        <w:tc>
          <w:tcPr>
            <w:tcW w:w="562" w:type="dxa"/>
            <w:shd w:val="clear" w:color="auto" w:fill="auto"/>
            <w:hideMark/>
          </w:tcPr>
          <w:p w14:paraId="6CDF27C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113</w:t>
            </w:r>
          </w:p>
        </w:tc>
        <w:tc>
          <w:tcPr>
            <w:tcW w:w="1021" w:type="dxa"/>
          </w:tcPr>
          <w:p w14:paraId="23374757" w14:textId="437271D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Edmund Okoń</w:t>
            </w:r>
          </w:p>
        </w:tc>
        <w:tc>
          <w:tcPr>
            <w:tcW w:w="1630" w:type="dxa"/>
            <w:shd w:val="clear" w:color="auto" w:fill="auto"/>
            <w:hideMark/>
          </w:tcPr>
          <w:p w14:paraId="1D7246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3FEF7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t>894</w:t>
            </w:r>
            <w:r w:rsidRPr="005E78BB">
              <w:rPr>
                <w:rFonts w:ascii="Calibri" w:eastAsia="Times New Roman" w:hAnsi="Calibri" w:cs="Calibri"/>
                <w:color w:val="000000"/>
                <w:sz w:val="18"/>
                <w:szCs w:val="18"/>
                <w:lang w:eastAsia="pl-PL"/>
              </w:rPr>
              <w:br/>
              <w:t xml:space="preserve">Uwaga: Proszę o zniesienie stref zalewowych z terenu mojej działki nr 894 położonej w miejscowości Długołęka utrudnia to możliwość nowej zabudowy. </w:t>
            </w:r>
          </w:p>
        </w:tc>
        <w:tc>
          <w:tcPr>
            <w:tcW w:w="3377" w:type="dxa"/>
            <w:shd w:val="clear" w:color="auto" w:fill="auto"/>
            <w:hideMark/>
          </w:tcPr>
          <w:p w14:paraId="276B82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628BED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D2A36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7669F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706A0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269918E" w14:textId="77777777" w:rsidTr="00E92AE6">
        <w:trPr>
          <w:trHeight w:val="454"/>
        </w:trPr>
        <w:tc>
          <w:tcPr>
            <w:tcW w:w="562" w:type="dxa"/>
            <w:shd w:val="clear" w:color="auto" w:fill="auto"/>
            <w:hideMark/>
          </w:tcPr>
          <w:p w14:paraId="7A4CE6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114</w:t>
            </w:r>
          </w:p>
        </w:tc>
        <w:tc>
          <w:tcPr>
            <w:tcW w:w="1021" w:type="dxa"/>
          </w:tcPr>
          <w:p w14:paraId="36CD4255" w14:textId="18866AB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Janusz Durda</w:t>
            </w:r>
          </w:p>
        </w:tc>
        <w:tc>
          <w:tcPr>
            <w:tcW w:w="1630" w:type="dxa"/>
            <w:shd w:val="clear" w:color="auto" w:fill="auto"/>
            <w:hideMark/>
          </w:tcPr>
          <w:p w14:paraId="6E7992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8F6BE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447 i 449 położonej w miejscowości Długołęka utrudnia to możliwość nowej zabudowy. </w:t>
            </w:r>
          </w:p>
        </w:tc>
        <w:tc>
          <w:tcPr>
            <w:tcW w:w="3377" w:type="dxa"/>
            <w:shd w:val="clear" w:color="auto" w:fill="auto"/>
            <w:hideMark/>
          </w:tcPr>
          <w:p w14:paraId="3CE6BC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7AEB1B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88909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C4ED2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F790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533B4A4F" w14:textId="77777777" w:rsidTr="00E92AE6">
        <w:trPr>
          <w:trHeight w:val="454"/>
        </w:trPr>
        <w:tc>
          <w:tcPr>
            <w:tcW w:w="562" w:type="dxa"/>
            <w:shd w:val="clear" w:color="auto" w:fill="auto"/>
            <w:hideMark/>
          </w:tcPr>
          <w:p w14:paraId="6701CB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115</w:t>
            </w:r>
          </w:p>
        </w:tc>
        <w:tc>
          <w:tcPr>
            <w:tcW w:w="1021" w:type="dxa"/>
          </w:tcPr>
          <w:p w14:paraId="0E2D796F" w14:textId="77B818D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Kazimiera Czosnek</w:t>
            </w:r>
          </w:p>
        </w:tc>
        <w:tc>
          <w:tcPr>
            <w:tcW w:w="1630" w:type="dxa"/>
            <w:shd w:val="clear" w:color="auto" w:fill="auto"/>
            <w:hideMark/>
          </w:tcPr>
          <w:p w14:paraId="3FCBCB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84AD4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400 położonej w miejscowości Długołęka utrudnia to możliwość nowej zabudowy. </w:t>
            </w:r>
          </w:p>
        </w:tc>
        <w:tc>
          <w:tcPr>
            <w:tcW w:w="3377" w:type="dxa"/>
            <w:shd w:val="clear" w:color="auto" w:fill="auto"/>
            <w:hideMark/>
          </w:tcPr>
          <w:p w14:paraId="39BC90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11EE70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359FB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E05C1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D158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439F9EE" w14:textId="77777777" w:rsidTr="00E92AE6">
        <w:trPr>
          <w:trHeight w:val="454"/>
        </w:trPr>
        <w:tc>
          <w:tcPr>
            <w:tcW w:w="562" w:type="dxa"/>
            <w:shd w:val="clear" w:color="auto" w:fill="auto"/>
            <w:hideMark/>
          </w:tcPr>
          <w:p w14:paraId="249E8F5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116</w:t>
            </w:r>
          </w:p>
        </w:tc>
        <w:tc>
          <w:tcPr>
            <w:tcW w:w="1021" w:type="dxa"/>
          </w:tcPr>
          <w:p w14:paraId="4AE1E77D" w14:textId="6C9DB25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Aneta Zioło</w:t>
            </w:r>
          </w:p>
        </w:tc>
        <w:tc>
          <w:tcPr>
            <w:tcW w:w="1630" w:type="dxa"/>
            <w:shd w:val="clear" w:color="auto" w:fill="auto"/>
            <w:hideMark/>
          </w:tcPr>
          <w:p w14:paraId="29A7B3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1AE6F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moich działek nr 637, 638, 655/1  utrudnia to możliwość nowej zabudowy. </w:t>
            </w:r>
          </w:p>
        </w:tc>
        <w:tc>
          <w:tcPr>
            <w:tcW w:w="3377" w:type="dxa"/>
            <w:shd w:val="clear" w:color="auto" w:fill="auto"/>
            <w:hideMark/>
          </w:tcPr>
          <w:p w14:paraId="3C010A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EF28D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A2DD1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ACA6B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9549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D15177F" w14:textId="77777777" w:rsidTr="00E92AE6">
        <w:trPr>
          <w:trHeight w:val="454"/>
        </w:trPr>
        <w:tc>
          <w:tcPr>
            <w:tcW w:w="562" w:type="dxa"/>
            <w:shd w:val="clear" w:color="auto" w:fill="auto"/>
            <w:hideMark/>
          </w:tcPr>
          <w:p w14:paraId="0F35CA0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117</w:t>
            </w:r>
          </w:p>
        </w:tc>
        <w:tc>
          <w:tcPr>
            <w:tcW w:w="1021" w:type="dxa"/>
          </w:tcPr>
          <w:p w14:paraId="12492C5F" w14:textId="78CFA35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522722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25C92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Kluczowe zastrzeżenia do wykazu odstępstw w ramach IIaPGW.</w:t>
            </w:r>
            <w:r w:rsidRPr="005E78BB">
              <w:rPr>
                <w:rFonts w:ascii="Calibri" w:eastAsia="Times New Roman" w:hAnsi="Calibri" w:cs="Calibri"/>
                <w:color w:val="000000"/>
                <w:sz w:val="18"/>
                <w:szCs w:val="18"/>
                <w:lang w:eastAsia="pl-PL"/>
              </w:rPr>
              <w:br/>
              <w:t xml:space="preserve">Uwagi do inwestycji w załączniku: „Zal_6_WykazInwDzialan_OD_Wisla” </w:t>
            </w:r>
            <w:r w:rsidRPr="005E78BB">
              <w:rPr>
                <w:rFonts w:ascii="Calibri" w:eastAsia="Times New Roman" w:hAnsi="Calibri" w:cs="Calibri"/>
                <w:color w:val="000000"/>
                <w:sz w:val="18"/>
                <w:szCs w:val="18"/>
                <w:lang w:eastAsia="pl-PL"/>
              </w:rPr>
              <w:br/>
              <w:t xml:space="preserve">pod numerem ID:  N_2_W </w:t>
            </w:r>
            <w:r w:rsidRPr="005E78BB">
              <w:rPr>
                <w:rFonts w:ascii="Calibri" w:eastAsia="Times New Roman" w:hAnsi="Calibri" w:cs="Calibri"/>
                <w:color w:val="000000"/>
                <w:sz w:val="18"/>
                <w:szCs w:val="18"/>
                <w:lang w:eastAsia="pl-PL"/>
              </w:rPr>
              <w:br/>
              <w:t>pod nazwą : „Przeciwdziałanie skutkom suszy na obszarze dorzeczy (Stop Suszy) poprzez budowę zbiornika wodnego w km 39+120 rzeki Dunajec, zapory powłokowej piętrzącej wodę powierzchniową w zbiorniku wodnym, przepławki dla ryb, śluzy dla przeprawy kajaków, linii przesyłowej dla zasilania zapory przeponowej, budowie drogi rowerowej na zaporze powłokowej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Proszę o zwrotne potwierdzenie otrzymania uwagi.</w:t>
            </w:r>
          </w:p>
        </w:tc>
        <w:tc>
          <w:tcPr>
            <w:tcW w:w="3377" w:type="dxa"/>
            <w:shd w:val="clear" w:color="auto" w:fill="auto"/>
            <w:hideMark/>
          </w:tcPr>
          <w:p w14:paraId="745FF7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Wykreślenie przedstawionej inwestycji z wykazu odstępstw w ramach IIaPGW w załączniku: „Zal_6_WykazInwDzialan_OD_Wisla” </w:t>
            </w:r>
          </w:p>
        </w:tc>
        <w:tc>
          <w:tcPr>
            <w:tcW w:w="3401" w:type="dxa"/>
            <w:shd w:val="clear" w:color="auto" w:fill="auto"/>
            <w:hideMark/>
          </w:tcPr>
          <w:p w14:paraId="20AF63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Zakładane korzyści (funkcjonowanie istniejącego ujęcia wód powierzchniowych) i cel inwestycji ( pobór wody na cele komunalne ) mogą być osiągnięte za pomocą innych działań znacznie korzystniejszych z punktu widzenia środowiska naturalnego i dodatkowo przy mniejszych nakładach finansowych niż przedstawiona inwestycja.</w:t>
            </w:r>
            <w:r w:rsidRPr="005E78BB">
              <w:rPr>
                <w:rFonts w:ascii="Calibri" w:eastAsia="Times New Roman" w:hAnsi="Calibri" w:cs="Calibri"/>
                <w:color w:val="000000"/>
                <w:sz w:val="18"/>
                <w:szCs w:val="18"/>
                <w:lang w:eastAsia="pl-PL"/>
              </w:rPr>
              <w:br/>
              <w:t>Nie spełniony jest warunek w art. 68 pkt. 4 - Prawo Wodne</w:t>
            </w:r>
            <w:r w:rsidRPr="005E78BB">
              <w:rPr>
                <w:rFonts w:ascii="Calibri" w:eastAsia="Times New Roman" w:hAnsi="Calibri" w:cs="Calibri"/>
                <w:color w:val="000000"/>
                <w:sz w:val="18"/>
                <w:szCs w:val="18"/>
                <w:lang w:eastAsia="pl-PL"/>
              </w:rPr>
              <w:br/>
              <w:t>Zgromadzona dokumentacja ( o wydanie decyzji środowiskowej ) nie potwierdza niezbędności realizacji przedmiotowej inwestycji</w:t>
            </w:r>
            <w:r w:rsidRPr="005E78BB">
              <w:rPr>
                <w:rFonts w:ascii="Calibri" w:eastAsia="Times New Roman" w:hAnsi="Calibri" w:cs="Calibri"/>
                <w:color w:val="000000"/>
                <w:sz w:val="18"/>
                <w:szCs w:val="18"/>
                <w:lang w:eastAsia="pl-PL"/>
              </w:rPr>
              <w:br/>
              <w:t>Nie spełniony jest warunek w art. 68 pkt. 3 - Prawo Wodne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Celem wyjaśnienia opisu inwestycji:</w:t>
            </w:r>
            <w:r w:rsidRPr="005E78BB">
              <w:rPr>
                <w:rFonts w:ascii="Calibri" w:eastAsia="Times New Roman" w:hAnsi="Calibri" w:cs="Calibri"/>
                <w:color w:val="000000"/>
                <w:sz w:val="18"/>
                <w:szCs w:val="18"/>
                <w:lang w:eastAsia="pl-PL"/>
              </w:rPr>
              <w:br/>
              <w:t>Z opisu inwestycji w aPGW z 2016 a oraz z IIaPGW może błędnie wynikać że opisana inwestycja jest zlokalizowana w miejscu bieżącego progu ( „Rodzaj inwestycji - rozbiórka istniejącego piętrzenia oraz budowa nowego piętrzenia, budowa przepławki, przebudowa ujęcia wody, budowa małej elektrowni wodnej )</w:t>
            </w:r>
            <w:r w:rsidRPr="005E78BB">
              <w:rPr>
                <w:rFonts w:ascii="Calibri" w:eastAsia="Times New Roman" w:hAnsi="Calibri" w:cs="Calibri"/>
                <w:color w:val="000000"/>
                <w:sz w:val="18"/>
                <w:szCs w:val="18"/>
                <w:lang w:eastAsia="pl-PL"/>
              </w:rPr>
              <w:br/>
              <w:t>W rzeczywistości przedmiotowa inwestycja polega na realizacji nowego piętrzenia ok. 2 km poniżej obecnego ujęcia.</w:t>
            </w:r>
            <w:r w:rsidRPr="005E78BB">
              <w:rPr>
                <w:rFonts w:ascii="Calibri" w:eastAsia="Times New Roman" w:hAnsi="Calibri" w:cs="Calibri"/>
                <w:color w:val="000000"/>
                <w:sz w:val="18"/>
                <w:szCs w:val="18"/>
                <w:lang w:eastAsia="pl-PL"/>
              </w:rPr>
              <w:br/>
              <w:t>Dodatkowo inwestycja nie obejmuje rozbiórkę istniejącego progu ( w m. Łukanowice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Nasze zastrzeżenia do omawianej inwestycji tj.:</w:t>
            </w:r>
            <w:r w:rsidRPr="005E78BB">
              <w:rPr>
                <w:rFonts w:ascii="Calibri" w:eastAsia="Times New Roman" w:hAnsi="Calibri" w:cs="Calibri"/>
                <w:color w:val="000000"/>
                <w:sz w:val="18"/>
                <w:szCs w:val="18"/>
                <w:lang w:eastAsia="pl-PL"/>
              </w:rPr>
              <w:br/>
              <w:t>- nierzetelna analiza wariantowa,</w:t>
            </w:r>
            <w:r w:rsidRPr="005E78BB">
              <w:rPr>
                <w:rFonts w:ascii="Calibri" w:eastAsia="Times New Roman" w:hAnsi="Calibri" w:cs="Calibri"/>
                <w:color w:val="000000"/>
                <w:sz w:val="18"/>
                <w:szCs w:val="18"/>
                <w:lang w:eastAsia="pl-PL"/>
              </w:rPr>
              <w:br/>
              <w:t>- brak przedstawienia korzystniejszych wariantów z punktu widzenia środowiska naturalnego,</w:t>
            </w:r>
            <w:r w:rsidRPr="005E78BB">
              <w:rPr>
                <w:rFonts w:ascii="Calibri" w:eastAsia="Times New Roman" w:hAnsi="Calibri" w:cs="Calibri"/>
                <w:color w:val="000000"/>
                <w:sz w:val="18"/>
                <w:szCs w:val="18"/>
                <w:lang w:eastAsia="pl-PL"/>
              </w:rPr>
              <w:br/>
              <w:t>- nierzetelna analiza konieczności realizacji inwestycji ze względu na nadrzędny interes społeczny,</w:t>
            </w:r>
            <w:r w:rsidRPr="005E78BB">
              <w:rPr>
                <w:rFonts w:ascii="Calibri" w:eastAsia="Times New Roman" w:hAnsi="Calibri" w:cs="Calibri"/>
                <w:color w:val="000000"/>
                <w:sz w:val="18"/>
                <w:szCs w:val="18"/>
                <w:lang w:eastAsia="pl-PL"/>
              </w:rPr>
              <w:br/>
              <w:t xml:space="preserve">zostały bardzo szczegółowo opisane w obszernym postanowieniu RDOŚ-iu w Krakowie z dnia 28 lutego 2019 roku ( OO.4242.142.2012.BM ) który postanowił odmówić uzgodnienia w zakresie ochrony środowiska przed wydaniem decyzji o środowiskowych uwarunkowaniach przedsiewdziecia. </w:t>
            </w:r>
            <w:r w:rsidRPr="005E78BB">
              <w:rPr>
                <w:rFonts w:ascii="Calibri" w:eastAsia="Times New Roman" w:hAnsi="Calibri" w:cs="Calibri"/>
                <w:color w:val="000000"/>
                <w:sz w:val="18"/>
                <w:szCs w:val="18"/>
                <w:lang w:eastAsia="pl-PL"/>
              </w:rPr>
              <w:br/>
              <w:t xml:space="preserve">( postanowienie przesyłamy w załączniku ), nadmieniamy że w tym postanowieniu RDOŚ w Krakowie potwierdza nasze zastrzeżenia do omawianej inwestycji, dodatkowo przeprowadza analizę przesłanek o których mowa w art. 34 ustawy z dnia  16 kwietnia 2004 o ochronie </w:t>
            </w:r>
            <w:r w:rsidRPr="005E78BB">
              <w:rPr>
                <w:rFonts w:ascii="Calibri" w:eastAsia="Times New Roman" w:hAnsi="Calibri" w:cs="Calibri"/>
                <w:color w:val="000000"/>
                <w:sz w:val="18"/>
                <w:szCs w:val="18"/>
                <w:lang w:eastAsia="pl-PL"/>
              </w:rPr>
              <w:lastRenderedPageBreak/>
              <w:t xml:space="preserve">przyrody.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Chcemy zwrócić uwagę że inwestor poszerzył zakres inwestycji względem aPGW z 2016 roku o „Przeciwdziałanie skutkom suszy na obszarze dorzeczy (Stop Suszy)” , RDOŚ w Krakowie pismem z dnia 6 marca 2020 podtrzymał swoje stanowisko z dnia 28 lutego 2019 roku. Jest to najnowsze postanowienie RDOS-iu w przedmiotowej tej sprawie ( scan pisma w załączniku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Dodatkowo przesyłamy pismo RZGW w Krakowie z dnia 18 listopada 2019 roku ( KR.RPU.436.18.2019.KM ) z uwagami w sprawie przedmiotowej inwestycji oraz opinii jej znaczenia dla przeciwdziałaniu Stop Suszy ( scany pisma w załączniku )</w:t>
            </w:r>
            <w:r w:rsidRPr="005E78BB">
              <w:rPr>
                <w:rFonts w:ascii="Calibri" w:eastAsia="Times New Roman" w:hAnsi="Calibri" w:cs="Calibri"/>
                <w:color w:val="000000"/>
                <w:sz w:val="18"/>
                <w:szCs w:val="18"/>
                <w:lang w:eastAsia="pl-PL"/>
              </w:rPr>
              <w:br/>
              <w:t>Ponadto Informujemy że opisana inwestycja według naszej wiedzy nie została ujęta w rozporządzeniu z dnia 3 września 2021 w sprawie przyjęcia planu przeciwdziałania skutkom suszy.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Obecny status inwestycji to postępowanie w sprawie wydania decyzji o środowiskowych uwarunkowaniach, ze względu na działania inwestora zmierzajcie do wydłużenie postępowania nie można na obecną chwile określić kiedy będzie etap zakończenia zbierania materiału oraz kiedy będzie wydana decyzja środowiskowa.</w:t>
            </w:r>
          </w:p>
        </w:tc>
        <w:tc>
          <w:tcPr>
            <w:tcW w:w="1918" w:type="dxa"/>
            <w:shd w:val="clear" w:color="auto" w:fill="auto"/>
            <w:hideMark/>
          </w:tcPr>
          <w:p w14:paraId="03824F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117_PZW_Tarnów_Wisła</w:t>
            </w:r>
          </w:p>
        </w:tc>
        <w:tc>
          <w:tcPr>
            <w:tcW w:w="1276" w:type="dxa"/>
            <w:shd w:val="clear" w:color="auto" w:fill="auto"/>
            <w:hideMark/>
          </w:tcPr>
          <w:p w14:paraId="392C09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66854F" w14:textId="2FF76B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286BD6E5" w14:textId="77777777" w:rsidTr="00E92AE6">
        <w:trPr>
          <w:trHeight w:val="454"/>
        </w:trPr>
        <w:tc>
          <w:tcPr>
            <w:tcW w:w="562" w:type="dxa"/>
            <w:shd w:val="clear" w:color="auto" w:fill="auto"/>
            <w:hideMark/>
          </w:tcPr>
          <w:p w14:paraId="4D3316E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118</w:t>
            </w:r>
          </w:p>
        </w:tc>
        <w:tc>
          <w:tcPr>
            <w:tcW w:w="1021" w:type="dxa"/>
          </w:tcPr>
          <w:p w14:paraId="291472B2" w14:textId="50B97A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Wiesław Latoś</w:t>
            </w:r>
          </w:p>
        </w:tc>
        <w:tc>
          <w:tcPr>
            <w:tcW w:w="1630" w:type="dxa"/>
            <w:shd w:val="clear" w:color="auto" w:fill="auto"/>
            <w:hideMark/>
          </w:tcPr>
          <w:p w14:paraId="53DFDE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6F95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595/1  położonej w miejscowości Długołęka utrudnia to możliwość nowej zabudowy. </w:t>
            </w:r>
          </w:p>
        </w:tc>
        <w:tc>
          <w:tcPr>
            <w:tcW w:w="3377" w:type="dxa"/>
            <w:shd w:val="clear" w:color="auto" w:fill="auto"/>
            <w:hideMark/>
          </w:tcPr>
          <w:p w14:paraId="29C64D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37923B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013CE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2DA2E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7490C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ich aktualizacji.</w:t>
            </w:r>
          </w:p>
        </w:tc>
      </w:tr>
      <w:tr w:rsidR="0085319C" w:rsidRPr="005E78BB" w14:paraId="40BD1324" w14:textId="77777777" w:rsidTr="00E92AE6">
        <w:trPr>
          <w:trHeight w:val="454"/>
        </w:trPr>
        <w:tc>
          <w:tcPr>
            <w:tcW w:w="562" w:type="dxa"/>
            <w:shd w:val="clear" w:color="auto" w:fill="auto"/>
            <w:hideMark/>
          </w:tcPr>
          <w:p w14:paraId="4C1FDCA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119</w:t>
            </w:r>
          </w:p>
        </w:tc>
        <w:tc>
          <w:tcPr>
            <w:tcW w:w="1021" w:type="dxa"/>
          </w:tcPr>
          <w:p w14:paraId="3A589BE9" w14:textId="76996D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Latoś</w:t>
            </w:r>
          </w:p>
        </w:tc>
        <w:tc>
          <w:tcPr>
            <w:tcW w:w="1630" w:type="dxa"/>
            <w:shd w:val="clear" w:color="auto" w:fill="auto"/>
            <w:hideMark/>
          </w:tcPr>
          <w:p w14:paraId="1B832C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24357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stref zalewowych z terenu mojej działki nr 595/2  położonej w miejscowości Długołęka utrudnia to możliwość nowej zabudowy. </w:t>
            </w:r>
          </w:p>
        </w:tc>
        <w:tc>
          <w:tcPr>
            <w:tcW w:w="3377" w:type="dxa"/>
            <w:shd w:val="clear" w:color="auto" w:fill="auto"/>
            <w:hideMark/>
          </w:tcPr>
          <w:p w14:paraId="3C78F6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078F71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50F70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C5D4E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A2F5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04E75F10" w14:textId="77777777" w:rsidTr="00E92AE6">
        <w:trPr>
          <w:trHeight w:val="454"/>
        </w:trPr>
        <w:tc>
          <w:tcPr>
            <w:tcW w:w="562" w:type="dxa"/>
            <w:shd w:val="clear" w:color="auto" w:fill="auto"/>
            <w:hideMark/>
          </w:tcPr>
          <w:p w14:paraId="309419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120</w:t>
            </w:r>
          </w:p>
        </w:tc>
        <w:tc>
          <w:tcPr>
            <w:tcW w:w="1021" w:type="dxa"/>
          </w:tcPr>
          <w:p w14:paraId="71C32B84" w14:textId="7706D3C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Krzysztof Okoń</w:t>
            </w:r>
          </w:p>
        </w:tc>
        <w:tc>
          <w:tcPr>
            <w:tcW w:w="1630" w:type="dxa"/>
            <w:shd w:val="clear" w:color="auto" w:fill="auto"/>
            <w:hideMark/>
          </w:tcPr>
          <w:p w14:paraId="15E38E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5D9FA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Uwaga: Proszę o zniesienie stref zalewowych z terenu mojej działki nr 479  położonej w miejscowości Długołęka utrudnia to możliwość nowej zabudowy. </w:t>
            </w:r>
          </w:p>
        </w:tc>
        <w:tc>
          <w:tcPr>
            <w:tcW w:w="3377" w:type="dxa"/>
            <w:shd w:val="clear" w:color="auto" w:fill="auto"/>
            <w:hideMark/>
          </w:tcPr>
          <w:p w14:paraId="267D22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29A938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BF68E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CB4BC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CA6C5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0B0181F" w14:textId="77777777" w:rsidTr="00E92AE6">
        <w:trPr>
          <w:trHeight w:val="454"/>
        </w:trPr>
        <w:tc>
          <w:tcPr>
            <w:tcW w:w="562" w:type="dxa"/>
            <w:shd w:val="clear" w:color="auto" w:fill="auto"/>
            <w:hideMark/>
          </w:tcPr>
          <w:p w14:paraId="3B36AB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121</w:t>
            </w:r>
          </w:p>
        </w:tc>
        <w:tc>
          <w:tcPr>
            <w:tcW w:w="1021" w:type="dxa"/>
          </w:tcPr>
          <w:p w14:paraId="5298B06A" w14:textId="5BF808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Wiesław Sudół</w:t>
            </w:r>
          </w:p>
        </w:tc>
        <w:tc>
          <w:tcPr>
            <w:tcW w:w="1630" w:type="dxa"/>
            <w:shd w:val="clear" w:color="auto" w:fill="auto"/>
            <w:hideMark/>
          </w:tcPr>
          <w:p w14:paraId="7CC3CB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E5C21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Proszę o zniesienie z terenu mojej działki nr 374 położonej w miejscowości Długołęka stref zalewowych utrudnia to możliwość nowej zabudowy </w:t>
            </w:r>
          </w:p>
        </w:tc>
        <w:tc>
          <w:tcPr>
            <w:tcW w:w="3377" w:type="dxa"/>
            <w:shd w:val="clear" w:color="auto" w:fill="auto"/>
            <w:hideMark/>
          </w:tcPr>
          <w:p w14:paraId="2F7240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4D1A7C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1918" w:type="dxa"/>
            <w:shd w:val="clear" w:color="auto" w:fill="auto"/>
            <w:hideMark/>
          </w:tcPr>
          <w:p w14:paraId="0C32BD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1A49E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36339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25E7969D" w14:textId="77777777" w:rsidTr="00E92AE6">
        <w:trPr>
          <w:trHeight w:val="454"/>
        </w:trPr>
        <w:tc>
          <w:tcPr>
            <w:tcW w:w="562" w:type="dxa"/>
            <w:shd w:val="clear" w:color="auto" w:fill="auto"/>
            <w:hideMark/>
          </w:tcPr>
          <w:p w14:paraId="3E9A3DB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122</w:t>
            </w:r>
          </w:p>
        </w:tc>
        <w:tc>
          <w:tcPr>
            <w:tcW w:w="1021" w:type="dxa"/>
          </w:tcPr>
          <w:p w14:paraId="1D1C3A4F" w14:textId="5574D7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Grzegorz Okoń</w:t>
            </w:r>
          </w:p>
        </w:tc>
        <w:tc>
          <w:tcPr>
            <w:tcW w:w="1630" w:type="dxa"/>
            <w:shd w:val="clear" w:color="auto" w:fill="auto"/>
            <w:hideMark/>
          </w:tcPr>
          <w:p w14:paraId="5E3268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E630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Wnoszę o zniesienie stref zalewowych z terenu mojej działki nr 424 położonej w miejscowości Długołęka z powodu utrudnienia nam warunków życia i możliwość nowej zabudowy </w:t>
            </w:r>
          </w:p>
        </w:tc>
        <w:tc>
          <w:tcPr>
            <w:tcW w:w="3377" w:type="dxa"/>
            <w:shd w:val="clear" w:color="auto" w:fill="auto"/>
            <w:hideMark/>
          </w:tcPr>
          <w:p w14:paraId="6FF0C9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Wystarczy zadbać o pogłębienie i regulację koryta rzeki Wisły umocnienie brzegów Wisły i oczyszczenie zadrzewień pomoże to na dodatkową powierzchnię na wezbranie wody.</w:t>
            </w:r>
          </w:p>
        </w:tc>
        <w:tc>
          <w:tcPr>
            <w:tcW w:w="3401" w:type="dxa"/>
            <w:shd w:val="clear" w:color="auto" w:fill="auto"/>
            <w:hideMark/>
          </w:tcPr>
          <w:p w14:paraId="036B0F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Rzeka Wisła jest zaniedbana, koryto nie wiadomo gdzie jest, brzegi Wisły coraz dalej się obrywają. Nikt nie czyści rowów dopływających do Wisły. Proponuje zadbać o regulacje i pogłębienie Wisły. </w:t>
            </w:r>
          </w:p>
        </w:tc>
        <w:tc>
          <w:tcPr>
            <w:tcW w:w="1918" w:type="dxa"/>
            <w:shd w:val="clear" w:color="auto" w:fill="auto"/>
            <w:hideMark/>
          </w:tcPr>
          <w:p w14:paraId="3D4B97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800E9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0B2D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149419E" w14:textId="77777777" w:rsidTr="00E92AE6">
        <w:trPr>
          <w:trHeight w:val="454"/>
        </w:trPr>
        <w:tc>
          <w:tcPr>
            <w:tcW w:w="562" w:type="dxa"/>
            <w:shd w:val="clear" w:color="auto" w:fill="auto"/>
            <w:hideMark/>
          </w:tcPr>
          <w:p w14:paraId="4089D9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123</w:t>
            </w:r>
          </w:p>
        </w:tc>
        <w:tc>
          <w:tcPr>
            <w:tcW w:w="1021" w:type="dxa"/>
          </w:tcPr>
          <w:p w14:paraId="0F10A08D" w14:textId="7E8073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Marek Żołnowski</w:t>
            </w:r>
          </w:p>
        </w:tc>
        <w:tc>
          <w:tcPr>
            <w:tcW w:w="1630" w:type="dxa"/>
            <w:shd w:val="clear" w:color="auto" w:fill="auto"/>
            <w:hideMark/>
          </w:tcPr>
          <w:p w14:paraId="2A0BCA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15848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Wnoszę o zniesienie stref zalewowych z terenu mojej działki nr 480 położonej w miejscowości Długołęka utrudnienia to możliwość nowej zabudowy </w:t>
            </w:r>
          </w:p>
        </w:tc>
        <w:tc>
          <w:tcPr>
            <w:tcW w:w="3377" w:type="dxa"/>
            <w:shd w:val="clear" w:color="auto" w:fill="auto"/>
            <w:hideMark/>
          </w:tcPr>
          <w:p w14:paraId="52D62E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pogłębienie i regulację koryta rzeki Wisły oraz wyczyszczenie zadrzewień co da dodatkową powierzchnię na wezbranie wody powodziowe.</w:t>
            </w:r>
          </w:p>
        </w:tc>
        <w:tc>
          <w:tcPr>
            <w:tcW w:w="3401" w:type="dxa"/>
            <w:shd w:val="clear" w:color="auto" w:fill="auto"/>
            <w:hideMark/>
          </w:tcPr>
          <w:p w14:paraId="7DC204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73CC1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0DCA7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C02C4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CAE0C3D" w14:textId="77777777" w:rsidTr="00E92AE6">
        <w:trPr>
          <w:trHeight w:val="454"/>
        </w:trPr>
        <w:tc>
          <w:tcPr>
            <w:tcW w:w="562" w:type="dxa"/>
            <w:shd w:val="clear" w:color="auto" w:fill="auto"/>
            <w:hideMark/>
          </w:tcPr>
          <w:p w14:paraId="4267009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124</w:t>
            </w:r>
          </w:p>
        </w:tc>
        <w:tc>
          <w:tcPr>
            <w:tcW w:w="1021" w:type="dxa"/>
          </w:tcPr>
          <w:p w14:paraId="74A47961" w14:textId="20D840A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Arkadiusz Matusak </w:t>
            </w:r>
          </w:p>
        </w:tc>
        <w:tc>
          <w:tcPr>
            <w:tcW w:w="1630" w:type="dxa"/>
            <w:shd w:val="clear" w:color="auto" w:fill="auto"/>
            <w:hideMark/>
          </w:tcPr>
          <w:p w14:paraId="4E2725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E278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Wnoszę o zniesienie stref zalewowych z terenu mojej działki nr 403 położonej w miejscowości Długołęka utrudnienia to możliwość nowej zabudowy </w:t>
            </w:r>
          </w:p>
        </w:tc>
        <w:tc>
          <w:tcPr>
            <w:tcW w:w="3377" w:type="dxa"/>
            <w:shd w:val="clear" w:color="auto" w:fill="auto"/>
            <w:hideMark/>
          </w:tcPr>
          <w:p w14:paraId="612CFB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zadbać o infrastrukturę przeciwpodziową pogłębienie i regulację koryta rzeki Wisły oraz wyczyszczenie zadrzewień co ułatwi przepływ wody i da dodatkową powierzchnię na wezbranie wody powodziowe.</w:t>
            </w:r>
          </w:p>
        </w:tc>
        <w:tc>
          <w:tcPr>
            <w:tcW w:w="3401" w:type="dxa"/>
            <w:shd w:val="clear" w:color="auto" w:fill="auto"/>
            <w:hideMark/>
          </w:tcPr>
          <w:p w14:paraId="15C6E6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A72D8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2EF72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F5BF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5718344" w14:textId="77777777" w:rsidTr="00E92AE6">
        <w:trPr>
          <w:trHeight w:val="454"/>
        </w:trPr>
        <w:tc>
          <w:tcPr>
            <w:tcW w:w="562" w:type="dxa"/>
            <w:shd w:val="clear" w:color="auto" w:fill="auto"/>
            <w:hideMark/>
          </w:tcPr>
          <w:p w14:paraId="3C186FC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125</w:t>
            </w:r>
          </w:p>
        </w:tc>
        <w:tc>
          <w:tcPr>
            <w:tcW w:w="1021" w:type="dxa"/>
          </w:tcPr>
          <w:p w14:paraId="530970F0" w14:textId="2335722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Zdzisława Wiatr</w:t>
            </w:r>
          </w:p>
        </w:tc>
        <w:tc>
          <w:tcPr>
            <w:tcW w:w="1630" w:type="dxa"/>
            <w:shd w:val="clear" w:color="auto" w:fill="auto"/>
            <w:hideMark/>
          </w:tcPr>
          <w:p w14:paraId="7F7554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342FC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oraz moje działki nr 397/1, 397/2, 162, 396, 398 wnoszę o ich zniesienie, ponieważ, nie będzie można rozwijać swojego gospodarstwa oraz się rozbudowywać. </w:t>
            </w:r>
          </w:p>
        </w:tc>
        <w:tc>
          <w:tcPr>
            <w:tcW w:w="3377" w:type="dxa"/>
            <w:shd w:val="clear" w:color="auto" w:fill="auto"/>
            <w:hideMark/>
          </w:tcPr>
          <w:p w14:paraId="4BD939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Wody polskie powinny zająć się uregulowaniem dorzecza Wisły i dbanie o stan wałów.</w:t>
            </w:r>
          </w:p>
        </w:tc>
        <w:tc>
          <w:tcPr>
            <w:tcW w:w="3401" w:type="dxa"/>
            <w:shd w:val="clear" w:color="auto" w:fill="auto"/>
            <w:hideMark/>
          </w:tcPr>
          <w:p w14:paraId="6781E3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Niekorzystne decyzje spowodują, że gospodarstwa stracą na wartości. </w:t>
            </w:r>
          </w:p>
        </w:tc>
        <w:tc>
          <w:tcPr>
            <w:tcW w:w="1918" w:type="dxa"/>
            <w:shd w:val="clear" w:color="auto" w:fill="auto"/>
            <w:hideMark/>
          </w:tcPr>
          <w:p w14:paraId="7CFD2E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7FCF0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A4C6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ich aktualizacji.</w:t>
            </w:r>
          </w:p>
        </w:tc>
      </w:tr>
      <w:tr w:rsidR="0085319C" w:rsidRPr="005E78BB" w14:paraId="24B29C89" w14:textId="77777777" w:rsidTr="00E92AE6">
        <w:trPr>
          <w:trHeight w:val="454"/>
        </w:trPr>
        <w:tc>
          <w:tcPr>
            <w:tcW w:w="562" w:type="dxa"/>
            <w:shd w:val="clear" w:color="auto" w:fill="auto"/>
            <w:hideMark/>
          </w:tcPr>
          <w:p w14:paraId="3EC58E8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126</w:t>
            </w:r>
          </w:p>
        </w:tc>
        <w:tc>
          <w:tcPr>
            <w:tcW w:w="1021" w:type="dxa"/>
          </w:tcPr>
          <w:p w14:paraId="77A33BC9" w14:textId="546A1FE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Anna Mikus</w:t>
            </w:r>
          </w:p>
        </w:tc>
        <w:tc>
          <w:tcPr>
            <w:tcW w:w="1630" w:type="dxa"/>
            <w:shd w:val="clear" w:color="auto" w:fill="auto"/>
            <w:hideMark/>
          </w:tcPr>
          <w:p w14:paraId="5B1BF1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A1767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w tym moje działki nr 501, 26/1, 387/1, 387/2 wnoszę o ich zniesienie, ponieważ, nie będzie można rozwijać swojego gospodarstwa oraz się rozbudowywać. </w:t>
            </w:r>
          </w:p>
        </w:tc>
        <w:tc>
          <w:tcPr>
            <w:tcW w:w="3377" w:type="dxa"/>
            <w:shd w:val="clear" w:color="auto" w:fill="auto"/>
            <w:hideMark/>
          </w:tcPr>
          <w:p w14:paraId="4EF66E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Uważam, że Wody Polskie zorganizować prace związaną z uregulowaniem dorzecza Wisły wyczyszczeniem i przecinką krzewów.</w:t>
            </w:r>
          </w:p>
        </w:tc>
        <w:tc>
          <w:tcPr>
            <w:tcW w:w="3401" w:type="dxa"/>
            <w:shd w:val="clear" w:color="auto" w:fill="auto"/>
            <w:hideMark/>
          </w:tcPr>
          <w:p w14:paraId="5EF834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Jeżeli zostaną podjęte decyzje z zakazem budowy to wtedy zawsze gospodarstwa oraz działki stracą na wartości i zniechęci to młodzież do pozostania na wsi i rozwijania się. </w:t>
            </w:r>
          </w:p>
        </w:tc>
        <w:tc>
          <w:tcPr>
            <w:tcW w:w="1918" w:type="dxa"/>
            <w:shd w:val="clear" w:color="auto" w:fill="auto"/>
            <w:hideMark/>
          </w:tcPr>
          <w:p w14:paraId="730117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0BF2C0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AC9A4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ich aktualizacji.</w:t>
            </w:r>
          </w:p>
        </w:tc>
      </w:tr>
      <w:tr w:rsidR="0085319C" w:rsidRPr="005E78BB" w14:paraId="52FE91F1" w14:textId="77777777" w:rsidTr="00E92AE6">
        <w:trPr>
          <w:trHeight w:val="454"/>
        </w:trPr>
        <w:tc>
          <w:tcPr>
            <w:tcW w:w="562" w:type="dxa"/>
            <w:shd w:val="clear" w:color="auto" w:fill="auto"/>
            <w:hideMark/>
          </w:tcPr>
          <w:p w14:paraId="732C023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127</w:t>
            </w:r>
          </w:p>
        </w:tc>
        <w:tc>
          <w:tcPr>
            <w:tcW w:w="1021" w:type="dxa"/>
          </w:tcPr>
          <w:p w14:paraId="56685A02" w14:textId="0657E9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Andrzej Jęczeń</w:t>
            </w:r>
          </w:p>
        </w:tc>
        <w:tc>
          <w:tcPr>
            <w:tcW w:w="1630" w:type="dxa"/>
            <w:shd w:val="clear" w:color="auto" w:fill="auto"/>
            <w:hideMark/>
          </w:tcPr>
          <w:p w14:paraId="030C89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2F580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oraz moje działki nr 427, 426, 425/1, 385/3, 79/2, 80 wnoszę o ich zniesienie, ponieważ, nie będzie można rozwijać swojego gospodarstwa oraz się rozbudowywać. </w:t>
            </w:r>
          </w:p>
        </w:tc>
        <w:tc>
          <w:tcPr>
            <w:tcW w:w="3377" w:type="dxa"/>
            <w:shd w:val="clear" w:color="auto" w:fill="auto"/>
            <w:hideMark/>
          </w:tcPr>
          <w:p w14:paraId="6F5502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Trzeba uregulować dorzecze Wisły powycinać drzewa i krzewy pomiędzy wałami, udrożnić rowy, zrobić przepusty.</w:t>
            </w:r>
          </w:p>
        </w:tc>
        <w:tc>
          <w:tcPr>
            <w:tcW w:w="3401" w:type="dxa"/>
            <w:shd w:val="clear" w:color="auto" w:fill="auto"/>
            <w:hideMark/>
          </w:tcPr>
          <w:p w14:paraId="2B5285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Gospodarstwa stracą na wartości a także zniechęci to obecnych i przyszłych mieszkańców do pozostania w dotychczasowym miejscu zamieszkania, dlatego trzeba dążyć do zmian tych planów. </w:t>
            </w:r>
          </w:p>
        </w:tc>
        <w:tc>
          <w:tcPr>
            <w:tcW w:w="1918" w:type="dxa"/>
            <w:shd w:val="clear" w:color="auto" w:fill="auto"/>
            <w:hideMark/>
          </w:tcPr>
          <w:p w14:paraId="17E97C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3501C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36273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ich aktualizacji.</w:t>
            </w:r>
          </w:p>
        </w:tc>
      </w:tr>
      <w:tr w:rsidR="0085319C" w:rsidRPr="005E78BB" w14:paraId="79BDD045" w14:textId="77777777" w:rsidTr="00E92AE6">
        <w:trPr>
          <w:trHeight w:val="454"/>
        </w:trPr>
        <w:tc>
          <w:tcPr>
            <w:tcW w:w="562" w:type="dxa"/>
            <w:shd w:val="clear" w:color="auto" w:fill="auto"/>
            <w:hideMark/>
          </w:tcPr>
          <w:p w14:paraId="0B31AF8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128</w:t>
            </w:r>
          </w:p>
        </w:tc>
        <w:tc>
          <w:tcPr>
            <w:tcW w:w="1021" w:type="dxa"/>
          </w:tcPr>
          <w:p w14:paraId="6CCE0EBF" w14:textId="75AFEB2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Marek Adaś</w:t>
            </w:r>
          </w:p>
        </w:tc>
        <w:tc>
          <w:tcPr>
            <w:tcW w:w="1630" w:type="dxa"/>
            <w:shd w:val="clear" w:color="auto" w:fill="auto"/>
            <w:hideMark/>
          </w:tcPr>
          <w:p w14:paraId="0FC415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06A3F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Działki u numerach 267, 486, 258 zostały uznane za jako zalewowe. Wnoszę o ich zniesienie, ponieważ, nie będzie można rozwijać ani rozbudowywać. </w:t>
            </w:r>
          </w:p>
        </w:tc>
        <w:tc>
          <w:tcPr>
            <w:tcW w:w="3377" w:type="dxa"/>
            <w:shd w:val="clear" w:color="auto" w:fill="auto"/>
            <w:hideMark/>
          </w:tcPr>
          <w:p w14:paraId="371D1A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Wody Polskie powinny zająć się organizacją pracy związanej z uregulowaniem dorzecza Wisły oczyszczeniem krzewów oraz rowów. </w:t>
            </w:r>
          </w:p>
        </w:tc>
        <w:tc>
          <w:tcPr>
            <w:tcW w:w="3401" w:type="dxa"/>
            <w:shd w:val="clear" w:color="auto" w:fill="auto"/>
            <w:hideMark/>
          </w:tcPr>
          <w:p w14:paraId="728786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Jeżeli zostaną podjęte decyzje o zakazie budowy to wtedy nasze gospodarstwa oraz działki stracą na wartości nie będzie chętnych do pozostania na wsi ani ich kupna. </w:t>
            </w:r>
          </w:p>
        </w:tc>
        <w:tc>
          <w:tcPr>
            <w:tcW w:w="1918" w:type="dxa"/>
            <w:shd w:val="clear" w:color="auto" w:fill="auto"/>
            <w:hideMark/>
          </w:tcPr>
          <w:p w14:paraId="54452D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CDD2B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BD306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F3FD0E3" w14:textId="77777777" w:rsidTr="00E92AE6">
        <w:trPr>
          <w:trHeight w:val="454"/>
        </w:trPr>
        <w:tc>
          <w:tcPr>
            <w:tcW w:w="562" w:type="dxa"/>
            <w:shd w:val="clear" w:color="auto" w:fill="auto"/>
            <w:hideMark/>
          </w:tcPr>
          <w:p w14:paraId="01EBD1E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129</w:t>
            </w:r>
          </w:p>
        </w:tc>
        <w:tc>
          <w:tcPr>
            <w:tcW w:w="1021" w:type="dxa"/>
          </w:tcPr>
          <w:p w14:paraId="2745F03E" w14:textId="78DD270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Robert Sławiński</w:t>
            </w:r>
          </w:p>
        </w:tc>
        <w:tc>
          <w:tcPr>
            <w:tcW w:w="1630" w:type="dxa"/>
            <w:shd w:val="clear" w:color="auto" w:fill="auto"/>
            <w:hideMark/>
          </w:tcPr>
          <w:p w14:paraId="22E7EF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6ED48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na których mieszkam wraz z moją działką nr 484 zostały uznane za jako zalewowe. Wnoszę o ich zniesienie, ponieważ, nie będzie można się rozwijać ani rozbudowywać. </w:t>
            </w:r>
          </w:p>
        </w:tc>
        <w:tc>
          <w:tcPr>
            <w:tcW w:w="3377" w:type="dxa"/>
            <w:shd w:val="clear" w:color="auto" w:fill="auto"/>
            <w:hideMark/>
          </w:tcPr>
          <w:p w14:paraId="481435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Wody Polskie powinny zająć się organizacją pracy związanej z uregulowaniem dorzecza Wisły oczyszczeniem krzewów oraz rowów. </w:t>
            </w:r>
          </w:p>
        </w:tc>
        <w:tc>
          <w:tcPr>
            <w:tcW w:w="3401" w:type="dxa"/>
            <w:shd w:val="clear" w:color="auto" w:fill="auto"/>
            <w:hideMark/>
          </w:tcPr>
          <w:p w14:paraId="4A57EA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Jeżeli zostaną podjęte decyzje o zakazie budowy to wtedy nasze gospodarstwa oraz działki stracą na wartości nie będzie chętnych do pozostania na wsi ani ich kupna. </w:t>
            </w:r>
          </w:p>
        </w:tc>
        <w:tc>
          <w:tcPr>
            <w:tcW w:w="1918" w:type="dxa"/>
            <w:shd w:val="clear" w:color="auto" w:fill="auto"/>
            <w:hideMark/>
          </w:tcPr>
          <w:p w14:paraId="29D476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6C0B4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9DC30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8C9CE1E" w14:textId="77777777" w:rsidTr="00E92AE6">
        <w:trPr>
          <w:trHeight w:val="454"/>
        </w:trPr>
        <w:tc>
          <w:tcPr>
            <w:tcW w:w="562" w:type="dxa"/>
            <w:shd w:val="clear" w:color="auto" w:fill="auto"/>
            <w:hideMark/>
          </w:tcPr>
          <w:p w14:paraId="5E3D86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130</w:t>
            </w:r>
          </w:p>
        </w:tc>
        <w:tc>
          <w:tcPr>
            <w:tcW w:w="1021" w:type="dxa"/>
          </w:tcPr>
          <w:p w14:paraId="40024EB6" w14:textId="572F657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Witold Hemel </w:t>
            </w:r>
          </w:p>
        </w:tc>
        <w:tc>
          <w:tcPr>
            <w:tcW w:w="1630" w:type="dxa"/>
            <w:shd w:val="clear" w:color="auto" w:fill="auto"/>
            <w:hideMark/>
          </w:tcPr>
          <w:p w14:paraId="6E5C96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10575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oraz moje działki nr 493, 488/1, 492, 505, 506, 507 zostały uznane za jako zalewowe. Wnoszę o ich zniesienie, ponieważ chcemy  rozwijać nasze gospodarstwa oraz się rozbudowywać. </w:t>
            </w:r>
          </w:p>
        </w:tc>
        <w:tc>
          <w:tcPr>
            <w:tcW w:w="3377" w:type="dxa"/>
            <w:shd w:val="clear" w:color="auto" w:fill="auto"/>
            <w:hideMark/>
          </w:tcPr>
          <w:p w14:paraId="7971E0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Wody Polskie zamiast bawić się w symulację komputerową o falach powodziowych i robić tereny zalewowe na terenach zamieszkałych od wieków, lepiej niech zajmą się terenami pomiędzy wałami gdzie od lat nic nie jest robione.  Rośnie ogromna ilość drzew niczym las. </w:t>
            </w:r>
          </w:p>
        </w:tc>
        <w:tc>
          <w:tcPr>
            <w:tcW w:w="3401" w:type="dxa"/>
            <w:shd w:val="clear" w:color="auto" w:fill="auto"/>
            <w:hideMark/>
          </w:tcPr>
          <w:p w14:paraId="20C2D8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Podjęte decyzje o zakazie budowy nie pozwalają nam ani naszym dzieciom na pozostanie w rodzinnych miejscach na prowadzenie i na unowocześnianie naszych gospodarstw. Jest to nieludzkie, aby Wody Polskie decydowały o naszym dalszym życiu, o tym czy mamy pozostać w naszych rodzinnych miejscowościach. Chcemy aby </w:t>
            </w:r>
            <w:r w:rsidRPr="005E78BB">
              <w:rPr>
                <w:rFonts w:ascii="Calibri" w:eastAsia="Times New Roman" w:hAnsi="Calibri" w:cs="Calibri"/>
                <w:color w:val="000000"/>
                <w:sz w:val="18"/>
                <w:szCs w:val="18"/>
                <w:lang w:eastAsia="pl-PL"/>
              </w:rPr>
              <w:lastRenderedPageBreak/>
              <w:t xml:space="preserve">zostały podjęte inne kroki i inne rozwiązania. </w:t>
            </w:r>
          </w:p>
        </w:tc>
        <w:tc>
          <w:tcPr>
            <w:tcW w:w="1918" w:type="dxa"/>
            <w:shd w:val="clear" w:color="auto" w:fill="auto"/>
            <w:hideMark/>
          </w:tcPr>
          <w:p w14:paraId="6DFA7A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OsFiz_UG_Osiek_Wisła</w:t>
            </w:r>
          </w:p>
        </w:tc>
        <w:tc>
          <w:tcPr>
            <w:tcW w:w="1276" w:type="dxa"/>
            <w:shd w:val="clear" w:color="auto" w:fill="auto"/>
            <w:hideMark/>
          </w:tcPr>
          <w:p w14:paraId="3D30F2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9C36A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C51F6F3" w14:textId="77777777" w:rsidTr="00E92AE6">
        <w:trPr>
          <w:trHeight w:val="454"/>
        </w:trPr>
        <w:tc>
          <w:tcPr>
            <w:tcW w:w="562" w:type="dxa"/>
            <w:shd w:val="clear" w:color="auto" w:fill="auto"/>
            <w:hideMark/>
          </w:tcPr>
          <w:p w14:paraId="70F545F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131</w:t>
            </w:r>
          </w:p>
        </w:tc>
        <w:tc>
          <w:tcPr>
            <w:tcW w:w="1021" w:type="dxa"/>
          </w:tcPr>
          <w:p w14:paraId="163C98BD" w14:textId="5053DD3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Joanna Chyla</w:t>
            </w:r>
          </w:p>
        </w:tc>
        <w:tc>
          <w:tcPr>
            <w:tcW w:w="1630" w:type="dxa"/>
            <w:shd w:val="clear" w:color="auto" w:fill="auto"/>
            <w:hideMark/>
          </w:tcPr>
          <w:p w14:paraId="2321E2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5F435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oraz moje działki nr 318/1 zostały uznane za jako zalewowe. Wnoszę o ich zniesienie, ponieważ blokuje to nas w   rozwijaniu działalności oraz nie będzie nic wybudować. </w:t>
            </w:r>
          </w:p>
        </w:tc>
        <w:tc>
          <w:tcPr>
            <w:tcW w:w="3377" w:type="dxa"/>
            <w:shd w:val="clear" w:color="auto" w:fill="auto"/>
            <w:hideMark/>
          </w:tcPr>
          <w:p w14:paraId="64C508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Trzeba wyczyścić teren dorzecza Wisły, udrożnić rowy, zrobić przepusty. </w:t>
            </w:r>
          </w:p>
        </w:tc>
        <w:tc>
          <w:tcPr>
            <w:tcW w:w="3401" w:type="dxa"/>
            <w:shd w:val="clear" w:color="auto" w:fill="auto"/>
            <w:hideMark/>
          </w:tcPr>
          <w:p w14:paraId="75E332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Gospodarstwa stracą na wartości, a także zniechęci to obecnych i przyszłych mieszkańców do pozostania w dotychczasowym miejscu zamieszkania. Dlatego ważne jest, aby dążyć do zmiany tych planów. </w:t>
            </w:r>
          </w:p>
        </w:tc>
        <w:tc>
          <w:tcPr>
            <w:tcW w:w="1918" w:type="dxa"/>
            <w:shd w:val="clear" w:color="auto" w:fill="auto"/>
            <w:hideMark/>
          </w:tcPr>
          <w:p w14:paraId="2816F2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36FBF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10733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495824F" w14:textId="77777777" w:rsidTr="00E92AE6">
        <w:trPr>
          <w:trHeight w:val="454"/>
        </w:trPr>
        <w:tc>
          <w:tcPr>
            <w:tcW w:w="562" w:type="dxa"/>
            <w:shd w:val="clear" w:color="auto" w:fill="auto"/>
            <w:hideMark/>
          </w:tcPr>
          <w:p w14:paraId="7F7BA7B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132</w:t>
            </w:r>
          </w:p>
        </w:tc>
        <w:tc>
          <w:tcPr>
            <w:tcW w:w="1021" w:type="dxa"/>
          </w:tcPr>
          <w:p w14:paraId="292CFBF3" w14:textId="3C5B860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Paulina Pogorzelska</w:t>
            </w:r>
          </w:p>
        </w:tc>
        <w:tc>
          <w:tcPr>
            <w:tcW w:w="1630" w:type="dxa"/>
            <w:shd w:val="clear" w:color="auto" w:fill="auto"/>
            <w:hideMark/>
          </w:tcPr>
          <w:p w14:paraId="0D9A02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85735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Uwaga: Tereny które zamieszkuję oraz moje działki nr 390/1, 390/2 zostały uznane za jako zalewowe. Wnoszę o ich zniesienie, ponieważ nie będzie można rozwijać swojego gospodarstwa oraz się rozbudowywać. </w:t>
            </w:r>
          </w:p>
        </w:tc>
        <w:tc>
          <w:tcPr>
            <w:tcW w:w="3377" w:type="dxa"/>
            <w:shd w:val="clear" w:color="auto" w:fill="auto"/>
            <w:hideMark/>
          </w:tcPr>
          <w:p w14:paraId="74A33D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Wody polskie powinny zająć się organizacją pracy związaną z uregulowaniem dorzecza Wisły, wyczyszczenia krzewów.</w:t>
            </w:r>
          </w:p>
        </w:tc>
        <w:tc>
          <w:tcPr>
            <w:tcW w:w="3401" w:type="dxa"/>
            <w:shd w:val="clear" w:color="auto" w:fill="auto"/>
            <w:hideMark/>
          </w:tcPr>
          <w:p w14:paraId="3584FC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będą podjęte decyzje o zakazie budowy, to wtedy nasze gospodarstwa oraz działki stracą swoją wartość, nie będzie chętnych osób do pozostania na nich ani żeby chcieli ich kupić. </w:t>
            </w:r>
          </w:p>
        </w:tc>
        <w:tc>
          <w:tcPr>
            <w:tcW w:w="1918" w:type="dxa"/>
            <w:shd w:val="clear" w:color="auto" w:fill="auto"/>
            <w:hideMark/>
          </w:tcPr>
          <w:p w14:paraId="49E960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91F67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4DBF0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2643E38" w14:textId="77777777" w:rsidTr="00E92AE6">
        <w:trPr>
          <w:trHeight w:val="454"/>
        </w:trPr>
        <w:tc>
          <w:tcPr>
            <w:tcW w:w="562" w:type="dxa"/>
            <w:shd w:val="clear" w:color="auto" w:fill="auto"/>
            <w:hideMark/>
          </w:tcPr>
          <w:p w14:paraId="56B4EB2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133</w:t>
            </w:r>
          </w:p>
        </w:tc>
        <w:tc>
          <w:tcPr>
            <w:tcW w:w="1021" w:type="dxa"/>
          </w:tcPr>
          <w:p w14:paraId="186D5191" w14:textId="1E310F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1C31E4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11221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zakresu działań w ramach IIaPGW, dodatkowe uwagi, uzupełnienie podstawowych informacji dla  budowli w załączniku: „Zal_4_WykazBudowli_ZD_Mod_Wisla_Errata” Numer budowli w załączniku: „Identyfikator budowli w IIaPGW: 6997”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zwrotne potwierdzenie otrzymania uwagi.</w:t>
            </w:r>
          </w:p>
        </w:tc>
        <w:tc>
          <w:tcPr>
            <w:tcW w:w="3377" w:type="dxa"/>
            <w:shd w:val="clear" w:color="auto" w:fill="auto"/>
            <w:hideMark/>
          </w:tcPr>
          <w:p w14:paraId="6FAEEA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Uzupełnienie/zmiana zapisów:</w:t>
            </w:r>
            <w:r w:rsidRPr="005E78BB">
              <w:rPr>
                <w:rFonts w:ascii="Calibri" w:eastAsia="Times New Roman" w:hAnsi="Calibri" w:cs="Calibri"/>
                <w:color w:val="000000"/>
                <w:sz w:val="18"/>
                <w:szCs w:val="18"/>
                <w:lang w:eastAsia="pl-PL"/>
              </w:rPr>
              <w:br w:type="page"/>
              <w:t>Kolumna (G): próg piętrzący Łukanowice ,</w:t>
            </w:r>
            <w:r w:rsidRPr="005E78BB">
              <w:rPr>
                <w:rFonts w:ascii="Calibri" w:eastAsia="Times New Roman" w:hAnsi="Calibri" w:cs="Calibri"/>
                <w:color w:val="000000"/>
                <w:sz w:val="18"/>
                <w:szCs w:val="18"/>
                <w:lang w:eastAsia="pl-PL"/>
              </w:rPr>
              <w:br w:type="page"/>
              <w:t xml:space="preserve">Kolumna (N): pobór wody, </w:t>
            </w:r>
            <w:r w:rsidRPr="005E78BB">
              <w:rPr>
                <w:rFonts w:ascii="Calibri" w:eastAsia="Times New Roman" w:hAnsi="Calibri" w:cs="Calibri"/>
                <w:color w:val="000000"/>
                <w:sz w:val="18"/>
                <w:szCs w:val="18"/>
                <w:lang w:eastAsia="pl-PL"/>
              </w:rPr>
              <w:br w:type="page"/>
              <w:t xml:space="preserve">Kolumna (AI): 2, </w:t>
            </w:r>
            <w:r w:rsidRPr="005E78BB">
              <w:rPr>
                <w:rFonts w:ascii="Calibri" w:eastAsia="Times New Roman" w:hAnsi="Calibri" w:cs="Calibri"/>
                <w:color w:val="000000"/>
                <w:sz w:val="18"/>
                <w:szCs w:val="18"/>
                <w:lang w:eastAsia="pl-PL"/>
              </w:rPr>
              <w:br w:type="page"/>
              <w:t xml:space="preserve">Kolumna (AJ) NIE, </w:t>
            </w:r>
            <w:r w:rsidRPr="005E78BB">
              <w:rPr>
                <w:rFonts w:ascii="Calibri" w:eastAsia="Times New Roman" w:hAnsi="Calibri" w:cs="Calibri"/>
                <w:color w:val="000000"/>
                <w:sz w:val="18"/>
                <w:szCs w:val="18"/>
                <w:lang w:eastAsia="pl-PL"/>
              </w:rPr>
              <w:br w:type="page"/>
              <w:t>Kolumna (AL): nie,</w:t>
            </w:r>
            <w:r w:rsidRPr="005E78BB">
              <w:rPr>
                <w:rFonts w:ascii="Calibri" w:eastAsia="Times New Roman" w:hAnsi="Calibri" w:cs="Calibri"/>
                <w:color w:val="000000"/>
                <w:sz w:val="18"/>
                <w:szCs w:val="18"/>
                <w:lang w:eastAsia="pl-PL"/>
              </w:rPr>
              <w:br w:type="page"/>
              <w:t xml:space="preserve">Kolumna (AP): NIE, </w:t>
            </w:r>
            <w:r w:rsidRPr="005E78BB">
              <w:rPr>
                <w:rFonts w:ascii="Calibri" w:eastAsia="Times New Roman" w:hAnsi="Calibri" w:cs="Calibri"/>
                <w:color w:val="000000"/>
                <w:sz w:val="18"/>
                <w:szCs w:val="18"/>
                <w:lang w:eastAsia="pl-PL"/>
              </w:rPr>
              <w:br w:type="page"/>
              <w:t xml:space="preserve">Kolumna (AQ): NIE, </w:t>
            </w:r>
            <w:r w:rsidRPr="005E78BB">
              <w:rPr>
                <w:rFonts w:ascii="Calibri" w:eastAsia="Times New Roman" w:hAnsi="Calibri" w:cs="Calibri"/>
                <w:color w:val="000000"/>
                <w:sz w:val="18"/>
                <w:szCs w:val="18"/>
                <w:lang w:eastAsia="pl-PL"/>
              </w:rPr>
              <w:br w:type="page"/>
              <w:t xml:space="preserve">Kolumna (AS): Nie jest monitorowana, </w:t>
            </w:r>
            <w:r w:rsidRPr="005E78BB">
              <w:rPr>
                <w:rFonts w:ascii="Calibri" w:eastAsia="Times New Roman" w:hAnsi="Calibri" w:cs="Calibri"/>
                <w:color w:val="000000"/>
                <w:sz w:val="18"/>
                <w:szCs w:val="18"/>
                <w:lang w:eastAsia="pl-PL"/>
              </w:rPr>
              <w:br w:type="page"/>
              <w:t>Kolumna (AV): brak przepławki do migracji ryb,</w:t>
            </w:r>
            <w:r w:rsidRPr="005E78BB">
              <w:rPr>
                <w:rFonts w:ascii="Calibri" w:eastAsia="Times New Roman" w:hAnsi="Calibri" w:cs="Calibri"/>
                <w:color w:val="000000"/>
                <w:sz w:val="18"/>
                <w:szCs w:val="18"/>
                <w:lang w:eastAsia="pl-PL"/>
              </w:rPr>
              <w:br w:type="page"/>
              <w:t>Kolumna (AW): 2,</w:t>
            </w:r>
            <w:r w:rsidRPr="005E78BB">
              <w:rPr>
                <w:rFonts w:ascii="Calibri" w:eastAsia="Times New Roman" w:hAnsi="Calibri" w:cs="Calibri"/>
                <w:color w:val="000000"/>
                <w:sz w:val="18"/>
                <w:szCs w:val="18"/>
                <w:lang w:eastAsia="pl-PL"/>
              </w:rPr>
              <w:br w:type="page"/>
              <w:t>Kolumna (BB): opracowanie wariantowej analizy sposobu udrożnienia budowli piętrzących na odcinku cieku istotnego - Dunajec ze wskazaniem wariantu do realizacji oraz opracowaniem dokumentacji projektowej,</w:t>
            </w:r>
            <w:r w:rsidRPr="005E78BB">
              <w:rPr>
                <w:rFonts w:ascii="Calibri" w:eastAsia="Times New Roman" w:hAnsi="Calibri" w:cs="Calibri"/>
                <w:color w:val="000000"/>
                <w:sz w:val="18"/>
                <w:szCs w:val="18"/>
                <w:lang w:eastAsia="pl-PL"/>
              </w:rPr>
              <w:br w:type="page"/>
              <w:t>Kolumna (BC): realizacja wybranego wariantu udrożnienia odcinka cieku istotnego - Dunajec - działanie inwestycyjne</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45AEF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Próg piętrzący nie jest drożny dla wszystkich gatunków ryb występujących w Dunajcu.</w:t>
            </w:r>
            <w:r w:rsidRPr="005E78BB">
              <w:rPr>
                <w:rFonts w:ascii="Calibri" w:eastAsia="Times New Roman" w:hAnsi="Calibri" w:cs="Calibri"/>
                <w:color w:val="000000"/>
                <w:sz w:val="18"/>
                <w:szCs w:val="18"/>
                <w:lang w:eastAsia="pl-PL"/>
              </w:rPr>
              <w:br w:type="page"/>
              <w:t>Informacja o wysokości piętrzenia-pomiar dokonany w terenie przy średnim niskim przepływie.</w:t>
            </w:r>
            <w:r w:rsidRPr="005E78BB">
              <w:rPr>
                <w:rFonts w:ascii="Calibri" w:eastAsia="Times New Roman" w:hAnsi="Calibri" w:cs="Calibri"/>
                <w:color w:val="000000"/>
                <w:sz w:val="18"/>
                <w:szCs w:val="18"/>
                <w:lang w:eastAsia="pl-PL"/>
              </w:rPr>
              <w:br w:type="page"/>
              <w:t>Pozostałe informacje na temat budowli-na podstawie posiadanej wiedzy na temat obiektu, wizji lokalnej na obiekcie oraz przeprowadzonego studium koncepcyjnego ( w załączniku )</w:t>
            </w:r>
            <w:r w:rsidRPr="005E78BB">
              <w:rPr>
                <w:rFonts w:ascii="Calibri" w:eastAsia="Times New Roman" w:hAnsi="Calibri" w:cs="Calibri"/>
                <w:color w:val="000000"/>
                <w:sz w:val="18"/>
                <w:szCs w:val="18"/>
                <w:lang w:eastAsia="pl-PL"/>
              </w:rPr>
              <w:br w:type="page"/>
              <w:t>Pozytywnie przyjmujemy Priorytetyzacje działań dla budowli.</w:t>
            </w:r>
            <w:r w:rsidRPr="005E78BB">
              <w:rPr>
                <w:rFonts w:ascii="Calibri" w:eastAsia="Times New Roman" w:hAnsi="Calibri" w:cs="Calibri"/>
                <w:color w:val="000000"/>
                <w:sz w:val="18"/>
                <w:szCs w:val="18"/>
                <w:lang w:eastAsia="pl-PL"/>
              </w:rPr>
              <w:br w:type="page"/>
              <w:t>Natomiast działania w ramach „Działanie na IIaPGW” są dla nas całkowicie niezrozumiałe.</w:t>
            </w:r>
            <w:r w:rsidRPr="005E78BB">
              <w:rPr>
                <w:rFonts w:ascii="Calibri" w:eastAsia="Times New Roman" w:hAnsi="Calibri" w:cs="Calibri"/>
                <w:color w:val="000000"/>
                <w:sz w:val="18"/>
                <w:szCs w:val="18"/>
                <w:lang w:eastAsia="pl-PL"/>
              </w:rPr>
              <w:br w:type="page"/>
              <w:t>Żadne działanie z aPWŚKW nie zostało wykonane, dodatkowo działanie i wpływ budowli na migracje ryb jest znany. Nadmieniamy ze w2016 roku zostały podjęte działania w celu modernizacji stopni, po wielu wizjach lokalnych powstało opracowanie ( studium koncepcyjne ) z którego wynika potrzeba udrożnienia omawianej budowli. Lokalnie wiedza na temat wpływu obiektu na migracje jest znana i także zgłaszana do RZGW w Krakowie.</w:t>
            </w:r>
            <w:r w:rsidRPr="005E78BB">
              <w:rPr>
                <w:rFonts w:ascii="Calibri" w:eastAsia="Times New Roman" w:hAnsi="Calibri" w:cs="Calibri"/>
                <w:color w:val="000000"/>
                <w:sz w:val="18"/>
                <w:szCs w:val="18"/>
                <w:lang w:eastAsia="pl-PL"/>
              </w:rPr>
              <w:br w:type="page"/>
              <w:t>Dodatkowo nadmieniamy że wizja lokalna na obiekcie ( wysokość piętrzenia 2m, widoczne prędkości przepływ, erozja denna poniżej progu) pozwala jednoznacznie określić że dana budowla nie jest drożna dla ryb.</w:t>
            </w:r>
            <w:r w:rsidRPr="005E78BB">
              <w:rPr>
                <w:rFonts w:ascii="Calibri" w:eastAsia="Times New Roman" w:hAnsi="Calibri" w:cs="Calibri"/>
                <w:color w:val="000000"/>
                <w:sz w:val="18"/>
                <w:szCs w:val="18"/>
                <w:lang w:eastAsia="pl-PL"/>
              </w:rPr>
              <w:br w:type="page"/>
              <w:t>Udrożnienie progu wpisano jako działanie ochronne nr. A1 zarządzenia z dnia 21 lutego 2017 roku w sprawie ustanowienia planu zadań ochronnych dla obszaru Natura 2000Dolny Dunajec PLH120085</w:t>
            </w:r>
            <w:r w:rsidRPr="005E78BB">
              <w:rPr>
                <w:rFonts w:ascii="Calibri" w:eastAsia="Times New Roman" w:hAnsi="Calibri" w:cs="Calibri"/>
                <w:color w:val="000000"/>
                <w:sz w:val="18"/>
                <w:szCs w:val="18"/>
                <w:lang w:eastAsia="pl-PL"/>
              </w:rPr>
              <w:br w:type="page"/>
              <w:t>Oczekujemy podjęcia długo oczekiwanych działań inwestycyjnych.</w:t>
            </w:r>
            <w:r w:rsidRPr="005E78BB">
              <w:rPr>
                <w:rFonts w:ascii="Calibri" w:eastAsia="Times New Roman" w:hAnsi="Calibri" w:cs="Calibri"/>
                <w:color w:val="000000"/>
                <w:sz w:val="18"/>
                <w:szCs w:val="18"/>
                <w:lang w:eastAsia="pl-PL"/>
              </w:rPr>
              <w:br w:type="page"/>
              <w:t>Dlatego też składamy propozycje zmian w „Działanie na IIaPGW”</w:t>
            </w:r>
            <w:r w:rsidRPr="005E78BB">
              <w:rPr>
                <w:rFonts w:ascii="Calibri" w:eastAsia="Times New Roman" w:hAnsi="Calibri" w:cs="Calibri"/>
                <w:color w:val="000000"/>
                <w:sz w:val="18"/>
                <w:szCs w:val="18"/>
                <w:lang w:eastAsia="pl-PL"/>
              </w:rPr>
              <w:br w:type="page"/>
              <w:t xml:space="preserve">Przebudowa progu na bystrze/rampe zapewni migracje dla wszystkich gatunków ryb występujących w Dunajcu, pozwoli na ochronę siedlisk przyrodniczych i gatunków wchodzących w skład ekosystemu, poprawi warunki ryb </w:t>
            </w:r>
            <w:r w:rsidRPr="005E78BB">
              <w:rPr>
                <w:rFonts w:ascii="Calibri" w:eastAsia="Times New Roman" w:hAnsi="Calibri" w:cs="Calibri"/>
                <w:color w:val="000000"/>
                <w:sz w:val="18"/>
                <w:szCs w:val="18"/>
                <w:lang w:eastAsia="pl-PL"/>
              </w:rPr>
              <w:lastRenderedPageBreak/>
              <w:t>objętych obszarem Natura 2000 ( boleń, brzanka, głowacz biało płetwy ), przywróci spójność sieci obszarów Natura 2000, wzmocni odporność na głębokie i długotrwające niżówki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załączniku w formie połączonego jednego plku PDF studium oraz wykaz zmian w „Zal_4_WykazBudowli_ZD_Mod_Wisla_Errata” - ostatnia strona załącznika (zmiany/uzupełnienia są zaznaczone pomarańczowym wypełnieniem) . </w:t>
            </w:r>
          </w:p>
        </w:tc>
        <w:tc>
          <w:tcPr>
            <w:tcW w:w="1918" w:type="dxa"/>
            <w:shd w:val="clear" w:color="auto" w:fill="auto"/>
            <w:hideMark/>
          </w:tcPr>
          <w:p w14:paraId="4FB261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133-136_PZW_Tarnów_Wisła</w:t>
            </w:r>
          </w:p>
        </w:tc>
        <w:tc>
          <w:tcPr>
            <w:tcW w:w="1276" w:type="dxa"/>
            <w:shd w:val="clear" w:color="auto" w:fill="auto"/>
            <w:hideMark/>
          </w:tcPr>
          <w:p w14:paraId="09491F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5449064" w14:textId="2AD655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przekazanych informacji na temat statusu działań z aPWŚK zaktualizowano działanie dla wskazanej budowli oraz zestaw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9576181" w14:textId="77777777" w:rsidTr="00E92AE6">
        <w:trPr>
          <w:trHeight w:val="454"/>
        </w:trPr>
        <w:tc>
          <w:tcPr>
            <w:tcW w:w="562" w:type="dxa"/>
            <w:shd w:val="clear" w:color="auto" w:fill="auto"/>
            <w:hideMark/>
          </w:tcPr>
          <w:p w14:paraId="1AB3C7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134</w:t>
            </w:r>
          </w:p>
        </w:tc>
        <w:tc>
          <w:tcPr>
            <w:tcW w:w="1021" w:type="dxa"/>
          </w:tcPr>
          <w:p w14:paraId="67DFF26E" w14:textId="5B3C29E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7C1523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200D2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zakresu działań w ramach IIaPGW, dodatkowe uwagi, uzupełnienie podstawowych informacji dla  budowli w załączniku: „Zal_4_WykazBudowli_ZD_Mod_Wisla_Errata” Numer budowli w załączniku: „Identyfikator budowli w IIaPGW: 6999”</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otrzymania uwagi</w:t>
            </w:r>
          </w:p>
        </w:tc>
        <w:tc>
          <w:tcPr>
            <w:tcW w:w="3377" w:type="dxa"/>
            <w:shd w:val="clear" w:color="auto" w:fill="auto"/>
            <w:hideMark/>
          </w:tcPr>
          <w:p w14:paraId="0491A3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Uzupełnienie/zmiana zapisów:</w:t>
            </w:r>
            <w:r w:rsidRPr="005E78BB">
              <w:rPr>
                <w:rFonts w:ascii="Calibri" w:eastAsia="Times New Roman" w:hAnsi="Calibri" w:cs="Calibri"/>
                <w:color w:val="000000"/>
                <w:sz w:val="18"/>
                <w:szCs w:val="18"/>
                <w:lang w:eastAsia="pl-PL"/>
              </w:rPr>
              <w:br/>
              <w:t xml:space="preserve">Kolumna (N): MEW, wyrównawczy, </w:t>
            </w:r>
            <w:r w:rsidRPr="005E78BB">
              <w:rPr>
                <w:rFonts w:ascii="Calibri" w:eastAsia="Times New Roman" w:hAnsi="Calibri" w:cs="Calibri"/>
                <w:color w:val="000000"/>
                <w:sz w:val="18"/>
                <w:szCs w:val="18"/>
                <w:lang w:eastAsia="pl-PL"/>
              </w:rPr>
              <w:br/>
              <w:t xml:space="preserve">Kolumna (AI): 10,7, </w:t>
            </w:r>
            <w:r w:rsidRPr="005E78BB">
              <w:rPr>
                <w:rFonts w:ascii="Calibri" w:eastAsia="Times New Roman" w:hAnsi="Calibri" w:cs="Calibri"/>
                <w:color w:val="000000"/>
                <w:sz w:val="18"/>
                <w:szCs w:val="18"/>
                <w:lang w:eastAsia="pl-PL"/>
              </w:rPr>
              <w:br/>
              <w:t xml:space="preserve">Kolumna (AJ): NIE, </w:t>
            </w:r>
            <w:r w:rsidRPr="005E78BB">
              <w:rPr>
                <w:rFonts w:ascii="Calibri" w:eastAsia="Times New Roman" w:hAnsi="Calibri" w:cs="Calibri"/>
                <w:color w:val="000000"/>
                <w:sz w:val="18"/>
                <w:szCs w:val="18"/>
                <w:lang w:eastAsia="pl-PL"/>
              </w:rPr>
              <w:br/>
              <w:t>Kolumna (AL): komorowa,</w:t>
            </w:r>
            <w:r w:rsidRPr="005E78BB">
              <w:rPr>
                <w:rFonts w:ascii="Calibri" w:eastAsia="Times New Roman" w:hAnsi="Calibri" w:cs="Calibri"/>
                <w:color w:val="000000"/>
                <w:sz w:val="18"/>
                <w:szCs w:val="18"/>
                <w:lang w:eastAsia="pl-PL"/>
              </w:rPr>
              <w:br/>
              <w:t>Kolumna (AN): Niesprawna,</w:t>
            </w:r>
            <w:r w:rsidRPr="005E78BB">
              <w:rPr>
                <w:rFonts w:ascii="Calibri" w:eastAsia="Times New Roman" w:hAnsi="Calibri" w:cs="Calibri"/>
                <w:color w:val="000000"/>
                <w:sz w:val="18"/>
                <w:szCs w:val="18"/>
                <w:lang w:eastAsia="pl-PL"/>
              </w:rPr>
              <w:br/>
              <w:t xml:space="preserve">Kolumna (AP): NIE, </w:t>
            </w:r>
            <w:r w:rsidRPr="005E78BB">
              <w:rPr>
                <w:rFonts w:ascii="Calibri" w:eastAsia="Times New Roman" w:hAnsi="Calibri" w:cs="Calibri"/>
                <w:color w:val="000000"/>
                <w:sz w:val="18"/>
                <w:szCs w:val="18"/>
                <w:lang w:eastAsia="pl-PL"/>
              </w:rPr>
              <w:br/>
              <w:t xml:space="preserve">Kolumna (AQ): NIE, </w:t>
            </w:r>
            <w:r w:rsidRPr="005E78BB">
              <w:rPr>
                <w:rFonts w:ascii="Calibri" w:eastAsia="Times New Roman" w:hAnsi="Calibri" w:cs="Calibri"/>
                <w:color w:val="000000"/>
                <w:sz w:val="18"/>
                <w:szCs w:val="18"/>
                <w:lang w:eastAsia="pl-PL"/>
              </w:rPr>
              <w:br/>
              <w:t xml:space="preserve">Kolumna (AS): Nie jest monitorowana, </w:t>
            </w:r>
            <w:r w:rsidRPr="005E78BB">
              <w:rPr>
                <w:rFonts w:ascii="Calibri" w:eastAsia="Times New Roman" w:hAnsi="Calibri" w:cs="Calibri"/>
                <w:color w:val="000000"/>
                <w:sz w:val="18"/>
                <w:szCs w:val="18"/>
                <w:lang w:eastAsia="pl-PL"/>
              </w:rPr>
              <w:br/>
              <w:t>Kolumna (AV): przepławka nie spełnia wymagań obecnie stawianym przepławkom, nie zapewnia migracji dla wszystkich gatunków ryb, wymaga przebudowy/remontu także ze względu na wady, dodatkowo funkcjonuje tylko od 15 marca do 30 listopada,</w:t>
            </w:r>
            <w:r w:rsidRPr="005E78BB">
              <w:rPr>
                <w:rFonts w:ascii="Calibri" w:eastAsia="Times New Roman" w:hAnsi="Calibri" w:cs="Calibri"/>
                <w:color w:val="000000"/>
                <w:sz w:val="18"/>
                <w:szCs w:val="18"/>
                <w:lang w:eastAsia="pl-PL"/>
              </w:rPr>
              <w:br/>
              <w:t>Kolumna (AW): 10,7,</w:t>
            </w:r>
            <w:r w:rsidRPr="005E78BB">
              <w:rPr>
                <w:rFonts w:ascii="Calibri" w:eastAsia="Times New Roman" w:hAnsi="Calibri" w:cs="Calibri"/>
                <w:color w:val="000000"/>
                <w:sz w:val="18"/>
                <w:szCs w:val="18"/>
                <w:lang w:eastAsia="pl-PL"/>
              </w:rPr>
              <w:br/>
              <w:t>Kolumna (AY): N,</w:t>
            </w:r>
            <w:r w:rsidRPr="005E78BB">
              <w:rPr>
                <w:rFonts w:ascii="Calibri" w:eastAsia="Times New Roman" w:hAnsi="Calibri" w:cs="Calibri"/>
                <w:color w:val="000000"/>
                <w:sz w:val="18"/>
                <w:szCs w:val="18"/>
                <w:lang w:eastAsia="pl-PL"/>
              </w:rPr>
              <w:br/>
              <w:t>Kolumna (AZ): T</w:t>
            </w:r>
            <w:r w:rsidRPr="005E78BB">
              <w:rPr>
                <w:rFonts w:ascii="Calibri" w:eastAsia="Times New Roman" w:hAnsi="Calibri" w:cs="Calibri"/>
                <w:color w:val="000000"/>
                <w:sz w:val="18"/>
                <w:szCs w:val="18"/>
                <w:lang w:eastAsia="pl-PL"/>
              </w:rPr>
              <w:br/>
              <w:t>Kolumna (BB): opracowanie wariantowej analizy sposobu udrożnienia budowli piętrzących na odcinku cieku istotnego - Dunajec ze wskazaniem wariantu do realizacji oraz opracowaniem dokumentacji projektowej,</w:t>
            </w:r>
            <w:r w:rsidRPr="005E78BB">
              <w:rPr>
                <w:rFonts w:ascii="Calibri" w:eastAsia="Times New Roman" w:hAnsi="Calibri" w:cs="Calibri"/>
                <w:color w:val="000000"/>
                <w:sz w:val="18"/>
                <w:szCs w:val="18"/>
                <w:lang w:eastAsia="pl-PL"/>
              </w:rPr>
              <w:br/>
              <w:t>Kolumna (BC): realizacja wybranego wariantu udrożnienia odcinka cieku istotnego - Dunajec - działanie inwestycyjne</w:t>
            </w:r>
          </w:p>
        </w:tc>
        <w:tc>
          <w:tcPr>
            <w:tcW w:w="3401" w:type="dxa"/>
            <w:shd w:val="clear" w:color="auto" w:fill="auto"/>
            <w:hideMark/>
          </w:tcPr>
          <w:p w14:paraId="6242ED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Przepławka nie spełnia wymagań obecnie stawianym przepławkom, nie zapewnia migracji dla wszystkich gatunków ryb występujących w Dunajcu.</w:t>
            </w:r>
            <w:r w:rsidRPr="005E78BB">
              <w:rPr>
                <w:rFonts w:ascii="Calibri" w:eastAsia="Times New Roman" w:hAnsi="Calibri" w:cs="Calibri"/>
                <w:color w:val="000000"/>
                <w:sz w:val="18"/>
                <w:szCs w:val="18"/>
                <w:lang w:eastAsia="pl-PL"/>
              </w:rPr>
              <w:br/>
              <w:t>Informacja o wysokości piętrzenia-pozwolenie wodnoprawne.</w:t>
            </w:r>
            <w:r w:rsidRPr="005E78BB">
              <w:rPr>
                <w:rFonts w:ascii="Calibri" w:eastAsia="Times New Roman" w:hAnsi="Calibri" w:cs="Calibri"/>
                <w:color w:val="000000"/>
                <w:sz w:val="18"/>
                <w:szCs w:val="18"/>
                <w:lang w:eastAsia="pl-PL"/>
              </w:rPr>
              <w:br/>
              <w:t>Pozostałe informacje na temat budowli-na podstawie posiadanej wiedzy na temat obiektu, wizji lokalnej na obiekcie oraz przeprowadzonego studium koncepcyjnego ( w załączniku )</w:t>
            </w:r>
            <w:r w:rsidRPr="005E78BB">
              <w:rPr>
                <w:rFonts w:ascii="Calibri" w:eastAsia="Times New Roman" w:hAnsi="Calibri" w:cs="Calibri"/>
                <w:color w:val="000000"/>
                <w:sz w:val="18"/>
                <w:szCs w:val="18"/>
                <w:lang w:eastAsia="pl-PL"/>
              </w:rPr>
              <w:br/>
              <w:t>Pozytywnie przyjmujemy Priorytetyzacje działań dla budowli.</w:t>
            </w:r>
            <w:r w:rsidRPr="005E78BB">
              <w:rPr>
                <w:rFonts w:ascii="Calibri" w:eastAsia="Times New Roman" w:hAnsi="Calibri" w:cs="Calibri"/>
                <w:color w:val="000000"/>
                <w:sz w:val="18"/>
                <w:szCs w:val="18"/>
                <w:lang w:eastAsia="pl-PL"/>
              </w:rPr>
              <w:br/>
              <w:t>Natomiast działania w ramach „Działanie na IIaPGW” są dla nas całkowicie niezrozumiałe.</w:t>
            </w:r>
            <w:r w:rsidRPr="005E78BB">
              <w:rPr>
                <w:rFonts w:ascii="Calibri" w:eastAsia="Times New Roman" w:hAnsi="Calibri" w:cs="Calibri"/>
                <w:color w:val="000000"/>
                <w:sz w:val="18"/>
                <w:szCs w:val="18"/>
                <w:lang w:eastAsia="pl-PL"/>
              </w:rPr>
              <w:br/>
              <w:t>Żadne działanie z aPWŚKW nie zostało wykonane, dodatkowo działanie i wpływ budowli na migracje ryb jest znany. Nadmieniamy ze w2016 roku zostały podjęte działania w celu modernizacji stopni, po wielu wizjach lokalnych powstało opracowanie ( studium koncepcyjne ) z którego wynika potrzeba udrożnienia omawianej przepławki. Lokalnie wiedza na temat wpływu obiektu na migracje jest znana i także zgłaszana do RZGW w Krakowie.</w:t>
            </w:r>
            <w:r w:rsidRPr="005E78BB">
              <w:rPr>
                <w:rFonts w:ascii="Calibri" w:eastAsia="Times New Roman" w:hAnsi="Calibri" w:cs="Calibri"/>
                <w:color w:val="000000"/>
                <w:sz w:val="18"/>
                <w:szCs w:val="18"/>
                <w:lang w:eastAsia="pl-PL"/>
              </w:rPr>
              <w:br/>
              <w:t>Dodatkowo nadmieniamy że wizja lokalna na obiekcie ( przepławka wyłączana na okres zimowy, zamulone zasuwy, widoczne prędkości przepływu, wahania poziomu przepływu w zależności od wysokości piętrzenia, erozja denna poniżej zapory, problem z prądem wabiącym ) pozwala jednoznacznie określić że przepławka nie jest drożna dla wszystkich ryb.</w:t>
            </w:r>
            <w:r w:rsidRPr="005E78BB">
              <w:rPr>
                <w:rFonts w:ascii="Calibri" w:eastAsia="Times New Roman" w:hAnsi="Calibri" w:cs="Calibri"/>
                <w:color w:val="000000"/>
                <w:sz w:val="18"/>
                <w:szCs w:val="18"/>
                <w:lang w:eastAsia="pl-PL"/>
              </w:rPr>
              <w:br/>
              <w:t>Oczekujemy podjęcia długo oczekiwanych działań inwestycyjnych.</w:t>
            </w:r>
            <w:r w:rsidRPr="005E78BB">
              <w:rPr>
                <w:rFonts w:ascii="Calibri" w:eastAsia="Times New Roman" w:hAnsi="Calibri" w:cs="Calibri"/>
                <w:color w:val="000000"/>
                <w:sz w:val="18"/>
                <w:szCs w:val="18"/>
                <w:lang w:eastAsia="pl-PL"/>
              </w:rPr>
              <w:br/>
              <w:t>Dlatego też składamy propozycje zmian w „Działanie na IIaPGW”</w:t>
            </w:r>
            <w:r w:rsidRPr="005E78BB">
              <w:rPr>
                <w:rFonts w:ascii="Calibri" w:eastAsia="Times New Roman" w:hAnsi="Calibri" w:cs="Calibri"/>
                <w:color w:val="000000"/>
                <w:sz w:val="18"/>
                <w:szCs w:val="18"/>
                <w:lang w:eastAsia="pl-PL"/>
              </w:rPr>
              <w:br/>
              <w:t xml:space="preserve">Modernizacja przepławki do wymagań stawianych obecnie budowanym przepławkom, praca przez cały rok-zapewni migracje dla wszystkich gatunków ryb występujących w Dunajcu, łącznie z gatunkami mogącymi występować </w:t>
            </w:r>
            <w:r w:rsidRPr="005E78BB">
              <w:rPr>
                <w:rFonts w:ascii="Calibri" w:eastAsia="Times New Roman" w:hAnsi="Calibri" w:cs="Calibri"/>
                <w:color w:val="000000"/>
                <w:sz w:val="18"/>
                <w:szCs w:val="18"/>
                <w:lang w:eastAsia="pl-PL"/>
              </w:rPr>
              <w:lastRenderedPageBreak/>
              <w:t>potencjalnie w przyszłości: łosoś, troć wędrowna, umożliwi migrację lokalną z jeziorem Czchowskim, Rożnowskim, przywróci spójność sieci obszarów Natura 2000, wzmocni odporność na głębokie i długotrwające niżówki, pozwoli na ochronę siedlisk przyrodniczych i gatunków wchodzących w skład ekosystemu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w formie połączonego jednego plku PDF studium oraz wykaz zmian w „Zal_4_WykazBudowli_ZD_Mod_Wisla_Errata” - ostatnia strona załącznika (zmiany/uzupełnienia są zaznaczone pomarańczowym wypełnieniem) . </w:t>
            </w:r>
          </w:p>
        </w:tc>
        <w:tc>
          <w:tcPr>
            <w:tcW w:w="1918" w:type="dxa"/>
            <w:shd w:val="clear" w:color="auto" w:fill="auto"/>
            <w:hideMark/>
          </w:tcPr>
          <w:p w14:paraId="3CA922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133-136_PZW_Tarnów_Wisła</w:t>
            </w:r>
          </w:p>
        </w:tc>
        <w:tc>
          <w:tcPr>
            <w:tcW w:w="1276" w:type="dxa"/>
            <w:shd w:val="clear" w:color="auto" w:fill="auto"/>
            <w:hideMark/>
          </w:tcPr>
          <w:p w14:paraId="3F975A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C69FE8E" w14:textId="2E5E2C4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przekazanych informacji na temat statusu działań z aPWŚK zaktualizowano działanie dla wskazanej budowli oraz zestaw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6BE59BDB" w14:textId="77777777" w:rsidTr="00E92AE6">
        <w:trPr>
          <w:trHeight w:val="454"/>
        </w:trPr>
        <w:tc>
          <w:tcPr>
            <w:tcW w:w="562" w:type="dxa"/>
            <w:shd w:val="clear" w:color="auto" w:fill="auto"/>
            <w:hideMark/>
          </w:tcPr>
          <w:p w14:paraId="28447C7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135</w:t>
            </w:r>
          </w:p>
        </w:tc>
        <w:tc>
          <w:tcPr>
            <w:tcW w:w="1021" w:type="dxa"/>
          </w:tcPr>
          <w:p w14:paraId="426C0795" w14:textId="2E21192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53FC88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108D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zakresu działań w ramach IIaPGW, dodatkowe uwagi, uzupełnienie podstawowych informacji dla  budowli w załączniku: „Zal_4_WykazBudowli_ZD_Mod_Wisla_Errata” Numer budowli w załączniku: „Identyfikator budowli w IIaPGW: 7385”</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otrzymania uwagi</w:t>
            </w:r>
          </w:p>
        </w:tc>
        <w:tc>
          <w:tcPr>
            <w:tcW w:w="3377" w:type="dxa"/>
            <w:shd w:val="clear" w:color="auto" w:fill="auto"/>
            <w:hideMark/>
          </w:tcPr>
          <w:p w14:paraId="080E6B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Uzupełnienie/zmiana zapisów:</w:t>
            </w:r>
            <w:r w:rsidRPr="005E78BB">
              <w:rPr>
                <w:rFonts w:ascii="Calibri" w:eastAsia="Times New Roman" w:hAnsi="Calibri" w:cs="Calibri"/>
                <w:color w:val="000000"/>
                <w:sz w:val="18"/>
                <w:szCs w:val="18"/>
                <w:lang w:eastAsia="pl-PL"/>
              </w:rPr>
              <w:br/>
              <w:t>Kolumna (G): próg piętrzący Ostrów ,</w:t>
            </w:r>
            <w:r w:rsidRPr="005E78BB">
              <w:rPr>
                <w:rFonts w:ascii="Calibri" w:eastAsia="Times New Roman" w:hAnsi="Calibri" w:cs="Calibri"/>
                <w:color w:val="000000"/>
                <w:sz w:val="18"/>
                <w:szCs w:val="18"/>
                <w:lang w:eastAsia="pl-PL"/>
              </w:rPr>
              <w:br/>
              <w:t xml:space="preserve">Kolumna (AI): 1,2, </w:t>
            </w:r>
            <w:r w:rsidRPr="005E78BB">
              <w:rPr>
                <w:rFonts w:ascii="Calibri" w:eastAsia="Times New Roman" w:hAnsi="Calibri" w:cs="Calibri"/>
                <w:color w:val="000000"/>
                <w:sz w:val="18"/>
                <w:szCs w:val="18"/>
                <w:lang w:eastAsia="pl-PL"/>
              </w:rPr>
              <w:br/>
              <w:t xml:space="preserve">Kolumna (AJ): NIE, </w:t>
            </w:r>
            <w:r w:rsidRPr="005E78BB">
              <w:rPr>
                <w:rFonts w:ascii="Calibri" w:eastAsia="Times New Roman" w:hAnsi="Calibri" w:cs="Calibri"/>
                <w:color w:val="000000"/>
                <w:sz w:val="18"/>
                <w:szCs w:val="18"/>
                <w:lang w:eastAsia="pl-PL"/>
              </w:rPr>
              <w:br/>
              <w:t>Kolumna (AL): nie,</w:t>
            </w:r>
            <w:r w:rsidRPr="005E78BB">
              <w:rPr>
                <w:rFonts w:ascii="Calibri" w:eastAsia="Times New Roman" w:hAnsi="Calibri" w:cs="Calibri"/>
                <w:color w:val="000000"/>
                <w:sz w:val="18"/>
                <w:szCs w:val="18"/>
                <w:lang w:eastAsia="pl-PL"/>
              </w:rPr>
              <w:br/>
              <w:t xml:space="preserve">Kolumna (AP): NIE, </w:t>
            </w:r>
            <w:r w:rsidRPr="005E78BB">
              <w:rPr>
                <w:rFonts w:ascii="Calibri" w:eastAsia="Times New Roman" w:hAnsi="Calibri" w:cs="Calibri"/>
                <w:color w:val="000000"/>
                <w:sz w:val="18"/>
                <w:szCs w:val="18"/>
                <w:lang w:eastAsia="pl-PL"/>
              </w:rPr>
              <w:br/>
              <w:t xml:space="preserve">Kolumna (AQ): NIE, </w:t>
            </w:r>
            <w:r w:rsidRPr="005E78BB">
              <w:rPr>
                <w:rFonts w:ascii="Calibri" w:eastAsia="Times New Roman" w:hAnsi="Calibri" w:cs="Calibri"/>
                <w:color w:val="000000"/>
                <w:sz w:val="18"/>
                <w:szCs w:val="18"/>
                <w:lang w:eastAsia="pl-PL"/>
              </w:rPr>
              <w:br/>
              <w:t xml:space="preserve">Kolumna (AS): Nie jest monitorowana, </w:t>
            </w:r>
            <w:r w:rsidRPr="005E78BB">
              <w:rPr>
                <w:rFonts w:ascii="Calibri" w:eastAsia="Times New Roman" w:hAnsi="Calibri" w:cs="Calibri"/>
                <w:color w:val="000000"/>
                <w:sz w:val="18"/>
                <w:szCs w:val="18"/>
                <w:lang w:eastAsia="pl-PL"/>
              </w:rPr>
              <w:br/>
              <w:t>Kolumna (AV): brak przepławki do migracji ryb,</w:t>
            </w:r>
            <w:r w:rsidRPr="005E78BB">
              <w:rPr>
                <w:rFonts w:ascii="Calibri" w:eastAsia="Times New Roman" w:hAnsi="Calibri" w:cs="Calibri"/>
                <w:color w:val="000000"/>
                <w:sz w:val="18"/>
                <w:szCs w:val="18"/>
                <w:lang w:eastAsia="pl-PL"/>
              </w:rPr>
              <w:br/>
              <w:t>Kolumna (AW): 1,2,</w:t>
            </w:r>
            <w:r w:rsidRPr="005E78BB">
              <w:rPr>
                <w:rFonts w:ascii="Calibri" w:eastAsia="Times New Roman" w:hAnsi="Calibri" w:cs="Calibri"/>
                <w:color w:val="000000"/>
                <w:sz w:val="18"/>
                <w:szCs w:val="18"/>
                <w:lang w:eastAsia="pl-PL"/>
              </w:rPr>
              <w:br/>
              <w:t>Kolumna (BB): opracowanie wariantowej analizy sposobu udrożnienia budowli piętrzących na odcinku cieku istotnego - Dunajec ze wskazaniem wariantu do realizacji oraz opracowaniem dokumentacji projektowej,</w:t>
            </w:r>
            <w:r w:rsidRPr="005E78BB">
              <w:rPr>
                <w:rFonts w:ascii="Calibri" w:eastAsia="Times New Roman" w:hAnsi="Calibri" w:cs="Calibri"/>
                <w:color w:val="000000"/>
                <w:sz w:val="18"/>
                <w:szCs w:val="18"/>
                <w:lang w:eastAsia="pl-PL"/>
              </w:rPr>
              <w:br/>
              <w:t>Kolumna (BC): realizacja wybranego wariantu udrożnienia odcinka cieku istotnego - Dunajec - działanie inwestycyjne,</w:t>
            </w:r>
          </w:p>
        </w:tc>
        <w:tc>
          <w:tcPr>
            <w:tcW w:w="3401" w:type="dxa"/>
            <w:shd w:val="clear" w:color="auto" w:fill="auto"/>
            <w:hideMark/>
          </w:tcPr>
          <w:p w14:paraId="2C3F3D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Próg piętrzący nie jest drożny dla wszystkich gatunków ryb występujących w Dunajcu.</w:t>
            </w:r>
            <w:r w:rsidRPr="005E78BB">
              <w:rPr>
                <w:rFonts w:ascii="Calibri" w:eastAsia="Times New Roman" w:hAnsi="Calibri" w:cs="Calibri"/>
                <w:color w:val="000000"/>
                <w:sz w:val="18"/>
                <w:szCs w:val="18"/>
                <w:lang w:eastAsia="pl-PL"/>
              </w:rPr>
              <w:br/>
              <w:t>Informacja o wysokości piętrzenia-pomiar dokonany w terenie przy średnim niskim przepływie.</w:t>
            </w:r>
            <w:r w:rsidRPr="005E78BB">
              <w:rPr>
                <w:rFonts w:ascii="Calibri" w:eastAsia="Times New Roman" w:hAnsi="Calibri" w:cs="Calibri"/>
                <w:color w:val="000000"/>
                <w:sz w:val="18"/>
                <w:szCs w:val="18"/>
                <w:lang w:eastAsia="pl-PL"/>
              </w:rPr>
              <w:br/>
              <w:t>Pozostałe informacje na temat budowli-na podstawie posiadanej wiedzy na temat obiektu, wizji lokalnej na obiekcie oraz przeprowadzonego studium koncepcyjnego ( w załączniku )</w:t>
            </w:r>
            <w:r w:rsidRPr="005E78BB">
              <w:rPr>
                <w:rFonts w:ascii="Calibri" w:eastAsia="Times New Roman" w:hAnsi="Calibri" w:cs="Calibri"/>
                <w:color w:val="000000"/>
                <w:sz w:val="18"/>
                <w:szCs w:val="18"/>
                <w:lang w:eastAsia="pl-PL"/>
              </w:rPr>
              <w:br/>
              <w:t>Pozytywnie przyjmujemy Priorytetyzacje działań dla budowli.</w:t>
            </w:r>
            <w:r w:rsidRPr="005E78BB">
              <w:rPr>
                <w:rFonts w:ascii="Calibri" w:eastAsia="Times New Roman" w:hAnsi="Calibri" w:cs="Calibri"/>
                <w:color w:val="000000"/>
                <w:sz w:val="18"/>
                <w:szCs w:val="18"/>
                <w:lang w:eastAsia="pl-PL"/>
              </w:rPr>
              <w:br/>
              <w:t>Natomiast działania w ramach „Działanie na IIaPGW” są dla nas całkowicie niezrozumiałe.</w:t>
            </w:r>
            <w:r w:rsidRPr="005E78BB">
              <w:rPr>
                <w:rFonts w:ascii="Calibri" w:eastAsia="Times New Roman" w:hAnsi="Calibri" w:cs="Calibri"/>
                <w:color w:val="000000"/>
                <w:sz w:val="18"/>
                <w:szCs w:val="18"/>
                <w:lang w:eastAsia="pl-PL"/>
              </w:rPr>
              <w:br/>
              <w:t>Żadne działanie z aPWŚKW nie zostało wykonane, dodatkowo działanie i wpływ budowli na migracje ryb jest znany. Nadmieniamy ze w2016 roku zostały podjęte działania w celu modernizacji stopni, po wielu wizjach lokalnych powstało opracowanie ( studium koncepcyjne ) z którego wynika potrzeba udrożnienia omawianej budowli. Lokalnie wiedza na temat wpływu obiektu na migracje jest znana i także zgłaszana do RZGW w Krakowie.</w:t>
            </w:r>
            <w:r w:rsidRPr="005E78BB">
              <w:rPr>
                <w:rFonts w:ascii="Calibri" w:eastAsia="Times New Roman" w:hAnsi="Calibri" w:cs="Calibri"/>
                <w:color w:val="000000"/>
                <w:sz w:val="18"/>
                <w:szCs w:val="18"/>
                <w:lang w:eastAsia="pl-PL"/>
              </w:rPr>
              <w:br/>
              <w:t>Dodatkowo nadmieniamy że wizja lokalna na obiekcie ( wysokość piętrzenia 1,2m, widoczne prędkości przepływ, erozja denna poniżej progu) pozwala jednoznacznie określić że dana budowla nie jest drożna dla wszystkich ryb.</w:t>
            </w:r>
            <w:r w:rsidRPr="005E78BB">
              <w:rPr>
                <w:rFonts w:ascii="Calibri" w:eastAsia="Times New Roman" w:hAnsi="Calibri" w:cs="Calibri"/>
                <w:color w:val="000000"/>
                <w:sz w:val="18"/>
                <w:szCs w:val="18"/>
                <w:lang w:eastAsia="pl-PL"/>
              </w:rPr>
              <w:br/>
              <w:t>Udrożnienie progu wpisano jako działanie ochronne nr. A2 zarządzenia z dnia 21 lutego 2017 roku w sprawie ustanowienia planu zadań ochronnych dla obszaru Natura 2000Dolny Dunajec PLH120085</w:t>
            </w:r>
            <w:r w:rsidRPr="005E78BB">
              <w:rPr>
                <w:rFonts w:ascii="Calibri" w:eastAsia="Times New Roman" w:hAnsi="Calibri" w:cs="Calibri"/>
                <w:color w:val="000000"/>
                <w:sz w:val="18"/>
                <w:szCs w:val="18"/>
                <w:lang w:eastAsia="pl-PL"/>
              </w:rPr>
              <w:br/>
              <w:t>Oczekujemy podjęcia długo oczekiwanych działań inwestycyjnych.</w:t>
            </w:r>
            <w:r w:rsidRPr="005E78BB">
              <w:rPr>
                <w:rFonts w:ascii="Calibri" w:eastAsia="Times New Roman" w:hAnsi="Calibri" w:cs="Calibri"/>
                <w:color w:val="000000"/>
                <w:sz w:val="18"/>
                <w:szCs w:val="18"/>
                <w:lang w:eastAsia="pl-PL"/>
              </w:rPr>
              <w:br/>
              <w:t>Dlatego też składamy propozycje zmian w „Działanie na IIaPGW”</w:t>
            </w:r>
            <w:r w:rsidRPr="005E78BB">
              <w:rPr>
                <w:rFonts w:ascii="Calibri" w:eastAsia="Times New Roman" w:hAnsi="Calibri" w:cs="Calibri"/>
                <w:color w:val="000000"/>
                <w:sz w:val="18"/>
                <w:szCs w:val="18"/>
                <w:lang w:eastAsia="pl-PL"/>
              </w:rPr>
              <w:br/>
              <w:t xml:space="preserve">Przebudowa progu na bystrze/rampe </w:t>
            </w:r>
            <w:r w:rsidRPr="005E78BB">
              <w:rPr>
                <w:rFonts w:ascii="Calibri" w:eastAsia="Times New Roman" w:hAnsi="Calibri" w:cs="Calibri"/>
                <w:color w:val="000000"/>
                <w:sz w:val="18"/>
                <w:szCs w:val="18"/>
                <w:lang w:eastAsia="pl-PL"/>
              </w:rPr>
              <w:lastRenderedPageBreak/>
              <w:t>zapewni migracje dla wszystkich gatunków ryb występujących w Dunajcu, pozwoli na ochronę siedlisk przyrodniczych i gatunków wchodzących w skład ekosystemu, poprawi warunki ryb objętych obszarem Natura 2000 ( boleń, brzanka, głowacz biało płetwy ), przywróci spójność sieci obszarów Natura 2000, wzmocni odporność na głębokie i długotrwające niżówki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w formie połączonego jednego plku PDF studium oraz wykaz zmian w „Zal_4_WykazBudowli_ZD_Mod_Wisla_Errata” - ostatnia strona załącznika (zmiany/uzupełnienia są zaznaczone pomarańczowym wypełnieniem) . </w:t>
            </w:r>
          </w:p>
        </w:tc>
        <w:tc>
          <w:tcPr>
            <w:tcW w:w="1918" w:type="dxa"/>
            <w:shd w:val="clear" w:color="auto" w:fill="auto"/>
            <w:hideMark/>
          </w:tcPr>
          <w:p w14:paraId="111632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133-136_PZW_Tarnów_Wisła</w:t>
            </w:r>
          </w:p>
        </w:tc>
        <w:tc>
          <w:tcPr>
            <w:tcW w:w="1276" w:type="dxa"/>
            <w:shd w:val="clear" w:color="auto" w:fill="auto"/>
            <w:hideMark/>
          </w:tcPr>
          <w:p w14:paraId="1B959E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5DF2043" w14:textId="396D340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przekazanych informacji na temat statusu działań z aPWŚK zaktualizowano działanie dla wskazanej budowli oraz zestaw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256820B" w14:textId="77777777" w:rsidTr="00E92AE6">
        <w:trPr>
          <w:trHeight w:val="454"/>
        </w:trPr>
        <w:tc>
          <w:tcPr>
            <w:tcW w:w="562" w:type="dxa"/>
            <w:shd w:val="clear" w:color="auto" w:fill="auto"/>
            <w:hideMark/>
          </w:tcPr>
          <w:p w14:paraId="6299018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136</w:t>
            </w:r>
          </w:p>
        </w:tc>
        <w:tc>
          <w:tcPr>
            <w:tcW w:w="1021" w:type="dxa"/>
          </w:tcPr>
          <w:p w14:paraId="52C31B52" w14:textId="46CDCB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6D0F80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6BA66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zakresu działań w ramach IIaPGW, dodatkowe uwagi, uzupełnienie podstawowych informacji dla  budowli w załączniku: „Zal_4_WykazBudowli_ZD_Mod_Wisla_Errata” Numer budowli w załączniku: „Identyfikator budowli w IIaPGW: 7728”</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zwrotne potwierdzenie otrzymania uwagi</w:t>
            </w:r>
          </w:p>
        </w:tc>
        <w:tc>
          <w:tcPr>
            <w:tcW w:w="3377" w:type="dxa"/>
            <w:shd w:val="clear" w:color="auto" w:fill="auto"/>
            <w:hideMark/>
          </w:tcPr>
          <w:p w14:paraId="380052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Uzupełnienie/zmiana zapisów:</w:t>
            </w:r>
            <w:r w:rsidRPr="005E78BB">
              <w:rPr>
                <w:rFonts w:ascii="Calibri" w:eastAsia="Times New Roman" w:hAnsi="Calibri" w:cs="Calibri"/>
                <w:color w:val="000000"/>
                <w:sz w:val="18"/>
                <w:szCs w:val="18"/>
                <w:lang w:eastAsia="pl-PL"/>
              </w:rPr>
              <w:br w:type="page"/>
              <w:t>Kolumna (G): Elektrownia wodna Rożnów,</w:t>
            </w:r>
            <w:r w:rsidRPr="005E78BB">
              <w:rPr>
                <w:rFonts w:ascii="Calibri" w:eastAsia="Times New Roman" w:hAnsi="Calibri" w:cs="Calibri"/>
                <w:color w:val="000000"/>
                <w:sz w:val="18"/>
                <w:szCs w:val="18"/>
                <w:lang w:eastAsia="pl-PL"/>
              </w:rPr>
              <w:br w:type="page"/>
              <w:t xml:space="preserve">Kolumna (AI): 31,03, </w:t>
            </w:r>
            <w:r w:rsidRPr="005E78BB">
              <w:rPr>
                <w:rFonts w:ascii="Calibri" w:eastAsia="Times New Roman" w:hAnsi="Calibri" w:cs="Calibri"/>
                <w:color w:val="000000"/>
                <w:sz w:val="18"/>
                <w:szCs w:val="18"/>
                <w:lang w:eastAsia="pl-PL"/>
              </w:rPr>
              <w:br w:type="page"/>
              <w:t xml:space="preserve">Kolumna (AJ): NIE, </w:t>
            </w:r>
            <w:r w:rsidRPr="005E78BB">
              <w:rPr>
                <w:rFonts w:ascii="Calibri" w:eastAsia="Times New Roman" w:hAnsi="Calibri" w:cs="Calibri"/>
                <w:color w:val="000000"/>
                <w:sz w:val="18"/>
                <w:szCs w:val="18"/>
                <w:lang w:eastAsia="pl-PL"/>
              </w:rPr>
              <w:br w:type="page"/>
              <w:t>Kolumna (AL): komorowa,</w:t>
            </w:r>
            <w:r w:rsidRPr="005E78BB">
              <w:rPr>
                <w:rFonts w:ascii="Calibri" w:eastAsia="Times New Roman" w:hAnsi="Calibri" w:cs="Calibri"/>
                <w:color w:val="000000"/>
                <w:sz w:val="18"/>
                <w:szCs w:val="18"/>
                <w:lang w:eastAsia="pl-PL"/>
              </w:rPr>
              <w:br w:type="page"/>
              <w:t>Kolumna (AN): Niesprawna,</w:t>
            </w:r>
            <w:r w:rsidRPr="005E78BB">
              <w:rPr>
                <w:rFonts w:ascii="Calibri" w:eastAsia="Times New Roman" w:hAnsi="Calibri" w:cs="Calibri"/>
                <w:color w:val="000000"/>
                <w:sz w:val="18"/>
                <w:szCs w:val="18"/>
                <w:lang w:eastAsia="pl-PL"/>
              </w:rPr>
              <w:br w:type="page"/>
              <w:t xml:space="preserve">Kolumna (AP): NIE, </w:t>
            </w:r>
            <w:r w:rsidRPr="005E78BB">
              <w:rPr>
                <w:rFonts w:ascii="Calibri" w:eastAsia="Times New Roman" w:hAnsi="Calibri" w:cs="Calibri"/>
                <w:color w:val="000000"/>
                <w:sz w:val="18"/>
                <w:szCs w:val="18"/>
                <w:lang w:eastAsia="pl-PL"/>
              </w:rPr>
              <w:br w:type="page"/>
              <w:t xml:space="preserve">Kolumna (AQ): NIE, </w:t>
            </w:r>
            <w:r w:rsidRPr="005E78BB">
              <w:rPr>
                <w:rFonts w:ascii="Calibri" w:eastAsia="Times New Roman" w:hAnsi="Calibri" w:cs="Calibri"/>
                <w:color w:val="000000"/>
                <w:sz w:val="18"/>
                <w:szCs w:val="18"/>
                <w:lang w:eastAsia="pl-PL"/>
              </w:rPr>
              <w:br w:type="page"/>
              <w:t xml:space="preserve">Kolumna (AS): Nie jest monitorowana, </w:t>
            </w:r>
            <w:r w:rsidRPr="005E78BB">
              <w:rPr>
                <w:rFonts w:ascii="Calibri" w:eastAsia="Times New Roman" w:hAnsi="Calibri" w:cs="Calibri"/>
                <w:color w:val="000000"/>
                <w:sz w:val="18"/>
                <w:szCs w:val="18"/>
                <w:lang w:eastAsia="pl-PL"/>
              </w:rPr>
              <w:br w:type="page"/>
              <w:t>Kolumna (AV): przepławka nie spełnia wymagań obecnie stawianym przepławkom, nie zapewnia migracji dla wszystkich gatunków ryb, wymaga przebudowy/remontu także ze względu na wady, dodatkowo funkcjonuje tylko od 15 marca do 30 listopada, dodatkowo poniżej przepławki jest całkowicie niedrożny próg podpiętrzający,</w:t>
            </w:r>
            <w:r w:rsidRPr="005E78BB">
              <w:rPr>
                <w:rFonts w:ascii="Calibri" w:eastAsia="Times New Roman" w:hAnsi="Calibri" w:cs="Calibri"/>
                <w:color w:val="000000"/>
                <w:sz w:val="18"/>
                <w:szCs w:val="18"/>
                <w:lang w:eastAsia="pl-PL"/>
              </w:rPr>
              <w:br w:type="page"/>
              <w:t>Kolumna (AW): 31,03,</w:t>
            </w:r>
            <w:r w:rsidRPr="005E78BB">
              <w:rPr>
                <w:rFonts w:ascii="Calibri" w:eastAsia="Times New Roman" w:hAnsi="Calibri" w:cs="Calibri"/>
                <w:color w:val="000000"/>
                <w:sz w:val="18"/>
                <w:szCs w:val="18"/>
                <w:lang w:eastAsia="pl-PL"/>
              </w:rPr>
              <w:br w:type="page"/>
              <w:t>Kolumna (AY): N,</w:t>
            </w:r>
            <w:r w:rsidRPr="005E78BB">
              <w:rPr>
                <w:rFonts w:ascii="Calibri" w:eastAsia="Times New Roman" w:hAnsi="Calibri" w:cs="Calibri"/>
                <w:color w:val="000000"/>
                <w:sz w:val="18"/>
                <w:szCs w:val="18"/>
                <w:lang w:eastAsia="pl-PL"/>
              </w:rPr>
              <w:br w:type="page"/>
              <w:t>Kolumna (AZ): T</w:t>
            </w:r>
            <w:r w:rsidRPr="005E78BB">
              <w:rPr>
                <w:rFonts w:ascii="Calibri" w:eastAsia="Times New Roman" w:hAnsi="Calibri" w:cs="Calibri"/>
                <w:color w:val="000000"/>
                <w:sz w:val="18"/>
                <w:szCs w:val="18"/>
                <w:lang w:eastAsia="pl-PL"/>
              </w:rPr>
              <w:br w:type="page"/>
              <w:t>Kolumna (BB): 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F6A10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Przepławka nie spełnia wymagań obecnie stawianym przepławkom, nie zapewnia migracji dla wszystkich gatunków ryb występujących w Dunajcu.</w:t>
            </w:r>
            <w:r w:rsidRPr="005E78BB">
              <w:rPr>
                <w:rFonts w:ascii="Calibri" w:eastAsia="Times New Roman" w:hAnsi="Calibri" w:cs="Calibri"/>
                <w:color w:val="000000"/>
                <w:sz w:val="18"/>
                <w:szCs w:val="18"/>
                <w:lang w:eastAsia="pl-PL"/>
              </w:rPr>
              <w:br w:type="page"/>
              <w:t>Informacja o wysokości piętrzenia-pozwolenie wodnoprawne.</w:t>
            </w:r>
            <w:r w:rsidRPr="005E78BB">
              <w:rPr>
                <w:rFonts w:ascii="Calibri" w:eastAsia="Times New Roman" w:hAnsi="Calibri" w:cs="Calibri"/>
                <w:color w:val="000000"/>
                <w:sz w:val="18"/>
                <w:szCs w:val="18"/>
                <w:lang w:eastAsia="pl-PL"/>
              </w:rPr>
              <w:br w:type="page"/>
              <w:t>Pozostałe informacje na temat budowli-na podstawie posiadanej wiedzy na temat obiektu, wizji lokalnej na obiekcie oraz przeprowadzonego studium koncepcyjnego ( w załączniku )</w:t>
            </w:r>
            <w:r w:rsidRPr="005E78BB">
              <w:rPr>
                <w:rFonts w:ascii="Calibri" w:eastAsia="Times New Roman" w:hAnsi="Calibri" w:cs="Calibri"/>
                <w:color w:val="000000"/>
                <w:sz w:val="18"/>
                <w:szCs w:val="18"/>
                <w:lang w:eastAsia="pl-PL"/>
              </w:rPr>
              <w:br w:type="page"/>
              <w:t>Pozytywnie przyjmujemy Priorytetyzacje działań dla budowli.</w:t>
            </w:r>
            <w:r w:rsidRPr="005E78BB">
              <w:rPr>
                <w:rFonts w:ascii="Calibri" w:eastAsia="Times New Roman" w:hAnsi="Calibri" w:cs="Calibri"/>
                <w:color w:val="000000"/>
                <w:sz w:val="18"/>
                <w:szCs w:val="18"/>
                <w:lang w:eastAsia="pl-PL"/>
              </w:rPr>
              <w:br w:type="page"/>
              <w:t>Natomiast działania w ramach „Działanie na IIaPGW” są dla nas całkowicie niezrozumiałe.</w:t>
            </w:r>
            <w:r w:rsidRPr="005E78BB">
              <w:rPr>
                <w:rFonts w:ascii="Calibri" w:eastAsia="Times New Roman" w:hAnsi="Calibri" w:cs="Calibri"/>
                <w:color w:val="000000"/>
                <w:sz w:val="18"/>
                <w:szCs w:val="18"/>
                <w:lang w:eastAsia="pl-PL"/>
              </w:rPr>
              <w:br w:type="page"/>
              <w:t>Żadne działanie z aPWŚKW nie zostało wykonane, dodatkowo działanie i wpływ budowli na migracje ryb jest znany. Nadmieniamy ze w2016 roku zostały podjęte działania w celu modernizacji stopni, po wielu wizjach lokalnych powstało opracowanie ( studium koncepcyjne ) z którego wynika potrzeba udrożnienia omawianej przepławki. Lokalnie wiedza na temat wpływu obiektu na migracje jest znana i także zgłaszana do RZGW w Krakowie.</w:t>
            </w:r>
            <w:r w:rsidRPr="005E78BB">
              <w:rPr>
                <w:rFonts w:ascii="Calibri" w:eastAsia="Times New Roman" w:hAnsi="Calibri" w:cs="Calibri"/>
                <w:color w:val="000000"/>
                <w:sz w:val="18"/>
                <w:szCs w:val="18"/>
                <w:lang w:eastAsia="pl-PL"/>
              </w:rPr>
              <w:br w:type="page"/>
              <w:t>Dodatkowo nadmieniamy że wizja lokalna na obiekcie ( przepławka wyłączana na okres zimowy, widoczne prędkości przepływu, wahania poziomu przepływu w zależności od wysokości piętrzenia, erozja denna poniżej zapory, problem z prądem wabiącym ) pozwala jednoznacznie określić że przepławka nie jest drożna dla wszystkich ryb.</w:t>
            </w:r>
            <w:r w:rsidRPr="005E78BB">
              <w:rPr>
                <w:rFonts w:ascii="Calibri" w:eastAsia="Times New Roman" w:hAnsi="Calibri" w:cs="Calibri"/>
                <w:color w:val="000000"/>
                <w:sz w:val="18"/>
                <w:szCs w:val="18"/>
                <w:lang w:eastAsia="pl-PL"/>
              </w:rPr>
              <w:br w:type="page"/>
              <w:t>Oczekujemy podjęcia długo oczekiwanych działań inwestycyjnych.</w:t>
            </w:r>
            <w:r w:rsidRPr="005E78BB">
              <w:rPr>
                <w:rFonts w:ascii="Calibri" w:eastAsia="Times New Roman" w:hAnsi="Calibri" w:cs="Calibri"/>
                <w:color w:val="000000"/>
                <w:sz w:val="18"/>
                <w:szCs w:val="18"/>
                <w:lang w:eastAsia="pl-PL"/>
              </w:rPr>
              <w:br w:type="page"/>
              <w:t>Dlatego też składamy propozycje zmian w „Działanie na IIaPGW”</w:t>
            </w:r>
            <w:r w:rsidRPr="005E78BB">
              <w:rPr>
                <w:rFonts w:ascii="Calibri" w:eastAsia="Times New Roman" w:hAnsi="Calibri" w:cs="Calibri"/>
                <w:color w:val="000000"/>
                <w:sz w:val="18"/>
                <w:szCs w:val="18"/>
                <w:lang w:eastAsia="pl-PL"/>
              </w:rPr>
              <w:br w:type="page"/>
              <w:t xml:space="preserve">Modernizacja przepławki do wymagań stawianych obecnie budowanym przepławkom, praca przez cały rok-zapewni migracje dla wszystkich gatunków ryb występujących w Dunajcu, łącznie z gatunkami mogącymi występować </w:t>
            </w:r>
            <w:r w:rsidRPr="005E78BB">
              <w:rPr>
                <w:rFonts w:ascii="Calibri" w:eastAsia="Times New Roman" w:hAnsi="Calibri" w:cs="Calibri"/>
                <w:color w:val="000000"/>
                <w:sz w:val="18"/>
                <w:szCs w:val="18"/>
                <w:lang w:eastAsia="pl-PL"/>
              </w:rPr>
              <w:lastRenderedPageBreak/>
              <w:t>potencjalnie w przyszłości: łosoś, troć wędrowna, umożliwi migrację lokalną z jeziorem Czchowskim, Rożnowskim, przywróci spójność sieci obszarów Natura 2000, wzmocni odporność na głębokie i długotrwające niżówki, pozwoli na ochronę siedlisk przyrodniczych i gatunków wchodzących w skład ekosystemu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załączniku w formie połączonego jednego plku PDF studium oraz wykaz zmian w „Zal_4_WykazBudowli_ZD_Mod_Wisla_Errata” - ostatnia strona załącznika (zmiany/uzupełnienia są zaznaczone pomarańczowym wypełnieniem) .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2FA9A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133-136_PZW_Tarnów_Wisła</w:t>
            </w:r>
          </w:p>
        </w:tc>
        <w:tc>
          <w:tcPr>
            <w:tcW w:w="1276" w:type="dxa"/>
            <w:shd w:val="clear" w:color="auto" w:fill="auto"/>
            <w:hideMark/>
          </w:tcPr>
          <w:p w14:paraId="03092E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238A6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działania IIaPGW na podstawie przesłanych informacji.</w:t>
            </w:r>
          </w:p>
        </w:tc>
      </w:tr>
      <w:tr w:rsidR="0085319C" w:rsidRPr="005E78BB" w14:paraId="4092E9C4" w14:textId="77777777" w:rsidTr="00E92AE6">
        <w:trPr>
          <w:trHeight w:val="454"/>
        </w:trPr>
        <w:tc>
          <w:tcPr>
            <w:tcW w:w="562" w:type="dxa"/>
            <w:shd w:val="clear" w:color="auto" w:fill="auto"/>
            <w:hideMark/>
          </w:tcPr>
          <w:p w14:paraId="6BC7989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137</w:t>
            </w:r>
          </w:p>
        </w:tc>
        <w:tc>
          <w:tcPr>
            <w:tcW w:w="1021" w:type="dxa"/>
          </w:tcPr>
          <w:p w14:paraId="5D88CEC4" w14:textId="5FF27C5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7C62CC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54FB2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zakresu działań w ramach IIaPGW, dodatkowe uwagi, uzupełnienie podstawowych informacji dla  budowli w załączniku: „Zal_4_WykazBudowli_ZD_Mod_Wisla_Errata” Numer budowli w załączniku: „Identyfikator budowli w IIaPGW: 7407”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otrzymania uwagi</w:t>
            </w:r>
          </w:p>
        </w:tc>
        <w:tc>
          <w:tcPr>
            <w:tcW w:w="3377" w:type="dxa"/>
            <w:shd w:val="clear" w:color="auto" w:fill="auto"/>
            <w:hideMark/>
          </w:tcPr>
          <w:p w14:paraId="0D7F6C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Kolumna (AI): 0,8, </w:t>
            </w:r>
            <w:r w:rsidRPr="005E78BB">
              <w:rPr>
                <w:rFonts w:ascii="Calibri" w:eastAsia="Times New Roman" w:hAnsi="Calibri" w:cs="Calibri"/>
                <w:color w:val="000000"/>
                <w:sz w:val="18"/>
                <w:szCs w:val="18"/>
                <w:lang w:eastAsia="pl-PL"/>
              </w:rPr>
              <w:br/>
              <w:t>Kolumna (AL): nie,</w:t>
            </w:r>
            <w:r w:rsidRPr="005E78BB">
              <w:rPr>
                <w:rFonts w:ascii="Calibri" w:eastAsia="Times New Roman" w:hAnsi="Calibri" w:cs="Calibri"/>
                <w:color w:val="000000"/>
                <w:sz w:val="18"/>
                <w:szCs w:val="18"/>
                <w:lang w:eastAsia="pl-PL"/>
              </w:rPr>
              <w:br/>
              <w:t xml:space="preserve">Kolumna (AQ): NIE, </w:t>
            </w:r>
            <w:r w:rsidRPr="005E78BB">
              <w:rPr>
                <w:rFonts w:ascii="Calibri" w:eastAsia="Times New Roman" w:hAnsi="Calibri" w:cs="Calibri"/>
                <w:color w:val="000000"/>
                <w:sz w:val="18"/>
                <w:szCs w:val="18"/>
                <w:lang w:eastAsia="pl-PL"/>
              </w:rPr>
              <w:br/>
              <w:t xml:space="preserve">Kolumna (AS): Nie jest monitorowana, </w:t>
            </w:r>
            <w:r w:rsidRPr="005E78BB">
              <w:rPr>
                <w:rFonts w:ascii="Calibri" w:eastAsia="Times New Roman" w:hAnsi="Calibri" w:cs="Calibri"/>
                <w:color w:val="000000"/>
                <w:sz w:val="18"/>
                <w:szCs w:val="18"/>
                <w:lang w:eastAsia="pl-PL"/>
              </w:rPr>
              <w:br/>
              <w:t>Kolumna (AV): brak przepławki do migracji ryb, Jaz powłokowy, ujęcie wody dla elektrowni Połaniec, maksymalne piętrzenie do 0,8, powinny być co najmniej dwie przepławki</w:t>
            </w:r>
            <w:r w:rsidRPr="005E78BB">
              <w:rPr>
                <w:rFonts w:ascii="Calibri" w:eastAsia="Times New Roman" w:hAnsi="Calibri" w:cs="Calibri"/>
                <w:color w:val="000000"/>
                <w:sz w:val="18"/>
                <w:szCs w:val="18"/>
                <w:lang w:eastAsia="pl-PL"/>
              </w:rPr>
              <w:br/>
              <w:t>Kolumna (AW): 0,8,</w:t>
            </w:r>
            <w:r w:rsidRPr="005E78BB">
              <w:rPr>
                <w:rFonts w:ascii="Calibri" w:eastAsia="Times New Roman" w:hAnsi="Calibri" w:cs="Calibri"/>
                <w:color w:val="000000"/>
                <w:sz w:val="18"/>
                <w:szCs w:val="18"/>
                <w:lang w:eastAsia="pl-PL"/>
              </w:rPr>
              <w:br/>
              <w:t>Kolumna (BB):</w:t>
            </w:r>
            <w:r w:rsidRPr="005E78BB">
              <w:rPr>
                <w:rFonts w:ascii="Calibri" w:eastAsia="Times New Roman" w:hAnsi="Calibri" w:cs="Calibri"/>
                <w:color w:val="000000"/>
                <w:sz w:val="18"/>
                <w:szCs w:val="18"/>
                <w:lang w:eastAsia="pl-PL"/>
              </w:rPr>
              <w:br/>
              <w:t>Kolumna (BC):</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Dodatkowo uważamy że Priorytetyzacja działań dla budowli  powinna być dużo wyższa- Kolumna ( BX ), ze względu na wpływ na Górną Wisłę i jej dorzeczy,</w:t>
            </w:r>
          </w:p>
        </w:tc>
        <w:tc>
          <w:tcPr>
            <w:tcW w:w="3401" w:type="dxa"/>
            <w:shd w:val="clear" w:color="auto" w:fill="auto"/>
            <w:hideMark/>
          </w:tcPr>
          <w:p w14:paraId="6C727D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Podane informacje na temat budowli ogólnodostępne</w:t>
            </w:r>
            <w:r w:rsidRPr="005E78BB">
              <w:rPr>
                <w:rFonts w:ascii="Calibri" w:eastAsia="Times New Roman" w:hAnsi="Calibri" w:cs="Calibri"/>
                <w:color w:val="000000"/>
                <w:sz w:val="18"/>
                <w:szCs w:val="18"/>
                <w:lang w:eastAsia="pl-PL"/>
              </w:rPr>
              <w:br/>
              <w:t xml:space="preserve">Bariery migracyjne na rzece Wisła powinny umożliwiać pełną migrację w górę i w dół, dla dużych i małych ryb wszystkich gatunków występujących w Wiśle niezależnie od stanu wód, nawet przy długich niżówkach. I co BARDZO WAŻNE przez zastosowanie dwóch, trzech rodzajów/lokalizacji przepławek ( w zależności od szerokości rzeki ). Takie założenia powinny spełniać bariery migracyjne jeżeli są one już konieczne na takich rzekach jak Wisła żeby dać realną szanse na dotarcie rybom ( w odpowiednim czasie i ilości ) do Górnej Wisły i jej dorzeczy (doświadczenia po budowie Włocławka ) </w:t>
            </w:r>
            <w:r w:rsidRPr="005E78BB">
              <w:rPr>
                <w:rFonts w:ascii="Calibri" w:eastAsia="Times New Roman" w:hAnsi="Calibri" w:cs="Calibri"/>
                <w:color w:val="000000"/>
                <w:sz w:val="18"/>
                <w:szCs w:val="18"/>
                <w:lang w:eastAsia="pl-PL"/>
              </w:rPr>
              <w:br/>
              <w:t>https://www.enea.pl/pl/grupaenea/o-grupie/spolki-grupy-enea/polaniec/informacja-dla-turystow-wodnych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wykaz zmian w „Zal_4_WykazBudowli_ZD_Mod_Wisla_Errata” - ostatnia strona załącznika (zmiany/uzupełnienia są zaznaczone pomarańczowym wypełnieniem) . </w:t>
            </w:r>
          </w:p>
        </w:tc>
        <w:tc>
          <w:tcPr>
            <w:tcW w:w="1918" w:type="dxa"/>
            <w:shd w:val="clear" w:color="auto" w:fill="auto"/>
            <w:hideMark/>
          </w:tcPr>
          <w:p w14:paraId="7F542B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137_PZW_Tarnów_Wisła</w:t>
            </w:r>
          </w:p>
        </w:tc>
        <w:tc>
          <w:tcPr>
            <w:tcW w:w="1276" w:type="dxa"/>
            <w:shd w:val="clear" w:color="auto" w:fill="auto"/>
            <w:hideMark/>
          </w:tcPr>
          <w:p w14:paraId="5B271C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677E4D8" w14:textId="0533B7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przekazanych informacji na temat statusu działań z aPWŚK zaktualizowano działanie dla wskazanej budowli oraz zestaw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1E130C69" w14:textId="77777777" w:rsidTr="00E92AE6">
        <w:trPr>
          <w:trHeight w:val="454"/>
        </w:trPr>
        <w:tc>
          <w:tcPr>
            <w:tcW w:w="562" w:type="dxa"/>
            <w:shd w:val="clear" w:color="auto" w:fill="auto"/>
            <w:hideMark/>
          </w:tcPr>
          <w:p w14:paraId="5F1EDFF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w:t>
            </w:r>
          </w:p>
        </w:tc>
        <w:tc>
          <w:tcPr>
            <w:tcW w:w="1021" w:type="dxa"/>
          </w:tcPr>
          <w:p w14:paraId="61FBB7EA" w14:textId="7498392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635AC3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C114F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Nowa budowla ( wraz z uzupełnieniem podstawowych informacjami, uwagami i propozycją działań w ramach IIaPGW ) do załącznika: „Zal_4_WykazBudowli_ZD_Mod_Wisla_Errata”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zgłoszenia uwagi</w:t>
            </w:r>
          </w:p>
        </w:tc>
        <w:tc>
          <w:tcPr>
            <w:tcW w:w="3377" w:type="dxa"/>
            <w:shd w:val="clear" w:color="auto" w:fill="auto"/>
            <w:hideMark/>
          </w:tcPr>
          <w:p w14:paraId="2F13E2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RW200004214769, </w:t>
            </w:r>
            <w:r w:rsidRPr="005E78BB">
              <w:rPr>
                <w:rFonts w:ascii="Calibri" w:eastAsia="Times New Roman" w:hAnsi="Calibri" w:cs="Calibri"/>
                <w:color w:val="000000"/>
                <w:sz w:val="18"/>
                <w:szCs w:val="18"/>
                <w:lang w:eastAsia="pl-PL"/>
              </w:rPr>
              <w:br/>
              <w:t>Kolumna D (4): Paleśnianka,</w:t>
            </w:r>
            <w:r w:rsidRPr="005E78BB">
              <w:rPr>
                <w:rFonts w:ascii="Calibri" w:eastAsia="Times New Roman" w:hAnsi="Calibri" w:cs="Calibri"/>
                <w:color w:val="000000"/>
                <w:sz w:val="18"/>
                <w:szCs w:val="18"/>
                <w:lang w:eastAsia="pl-PL"/>
              </w:rPr>
              <w:br/>
              <w:t>Kolumna E (5): Paleśnianka,</w:t>
            </w:r>
            <w:r w:rsidRPr="005E78BB">
              <w:rPr>
                <w:rFonts w:ascii="Calibri" w:eastAsia="Times New Roman" w:hAnsi="Calibri" w:cs="Calibri"/>
                <w:color w:val="000000"/>
                <w:sz w:val="18"/>
                <w:szCs w:val="18"/>
                <w:lang w:eastAsia="pl-PL"/>
              </w:rPr>
              <w:br/>
              <w:t>Kolumna G (7): próg w Lusławicach przy ujściu,</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Górnej-Zachodniej Wisły,</w:t>
            </w:r>
            <w:r w:rsidRPr="005E78BB">
              <w:rPr>
                <w:rFonts w:ascii="Calibri" w:eastAsia="Times New Roman" w:hAnsi="Calibri" w:cs="Calibri"/>
                <w:color w:val="000000"/>
                <w:sz w:val="18"/>
                <w:szCs w:val="18"/>
                <w:lang w:eastAsia="pl-PL"/>
              </w:rPr>
              <w:br/>
              <w:t>Kolumna J (10): Kraków,</w:t>
            </w:r>
            <w:r w:rsidRPr="005E78BB">
              <w:rPr>
                <w:rFonts w:ascii="Calibri" w:eastAsia="Times New Roman" w:hAnsi="Calibri" w:cs="Calibri"/>
                <w:color w:val="000000"/>
                <w:sz w:val="18"/>
                <w:szCs w:val="18"/>
                <w:lang w:eastAsia="pl-PL"/>
              </w:rPr>
              <w:br/>
              <w:t>Kolumna K (11): 630469,</w:t>
            </w:r>
            <w:r w:rsidRPr="005E78BB">
              <w:rPr>
                <w:rFonts w:ascii="Calibri" w:eastAsia="Times New Roman" w:hAnsi="Calibri" w:cs="Calibri"/>
                <w:color w:val="000000"/>
                <w:sz w:val="18"/>
                <w:szCs w:val="18"/>
                <w:lang w:eastAsia="pl-PL"/>
              </w:rPr>
              <w:br/>
              <w:t>Kolumna L (12): 223097,</w:t>
            </w:r>
            <w:r w:rsidRPr="005E78BB">
              <w:rPr>
                <w:rFonts w:ascii="Calibri" w:eastAsia="Times New Roman" w:hAnsi="Calibri" w:cs="Calibri"/>
                <w:color w:val="000000"/>
                <w:sz w:val="18"/>
                <w:szCs w:val="18"/>
                <w:lang w:eastAsia="pl-PL"/>
              </w:rPr>
              <w:br/>
              <w:t xml:space="preserve">Kolumna AI (35): 1, </w:t>
            </w:r>
            <w:r w:rsidRPr="005E78BB">
              <w:rPr>
                <w:rFonts w:ascii="Calibri" w:eastAsia="Times New Roman" w:hAnsi="Calibri" w:cs="Calibri"/>
                <w:color w:val="000000"/>
                <w:sz w:val="18"/>
                <w:szCs w:val="18"/>
                <w:lang w:eastAsia="pl-PL"/>
              </w:rPr>
              <w:br/>
              <w:t xml:space="preserve">Kolumna AJ (36):NIE, </w:t>
            </w:r>
            <w:r w:rsidRPr="005E78BB">
              <w:rPr>
                <w:rFonts w:ascii="Calibri" w:eastAsia="Times New Roman" w:hAnsi="Calibri" w:cs="Calibri"/>
                <w:color w:val="000000"/>
                <w:sz w:val="18"/>
                <w:szCs w:val="18"/>
                <w:lang w:eastAsia="pl-PL"/>
              </w:rPr>
              <w:br/>
              <w:t>Kolumna AL (38): nie,</w:t>
            </w:r>
            <w:r w:rsidRPr="005E78BB">
              <w:rPr>
                <w:rFonts w:ascii="Calibri" w:eastAsia="Times New Roman" w:hAnsi="Calibri" w:cs="Calibri"/>
                <w:color w:val="000000"/>
                <w:sz w:val="18"/>
                <w:szCs w:val="18"/>
                <w:lang w:eastAsia="pl-PL"/>
              </w:rPr>
              <w:br/>
              <w:t xml:space="preserve">Kolumna AP (42): NIE, </w:t>
            </w:r>
            <w:r w:rsidRPr="005E78BB">
              <w:rPr>
                <w:rFonts w:ascii="Calibri" w:eastAsia="Times New Roman" w:hAnsi="Calibri" w:cs="Calibri"/>
                <w:color w:val="000000"/>
                <w:sz w:val="18"/>
                <w:szCs w:val="18"/>
                <w:lang w:eastAsia="pl-PL"/>
              </w:rPr>
              <w:br/>
              <w:t xml:space="preserve">Kolumna AQ (43): NIE, </w:t>
            </w:r>
            <w:r w:rsidRPr="005E78BB">
              <w:rPr>
                <w:rFonts w:ascii="Calibri" w:eastAsia="Times New Roman" w:hAnsi="Calibri" w:cs="Calibri"/>
                <w:color w:val="000000"/>
                <w:sz w:val="18"/>
                <w:szCs w:val="18"/>
                <w:lang w:eastAsia="pl-PL"/>
              </w:rPr>
              <w:br/>
              <w:t xml:space="preserve">Kolumna AS (45): Nie jest monitorowana,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Kolumna AV (48): brak przepławki do migracji ryb,</w:t>
            </w:r>
            <w:r w:rsidRPr="005E78BB">
              <w:rPr>
                <w:rFonts w:ascii="Calibri" w:eastAsia="Times New Roman" w:hAnsi="Calibri" w:cs="Calibri"/>
                <w:color w:val="000000"/>
                <w:sz w:val="18"/>
                <w:szCs w:val="18"/>
                <w:lang w:eastAsia="pl-PL"/>
              </w:rPr>
              <w:br/>
              <w:t>Kolumna AW (49): 1,</w:t>
            </w:r>
            <w:r w:rsidRPr="005E78BB">
              <w:rPr>
                <w:rFonts w:ascii="Calibri" w:eastAsia="Times New Roman" w:hAnsi="Calibri" w:cs="Calibri"/>
                <w:color w:val="000000"/>
                <w:sz w:val="18"/>
                <w:szCs w:val="18"/>
                <w:lang w:eastAsia="pl-PL"/>
              </w:rPr>
              <w:br/>
              <w:t>Kolumna AX (50): N,</w:t>
            </w:r>
            <w:r w:rsidRPr="005E78BB">
              <w:rPr>
                <w:rFonts w:ascii="Calibri" w:eastAsia="Times New Roman" w:hAnsi="Calibri" w:cs="Calibri"/>
                <w:color w:val="000000"/>
                <w:sz w:val="18"/>
                <w:szCs w:val="18"/>
                <w:lang w:eastAsia="pl-PL"/>
              </w:rPr>
              <w:br/>
              <w:t>Kolumna BB (54): Analiza możliwości przebudowy budowli piętrzących w zakresie zapewniającym ciągłość biologiczną i spełnienie celów środowiskowych. Realizacja działań zgodnie z przeprowadzoną analizą.</w:t>
            </w:r>
          </w:p>
        </w:tc>
        <w:tc>
          <w:tcPr>
            <w:tcW w:w="3401" w:type="dxa"/>
            <w:shd w:val="clear" w:color="auto" w:fill="auto"/>
            <w:hideMark/>
          </w:tcPr>
          <w:p w14:paraId="28DC64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Próg nie jest drożny dla ryb, stanowi istotną bariere migracyjną, a nie jest ujęty w wykazie budowli.</w:t>
            </w:r>
            <w:r w:rsidRPr="005E78BB">
              <w:rPr>
                <w:rFonts w:ascii="Calibri" w:eastAsia="Times New Roman" w:hAnsi="Calibri" w:cs="Calibri"/>
                <w:color w:val="000000"/>
                <w:sz w:val="18"/>
                <w:szCs w:val="18"/>
                <w:lang w:eastAsia="pl-PL"/>
              </w:rPr>
              <w:br/>
              <w:t>Informacja o wysokości piętrzenia-pomiar dokonany w terenie przy średnim niskim przepływie.</w:t>
            </w:r>
            <w:r w:rsidRPr="005E78BB">
              <w:rPr>
                <w:rFonts w:ascii="Calibri" w:eastAsia="Times New Roman" w:hAnsi="Calibri" w:cs="Calibri"/>
                <w:color w:val="000000"/>
                <w:sz w:val="18"/>
                <w:szCs w:val="18"/>
                <w:lang w:eastAsia="pl-PL"/>
              </w:rPr>
              <w:br/>
              <w:t>Pozostałe informacje na temat budowli-na podstawie posiadanej wiedzy na temat obiektu, wizji lokalnej na obiekcie.</w:t>
            </w:r>
            <w:r w:rsidRPr="005E78BB">
              <w:rPr>
                <w:rFonts w:ascii="Calibri" w:eastAsia="Times New Roman" w:hAnsi="Calibri" w:cs="Calibri"/>
                <w:color w:val="000000"/>
                <w:sz w:val="18"/>
                <w:szCs w:val="18"/>
                <w:lang w:eastAsia="pl-PL"/>
              </w:rPr>
              <w:br/>
              <w:t xml:space="preserve">Udrożnienie dwóch progów w Lusławicach i renaturalizacja ujściowego odcinka Paleśnianki stanowią działania ochronne A3 zarządzenia z dnia 21 lutego 2017 roku w sprawie ustanowienia planu zadań ochronnych dla obszaru Natura 2000Dolny Dunajec PLH120085. Przedmiot ochrony  (1096 minóg strumieniowy (Lampetra </w:t>
            </w:r>
            <w:r w:rsidRPr="005E78BB">
              <w:rPr>
                <w:rFonts w:ascii="Calibri" w:eastAsia="Times New Roman" w:hAnsi="Calibri" w:cs="Calibri"/>
                <w:color w:val="000000"/>
                <w:sz w:val="18"/>
                <w:szCs w:val="18"/>
                <w:lang w:eastAsia="pl-PL"/>
              </w:rPr>
              <w:lastRenderedPageBreak/>
              <w:t xml:space="preserve">planeri)1138 brzanka (Barbus meridionalis) [= 5264 Barbus carpathicus] ) </w:t>
            </w:r>
            <w:r w:rsidRPr="005E78BB">
              <w:rPr>
                <w:rFonts w:ascii="Calibri" w:eastAsia="Times New Roman" w:hAnsi="Calibri" w:cs="Calibri"/>
                <w:color w:val="000000"/>
                <w:sz w:val="18"/>
                <w:szCs w:val="18"/>
                <w:lang w:eastAsia="pl-PL"/>
              </w:rPr>
              <w:br/>
              <w:t>Potok Paleśnianka jest matecznikiem, objęty jest obrębem ochronnym, bardzo dobre warunki do tarła i rozwoju narybku, niestety nie zapewnia migracji z rzeki Dunajec</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2A122B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138-145_PZW_Tarnów_Wisła</w:t>
            </w:r>
          </w:p>
        </w:tc>
        <w:tc>
          <w:tcPr>
            <w:tcW w:w="1276" w:type="dxa"/>
            <w:shd w:val="clear" w:color="auto" w:fill="auto"/>
            <w:hideMark/>
          </w:tcPr>
          <w:p w14:paraId="161559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C100816" w14:textId="5A7203A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Wprowadzenie działania dla wskazanej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5FDE6273" w14:textId="77777777" w:rsidTr="00E92AE6">
        <w:trPr>
          <w:trHeight w:val="454"/>
        </w:trPr>
        <w:tc>
          <w:tcPr>
            <w:tcW w:w="562" w:type="dxa"/>
            <w:shd w:val="clear" w:color="auto" w:fill="auto"/>
            <w:hideMark/>
          </w:tcPr>
          <w:p w14:paraId="5BCFD88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139</w:t>
            </w:r>
          </w:p>
        </w:tc>
        <w:tc>
          <w:tcPr>
            <w:tcW w:w="1021" w:type="dxa"/>
          </w:tcPr>
          <w:p w14:paraId="686D8C37" w14:textId="0ED514B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733FF4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7A350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Nowa budowla ( wraz z uzupełnieniem podstawowych informacjami, uwagami i propozycją działań w ramach IIaPGW ) do załącznika: „Zal_4_WykazBudowli_ZD_Mod_Wisla_Errata”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zwrotne potwierdzenie zgłoszenia uwagi</w:t>
            </w:r>
          </w:p>
        </w:tc>
        <w:tc>
          <w:tcPr>
            <w:tcW w:w="3377" w:type="dxa"/>
            <w:shd w:val="clear" w:color="auto" w:fill="auto"/>
            <w:hideMark/>
          </w:tcPr>
          <w:p w14:paraId="4F5737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ype="page"/>
              <w:t xml:space="preserve">Kolumna C (3): RW200004214769, </w:t>
            </w:r>
            <w:r w:rsidRPr="005E78BB">
              <w:rPr>
                <w:rFonts w:ascii="Calibri" w:eastAsia="Times New Roman" w:hAnsi="Calibri" w:cs="Calibri"/>
                <w:color w:val="000000"/>
                <w:sz w:val="18"/>
                <w:szCs w:val="18"/>
                <w:lang w:eastAsia="pl-PL"/>
              </w:rPr>
              <w:br w:type="page"/>
              <w:t>Kolumna D (4): Paleśnianka,</w:t>
            </w:r>
            <w:r w:rsidRPr="005E78BB">
              <w:rPr>
                <w:rFonts w:ascii="Calibri" w:eastAsia="Times New Roman" w:hAnsi="Calibri" w:cs="Calibri"/>
                <w:color w:val="000000"/>
                <w:sz w:val="18"/>
                <w:szCs w:val="18"/>
                <w:lang w:eastAsia="pl-PL"/>
              </w:rPr>
              <w:br w:type="page"/>
              <w:t>Kolumna E (5): Paleśnianka,</w:t>
            </w:r>
            <w:r w:rsidRPr="005E78BB">
              <w:rPr>
                <w:rFonts w:ascii="Calibri" w:eastAsia="Times New Roman" w:hAnsi="Calibri" w:cs="Calibri"/>
                <w:color w:val="000000"/>
                <w:sz w:val="18"/>
                <w:szCs w:val="18"/>
                <w:lang w:eastAsia="pl-PL"/>
              </w:rPr>
              <w:br w:type="page"/>
              <w:t>Kolumna G (7): próg w Lusławicach,</w:t>
            </w:r>
            <w:r w:rsidRPr="005E78BB">
              <w:rPr>
                <w:rFonts w:ascii="Calibri" w:eastAsia="Times New Roman" w:hAnsi="Calibri" w:cs="Calibri"/>
                <w:color w:val="000000"/>
                <w:sz w:val="18"/>
                <w:szCs w:val="18"/>
                <w:lang w:eastAsia="pl-PL"/>
              </w:rPr>
              <w:br w:type="page"/>
              <w:t>Kolumna H (8): Wisła,</w:t>
            </w:r>
            <w:r w:rsidRPr="005E78BB">
              <w:rPr>
                <w:rFonts w:ascii="Calibri" w:eastAsia="Times New Roman" w:hAnsi="Calibri" w:cs="Calibri"/>
                <w:color w:val="000000"/>
                <w:sz w:val="18"/>
                <w:szCs w:val="18"/>
                <w:lang w:eastAsia="pl-PL"/>
              </w:rPr>
              <w:br w:type="page"/>
              <w:t>Kolumna I (9): Górnej-Zachodniej Wisły,</w:t>
            </w:r>
            <w:r w:rsidRPr="005E78BB">
              <w:rPr>
                <w:rFonts w:ascii="Calibri" w:eastAsia="Times New Roman" w:hAnsi="Calibri" w:cs="Calibri"/>
                <w:color w:val="000000"/>
                <w:sz w:val="18"/>
                <w:szCs w:val="18"/>
                <w:lang w:eastAsia="pl-PL"/>
              </w:rPr>
              <w:br w:type="page"/>
              <w:t>Kolumna J (10): Kraków,</w:t>
            </w:r>
            <w:r w:rsidRPr="005E78BB">
              <w:rPr>
                <w:rFonts w:ascii="Calibri" w:eastAsia="Times New Roman" w:hAnsi="Calibri" w:cs="Calibri"/>
                <w:color w:val="000000"/>
                <w:sz w:val="18"/>
                <w:szCs w:val="18"/>
                <w:lang w:eastAsia="pl-PL"/>
              </w:rPr>
              <w:br w:type="page"/>
              <w:t>Kolumna K (11): 630842,</w:t>
            </w:r>
            <w:r w:rsidRPr="005E78BB">
              <w:rPr>
                <w:rFonts w:ascii="Calibri" w:eastAsia="Times New Roman" w:hAnsi="Calibri" w:cs="Calibri"/>
                <w:color w:val="000000"/>
                <w:sz w:val="18"/>
                <w:szCs w:val="18"/>
                <w:lang w:eastAsia="pl-PL"/>
              </w:rPr>
              <w:br w:type="page"/>
              <w:t>Kolumna L (12): 222563,</w:t>
            </w:r>
            <w:r w:rsidRPr="005E78BB">
              <w:rPr>
                <w:rFonts w:ascii="Calibri" w:eastAsia="Times New Roman" w:hAnsi="Calibri" w:cs="Calibri"/>
                <w:color w:val="000000"/>
                <w:sz w:val="18"/>
                <w:szCs w:val="18"/>
                <w:lang w:eastAsia="pl-PL"/>
              </w:rPr>
              <w:br w:type="page"/>
              <w:t xml:space="preserve">Kolumna AI(35): 1,3, </w:t>
            </w:r>
            <w:r w:rsidRPr="005E78BB">
              <w:rPr>
                <w:rFonts w:ascii="Calibri" w:eastAsia="Times New Roman" w:hAnsi="Calibri" w:cs="Calibri"/>
                <w:color w:val="000000"/>
                <w:sz w:val="18"/>
                <w:szCs w:val="18"/>
                <w:lang w:eastAsia="pl-PL"/>
              </w:rPr>
              <w:br w:type="page"/>
              <w:t xml:space="preserve">Kolumna AJ(36): NIE, </w:t>
            </w:r>
            <w:r w:rsidRPr="005E78BB">
              <w:rPr>
                <w:rFonts w:ascii="Calibri" w:eastAsia="Times New Roman" w:hAnsi="Calibri" w:cs="Calibri"/>
                <w:color w:val="000000"/>
                <w:sz w:val="18"/>
                <w:szCs w:val="18"/>
                <w:lang w:eastAsia="pl-PL"/>
              </w:rPr>
              <w:br w:type="page"/>
              <w:t>Kolumna AL (38): nie,</w:t>
            </w:r>
            <w:r w:rsidRPr="005E78BB">
              <w:rPr>
                <w:rFonts w:ascii="Calibri" w:eastAsia="Times New Roman" w:hAnsi="Calibri" w:cs="Calibri"/>
                <w:color w:val="000000"/>
                <w:sz w:val="18"/>
                <w:szCs w:val="18"/>
                <w:lang w:eastAsia="pl-PL"/>
              </w:rPr>
              <w:br w:type="page"/>
              <w:t xml:space="preserve">Kolumna AP (42): NIE, </w:t>
            </w:r>
            <w:r w:rsidRPr="005E78BB">
              <w:rPr>
                <w:rFonts w:ascii="Calibri" w:eastAsia="Times New Roman" w:hAnsi="Calibri" w:cs="Calibri"/>
                <w:color w:val="000000"/>
                <w:sz w:val="18"/>
                <w:szCs w:val="18"/>
                <w:lang w:eastAsia="pl-PL"/>
              </w:rPr>
              <w:br w:type="page"/>
              <w:t xml:space="preserve">Kolumna AQ(43): NIE, </w:t>
            </w:r>
            <w:r w:rsidRPr="005E78BB">
              <w:rPr>
                <w:rFonts w:ascii="Calibri" w:eastAsia="Times New Roman" w:hAnsi="Calibri" w:cs="Calibri"/>
                <w:color w:val="000000"/>
                <w:sz w:val="18"/>
                <w:szCs w:val="18"/>
                <w:lang w:eastAsia="pl-PL"/>
              </w:rPr>
              <w:br w:type="page"/>
              <w:t xml:space="preserve">Kolumna AS(45): Nie jest monitorowana, </w:t>
            </w:r>
            <w:r w:rsidRPr="005E78BB">
              <w:rPr>
                <w:rFonts w:ascii="Calibri" w:eastAsia="Times New Roman" w:hAnsi="Calibri" w:cs="Calibri"/>
                <w:color w:val="000000"/>
                <w:sz w:val="18"/>
                <w:szCs w:val="18"/>
                <w:lang w:eastAsia="pl-PL"/>
              </w:rPr>
              <w:br w:type="page"/>
              <w:t>Kolumna AV(48): brak przepławki do migracji ryb,</w:t>
            </w:r>
            <w:r w:rsidRPr="005E78BB">
              <w:rPr>
                <w:rFonts w:ascii="Calibri" w:eastAsia="Times New Roman" w:hAnsi="Calibri" w:cs="Calibri"/>
                <w:color w:val="000000"/>
                <w:sz w:val="18"/>
                <w:szCs w:val="18"/>
                <w:lang w:eastAsia="pl-PL"/>
              </w:rPr>
              <w:br w:type="page"/>
              <w:t>Kolumna AW(49): 1,3,</w:t>
            </w:r>
            <w:r w:rsidRPr="005E78BB">
              <w:rPr>
                <w:rFonts w:ascii="Calibri" w:eastAsia="Times New Roman" w:hAnsi="Calibri" w:cs="Calibri"/>
                <w:color w:val="000000"/>
                <w:sz w:val="18"/>
                <w:szCs w:val="18"/>
                <w:lang w:eastAsia="pl-PL"/>
              </w:rPr>
              <w:br w:type="page"/>
              <w:t>Kolumna AX(50): N,</w:t>
            </w:r>
            <w:r w:rsidRPr="005E78BB">
              <w:rPr>
                <w:rFonts w:ascii="Calibri" w:eastAsia="Times New Roman" w:hAnsi="Calibri" w:cs="Calibri"/>
                <w:color w:val="000000"/>
                <w:sz w:val="18"/>
                <w:szCs w:val="18"/>
                <w:lang w:eastAsia="pl-PL"/>
              </w:rPr>
              <w:br w:type="page"/>
              <w:t>Kolumna BB(54): 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00B2F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Próg nie jest drożny dla ryb, stanowi istotną bariere migracyjną, a nie jest ujęty w wykazie budowli.</w:t>
            </w:r>
            <w:r w:rsidRPr="005E78BB">
              <w:rPr>
                <w:rFonts w:ascii="Calibri" w:eastAsia="Times New Roman" w:hAnsi="Calibri" w:cs="Calibri"/>
                <w:color w:val="000000"/>
                <w:sz w:val="18"/>
                <w:szCs w:val="18"/>
                <w:lang w:eastAsia="pl-PL"/>
              </w:rPr>
              <w:br w:type="page"/>
              <w:t>Informacja o wysokości piętrzenia-pomiar dokonany w terenie przy średnim niskim przepływie.</w:t>
            </w:r>
            <w:r w:rsidRPr="005E78BB">
              <w:rPr>
                <w:rFonts w:ascii="Calibri" w:eastAsia="Times New Roman" w:hAnsi="Calibri" w:cs="Calibri"/>
                <w:color w:val="000000"/>
                <w:sz w:val="18"/>
                <w:szCs w:val="18"/>
                <w:lang w:eastAsia="pl-PL"/>
              </w:rPr>
              <w:br w:type="page"/>
              <w:t>Pozostałe informacje na temat budowli-na podstawie posiadanej wiedzy na temat obiektu, wizji lokalnej na obiekcie.</w:t>
            </w:r>
            <w:r w:rsidRPr="005E78BB">
              <w:rPr>
                <w:rFonts w:ascii="Calibri" w:eastAsia="Times New Roman" w:hAnsi="Calibri" w:cs="Calibri"/>
                <w:color w:val="000000"/>
                <w:sz w:val="18"/>
                <w:szCs w:val="18"/>
                <w:lang w:eastAsia="pl-PL"/>
              </w:rPr>
              <w:br w:type="page"/>
              <w:t xml:space="preserve">Udrożnienie dwóch progów w Lusławicach i renaturalizacja ujściowego odcinka Paleśnianki stanowią działania ochronne A3 zarządzenia z dnia 21 lutego 2017 roku w sprawie ustanowienia planu zadań ochronnych dla obszaru Natura 2000Dolny Dunajec PLH120085. Przedmiot ochrony  (1096 minóg strumieniowy (Lampetra planeri)1138 brzanka (Barbus meridionalis) [= 5264 Barbus carpathicus] ) </w:t>
            </w:r>
            <w:r w:rsidRPr="005E78BB">
              <w:rPr>
                <w:rFonts w:ascii="Calibri" w:eastAsia="Times New Roman" w:hAnsi="Calibri" w:cs="Calibri"/>
                <w:color w:val="000000"/>
                <w:sz w:val="18"/>
                <w:szCs w:val="18"/>
                <w:lang w:eastAsia="pl-PL"/>
              </w:rPr>
              <w:br w:type="page"/>
              <w:t>Potok Paleśnianka jest matecznikiem, objęty jest obrębem ochronnym, bardzo dobre warunki do tarła i rozwoju narybku, niestety nie zapewnia migracji z rzeki Dunajec</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załączniku w formie plIku PDF wykaz zmian w „Zal_4_WykazBudowli_ZD_Mod_Wisla_Errata” - zmiany/uzupełnienia są zaznaczone pomarańczowym wypełnieniem.</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81E15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25208B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C85B0D9" w14:textId="77281A4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Wprowadzenie działania dla wskazanej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572FFF9A" w14:textId="77777777" w:rsidTr="00E92AE6">
        <w:trPr>
          <w:trHeight w:val="454"/>
        </w:trPr>
        <w:tc>
          <w:tcPr>
            <w:tcW w:w="562" w:type="dxa"/>
            <w:shd w:val="clear" w:color="auto" w:fill="auto"/>
            <w:hideMark/>
          </w:tcPr>
          <w:p w14:paraId="7173CC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140</w:t>
            </w:r>
          </w:p>
        </w:tc>
        <w:tc>
          <w:tcPr>
            <w:tcW w:w="1021" w:type="dxa"/>
          </w:tcPr>
          <w:p w14:paraId="6778DB9F" w14:textId="1F89577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1FB844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29E6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zgłoszenia uwagi.</w:t>
            </w:r>
          </w:p>
        </w:tc>
        <w:tc>
          <w:tcPr>
            <w:tcW w:w="3377" w:type="dxa"/>
            <w:shd w:val="clear" w:color="auto" w:fill="auto"/>
            <w:hideMark/>
          </w:tcPr>
          <w:p w14:paraId="117BDB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RW200004214769, </w:t>
            </w:r>
            <w:r w:rsidRPr="005E78BB">
              <w:rPr>
                <w:rFonts w:ascii="Calibri" w:eastAsia="Times New Roman" w:hAnsi="Calibri" w:cs="Calibri"/>
                <w:color w:val="000000"/>
                <w:sz w:val="18"/>
                <w:szCs w:val="18"/>
                <w:lang w:eastAsia="pl-PL"/>
              </w:rPr>
              <w:br/>
              <w:t>Kolumna D (4): Paleśnianka,</w:t>
            </w:r>
            <w:r w:rsidRPr="005E78BB">
              <w:rPr>
                <w:rFonts w:ascii="Calibri" w:eastAsia="Times New Roman" w:hAnsi="Calibri" w:cs="Calibri"/>
                <w:color w:val="000000"/>
                <w:sz w:val="18"/>
                <w:szCs w:val="18"/>
                <w:lang w:eastAsia="pl-PL"/>
              </w:rPr>
              <w:br/>
              <w:t>Kolumna E (5): Paleśnianka,</w:t>
            </w:r>
            <w:r w:rsidRPr="005E78BB">
              <w:rPr>
                <w:rFonts w:ascii="Calibri" w:eastAsia="Times New Roman" w:hAnsi="Calibri" w:cs="Calibri"/>
                <w:color w:val="000000"/>
                <w:sz w:val="18"/>
                <w:szCs w:val="18"/>
                <w:lang w:eastAsia="pl-PL"/>
              </w:rPr>
              <w:br/>
              <w:t>Kolumna G (7): Jaz w m. Bieśnik,</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Górnej-Zachodniej Wisły,</w:t>
            </w:r>
            <w:r w:rsidRPr="005E78BB">
              <w:rPr>
                <w:rFonts w:ascii="Calibri" w:eastAsia="Times New Roman" w:hAnsi="Calibri" w:cs="Calibri"/>
                <w:color w:val="000000"/>
                <w:sz w:val="18"/>
                <w:szCs w:val="18"/>
                <w:lang w:eastAsia="pl-PL"/>
              </w:rPr>
              <w:br/>
              <w:t>Kolumna J (10): Kraków,</w:t>
            </w:r>
            <w:r w:rsidRPr="005E78BB">
              <w:rPr>
                <w:rFonts w:ascii="Calibri" w:eastAsia="Times New Roman" w:hAnsi="Calibri" w:cs="Calibri"/>
                <w:color w:val="000000"/>
                <w:sz w:val="18"/>
                <w:szCs w:val="18"/>
                <w:lang w:eastAsia="pl-PL"/>
              </w:rPr>
              <w:br/>
              <w:t>Kolumna K (11): 629836.64,</w:t>
            </w:r>
            <w:r w:rsidRPr="005E78BB">
              <w:rPr>
                <w:rFonts w:ascii="Calibri" w:eastAsia="Times New Roman" w:hAnsi="Calibri" w:cs="Calibri"/>
                <w:color w:val="000000"/>
                <w:sz w:val="18"/>
                <w:szCs w:val="18"/>
                <w:lang w:eastAsia="pl-PL"/>
              </w:rPr>
              <w:br/>
              <w:t>Kolumna L (12): 218900.44,</w:t>
            </w:r>
            <w:r w:rsidRPr="005E78BB">
              <w:rPr>
                <w:rFonts w:ascii="Calibri" w:eastAsia="Times New Roman" w:hAnsi="Calibri" w:cs="Calibri"/>
                <w:color w:val="000000"/>
                <w:sz w:val="18"/>
                <w:szCs w:val="18"/>
                <w:lang w:eastAsia="pl-PL"/>
              </w:rPr>
              <w:br/>
              <w:t xml:space="preserve">Kolumna AI (35): 2, </w:t>
            </w:r>
            <w:r w:rsidRPr="005E78BB">
              <w:rPr>
                <w:rFonts w:ascii="Calibri" w:eastAsia="Times New Roman" w:hAnsi="Calibri" w:cs="Calibri"/>
                <w:color w:val="000000"/>
                <w:sz w:val="18"/>
                <w:szCs w:val="18"/>
                <w:lang w:eastAsia="pl-PL"/>
              </w:rPr>
              <w:br/>
              <w:t xml:space="preserve">Kolumna AJ (36): NIE, </w:t>
            </w:r>
            <w:r w:rsidRPr="005E78BB">
              <w:rPr>
                <w:rFonts w:ascii="Calibri" w:eastAsia="Times New Roman" w:hAnsi="Calibri" w:cs="Calibri"/>
                <w:color w:val="000000"/>
                <w:sz w:val="18"/>
                <w:szCs w:val="18"/>
                <w:lang w:eastAsia="pl-PL"/>
              </w:rPr>
              <w:br/>
              <w:t>Kolumna AL (38): nie,</w:t>
            </w:r>
            <w:r w:rsidRPr="005E78BB">
              <w:rPr>
                <w:rFonts w:ascii="Calibri" w:eastAsia="Times New Roman" w:hAnsi="Calibri" w:cs="Calibri"/>
                <w:color w:val="000000"/>
                <w:sz w:val="18"/>
                <w:szCs w:val="18"/>
                <w:lang w:eastAsia="pl-PL"/>
              </w:rPr>
              <w:br/>
              <w:t xml:space="preserve">Kolumna AP(42): NIE, </w:t>
            </w:r>
            <w:r w:rsidRPr="005E78BB">
              <w:rPr>
                <w:rFonts w:ascii="Calibri" w:eastAsia="Times New Roman" w:hAnsi="Calibri" w:cs="Calibri"/>
                <w:color w:val="000000"/>
                <w:sz w:val="18"/>
                <w:szCs w:val="18"/>
                <w:lang w:eastAsia="pl-PL"/>
              </w:rPr>
              <w:br/>
              <w:t xml:space="preserve">Kolumna AQ (43): NIE, </w:t>
            </w:r>
            <w:r w:rsidRPr="005E78BB">
              <w:rPr>
                <w:rFonts w:ascii="Calibri" w:eastAsia="Times New Roman" w:hAnsi="Calibri" w:cs="Calibri"/>
                <w:color w:val="000000"/>
                <w:sz w:val="18"/>
                <w:szCs w:val="18"/>
                <w:lang w:eastAsia="pl-PL"/>
              </w:rPr>
              <w:br/>
              <w:t xml:space="preserve">Kolumna AS (45): Nie jest monitorowana, </w:t>
            </w:r>
            <w:r w:rsidRPr="005E78BB">
              <w:rPr>
                <w:rFonts w:ascii="Calibri" w:eastAsia="Times New Roman" w:hAnsi="Calibri" w:cs="Calibri"/>
                <w:color w:val="000000"/>
                <w:sz w:val="18"/>
                <w:szCs w:val="18"/>
                <w:lang w:eastAsia="pl-PL"/>
              </w:rPr>
              <w:br/>
              <w:t>Kolumna AV (48): brak przepławki do migracji ryb, jaz-zasuwa stalowa, piętrzenie na potrzeby stawów,</w:t>
            </w:r>
            <w:r w:rsidRPr="005E78BB">
              <w:rPr>
                <w:rFonts w:ascii="Calibri" w:eastAsia="Times New Roman" w:hAnsi="Calibri" w:cs="Calibri"/>
                <w:color w:val="000000"/>
                <w:sz w:val="18"/>
                <w:szCs w:val="18"/>
                <w:lang w:eastAsia="pl-PL"/>
              </w:rPr>
              <w:br/>
              <w:t>Kolumna AW (49): 2,</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Kolumna AX (50): N,</w:t>
            </w:r>
            <w:r w:rsidRPr="005E78BB">
              <w:rPr>
                <w:rFonts w:ascii="Calibri" w:eastAsia="Times New Roman" w:hAnsi="Calibri" w:cs="Calibri"/>
                <w:color w:val="000000"/>
                <w:sz w:val="18"/>
                <w:szCs w:val="18"/>
                <w:lang w:eastAsia="pl-PL"/>
              </w:rPr>
              <w:br/>
              <w:t>Kolumna BB (54): Analiza możliwości przebudowy budowli piętrzących w zakresie zapewniającym ciągłość biologiczną i spełnienie celów środowiskowych. Realizacja działań zgodnie z przeprowadzoną analizą.</w:t>
            </w:r>
          </w:p>
        </w:tc>
        <w:tc>
          <w:tcPr>
            <w:tcW w:w="3401" w:type="dxa"/>
            <w:shd w:val="clear" w:color="auto" w:fill="auto"/>
            <w:hideMark/>
          </w:tcPr>
          <w:p w14:paraId="57A7FB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Jaz ze stalową zasuwą nie jest drożny dla ryb, stanowi istotną barierę migracyjną, a nie jest ujęty w wykazie budowli.</w:t>
            </w:r>
            <w:r w:rsidRPr="005E78BB">
              <w:rPr>
                <w:rFonts w:ascii="Calibri" w:eastAsia="Times New Roman" w:hAnsi="Calibri" w:cs="Calibri"/>
                <w:color w:val="000000"/>
                <w:sz w:val="18"/>
                <w:szCs w:val="18"/>
                <w:lang w:eastAsia="pl-PL"/>
              </w:rPr>
              <w:br/>
              <w:t>Informacja o wysokości piętrzenia-pomiar dokonany w terenie przy średnim niskim przepływie.</w:t>
            </w:r>
            <w:r w:rsidRPr="005E78BB">
              <w:rPr>
                <w:rFonts w:ascii="Calibri" w:eastAsia="Times New Roman" w:hAnsi="Calibri" w:cs="Calibri"/>
                <w:color w:val="000000"/>
                <w:sz w:val="18"/>
                <w:szCs w:val="18"/>
                <w:lang w:eastAsia="pl-PL"/>
              </w:rPr>
              <w:br/>
              <w:t>Pozostałe informacje na temat budowli-na podstawie posiadanej wiedzy na temat obiektu, wizji lokalnej na obiekcie.</w:t>
            </w:r>
            <w:r w:rsidRPr="005E78BB">
              <w:rPr>
                <w:rFonts w:ascii="Calibri" w:eastAsia="Times New Roman" w:hAnsi="Calibri" w:cs="Calibri"/>
                <w:color w:val="000000"/>
                <w:sz w:val="18"/>
                <w:szCs w:val="18"/>
                <w:lang w:eastAsia="pl-PL"/>
              </w:rPr>
              <w:br/>
              <w:t>Potok Paleśnianka jest matecznikiem, objęty jest obrębem ochronnym, bardzo dobre warunki do tarła i rozwoju narybku, niestety nie zapewnia migracji z rzeki Dunajec</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626574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6934BA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6D8688F" w14:textId="194CFBA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Wprowadzenie działania dla wskazanej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0F3695C" w14:textId="77777777" w:rsidTr="00E92AE6">
        <w:trPr>
          <w:trHeight w:val="454"/>
        </w:trPr>
        <w:tc>
          <w:tcPr>
            <w:tcW w:w="562" w:type="dxa"/>
            <w:shd w:val="clear" w:color="auto" w:fill="auto"/>
            <w:hideMark/>
          </w:tcPr>
          <w:p w14:paraId="676DA5F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141</w:t>
            </w:r>
          </w:p>
        </w:tc>
        <w:tc>
          <w:tcPr>
            <w:tcW w:w="1021" w:type="dxa"/>
          </w:tcPr>
          <w:p w14:paraId="473BC028" w14:textId="72ED9B5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498DAE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B75C0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otrzymania uwagi</w:t>
            </w:r>
          </w:p>
        </w:tc>
        <w:tc>
          <w:tcPr>
            <w:tcW w:w="3377" w:type="dxa"/>
            <w:shd w:val="clear" w:color="auto" w:fill="auto"/>
            <w:hideMark/>
          </w:tcPr>
          <w:p w14:paraId="4F7677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RW200005214779, </w:t>
            </w:r>
            <w:r w:rsidRPr="005E78BB">
              <w:rPr>
                <w:rFonts w:ascii="Calibri" w:eastAsia="Times New Roman" w:hAnsi="Calibri" w:cs="Calibri"/>
                <w:color w:val="000000"/>
                <w:sz w:val="18"/>
                <w:szCs w:val="18"/>
                <w:lang w:eastAsia="pl-PL"/>
              </w:rPr>
              <w:br/>
              <w:t>Kolumna D (4): Dunajec od zb. Rożnów do Więckówki,</w:t>
            </w:r>
            <w:r w:rsidRPr="005E78BB">
              <w:rPr>
                <w:rFonts w:ascii="Calibri" w:eastAsia="Times New Roman" w:hAnsi="Calibri" w:cs="Calibri"/>
                <w:color w:val="000000"/>
                <w:sz w:val="18"/>
                <w:szCs w:val="18"/>
                <w:lang w:eastAsia="pl-PL"/>
              </w:rPr>
              <w:br/>
              <w:t>Kolumna E (5): Dunajec,</w:t>
            </w:r>
            <w:r w:rsidRPr="005E78BB">
              <w:rPr>
                <w:rFonts w:ascii="Calibri" w:eastAsia="Times New Roman" w:hAnsi="Calibri" w:cs="Calibri"/>
                <w:color w:val="000000"/>
                <w:sz w:val="18"/>
                <w:szCs w:val="18"/>
                <w:lang w:eastAsia="pl-PL"/>
              </w:rPr>
              <w:br/>
              <w:t>Kolumna G (7): próg podpiętrzający Elektrowni Rożnów,</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Górnej-Zachodniej Wisły,</w:t>
            </w:r>
            <w:r w:rsidRPr="005E78BB">
              <w:rPr>
                <w:rFonts w:ascii="Calibri" w:eastAsia="Times New Roman" w:hAnsi="Calibri" w:cs="Calibri"/>
                <w:color w:val="000000"/>
                <w:sz w:val="18"/>
                <w:szCs w:val="18"/>
                <w:lang w:eastAsia="pl-PL"/>
              </w:rPr>
              <w:br/>
              <w:t>Kolumna J (10): Kraków,</w:t>
            </w:r>
            <w:r w:rsidRPr="005E78BB">
              <w:rPr>
                <w:rFonts w:ascii="Calibri" w:eastAsia="Times New Roman" w:hAnsi="Calibri" w:cs="Calibri"/>
                <w:color w:val="000000"/>
                <w:sz w:val="18"/>
                <w:szCs w:val="18"/>
                <w:lang w:eastAsia="pl-PL"/>
              </w:rPr>
              <w:br/>
              <w:t>Kolumna K (11): 619755.07,</w:t>
            </w:r>
            <w:r w:rsidRPr="005E78BB">
              <w:rPr>
                <w:rFonts w:ascii="Calibri" w:eastAsia="Times New Roman" w:hAnsi="Calibri" w:cs="Calibri"/>
                <w:color w:val="000000"/>
                <w:sz w:val="18"/>
                <w:szCs w:val="18"/>
                <w:lang w:eastAsia="pl-PL"/>
              </w:rPr>
              <w:br/>
              <w:t>Kolumna L (12): 211894.92,</w:t>
            </w:r>
            <w:r w:rsidRPr="005E78BB">
              <w:rPr>
                <w:rFonts w:ascii="Calibri" w:eastAsia="Times New Roman" w:hAnsi="Calibri" w:cs="Calibri"/>
                <w:color w:val="000000"/>
                <w:sz w:val="18"/>
                <w:szCs w:val="18"/>
                <w:lang w:eastAsia="pl-PL"/>
              </w:rPr>
              <w:br/>
              <w:t xml:space="preserve">Kolumna AI (35): 1, </w:t>
            </w:r>
            <w:r w:rsidRPr="005E78BB">
              <w:rPr>
                <w:rFonts w:ascii="Calibri" w:eastAsia="Times New Roman" w:hAnsi="Calibri" w:cs="Calibri"/>
                <w:color w:val="000000"/>
                <w:sz w:val="18"/>
                <w:szCs w:val="18"/>
                <w:lang w:eastAsia="pl-PL"/>
              </w:rPr>
              <w:br/>
              <w:t xml:space="preserve">Kolumna AJ (36): NIE, </w:t>
            </w:r>
            <w:r w:rsidRPr="005E78BB">
              <w:rPr>
                <w:rFonts w:ascii="Calibri" w:eastAsia="Times New Roman" w:hAnsi="Calibri" w:cs="Calibri"/>
                <w:color w:val="000000"/>
                <w:sz w:val="18"/>
                <w:szCs w:val="18"/>
                <w:lang w:eastAsia="pl-PL"/>
              </w:rPr>
              <w:br/>
              <w:t>Kolumna AL. (38): nie,</w:t>
            </w:r>
            <w:r w:rsidRPr="005E78BB">
              <w:rPr>
                <w:rFonts w:ascii="Calibri" w:eastAsia="Times New Roman" w:hAnsi="Calibri" w:cs="Calibri"/>
                <w:color w:val="000000"/>
                <w:sz w:val="18"/>
                <w:szCs w:val="18"/>
                <w:lang w:eastAsia="pl-PL"/>
              </w:rPr>
              <w:br/>
              <w:t xml:space="preserve">Kolumna AP (42): NIE, </w:t>
            </w:r>
            <w:r w:rsidRPr="005E78BB">
              <w:rPr>
                <w:rFonts w:ascii="Calibri" w:eastAsia="Times New Roman" w:hAnsi="Calibri" w:cs="Calibri"/>
                <w:color w:val="000000"/>
                <w:sz w:val="18"/>
                <w:szCs w:val="18"/>
                <w:lang w:eastAsia="pl-PL"/>
              </w:rPr>
              <w:br/>
              <w:t xml:space="preserve">Kolumna AQ (43): NIE, </w:t>
            </w:r>
            <w:r w:rsidRPr="005E78BB">
              <w:rPr>
                <w:rFonts w:ascii="Calibri" w:eastAsia="Times New Roman" w:hAnsi="Calibri" w:cs="Calibri"/>
                <w:color w:val="000000"/>
                <w:sz w:val="18"/>
                <w:szCs w:val="18"/>
                <w:lang w:eastAsia="pl-PL"/>
              </w:rPr>
              <w:br/>
              <w:t xml:space="preserve">Kolumna AS (45): Nie jest monitorowana, </w:t>
            </w:r>
            <w:r w:rsidRPr="005E78BB">
              <w:rPr>
                <w:rFonts w:ascii="Calibri" w:eastAsia="Times New Roman" w:hAnsi="Calibri" w:cs="Calibri"/>
                <w:color w:val="000000"/>
                <w:sz w:val="18"/>
                <w:szCs w:val="18"/>
                <w:lang w:eastAsia="pl-PL"/>
              </w:rPr>
              <w:br/>
              <w:t>Kolumna AV (48): brak przepławki do migracji ryb, kamienny próg który znajduje się poniżej przepławki blokuje migracje,</w:t>
            </w:r>
            <w:r w:rsidRPr="005E78BB">
              <w:rPr>
                <w:rFonts w:ascii="Calibri" w:eastAsia="Times New Roman" w:hAnsi="Calibri" w:cs="Calibri"/>
                <w:color w:val="000000"/>
                <w:sz w:val="18"/>
                <w:szCs w:val="18"/>
                <w:lang w:eastAsia="pl-PL"/>
              </w:rPr>
              <w:br/>
              <w:t>Kolumna AW (49): 1,</w:t>
            </w:r>
            <w:r w:rsidRPr="005E78BB">
              <w:rPr>
                <w:rFonts w:ascii="Calibri" w:eastAsia="Times New Roman" w:hAnsi="Calibri" w:cs="Calibri"/>
                <w:color w:val="000000"/>
                <w:sz w:val="18"/>
                <w:szCs w:val="18"/>
                <w:lang w:eastAsia="pl-PL"/>
              </w:rPr>
              <w:br/>
              <w:t>Kolumna AX (50): N,</w:t>
            </w:r>
            <w:r w:rsidRPr="005E78BB">
              <w:rPr>
                <w:rFonts w:ascii="Calibri" w:eastAsia="Times New Roman" w:hAnsi="Calibri" w:cs="Calibri"/>
                <w:color w:val="000000"/>
                <w:sz w:val="18"/>
                <w:szCs w:val="18"/>
                <w:lang w:eastAsia="pl-PL"/>
              </w:rPr>
              <w:br/>
              <w:t>Kolumna BB (54): Analiza możliwości  likwidacji budowli poprzecznych/przebudowa budowli poprzecznych na bystrza/innych działań w zakresie zapewnienia drożności. Realizacja działań w zakresie drożności zgodnie z przeprowadzoną analizą.</w:t>
            </w:r>
          </w:p>
        </w:tc>
        <w:tc>
          <w:tcPr>
            <w:tcW w:w="3401" w:type="dxa"/>
            <w:shd w:val="clear" w:color="auto" w:fill="auto"/>
            <w:hideMark/>
          </w:tcPr>
          <w:p w14:paraId="0EC891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Próg podpiętrzający jest niedrożny dla ryb, stanowi istotną dodatkową barierę migracyjną, a nie jest ujęty w wykazie budowli.</w:t>
            </w:r>
            <w:r w:rsidRPr="005E78BB">
              <w:rPr>
                <w:rFonts w:ascii="Calibri" w:eastAsia="Times New Roman" w:hAnsi="Calibri" w:cs="Calibri"/>
                <w:color w:val="000000"/>
                <w:sz w:val="18"/>
                <w:szCs w:val="18"/>
                <w:lang w:eastAsia="pl-PL"/>
              </w:rPr>
              <w:br/>
              <w:t>Informacja o wysokości piętrzenia-pomiar dokonany w terenie przy średnim niskim przepływie.</w:t>
            </w:r>
            <w:r w:rsidRPr="005E78BB">
              <w:rPr>
                <w:rFonts w:ascii="Calibri" w:eastAsia="Times New Roman" w:hAnsi="Calibri" w:cs="Calibri"/>
                <w:color w:val="000000"/>
                <w:sz w:val="18"/>
                <w:szCs w:val="18"/>
                <w:lang w:eastAsia="pl-PL"/>
              </w:rPr>
              <w:br/>
              <w:t>Próg podpiętrzający zlokalizowany jest poniżej przepławki.</w:t>
            </w:r>
            <w:r w:rsidRPr="005E78BB">
              <w:rPr>
                <w:rFonts w:ascii="Calibri" w:eastAsia="Times New Roman" w:hAnsi="Calibri" w:cs="Calibri"/>
                <w:color w:val="000000"/>
                <w:sz w:val="18"/>
                <w:szCs w:val="18"/>
                <w:lang w:eastAsia="pl-PL"/>
              </w:rPr>
              <w:br/>
              <w:t>Informacje na temat budowli- na podstawie posiadanej wiedzy na temat obiektu, wizji lokalnej na obiekcie oraz przeprowadzonego studium koncepcyjnego ( w załączniku )</w:t>
            </w:r>
            <w:r w:rsidRPr="005E78BB">
              <w:rPr>
                <w:rFonts w:ascii="Calibri" w:eastAsia="Times New Roman" w:hAnsi="Calibri" w:cs="Calibri"/>
                <w:color w:val="000000"/>
                <w:sz w:val="18"/>
                <w:szCs w:val="18"/>
                <w:lang w:eastAsia="pl-PL"/>
              </w:rPr>
              <w:br/>
              <w:t>Nadmieniamy ze w2016 roku zostały podjęte działania w celu modernizacji stopni, po wielu wizjach lokalnych powstało opracowanie ( studium koncepcyjne ) z którego wynika potrzeba udrożnienia omawianego stopnia. Lokalnie wiedza na temat wpływu obiektu na migracje jest znana i także zgłaszana do RZGW w Krakowie.</w:t>
            </w:r>
            <w:r w:rsidRPr="005E78BB">
              <w:rPr>
                <w:rFonts w:ascii="Calibri" w:eastAsia="Times New Roman" w:hAnsi="Calibri" w:cs="Calibri"/>
                <w:color w:val="000000"/>
                <w:sz w:val="18"/>
                <w:szCs w:val="18"/>
                <w:lang w:eastAsia="pl-PL"/>
              </w:rPr>
              <w:br/>
              <w:t>Dodatkowo nadmieniamy że wizja lokalna na obiekcie ( wysokość piętrzenia, widoczne prędkości przepływu, erozja denna poniżej progu ) pozwala jednoznacznie określić że próg nie jest drożny dla ryb.</w:t>
            </w:r>
            <w:r w:rsidRPr="005E78BB">
              <w:rPr>
                <w:rFonts w:ascii="Calibri" w:eastAsia="Times New Roman" w:hAnsi="Calibri" w:cs="Calibri"/>
                <w:color w:val="000000"/>
                <w:sz w:val="18"/>
                <w:szCs w:val="18"/>
                <w:lang w:eastAsia="pl-PL"/>
              </w:rPr>
              <w:br/>
              <w:t>Oczekujemy podjęcia długo oczekiwanych działań inwestycyjnych.</w:t>
            </w:r>
            <w:r w:rsidRPr="005E78BB">
              <w:rPr>
                <w:rFonts w:ascii="Calibri" w:eastAsia="Times New Roman" w:hAnsi="Calibri" w:cs="Calibri"/>
                <w:color w:val="000000"/>
                <w:sz w:val="18"/>
                <w:szCs w:val="18"/>
                <w:lang w:eastAsia="pl-PL"/>
              </w:rPr>
              <w:br/>
              <w:t>Priorytetyzacja działań dla budowli oraz „Działanie na IIaPGW” powinny być takie same jak dla budowli w Czchowie i Rożnowie.</w:t>
            </w:r>
            <w:r w:rsidRPr="005E78BB">
              <w:rPr>
                <w:rFonts w:ascii="Calibri" w:eastAsia="Times New Roman" w:hAnsi="Calibri" w:cs="Calibri"/>
                <w:color w:val="000000"/>
                <w:sz w:val="18"/>
                <w:szCs w:val="18"/>
                <w:lang w:eastAsia="pl-PL"/>
              </w:rPr>
              <w:br/>
              <w:t>Przebudowa progu na bystrze/rampe zapewni zapewni migracje dla wszystkich gatunków ryb występujących w Dunajcu, łącznie z gatunkami mogącymi występować potencjalnie w przyszłości: łosoś, troć wędrowna, umożliwi migrację lokalną z jeziorem Czchowskim, Rożnowskim, przywróci spójność sieci obszarów Natura 2000, wzmocni odporność na głębokie i długotrwające niżówki, pozwoli na ochronę siedlisk przyrodniczych i gatunków wchodzących w skład ekosystemu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3F86E7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356F3E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7AF73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działania dla wskazanej budowli.</w:t>
            </w:r>
          </w:p>
        </w:tc>
      </w:tr>
      <w:tr w:rsidR="0085319C" w:rsidRPr="005E78BB" w14:paraId="21862515" w14:textId="77777777" w:rsidTr="00E92AE6">
        <w:trPr>
          <w:trHeight w:val="454"/>
        </w:trPr>
        <w:tc>
          <w:tcPr>
            <w:tcW w:w="562" w:type="dxa"/>
            <w:shd w:val="clear" w:color="auto" w:fill="auto"/>
            <w:hideMark/>
          </w:tcPr>
          <w:p w14:paraId="451DDD0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142</w:t>
            </w:r>
          </w:p>
        </w:tc>
        <w:tc>
          <w:tcPr>
            <w:tcW w:w="1021" w:type="dxa"/>
          </w:tcPr>
          <w:p w14:paraId="0A7905FC" w14:textId="206E39E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223DD4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90245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zwrotne potwierdzenie zgłoszenia uwagi</w:t>
            </w:r>
          </w:p>
        </w:tc>
        <w:tc>
          <w:tcPr>
            <w:tcW w:w="3377" w:type="dxa"/>
            <w:shd w:val="clear" w:color="auto" w:fill="auto"/>
            <w:hideMark/>
          </w:tcPr>
          <w:p w14:paraId="2720CB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ype="page"/>
              <w:t xml:space="preserve">Kolumna C (3): RW2000072139659, </w:t>
            </w:r>
            <w:r w:rsidRPr="005E78BB">
              <w:rPr>
                <w:rFonts w:ascii="Calibri" w:eastAsia="Times New Roman" w:hAnsi="Calibri" w:cs="Calibri"/>
                <w:color w:val="000000"/>
                <w:sz w:val="18"/>
                <w:szCs w:val="18"/>
                <w:lang w:eastAsia="pl-PL"/>
              </w:rPr>
              <w:br w:type="page"/>
              <w:t>Kolumna D (4): Uszwica do Niedźwiedzia,</w:t>
            </w:r>
            <w:r w:rsidRPr="005E78BB">
              <w:rPr>
                <w:rFonts w:ascii="Calibri" w:eastAsia="Times New Roman" w:hAnsi="Calibri" w:cs="Calibri"/>
                <w:color w:val="000000"/>
                <w:sz w:val="18"/>
                <w:szCs w:val="18"/>
                <w:lang w:eastAsia="pl-PL"/>
              </w:rPr>
              <w:br w:type="page"/>
              <w:t>Kolumna E (5): Uszwica,</w:t>
            </w:r>
            <w:r w:rsidRPr="005E78BB">
              <w:rPr>
                <w:rFonts w:ascii="Calibri" w:eastAsia="Times New Roman" w:hAnsi="Calibri" w:cs="Calibri"/>
                <w:color w:val="000000"/>
                <w:sz w:val="18"/>
                <w:szCs w:val="18"/>
                <w:lang w:eastAsia="pl-PL"/>
              </w:rPr>
              <w:br w:type="page"/>
              <w:t>Kolumna G (7): jaz stary ( ujęcie wody dla browaru OKOCIM ),</w:t>
            </w:r>
            <w:r w:rsidRPr="005E78BB">
              <w:rPr>
                <w:rFonts w:ascii="Calibri" w:eastAsia="Times New Roman" w:hAnsi="Calibri" w:cs="Calibri"/>
                <w:color w:val="000000"/>
                <w:sz w:val="18"/>
                <w:szCs w:val="18"/>
                <w:lang w:eastAsia="pl-PL"/>
              </w:rPr>
              <w:br w:type="page"/>
              <w:t>Kolumna H (8): Wisła,</w:t>
            </w:r>
            <w:r w:rsidRPr="005E78BB">
              <w:rPr>
                <w:rFonts w:ascii="Calibri" w:eastAsia="Times New Roman" w:hAnsi="Calibri" w:cs="Calibri"/>
                <w:color w:val="000000"/>
                <w:sz w:val="18"/>
                <w:szCs w:val="18"/>
                <w:lang w:eastAsia="pl-PL"/>
              </w:rPr>
              <w:br w:type="page"/>
              <w:t>Kolumna I (9): Górnej-Zachodniej Wisły,</w:t>
            </w:r>
            <w:r w:rsidRPr="005E78BB">
              <w:rPr>
                <w:rFonts w:ascii="Calibri" w:eastAsia="Times New Roman" w:hAnsi="Calibri" w:cs="Calibri"/>
                <w:color w:val="000000"/>
                <w:sz w:val="18"/>
                <w:szCs w:val="18"/>
                <w:lang w:eastAsia="pl-PL"/>
              </w:rPr>
              <w:br w:type="page"/>
              <w:t>Kolumna J (10): Kraków,</w:t>
            </w:r>
            <w:r w:rsidRPr="005E78BB">
              <w:rPr>
                <w:rFonts w:ascii="Calibri" w:eastAsia="Times New Roman" w:hAnsi="Calibri" w:cs="Calibri"/>
                <w:color w:val="000000"/>
                <w:sz w:val="18"/>
                <w:szCs w:val="18"/>
                <w:lang w:eastAsia="pl-PL"/>
              </w:rPr>
              <w:br w:type="page"/>
              <w:t>Kolumna K (11): 614262.31,</w:t>
            </w:r>
            <w:r w:rsidRPr="005E78BB">
              <w:rPr>
                <w:rFonts w:ascii="Calibri" w:eastAsia="Times New Roman" w:hAnsi="Calibri" w:cs="Calibri"/>
                <w:color w:val="000000"/>
                <w:sz w:val="18"/>
                <w:szCs w:val="18"/>
                <w:lang w:eastAsia="pl-PL"/>
              </w:rPr>
              <w:br w:type="page"/>
              <w:t>Kolumna L (12): 233912.26,</w:t>
            </w:r>
            <w:r w:rsidRPr="005E78BB">
              <w:rPr>
                <w:rFonts w:ascii="Calibri" w:eastAsia="Times New Roman" w:hAnsi="Calibri" w:cs="Calibri"/>
                <w:color w:val="000000"/>
                <w:sz w:val="18"/>
                <w:szCs w:val="18"/>
                <w:lang w:eastAsia="pl-PL"/>
              </w:rPr>
              <w:br w:type="page"/>
              <w:t xml:space="preserve">Kolumna AI (35): 5,3, </w:t>
            </w:r>
            <w:r w:rsidRPr="005E78BB">
              <w:rPr>
                <w:rFonts w:ascii="Calibri" w:eastAsia="Times New Roman" w:hAnsi="Calibri" w:cs="Calibri"/>
                <w:color w:val="000000"/>
                <w:sz w:val="18"/>
                <w:szCs w:val="18"/>
                <w:lang w:eastAsia="pl-PL"/>
              </w:rPr>
              <w:br w:type="page"/>
              <w:t xml:space="preserve">Kolumna AJ (36):NIE, </w:t>
            </w:r>
            <w:r w:rsidRPr="005E78BB">
              <w:rPr>
                <w:rFonts w:ascii="Calibri" w:eastAsia="Times New Roman" w:hAnsi="Calibri" w:cs="Calibri"/>
                <w:color w:val="000000"/>
                <w:sz w:val="18"/>
                <w:szCs w:val="18"/>
                <w:lang w:eastAsia="pl-PL"/>
              </w:rPr>
              <w:br w:type="page"/>
              <w:t>Kolumna AL. (38): nie,</w:t>
            </w:r>
            <w:r w:rsidRPr="005E78BB">
              <w:rPr>
                <w:rFonts w:ascii="Calibri" w:eastAsia="Times New Roman" w:hAnsi="Calibri" w:cs="Calibri"/>
                <w:color w:val="000000"/>
                <w:sz w:val="18"/>
                <w:szCs w:val="18"/>
                <w:lang w:eastAsia="pl-PL"/>
              </w:rPr>
              <w:br w:type="page"/>
              <w:t xml:space="preserve">Kolumna AP (42): NIE, </w:t>
            </w:r>
            <w:r w:rsidRPr="005E78BB">
              <w:rPr>
                <w:rFonts w:ascii="Calibri" w:eastAsia="Times New Roman" w:hAnsi="Calibri" w:cs="Calibri"/>
                <w:color w:val="000000"/>
                <w:sz w:val="18"/>
                <w:szCs w:val="18"/>
                <w:lang w:eastAsia="pl-PL"/>
              </w:rPr>
              <w:br w:type="page"/>
              <w:t xml:space="preserve">Kolumna AQ (43): NIE, </w:t>
            </w:r>
            <w:r w:rsidRPr="005E78BB">
              <w:rPr>
                <w:rFonts w:ascii="Calibri" w:eastAsia="Times New Roman" w:hAnsi="Calibri" w:cs="Calibri"/>
                <w:color w:val="000000"/>
                <w:sz w:val="18"/>
                <w:szCs w:val="18"/>
                <w:lang w:eastAsia="pl-PL"/>
              </w:rPr>
              <w:br w:type="page"/>
              <w:t xml:space="preserve">Kolumna AS (45): Nie jest monitorowana, </w:t>
            </w:r>
            <w:r w:rsidRPr="005E78BB">
              <w:rPr>
                <w:rFonts w:ascii="Calibri" w:eastAsia="Times New Roman" w:hAnsi="Calibri" w:cs="Calibri"/>
                <w:color w:val="000000"/>
                <w:sz w:val="18"/>
                <w:szCs w:val="18"/>
                <w:lang w:eastAsia="pl-PL"/>
              </w:rPr>
              <w:br w:type="page"/>
              <w:t>Kolumna AV (48): brak przepławki do migracji ryb, jaz ujęcia wody dla Browaru OKOCIM, jaz blokuje migracje na połowie rzeki Uszwica,</w:t>
            </w:r>
            <w:r w:rsidRPr="005E78BB">
              <w:rPr>
                <w:rFonts w:ascii="Calibri" w:eastAsia="Times New Roman" w:hAnsi="Calibri" w:cs="Calibri"/>
                <w:color w:val="000000"/>
                <w:sz w:val="18"/>
                <w:szCs w:val="18"/>
                <w:lang w:eastAsia="pl-PL"/>
              </w:rPr>
              <w:br w:type="page"/>
              <w:t>Kolumna AW (49): 5,3,</w:t>
            </w:r>
            <w:r w:rsidRPr="005E78BB">
              <w:rPr>
                <w:rFonts w:ascii="Calibri" w:eastAsia="Times New Roman" w:hAnsi="Calibri" w:cs="Calibri"/>
                <w:color w:val="000000"/>
                <w:sz w:val="18"/>
                <w:szCs w:val="18"/>
                <w:lang w:eastAsia="pl-PL"/>
              </w:rPr>
              <w:br w:type="page"/>
              <w:t>Kolumna AX (50): N,</w:t>
            </w:r>
            <w:r w:rsidRPr="005E78BB">
              <w:rPr>
                <w:rFonts w:ascii="Calibri" w:eastAsia="Times New Roman" w:hAnsi="Calibri" w:cs="Calibri"/>
                <w:color w:val="000000"/>
                <w:sz w:val="18"/>
                <w:szCs w:val="18"/>
                <w:lang w:eastAsia="pl-PL"/>
              </w:rPr>
              <w:br w:type="page"/>
              <w:t>Kolumna BB (54): 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302FF4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Jaz jest niedrożny dla ryb, stanowi istotną dodatkową bariere migracyjną, a nie jest ujęty w wykazie budowli.</w:t>
            </w:r>
            <w:r w:rsidRPr="005E78BB">
              <w:rPr>
                <w:rFonts w:ascii="Calibri" w:eastAsia="Times New Roman" w:hAnsi="Calibri" w:cs="Calibri"/>
                <w:color w:val="000000"/>
                <w:sz w:val="18"/>
                <w:szCs w:val="18"/>
                <w:lang w:eastAsia="pl-PL"/>
              </w:rPr>
              <w:br w:type="page"/>
              <w:t>Informacja o wysokości piętrzenia-informacja z dokumentacji.</w:t>
            </w:r>
            <w:r w:rsidRPr="005E78BB">
              <w:rPr>
                <w:rFonts w:ascii="Calibri" w:eastAsia="Times New Roman" w:hAnsi="Calibri" w:cs="Calibri"/>
                <w:color w:val="000000"/>
                <w:sz w:val="18"/>
                <w:szCs w:val="18"/>
                <w:lang w:eastAsia="pl-PL"/>
              </w:rPr>
              <w:br w:type="page"/>
              <w:t>Informacje na temat budowli- na podstawie posiadanej wiedzy na temat obiektu, wizji lokalnej na obiekcie</w:t>
            </w:r>
            <w:r w:rsidRPr="005E78BB">
              <w:rPr>
                <w:rFonts w:ascii="Calibri" w:eastAsia="Times New Roman" w:hAnsi="Calibri" w:cs="Calibri"/>
                <w:color w:val="000000"/>
                <w:sz w:val="18"/>
                <w:szCs w:val="18"/>
                <w:lang w:eastAsia="pl-PL"/>
              </w:rPr>
              <w:br w:type="page"/>
              <w:t>Jaz blokuje migracje na połowie rzeki Uszwica.</w:t>
            </w:r>
            <w:r w:rsidRPr="005E78BB">
              <w:rPr>
                <w:rFonts w:ascii="Calibri" w:eastAsia="Times New Roman" w:hAnsi="Calibri" w:cs="Calibri"/>
                <w:color w:val="000000"/>
                <w:sz w:val="18"/>
                <w:szCs w:val="18"/>
                <w:lang w:eastAsia="pl-PL"/>
              </w:rPr>
              <w:br w:type="page"/>
              <w:t>Przy takiej wysokości piętrzenia i braku jakiejkolwiek przepławki oczywiście nie ma mowy o jakiejkolwiek migracji.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załączniku w formie plIku PDF wykaz zmian w „Zal_4_WykazBudowli_ZD_Mod_Wisla_Errata” - zmiany/uzupełnienia są zaznaczone pomarańczowym wypełnieniem.</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AB4F1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4AA463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F8DE4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działania dla wskazanej budowli.</w:t>
            </w:r>
          </w:p>
        </w:tc>
      </w:tr>
      <w:tr w:rsidR="0085319C" w:rsidRPr="005E78BB" w14:paraId="35A30E1F" w14:textId="77777777" w:rsidTr="00E92AE6">
        <w:trPr>
          <w:trHeight w:val="454"/>
        </w:trPr>
        <w:tc>
          <w:tcPr>
            <w:tcW w:w="562" w:type="dxa"/>
            <w:shd w:val="clear" w:color="auto" w:fill="auto"/>
            <w:hideMark/>
          </w:tcPr>
          <w:p w14:paraId="3249560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143</w:t>
            </w:r>
          </w:p>
        </w:tc>
        <w:tc>
          <w:tcPr>
            <w:tcW w:w="1021" w:type="dxa"/>
          </w:tcPr>
          <w:p w14:paraId="48246FF2" w14:textId="3FAFCA7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3BF66F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82796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Nowe budowle (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zgłoszenia uwagi</w:t>
            </w:r>
          </w:p>
        </w:tc>
        <w:tc>
          <w:tcPr>
            <w:tcW w:w="3377" w:type="dxa"/>
            <w:shd w:val="clear" w:color="auto" w:fill="auto"/>
            <w:hideMark/>
          </w:tcPr>
          <w:p w14:paraId="21C06F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RW2000072139659, </w:t>
            </w:r>
            <w:r w:rsidRPr="005E78BB">
              <w:rPr>
                <w:rFonts w:ascii="Calibri" w:eastAsia="Times New Roman" w:hAnsi="Calibri" w:cs="Calibri"/>
                <w:color w:val="000000"/>
                <w:sz w:val="18"/>
                <w:szCs w:val="18"/>
                <w:lang w:eastAsia="pl-PL"/>
              </w:rPr>
              <w:br/>
              <w:t>Kolumna D (4): Uszwica do Niedźwiedzia,</w:t>
            </w:r>
            <w:r w:rsidRPr="005E78BB">
              <w:rPr>
                <w:rFonts w:ascii="Calibri" w:eastAsia="Times New Roman" w:hAnsi="Calibri" w:cs="Calibri"/>
                <w:color w:val="000000"/>
                <w:sz w:val="18"/>
                <w:szCs w:val="18"/>
                <w:lang w:eastAsia="pl-PL"/>
              </w:rPr>
              <w:br/>
              <w:t>Kolumna E (5): Uszwica,</w:t>
            </w:r>
            <w:r w:rsidRPr="005E78BB">
              <w:rPr>
                <w:rFonts w:ascii="Calibri" w:eastAsia="Times New Roman" w:hAnsi="Calibri" w:cs="Calibri"/>
                <w:color w:val="000000"/>
                <w:sz w:val="18"/>
                <w:szCs w:val="18"/>
                <w:lang w:eastAsia="pl-PL"/>
              </w:rPr>
              <w:br/>
              <w:t>Kolumna G (7): jaz ( ujęcie wody dla browaru OKOCIM ),</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Górnej-Zachodniej Wisły,</w:t>
            </w:r>
            <w:r w:rsidRPr="005E78BB">
              <w:rPr>
                <w:rFonts w:ascii="Calibri" w:eastAsia="Times New Roman" w:hAnsi="Calibri" w:cs="Calibri"/>
                <w:color w:val="000000"/>
                <w:sz w:val="18"/>
                <w:szCs w:val="18"/>
                <w:lang w:eastAsia="pl-PL"/>
              </w:rPr>
              <w:br/>
              <w:t>Kolumna J (10): Kraków,</w:t>
            </w:r>
            <w:r w:rsidRPr="005E78BB">
              <w:rPr>
                <w:rFonts w:ascii="Calibri" w:eastAsia="Times New Roman" w:hAnsi="Calibri" w:cs="Calibri"/>
                <w:color w:val="000000"/>
                <w:sz w:val="18"/>
                <w:szCs w:val="18"/>
                <w:lang w:eastAsia="pl-PL"/>
              </w:rPr>
              <w:br/>
              <w:t>Kolumna K (11): 614735.92,</w:t>
            </w:r>
            <w:r w:rsidRPr="005E78BB">
              <w:rPr>
                <w:rFonts w:ascii="Calibri" w:eastAsia="Times New Roman" w:hAnsi="Calibri" w:cs="Calibri"/>
                <w:color w:val="000000"/>
                <w:sz w:val="18"/>
                <w:szCs w:val="18"/>
                <w:lang w:eastAsia="pl-PL"/>
              </w:rPr>
              <w:br/>
              <w:t>Kolumna L (12): 233832.36,</w:t>
            </w:r>
            <w:r w:rsidRPr="005E78BB">
              <w:rPr>
                <w:rFonts w:ascii="Calibri" w:eastAsia="Times New Roman" w:hAnsi="Calibri" w:cs="Calibri"/>
                <w:color w:val="000000"/>
                <w:sz w:val="18"/>
                <w:szCs w:val="18"/>
                <w:lang w:eastAsia="pl-PL"/>
              </w:rPr>
              <w:br/>
              <w:t>Kolumna AL (38): istnieje, typ nieznany,</w:t>
            </w:r>
            <w:r w:rsidRPr="005E78BB">
              <w:rPr>
                <w:rFonts w:ascii="Calibri" w:eastAsia="Times New Roman" w:hAnsi="Calibri" w:cs="Calibri"/>
                <w:color w:val="000000"/>
                <w:sz w:val="18"/>
                <w:szCs w:val="18"/>
                <w:lang w:eastAsia="pl-PL"/>
              </w:rPr>
              <w:br/>
              <w:t xml:space="preserve">Kolumna AQ (43): NIE, </w:t>
            </w:r>
            <w:r w:rsidRPr="005E78BB">
              <w:rPr>
                <w:rFonts w:ascii="Calibri" w:eastAsia="Times New Roman" w:hAnsi="Calibri" w:cs="Calibri"/>
                <w:color w:val="000000"/>
                <w:sz w:val="18"/>
                <w:szCs w:val="18"/>
                <w:lang w:eastAsia="pl-PL"/>
              </w:rPr>
              <w:br/>
              <w:t xml:space="preserve">Kolumna AS (45): Nie jest monitorowana, </w:t>
            </w:r>
            <w:r w:rsidRPr="005E78BB">
              <w:rPr>
                <w:rFonts w:ascii="Calibri" w:eastAsia="Times New Roman" w:hAnsi="Calibri" w:cs="Calibri"/>
                <w:color w:val="000000"/>
                <w:sz w:val="18"/>
                <w:szCs w:val="18"/>
                <w:lang w:eastAsia="pl-PL"/>
              </w:rPr>
              <w:br/>
              <w:t>Kolumna AV (48): przepławka zamulona, jaz klapowy uruchamiany podczas niskich przepływów,</w:t>
            </w:r>
            <w:r w:rsidRPr="005E78BB">
              <w:rPr>
                <w:rFonts w:ascii="Calibri" w:eastAsia="Times New Roman" w:hAnsi="Calibri" w:cs="Calibri"/>
                <w:color w:val="000000"/>
                <w:sz w:val="18"/>
                <w:szCs w:val="18"/>
                <w:lang w:eastAsia="pl-PL"/>
              </w:rPr>
              <w:br/>
              <w:t>Kolumna AX (50): T,</w:t>
            </w:r>
            <w:r w:rsidRPr="005E78BB">
              <w:rPr>
                <w:rFonts w:ascii="Calibri" w:eastAsia="Times New Roman" w:hAnsi="Calibri" w:cs="Calibri"/>
                <w:color w:val="000000"/>
                <w:sz w:val="18"/>
                <w:szCs w:val="18"/>
                <w:lang w:eastAsia="pl-PL"/>
              </w:rPr>
              <w:br/>
              <w:t>Kolumna BB (54): Monitoring skuteczności istniejących urządzeń do migracji ryb.</w:t>
            </w:r>
          </w:p>
        </w:tc>
        <w:tc>
          <w:tcPr>
            <w:tcW w:w="3401" w:type="dxa"/>
            <w:shd w:val="clear" w:color="auto" w:fill="auto"/>
            <w:hideMark/>
          </w:tcPr>
          <w:p w14:paraId="6E7EF2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Jaz klapowy uruchamiany przy niskich przepływach, przepławka całkowicie zamulona ciężko stwierdzić jakiego typu.</w:t>
            </w:r>
            <w:r w:rsidRPr="005E78BB">
              <w:rPr>
                <w:rFonts w:ascii="Calibri" w:eastAsia="Times New Roman" w:hAnsi="Calibri" w:cs="Calibri"/>
                <w:color w:val="000000"/>
                <w:sz w:val="18"/>
                <w:szCs w:val="18"/>
                <w:lang w:eastAsia="pl-PL"/>
              </w:rPr>
              <w:br/>
              <w:t>Budowla w sumie nowa, wymaga po oczyszczeniu przepławki monitoringu skuteczności przepławki.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17214D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739AD1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55D41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działania dla wskazanej budowli.</w:t>
            </w:r>
          </w:p>
        </w:tc>
      </w:tr>
      <w:tr w:rsidR="0085319C" w:rsidRPr="005E78BB" w14:paraId="58E9592C" w14:textId="77777777" w:rsidTr="00E92AE6">
        <w:trPr>
          <w:trHeight w:val="454"/>
        </w:trPr>
        <w:tc>
          <w:tcPr>
            <w:tcW w:w="562" w:type="dxa"/>
            <w:shd w:val="clear" w:color="auto" w:fill="auto"/>
            <w:hideMark/>
          </w:tcPr>
          <w:p w14:paraId="4B617ED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144</w:t>
            </w:r>
          </w:p>
        </w:tc>
        <w:tc>
          <w:tcPr>
            <w:tcW w:w="1021" w:type="dxa"/>
          </w:tcPr>
          <w:p w14:paraId="2092DCA9" w14:textId="55F689D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613BF6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7668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zgłoszenia uwagi</w:t>
            </w:r>
          </w:p>
        </w:tc>
        <w:tc>
          <w:tcPr>
            <w:tcW w:w="3377" w:type="dxa"/>
            <w:shd w:val="clear" w:color="auto" w:fill="auto"/>
            <w:hideMark/>
          </w:tcPr>
          <w:p w14:paraId="5DA2A2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RW20001225999, </w:t>
            </w:r>
            <w:r w:rsidRPr="005E78BB">
              <w:rPr>
                <w:rFonts w:ascii="Calibri" w:eastAsia="Times New Roman" w:hAnsi="Calibri" w:cs="Calibri"/>
                <w:color w:val="000000"/>
                <w:sz w:val="18"/>
                <w:szCs w:val="18"/>
                <w:lang w:eastAsia="pl-PL"/>
              </w:rPr>
              <w:br/>
              <w:t>Kolumna D (4): Wisła od Wieprza do Narwi,</w:t>
            </w:r>
            <w:r w:rsidRPr="005E78BB">
              <w:rPr>
                <w:rFonts w:ascii="Calibri" w:eastAsia="Times New Roman" w:hAnsi="Calibri" w:cs="Calibri"/>
                <w:color w:val="000000"/>
                <w:sz w:val="18"/>
                <w:szCs w:val="18"/>
                <w:lang w:eastAsia="pl-PL"/>
              </w:rPr>
              <w:br/>
              <w:t>Kolumna E (5): Wisła,</w:t>
            </w:r>
            <w:r w:rsidRPr="005E78BB">
              <w:rPr>
                <w:rFonts w:ascii="Calibri" w:eastAsia="Times New Roman" w:hAnsi="Calibri" w:cs="Calibri"/>
                <w:color w:val="000000"/>
                <w:sz w:val="18"/>
                <w:szCs w:val="18"/>
                <w:lang w:eastAsia="pl-PL"/>
              </w:rPr>
              <w:br/>
              <w:t>Kolumna G (7): próg podpiętrzający Elektrowni Kozienice,</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Środkowej Wisły,</w:t>
            </w:r>
            <w:r w:rsidRPr="005E78BB">
              <w:rPr>
                <w:rFonts w:ascii="Calibri" w:eastAsia="Times New Roman" w:hAnsi="Calibri" w:cs="Calibri"/>
                <w:color w:val="000000"/>
                <w:sz w:val="18"/>
                <w:szCs w:val="18"/>
                <w:lang w:eastAsia="pl-PL"/>
              </w:rPr>
              <w:br/>
              <w:t>Kolumna J (10): Warszawa,</w:t>
            </w:r>
            <w:r w:rsidRPr="005E78BB">
              <w:rPr>
                <w:rFonts w:ascii="Calibri" w:eastAsia="Times New Roman" w:hAnsi="Calibri" w:cs="Calibri"/>
                <w:color w:val="000000"/>
                <w:sz w:val="18"/>
                <w:szCs w:val="18"/>
                <w:lang w:eastAsia="pl-PL"/>
              </w:rPr>
              <w:br/>
              <w:t>Kolumna K (11): 670752.23,</w:t>
            </w:r>
            <w:r w:rsidRPr="005E78BB">
              <w:rPr>
                <w:rFonts w:ascii="Calibri" w:eastAsia="Times New Roman" w:hAnsi="Calibri" w:cs="Calibri"/>
                <w:color w:val="000000"/>
                <w:sz w:val="18"/>
                <w:szCs w:val="18"/>
                <w:lang w:eastAsia="pl-PL"/>
              </w:rPr>
              <w:br/>
              <w:t>Kolumna L (12): 425438.73,</w:t>
            </w:r>
            <w:r w:rsidRPr="005E78BB">
              <w:rPr>
                <w:rFonts w:ascii="Calibri" w:eastAsia="Times New Roman" w:hAnsi="Calibri" w:cs="Calibri"/>
                <w:color w:val="000000"/>
                <w:sz w:val="18"/>
                <w:szCs w:val="18"/>
                <w:lang w:eastAsia="pl-PL"/>
              </w:rPr>
              <w:br/>
              <w:t xml:space="preserve">Kolumna AJ (36): NIE, </w:t>
            </w:r>
            <w:r w:rsidRPr="005E78BB">
              <w:rPr>
                <w:rFonts w:ascii="Calibri" w:eastAsia="Times New Roman" w:hAnsi="Calibri" w:cs="Calibri"/>
                <w:color w:val="000000"/>
                <w:sz w:val="18"/>
                <w:szCs w:val="18"/>
                <w:lang w:eastAsia="pl-PL"/>
              </w:rPr>
              <w:br/>
              <w:t>Kolumna AL (38): nie,</w:t>
            </w:r>
            <w:r w:rsidRPr="005E78BB">
              <w:rPr>
                <w:rFonts w:ascii="Calibri" w:eastAsia="Times New Roman" w:hAnsi="Calibri" w:cs="Calibri"/>
                <w:color w:val="000000"/>
                <w:sz w:val="18"/>
                <w:szCs w:val="18"/>
                <w:lang w:eastAsia="pl-PL"/>
              </w:rPr>
              <w:br/>
              <w:t xml:space="preserve">Kolumna AP (42): NIE, </w:t>
            </w:r>
            <w:r w:rsidRPr="005E78BB">
              <w:rPr>
                <w:rFonts w:ascii="Calibri" w:eastAsia="Times New Roman" w:hAnsi="Calibri" w:cs="Calibri"/>
                <w:color w:val="000000"/>
                <w:sz w:val="18"/>
                <w:szCs w:val="18"/>
                <w:lang w:eastAsia="pl-PL"/>
              </w:rPr>
              <w:br/>
              <w:t xml:space="preserve">Kolumna AQ (43): NIE, </w:t>
            </w:r>
            <w:r w:rsidRPr="005E78BB">
              <w:rPr>
                <w:rFonts w:ascii="Calibri" w:eastAsia="Times New Roman" w:hAnsi="Calibri" w:cs="Calibri"/>
                <w:color w:val="000000"/>
                <w:sz w:val="18"/>
                <w:szCs w:val="18"/>
                <w:lang w:eastAsia="pl-PL"/>
              </w:rPr>
              <w:br/>
              <w:t xml:space="preserve">Kolumna AS (45): Nie jest monitorowana,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Kolumna AV (48): brak przepławki do migracji ryb, powinny być co najmniej dwie przepławki</w:t>
            </w:r>
            <w:r w:rsidRPr="005E78BB">
              <w:rPr>
                <w:rFonts w:ascii="Calibri" w:eastAsia="Times New Roman" w:hAnsi="Calibri" w:cs="Calibri"/>
                <w:color w:val="000000"/>
                <w:sz w:val="18"/>
                <w:szCs w:val="18"/>
                <w:lang w:eastAsia="pl-PL"/>
              </w:rPr>
              <w:br/>
              <w:t>Kolumna AX (50): N,</w:t>
            </w:r>
            <w:r w:rsidRPr="005E78BB">
              <w:rPr>
                <w:rFonts w:ascii="Calibri" w:eastAsia="Times New Roman" w:hAnsi="Calibri" w:cs="Calibri"/>
                <w:color w:val="000000"/>
                <w:sz w:val="18"/>
                <w:szCs w:val="18"/>
                <w:lang w:eastAsia="pl-PL"/>
              </w:rPr>
              <w:br/>
              <w:t>Kolumna BB (54): Analiza możliwości  likwidacji budowli poprzecznych/przebudowa budowli poprzecznych na bystrza/innych działań w zakresie zapewnienia drożności. Realizacja działań w zakresie drożności zgodnie z przeprowadzoną analizą.</w:t>
            </w:r>
          </w:p>
        </w:tc>
        <w:tc>
          <w:tcPr>
            <w:tcW w:w="3401" w:type="dxa"/>
            <w:shd w:val="clear" w:color="auto" w:fill="auto"/>
            <w:hideMark/>
          </w:tcPr>
          <w:p w14:paraId="433A76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Istotna bariera migracyjna która nie jest ujęta w wykazie budowli.</w:t>
            </w:r>
            <w:r w:rsidRPr="005E78BB">
              <w:rPr>
                <w:rFonts w:ascii="Calibri" w:eastAsia="Times New Roman" w:hAnsi="Calibri" w:cs="Calibri"/>
                <w:color w:val="000000"/>
                <w:sz w:val="18"/>
                <w:szCs w:val="18"/>
                <w:lang w:eastAsia="pl-PL"/>
              </w:rPr>
              <w:br/>
              <w:t>Podane informacje na temat budowli ogólnodostępne.</w:t>
            </w:r>
            <w:r w:rsidRPr="005E78BB">
              <w:rPr>
                <w:rFonts w:ascii="Calibri" w:eastAsia="Times New Roman" w:hAnsi="Calibri" w:cs="Calibri"/>
                <w:color w:val="000000"/>
                <w:sz w:val="18"/>
                <w:szCs w:val="18"/>
                <w:lang w:eastAsia="pl-PL"/>
              </w:rPr>
              <w:br/>
              <w:t xml:space="preserve">Bariery migracyjne na rzece Wisła powinny umożliwiać pełną migrację w górę i w dół, dla dużych i małych ryb wszystkich gatunków występujących w Wiśle niezależnie od stanu wód, nawet przy długich niżówkach. I co BARDZO WAŻNE przez zastosowanie dwóch, trzech rodzajów/lokalizacji przepławek ( w zależności od szerokości rzeki ). Takie założenia powinny spełniać bariery migracyjne jeżeli są one już konieczne na takich rzekach jak Wisła żeby dać realną </w:t>
            </w:r>
            <w:r w:rsidRPr="005E78BB">
              <w:rPr>
                <w:rFonts w:ascii="Calibri" w:eastAsia="Times New Roman" w:hAnsi="Calibri" w:cs="Calibri"/>
                <w:color w:val="000000"/>
                <w:sz w:val="18"/>
                <w:szCs w:val="18"/>
                <w:lang w:eastAsia="pl-PL"/>
              </w:rPr>
              <w:lastRenderedPageBreak/>
              <w:t>szanse na dotarcie rybom ( w odpowiednim czasie i ilości ) do Górnej Wisły i jej dorzeczy (doświadczenia po budowie Włocławka ). Dodatkowe informacje na temat piętrzenia:</w:t>
            </w:r>
            <w:r w:rsidRPr="005E78BB">
              <w:rPr>
                <w:rFonts w:ascii="Calibri" w:eastAsia="Times New Roman" w:hAnsi="Calibri" w:cs="Calibri"/>
                <w:color w:val="000000"/>
                <w:sz w:val="18"/>
                <w:szCs w:val="18"/>
                <w:lang w:eastAsia="pl-PL"/>
              </w:rPr>
              <w:br/>
              <w:t>https://www.enea.pl/pl/grupaenea/o-grupie/spolki-grupy-enea/wytwarzanie/informacja-dla-turystow-wodnych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34EEC9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138-145_PZW_Tarnów_Wisła</w:t>
            </w:r>
          </w:p>
        </w:tc>
        <w:tc>
          <w:tcPr>
            <w:tcW w:w="1276" w:type="dxa"/>
            <w:shd w:val="clear" w:color="auto" w:fill="auto"/>
            <w:hideMark/>
          </w:tcPr>
          <w:p w14:paraId="47C4D0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47ADF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działania dla wskazanej budowli.</w:t>
            </w:r>
          </w:p>
        </w:tc>
      </w:tr>
      <w:tr w:rsidR="0085319C" w:rsidRPr="005E78BB" w14:paraId="141F22A3" w14:textId="77777777" w:rsidTr="00E92AE6">
        <w:trPr>
          <w:trHeight w:val="454"/>
        </w:trPr>
        <w:tc>
          <w:tcPr>
            <w:tcW w:w="562" w:type="dxa"/>
            <w:shd w:val="clear" w:color="auto" w:fill="auto"/>
            <w:hideMark/>
          </w:tcPr>
          <w:p w14:paraId="0B0EDDA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145</w:t>
            </w:r>
          </w:p>
        </w:tc>
        <w:tc>
          <w:tcPr>
            <w:tcW w:w="1021" w:type="dxa"/>
          </w:tcPr>
          <w:p w14:paraId="4294300D" w14:textId="6E123A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458998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AA083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 wraz z uzupełnieniem podstawowych informacjami, uwagami i propozycją działań w ramach IIaPGW ) do załącznika: „Zal_4_WykazBudowli_ZD_Mod_Wisla_Errata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Proszę o zwrotne potwierdzenie zgłoszenia uwagi</w:t>
            </w:r>
          </w:p>
        </w:tc>
        <w:tc>
          <w:tcPr>
            <w:tcW w:w="3377" w:type="dxa"/>
            <w:shd w:val="clear" w:color="auto" w:fill="auto"/>
            <w:hideMark/>
          </w:tcPr>
          <w:p w14:paraId="0AE41D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Nowa budowla o zapisach:</w:t>
            </w:r>
            <w:r w:rsidRPr="005E78BB">
              <w:rPr>
                <w:rFonts w:ascii="Calibri" w:eastAsia="Times New Roman" w:hAnsi="Calibri" w:cs="Calibri"/>
                <w:color w:val="000000"/>
                <w:sz w:val="18"/>
                <w:szCs w:val="18"/>
                <w:lang w:eastAsia="pl-PL"/>
              </w:rPr>
              <w:br/>
              <w:t xml:space="preserve">Kolumna C (3): RW200012275999, </w:t>
            </w:r>
            <w:r w:rsidRPr="005E78BB">
              <w:rPr>
                <w:rFonts w:ascii="Calibri" w:eastAsia="Times New Roman" w:hAnsi="Calibri" w:cs="Calibri"/>
                <w:color w:val="000000"/>
                <w:sz w:val="18"/>
                <w:szCs w:val="18"/>
                <w:lang w:eastAsia="pl-PL"/>
              </w:rPr>
              <w:br/>
              <w:t>Kolumna D (4): Wisła od Narwi do zb. Włocławek,</w:t>
            </w:r>
            <w:r w:rsidRPr="005E78BB">
              <w:rPr>
                <w:rFonts w:ascii="Calibri" w:eastAsia="Times New Roman" w:hAnsi="Calibri" w:cs="Calibri"/>
                <w:color w:val="000000"/>
                <w:sz w:val="18"/>
                <w:szCs w:val="18"/>
                <w:lang w:eastAsia="pl-PL"/>
              </w:rPr>
              <w:br/>
              <w:t>Kolumna E (5): Wisła,</w:t>
            </w:r>
            <w:r w:rsidRPr="005E78BB">
              <w:rPr>
                <w:rFonts w:ascii="Calibri" w:eastAsia="Times New Roman" w:hAnsi="Calibri" w:cs="Calibri"/>
                <w:color w:val="000000"/>
                <w:sz w:val="18"/>
                <w:szCs w:val="18"/>
                <w:lang w:eastAsia="pl-PL"/>
              </w:rPr>
              <w:br/>
              <w:t>Kolumna G (7): Elektrownia wodna Włocławek,</w:t>
            </w:r>
            <w:r w:rsidRPr="005E78BB">
              <w:rPr>
                <w:rFonts w:ascii="Calibri" w:eastAsia="Times New Roman" w:hAnsi="Calibri" w:cs="Calibri"/>
                <w:color w:val="000000"/>
                <w:sz w:val="18"/>
                <w:szCs w:val="18"/>
                <w:lang w:eastAsia="pl-PL"/>
              </w:rPr>
              <w:br/>
              <w:t>Kolumna H (8): Wisła,</w:t>
            </w:r>
            <w:r w:rsidRPr="005E78BB">
              <w:rPr>
                <w:rFonts w:ascii="Calibri" w:eastAsia="Times New Roman" w:hAnsi="Calibri" w:cs="Calibri"/>
                <w:color w:val="000000"/>
                <w:sz w:val="18"/>
                <w:szCs w:val="18"/>
                <w:lang w:eastAsia="pl-PL"/>
              </w:rPr>
              <w:br/>
              <w:t>Kolumna I (9): Środkowej Wisły,</w:t>
            </w:r>
            <w:r w:rsidRPr="005E78BB">
              <w:rPr>
                <w:rFonts w:ascii="Calibri" w:eastAsia="Times New Roman" w:hAnsi="Calibri" w:cs="Calibri"/>
                <w:color w:val="000000"/>
                <w:sz w:val="18"/>
                <w:szCs w:val="18"/>
                <w:lang w:eastAsia="pl-PL"/>
              </w:rPr>
              <w:br/>
              <w:t>Kolumna J (10): Warszawa,</w:t>
            </w:r>
            <w:r w:rsidRPr="005E78BB">
              <w:rPr>
                <w:rFonts w:ascii="Calibri" w:eastAsia="Times New Roman" w:hAnsi="Calibri" w:cs="Calibri"/>
                <w:color w:val="000000"/>
                <w:sz w:val="18"/>
                <w:szCs w:val="18"/>
                <w:lang w:eastAsia="pl-PL"/>
              </w:rPr>
              <w:br/>
              <w:t>Kolumna K (11): 509046.51,</w:t>
            </w:r>
            <w:r w:rsidRPr="005E78BB">
              <w:rPr>
                <w:rFonts w:ascii="Calibri" w:eastAsia="Times New Roman" w:hAnsi="Calibri" w:cs="Calibri"/>
                <w:color w:val="000000"/>
                <w:sz w:val="18"/>
                <w:szCs w:val="18"/>
                <w:lang w:eastAsia="pl-PL"/>
              </w:rPr>
              <w:br/>
              <w:t>Kolumna L (12): 532395.7,</w:t>
            </w:r>
            <w:r w:rsidRPr="005E78BB">
              <w:rPr>
                <w:rFonts w:ascii="Calibri" w:eastAsia="Times New Roman" w:hAnsi="Calibri" w:cs="Calibri"/>
                <w:color w:val="000000"/>
                <w:sz w:val="18"/>
                <w:szCs w:val="18"/>
                <w:lang w:eastAsia="pl-PL"/>
              </w:rPr>
              <w:br/>
              <w:t>Kolumna AL (38): przepławka szczelinowa,</w:t>
            </w:r>
            <w:r w:rsidRPr="005E78BB">
              <w:rPr>
                <w:rFonts w:ascii="Calibri" w:eastAsia="Times New Roman" w:hAnsi="Calibri" w:cs="Calibri"/>
                <w:color w:val="000000"/>
                <w:sz w:val="18"/>
                <w:szCs w:val="18"/>
                <w:lang w:eastAsia="pl-PL"/>
              </w:rPr>
              <w:br/>
              <w:t xml:space="preserve">Kolumna AP (42): TAK, </w:t>
            </w:r>
            <w:r w:rsidRPr="005E78BB">
              <w:rPr>
                <w:rFonts w:ascii="Calibri" w:eastAsia="Times New Roman" w:hAnsi="Calibri" w:cs="Calibri"/>
                <w:color w:val="000000"/>
                <w:sz w:val="18"/>
                <w:szCs w:val="18"/>
                <w:lang w:eastAsia="pl-PL"/>
              </w:rPr>
              <w:br/>
              <w:t xml:space="preserve">Kolumna AQ (43): TAK, </w:t>
            </w:r>
            <w:r w:rsidRPr="005E78BB">
              <w:rPr>
                <w:rFonts w:ascii="Calibri" w:eastAsia="Times New Roman" w:hAnsi="Calibri" w:cs="Calibri"/>
                <w:color w:val="000000"/>
                <w:sz w:val="18"/>
                <w:szCs w:val="18"/>
                <w:lang w:eastAsia="pl-PL"/>
              </w:rPr>
              <w:br/>
              <w:t>Kolumna AV (48): brak kompleksowego zakładanego udrożnienia stopnia wodnego we Włocławku (nie jest zapewnione bezpieczeństwo wędrówki zstępującej ( także dla węgorza ) nie przystosowano śluzy żeglugowej do migracji ryb, wpływ  progu podpietrzającego na migracje przy przepływach niższych od 850-950m3/s , nie wybudowano drugiej przepławki )</w:t>
            </w:r>
            <w:r w:rsidRPr="005E78BB">
              <w:rPr>
                <w:rFonts w:ascii="Calibri" w:eastAsia="Times New Roman" w:hAnsi="Calibri" w:cs="Calibri"/>
                <w:color w:val="000000"/>
                <w:sz w:val="18"/>
                <w:szCs w:val="18"/>
                <w:lang w:eastAsia="pl-PL"/>
              </w:rPr>
              <w:br/>
              <w:t>Kolumna AX (50): T,</w:t>
            </w:r>
            <w:r w:rsidRPr="005E78BB">
              <w:rPr>
                <w:rFonts w:ascii="Calibri" w:eastAsia="Times New Roman" w:hAnsi="Calibri" w:cs="Calibri"/>
                <w:color w:val="000000"/>
                <w:sz w:val="18"/>
                <w:szCs w:val="18"/>
                <w:lang w:eastAsia="pl-PL"/>
              </w:rPr>
              <w:br/>
              <w:t>Kolumna BB (54): kompleksowe zakładane udrożnienie stopnia wodnego we Włocławku</w:t>
            </w:r>
          </w:p>
        </w:tc>
        <w:tc>
          <w:tcPr>
            <w:tcW w:w="3401" w:type="dxa"/>
            <w:shd w:val="clear" w:color="auto" w:fill="auto"/>
            <w:hideMark/>
          </w:tcPr>
          <w:p w14:paraId="6C4CB0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Bariera migracyjna która nie jest kompleksowo udrożniona</w:t>
            </w:r>
            <w:r w:rsidRPr="005E78BB">
              <w:rPr>
                <w:rFonts w:ascii="Calibri" w:eastAsia="Times New Roman" w:hAnsi="Calibri" w:cs="Calibri"/>
                <w:color w:val="000000"/>
                <w:sz w:val="18"/>
                <w:szCs w:val="18"/>
                <w:lang w:eastAsia="pl-PL"/>
              </w:rPr>
              <w:br/>
              <w:t>Podane informacje na temat budowli ogólnodostępne.</w:t>
            </w:r>
            <w:r w:rsidRPr="005E78BB">
              <w:rPr>
                <w:rFonts w:ascii="Calibri" w:eastAsia="Times New Roman" w:hAnsi="Calibri" w:cs="Calibri"/>
                <w:color w:val="000000"/>
                <w:sz w:val="18"/>
                <w:szCs w:val="18"/>
                <w:lang w:eastAsia="pl-PL"/>
              </w:rPr>
              <w:br/>
              <w:t>Brak kompleksowego zakładanego udrożnienia stopnia wodnego we Włocławku (nie jest zapewnione bezpieczeństwo wędrówki zstępującej ( także dla węgorza ), nie przystosowano śluzy żeglugowej do migracji ryb, negatywny widoczny wpływ progu podpietrzającego na migracje przy przepływach niższych od 850-950m3/s , nie wybudowano drugiej przepławki )</w:t>
            </w:r>
            <w:r w:rsidRPr="005E78BB">
              <w:rPr>
                <w:rFonts w:ascii="Calibri" w:eastAsia="Times New Roman" w:hAnsi="Calibri" w:cs="Calibri"/>
                <w:color w:val="000000"/>
                <w:sz w:val="18"/>
                <w:szCs w:val="18"/>
                <w:lang w:eastAsia="pl-PL"/>
              </w:rPr>
              <w:br/>
              <w:t>Bariery migracyjne na rzece Wisła powinny umożliwiać pełną migrację w górę i w dół, dla dużych i małych ryb wszystkich gatunków występujących w Wiśle niezależnie od stanu wód, nawet przy długich niżówkach. I co BARDZO WAŻNE przez zastosowanie dwóch, trzech rodzajów/lokalizacji przepławek ( w zależności od szerokości rzeki ). Takie założenia powinny spełniać bariery migracyjne jeżeli są one już konieczne na takich rzekach jak Wisła żeby dać realną szanse na dotarcie rybom ( w odpowiednim czasie i ilości ) do Górnej Wisły i jej dorzeczy (doświadczenia po budowie Włocławka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załączniku w formie plIku PDF wykaz zmian w „Zal_4_WykazBudowli_ZD_Mod_Wisla_Errata” - zmiany/uzupełnienia są zaznaczone pomarańczowym wypełnieniem.</w:t>
            </w:r>
          </w:p>
        </w:tc>
        <w:tc>
          <w:tcPr>
            <w:tcW w:w="1918" w:type="dxa"/>
            <w:shd w:val="clear" w:color="auto" w:fill="auto"/>
            <w:hideMark/>
          </w:tcPr>
          <w:p w14:paraId="5527D1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138-145_PZW_Tarnów_Wisła</w:t>
            </w:r>
          </w:p>
        </w:tc>
        <w:tc>
          <w:tcPr>
            <w:tcW w:w="1276" w:type="dxa"/>
            <w:shd w:val="clear" w:color="auto" w:fill="auto"/>
            <w:hideMark/>
          </w:tcPr>
          <w:p w14:paraId="73AE9F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D265F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Dla budowli wskaznej w uwadze w IIaPGW prolongowano działania z aPWŚK.</w:t>
            </w:r>
          </w:p>
        </w:tc>
      </w:tr>
      <w:tr w:rsidR="0085319C" w:rsidRPr="005E78BB" w14:paraId="0A8852FE" w14:textId="77777777" w:rsidTr="00E92AE6">
        <w:trPr>
          <w:trHeight w:val="454"/>
        </w:trPr>
        <w:tc>
          <w:tcPr>
            <w:tcW w:w="562" w:type="dxa"/>
            <w:shd w:val="clear" w:color="auto" w:fill="auto"/>
            <w:hideMark/>
          </w:tcPr>
          <w:p w14:paraId="09808B6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146</w:t>
            </w:r>
          </w:p>
        </w:tc>
        <w:tc>
          <w:tcPr>
            <w:tcW w:w="1021" w:type="dxa"/>
          </w:tcPr>
          <w:p w14:paraId="20AB0571" w14:textId="4C60A15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34AECC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0E6C6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Powielone budowle w załączniku: „Zal_4_WykazBudowli_ZD_Mod_Wisla_Errata” Numer budowli w załączniku: „Identyfikator budowli w IIaPGW: 7371, 7372, 7374”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Proszę o zwrotne potwierdzenie zgłoszenia uwagi.</w:t>
            </w:r>
          </w:p>
        </w:tc>
        <w:tc>
          <w:tcPr>
            <w:tcW w:w="3377" w:type="dxa"/>
            <w:shd w:val="clear" w:color="auto" w:fill="auto"/>
            <w:hideMark/>
          </w:tcPr>
          <w:p w14:paraId="20514B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Usunięcie z załącznika budowli o numerze 7371 oraz 7374 według „Identyfikator budowli w IIaPGW”</w:t>
            </w:r>
            <w:r w:rsidRPr="005E78BB">
              <w:rPr>
                <w:rFonts w:ascii="Calibri" w:eastAsia="Times New Roman" w:hAnsi="Calibri" w:cs="Calibri"/>
                <w:color w:val="000000"/>
                <w:sz w:val="18"/>
                <w:szCs w:val="18"/>
                <w:lang w:eastAsia="pl-PL"/>
              </w:rPr>
              <w:br w:type="page"/>
              <w:t>Uzupełnienie budowli o numerze 7372 o zapisy:</w:t>
            </w:r>
            <w:r w:rsidRPr="005E78BB">
              <w:rPr>
                <w:rFonts w:ascii="Calibri" w:eastAsia="Times New Roman" w:hAnsi="Calibri" w:cs="Calibri"/>
                <w:color w:val="000000"/>
                <w:sz w:val="18"/>
                <w:szCs w:val="18"/>
                <w:lang w:eastAsia="pl-PL"/>
              </w:rPr>
              <w:br w:type="page"/>
              <w:t>Kolumna AL (38): pochylnia kamienna,</w:t>
            </w:r>
            <w:r w:rsidRPr="005E78BB">
              <w:rPr>
                <w:rFonts w:ascii="Calibri" w:eastAsia="Times New Roman" w:hAnsi="Calibri" w:cs="Calibri"/>
                <w:color w:val="000000"/>
                <w:sz w:val="18"/>
                <w:szCs w:val="18"/>
                <w:lang w:eastAsia="pl-PL"/>
              </w:rPr>
              <w:br w:type="page"/>
              <w:t xml:space="preserve">Kolumna AP (42): NIE, </w:t>
            </w:r>
            <w:r w:rsidRPr="005E78BB">
              <w:rPr>
                <w:rFonts w:ascii="Calibri" w:eastAsia="Times New Roman" w:hAnsi="Calibri" w:cs="Calibri"/>
                <w:color w:val="000000"/>
                <w:sz w:val="18"/>
                <w:szCs w:val="18"/>
                <w:lang w:eastAsia="pl-PL"/>
              </w:rPr>
              <w:br w:type="page"/>
              <w:t xml:space="preserve">Kolumna AQ (43) NIE, </w:t>
            </w:r>
            <w:r w:rsidRPr="005E78BB">
              <w:rPr>
                <w:rFonts w:ascii="Calibri" w:eastAsia="Times New Roman" w:hAnsi="Calibri" w:cs="Calibri"/>
                <w:color w:val="000000"/>
                <w:sz w:val="18"/>
                <w:szCs w:val="18"/>
                <w:lang w:eastAsia="pl-PL"/>
              </w:rPr>
              <w:br w:type="page"/>
              <w:t xml:space="preserve">Kolumna AS (45): Nie jest monitorowana, </w:t>
            </w:r>
            <w:r w:rsidRPr="005E78BB">
              <w:rPr>
                <w:rFonts w:ascii="Calibri" w:eastAsia="Times New Roman" w:hAnsi="Calibri" w:cs="Calibri"/>
                <w:color w:val="000000"/>
                <w:sz w:val="18"/>
                <w:szCs w:val="18"/>
                <w:lang w:eastAsia="pl-PL"/>
              </w:rPr>
              <w:br w:type="page"/>
              <w:t>Kolumna AV (48): w wyniku erozji dennej powstał pod progiem uskok, brak migracji</w:t>
            </w:r>
            <w:r w:rsidRPr="005E78BB">
              <w:rPr>
                <w:rFonts w:ascii="Calibri" w:eastAsia="Times New Roman" w:hAnsi="Calibri" w:cs="Calibri"/>
                <w:color w:val="000000"/>
                <w:sz w:val="18"/>
                <w:szCs w:val="18"/>
                <w:lang w:eastAsia="pl-PL"/>
              </w:rPr>
              <w:br w:type="page"/>
              <w:t xml:space="preserve">Kolumna AX (50): </w:t>
            </w:r>
            <w:r w:rsidRPr="005E78BB">
              <w:rPr>
                <w:rFonts w:ascii="Calibri" w:eastAsia="Times New Roman" w:hAnsi="Calibri" w:cs="Calibri"/>
                <w:color w:val="000000"/>
                <w:sz w:val="18"/>
                <w:szCs w:val="18"/>
                <w:lang w:eastAsia="pl-PL"/>
              </w:rPr>
              <w:lastRenderedPageBreak/>
              <w:t>T,</w:t>
            </w:r>
            <w:r w:rsidRPr="005E78BB">
              <w:rPr>
                <w:rFonts w:ascii="Calibri" w:eastAsia="Times New Roman" w:hAnsi="Calibri" w:cs="Calibri"/>
                <w:color w:val="000000"/>
                <w:sz w:val="18"/>
                <w:szCs w:val="18"/>
                <w:lang w:eastAsia="pl-PL"/>
              </w:rPr>
              <w:br w:type="page"/>
              <w:t>Kolumna BB (54): opracowanie wariantowej analizy sposobu udrożnienia budowli piętrzących na odcinku cieku istotnego - Dunajec ze wskazaniem wariantu do realizacji oraz opracowaniem dokumentacji projektowej</w:t>
            </w:r>
            <w:r w:rsidRPr="005E78BB">
              <w:rPr>
                <w:rFonts w:ascii="Calibri" w:eastAsia="Times New Roman" w:hAnsi="Calibri" w:cs="Calibri"/>
                <w:color w:val="000000"/>
                <w:sz w:val="18"/>
                <w:szCs w:val="18"/>
                <w:lang w:eastAsia="pl-PL"/>
              </w:rPr>
              <w:br w:type="page"/>
              <w:t>Kolumna BC (55): realizacja wybranego wariantu udrożnienia odcinka cieku istotnego - Dunajec - działanie inwestycyjne</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9C9CF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Pozycje o numerach 7371, 7372, 7374 według „Identyfikator budowli w IIaPGW” dotyczą tej samej budowli.</w:t>
            </w:r>
            <w:r w:rsidRPr="005E78BB">
              <w:rPr>
                <w:rFonts w:ascii="Calibri" w:eastAsia="Times New Roman" w:hAnsi="Calibri" w:cs="Calibri"/>
                <w:color w:val="000000"/>
                <w:sz w:val="18"/>
                <w:szCs w:val="18"/>
                <w:lang w:eastAsia="pl-PL"/>
              </w:rPr>
              <w:br w:type="page"/>
              <w:t>Próg piętrzący jest niedrożny dla ryb, stanowi istotną dodatkową bariere migracyjną.</w:t>
            </w:r>
            <w:r w:rsidRPr="005E78BB">
              <w:rPr>
                <w:rFonts w:ascii="Calibri" w:eastAsia="Times New Roman" w:hAnsi="Calibri" w:cs="Calibri"/>
                <w:color w:val="000000"/>
                <w:sz w:val="18"/>
                <w:szCs w:val="18"/>
                <w:lang w:eastAsia="pl-PL"/>
              </w:rPr>
              <w:br w:type="page"/>
              <w:t xml:space="preserve">W wyniku erozji dennej powstał pod progiem uskok </w:t>
            </w:r>
            <w:r w:rsidRPr="005E78BB">
              <w:rPr>
                <w:rFonts w:ascii="Calibri" w:eastAsia="Times New Roman" w:hAnsi="Calibri" w:cs="Calibri"/>
                <w:color w:val="000000"/>
                <w:sz w:val="18"/>
                <w:szCs w:val="18"/>
                <w:lang w:eastAsia="pl-PL"/>
              </w:rPr>
              <w:br w:type="page"/>
              <w:t>Informacje na temat budowli- na podstawie posiadanej wiedzy na temat obiektu, wizji lokalnej na obiekcie.</w:t>
            </w:r>
            <w:r w:rsidRPr="005E78BB">
              <w:rPr>
                <w:rFonts w:ascii="Calibri" w:eastAsia="Times New Roman" w:hAnsi="Calibri" w:cs="Calibri"/>
                <w:color w:val="000000"/>
                <w:sz w:val="18"/>
                <w:szCs w:val="18"/>
                <w:lang w:eastAsia="pl-PL"/>
              </w:rPr>
              <w:br w:type="page"/>
              <w:t xml:space="preserve">Dodatkowo </w:t>
            </w:r>
            <w:r w:rsidRPr="005E78BB">
              <w:rPr>
                <w:rFonts w:ascii="Calibri" w:eastAsia="Times New Roman" w:hAnsi="Calibri" w:cs="Calibri"/>
                <w:color w:val="000000"/>
                <w:sz w:val="18"/>
                <w:szCs w:val="18"/>
                <w:lang w:eastAsia="pl-PL"/>
              </w:rPr>
              <w:lastRenderedPageBreak/>
              <w:t>nadmieniamy że wizja lokalna na obiekcie ( wysokość piętrzenia, widoczne prędkości przepływu, erozja denna poniżej progu ) pozwala jednoznacznie określić że próg nie jest drożny dla wszystkich ryb.</w:t>
            </w:r>
            <w:r w:rsidRPr="005E78BB">
              <w:rPr>
                <w:rFonts w:ascii="Calibri" w:eastAsia="Times New Roman" w:hAnsi="Calibri" w:cs="Calibri"/>
                <w:color w:val="000000"/>
                <w:sz w:val="18"/>
                <w:szCs w:val="18"/>
                <w:lang w:eastAsia="pl-PL"/>
              </w:rPr>
              <w:br w:type="page"/>
              <w:t>Priorytetyzacja działań dla budowli oraz „Działanie na IIaPGW” powinny być takie same jak dla budowli w Czchowie i Rożnowie.</w:t>
            </w:r>
            <w:r w:rsidRPr="005E78BB">
              <w:rPr>
                <w:rFonts w:ascii="Calibri" w:eastAsia="Times New Roman" w:hAnsi="Calibri" w:cs="Calibri"/>
                <w:color w:val="000000"/>
                <w:sz w:val="18"/>
                <w:szCs w:val="18"/>
                <w:lang w:eastAsia="pl-PL"/>
              </w:rPr>
              <w:br w:type="page"/>
              <w:t>Modernizacja pochylni zapewni migracje dla wszystkich gatunków ryb występujących w Dunajcu, łącznie z gatunkami mogącymi występować potencjalnie w przyszłości: łosoś, troć wędrowna, umożliwi migrację lokalną z jeziorem, Rożnowskim, wzmocni odporność na głębokie i długotrwające niżówki, pozwoli na ochronę siedlisk przyrodniczych i gatunków wchodzących w skład ekosystemu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załączniku w formie plIku PDF wykaz zmian w „Zal_4_WykazBudowli_ZD_Mod_Wisla_Errata” - zmiany/uzupełnienia są zaznaczone pomarańczowym wypełnieniem.</w:t>
            </w:r>
          </w:p>
        </w:tc>
        <w:tc>
          <w:tcPr>
            <w:tcW w:w="1918" w:type="dxa"/>
            <w:shd w:val="clear" w:color="auto" w:fill="auto"/>
            <w:hideMark/>
          </w:tcPr>
          <w:p w14:paraId="7E1735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146_PZW_Tarnów_Wisła</w:t>
            </w:r>
          </w:p>
        </w:tc>
        <w:tc>
          <w:tcPr>
            <w:tcW w:w="1276" w:type="dxa"/>
            <w:shd w:val="clear" w:color="auto" w:fill="auto"/>
            <w:hideMark/>
          </w:tcPr>
          <w:p w14:paraId="5B7E7E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ED272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Zweryfikowano wskazane obiekty i zmieniono działanie dla obiektu 7371.</w:t>
            </w:r>
          </w:p>
        </w:tc>
      </w:tr>
      <w:tr w:rsidR="0085319C" w:rsidRPr="005E78BB" w14:paraId="39D2028C" w14:textId="77777777" w:rsidTr="00E92AE6">
        <w:trPr>
          <w:trHeight w:val="454"/>
        </w:trPr>
        <w:tc>
          <w:tcPr>
            <w:tcW w:w="562" w:type="dxa"/>
            <w:shd w:val="clear" w:color="auto" w:fill="auto"/>
            <w:hideMark/>
          </w:tcPr>
          <w:p w14:paraId="2AE492B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147</w:t>
            </w:r>
          </w:p>
        </w:tc>
        <w:tc>
          <w:tcPr>
            <w:tcW w:w="1021" w:type="dxa"/>
          </w:tcPr>
          <w:p w14:paraId="022D4E16" w14:textId="321B22F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Nie dla Kopalni Cynku i Ołowiu</w:t>
            </w:r>
          </w:p>
        </w:tc>
        <w:tc>
          <w:tcPr>
            <w:tcW w:w="1630" w:type="dxa"/>
            <w:shd w:val="clear" w:color="auto" w:fill="auto"/>
            <w:hideMark/>
          </w:tcPr>
          <w:p w14:paraId="3055E5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A4EAD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PGW zawiera wykaz inwestycji oraz działań, które mogą spowodować nieosiągnięcie dobrego stanu wód lub pogorszenie dobrego stanu wód, spełniających warunki, o których mowa w art. 4 ust. 7 Ramo-wej Dyrektywy Wodnej, wraz z uzasadnieniem spełnienia tych warunków (czyli: ze wskazaniem przesłanek wskazujących na dopuszczalność realizacji tych działań i przedsięwzięć). Jedną z inwestycji, która została wpisana do PGW przyjętego w 2016 r. jest Budowa podziemnej kopalni w celu wydobywania rud cynku i ołowiu ze złoża Zawiercie 3 ID dla II aPGW - A_549_O/A_1810_W. W ocenie Stowarzyszenia przedstawione w PGW przesłanki mające przemawiać za realizacją tego projektu nie czynią zadość wymaganiom art. 4 ust. 7 lit. c RDW</w:t>
            </w:r>
          </w:p>
        </w:tc>
        <w:tc>
          <w:tcPr>
            <w:tcW w:w="3377" w:type="dxa"/>
            <w:shd w:val="clear" w:color="auto" w:fill="auto"/>
            <w:hideMark/>
          </w:tcPr>
          <w:p w14:paraId="676BCE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Wykreślenie z załącznika nr 6 do II aPGW projektu: Budowa podziemnej kopalni w celu wydobywania rud cynku i ołowiu ze złoża Zawiercie 3 ID dla II aPGW - A_549_O/A_1810_W.</w:t>
            </w:r>
          </w:p>
        </w:tc>
        <w:tc>
          <w:tcPr>
            <w:tcW w:w="3401" w:type="dxa"/>
            <w:shd w:val="clear" w:color="auto" w:fill="auto"/>
            <w:hideMark/>
          </w:tcPr>
          <w:p w14:paraId="2DE96F95" w14:textId="13DFCB7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opracowaniami eksperckimi dotyczącymi budowy kopalni cynku i ołowiu na terenie występowania ww. złóż, wskazano że ewentualna eksploatacja złóż będzie wymagała odwodnienia górotworu, konsekwencją czego będzie naruszenie dotychczasowych stosunków wodnych na terenie Powiatu Zawierciańskiego i spowoduje powstanie leja depresyjnego. W wyniku drenażu górniczego większość obecnie funkcjonujących ujęć wód podziemnych, przeznaczonych do zaopatrzenia ludności i przemysłu, na terenie Powiatu będzie musiała być wyłączona z powodu obniżenia się poziomu wód gruntowych. Konsekwencją tego będzie konieczność znalezienia alternatywnych źródeł zaopatrzenia w wodę dla Powiatu. Innym zagrożeniem w związku z ewentualną eksploatacją górniczą rud cynku i ołowiu, które zalegają na niewielkiej głębokości, mogą być szkody górnicze powstające w infrastrukturze powierzchniowej. Tak m.in. czytamy w „Analizie wpływu potencjalnej budowy kopalni cynku i ołowiu w okolicach Zawiercia na otoczenie”, Multiconsult Polska Sp. z o.o., 2016 r.</w:t>
            </w:r>
            <w:r w:rsidRPr="005E78BB">
              <w:rPr>
                <w:rFonts w:ascii="Calibri" w:eastAsia="Times New Roman" w:hAnsi="Calibri" w:cs="Calibri"/>
                <w:color w:val="000000"/>
                <w:sz w:val="18"/>
                <w:szCs w:val="18"/>
                <w:lang w:eastAsia="pl-PL"/>
              </w:rPr>
              <w:br/>
              <w:t xml:space="preserve">W PGW cel realizacji przedsięwzięcia określono w sposób następujący: „efektywne wykorzystanie surowców mineralnych, kopaliny podstawowe – metale nieżelazne, podziemne wydobycie rud cynku i ołowiu , zapewnienie bezpieczeństwa surowcowego Polski, utrzymanie pozycji Polski jako producenta </w:t>
            </w:r>
            <w:r w:rsidRPr="005E78BB">
              <w:rPr>
                <w:rFonts w:ascii="Calibri" w:eastAsia="Times New Roman" w:hAnsi="Calibri" w:cs="Calibri"/>
                <w:color w:val="000000"/>
                <w:sz w:val="18"/>
                <w:szCs w:val="18"/>
                <w:lang w:eastAsia="pl-PL"/>
              </w:rPr>
              <w:lastRenderedPageBreak/>
              <w:t>cynku i ołowiu, stworzenie możliwości dla rozwoju gałęzi przemysłu przetwórczego opartego o nowe technologie wykorzystujące cynk i ołów”. W PGW wskazano również, jaki jest nadrzędny interes publiczny przemawiający za realizacją przedsięwzięcia: „Planowana kopalnia podziemna cynku i ołowiu stanowi nadrzędny interes publiczny o charakterze społecznym i gospodarczym zarówno w skali lokalnej, regionalnej, jak i krajowej itd.</w:t>
            </w:r>
            <w:r w:rsidRPr="005E78BB">
              <w:rPr>
                <w:rFonts w:ascii="Calibri" w:eastAsia="Times New Roman" w:hAnsi="Calibri" w:cs="Calibri"/>
                <w:color w:val="000000"/>
                <w:sz w:val="18"/>
                <w:szCs w:val="18"/>
                <w:lang w:eastAsia="pl-PL"/>
              </w:rPr>
              <w:br/>
              <w:t xml:space="preserve">Należy zwrócić uwagę, że są to zapisy powtórzone z przyjętego w 2016 r. PGW, podczas gdy tworzenie Planów gospodarki wodami w okresach 5-letnich ma na celu analizę ryzyka i ocenę planowanych działań z celami środowiskowymi jcw w kontekście art. 4 ust. 7 RDW.  PGW zgodnie z przepisami podlega cyklicznej aktualizacji co 6 lat, w ramach którego m.in. badany jest stan wód, identyfikuje i ocenia się presje na stan wód, analizowany jest status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określane są cele środowiskowe dla nich oraz przeprowadzana jest analiza ryzyka ich nieosiągnięcia i formułowany jest program działań mających zapewnić osiągnięcie tych celów</w:t>
            </w:r>
            <w:r w:rsidRPr="005E78BB">
              <w:rPr>
                <w:rFonts w:ascii="Calibri" w:eastAsia="Times New Roman" w:hAnsi="Calibri" w:cs="Calibri"/>
                <w:color w:val="000000"/>
                <w:sz w:val="18"/>
                <w:szCs w:val="18"/>
                <w:lang w:eastAsia="pl-PL"/>
              </w:rPr>
              <w:br/>
              <w:t>Niezależnie od powyższego należy krytycznie podejść do argumentów zawartych w projekcie aPGW, a uzasadniających możliwość realizacji wpisanego do aPGW projektu, pomimo że to przedsięwzięcie pogarsza stan wód lub uniemożliwia osiągnięcie celu środowiskowego jcw.</w:t>
            </w:r>
            <w:r w:rsidRPr="005E78BB">
              <w:rPr>
                <w:rFonts w:ascii="Calibri" w:eastAsia="Times New Roman" w:hAnsi="Calibri" w:cs="Calibri"/>
                <w:color w:val="000000"/>
                <w:sz w:val="18"/>
                <w:szCs w:val="18"/>
                <w:lang w:eastAsia="pl-PL"/>
              </w:rPr>
              <w:br/>
              <w:t>Według wytycznych CIS nr 20 i nr 36, o nadrzędnym interesie publicznym można mówić wyłączni wte-dy, gdy projekty lub przedsięwzięcia są niezbędne w ramach:</w:t>
            </w:r>
            <w:r w:rsidRPr="005E78BB">
              <w:rPr>
                <w:rFonts w:ascii="Calibri" w:eastAsia="Times New Roman" w:hAnsi="Calibri" w:cs="Calibri"/>
                <w:color w:val="000000"/>
                <w:sz w:val="18"/>
                <w:szCs w:val="18"/>
                <w:lang w:eastAsia="pl-PL"/>
              </w:rPr>
              <w:br/>
              <w:t xml:space="preserve">- działań lub polityk mających na celu ochronę podstawowej wartości życia obywateli (zdrowie, bezpieczeństwo, środowisko); </w:t>
            </w:r>
            <w:r w:rsidRPr="005E78BB">
              <w:rPr>
                <w:rFonts w:ascii="Calibri" w:eastAsia="Times New Roman" w:hAnsi="Calibri" w:cs="Calibri"/>
                <w:color w:val="000000"/>
                <w:sz w:val="18"/>
                <w:szCs w:val="18"/>
                <w:lang w:eastAsia="pl-PL"/>
              </w:rPr>
              <w:br/>
              <w:t>- polityk fundamentalnych dla państwa i społeczeństwa;</w:t>
            </w:r>
            <w:r w:rsidRPr="005E78BB">
              <w:rPr>
                <w:rFonts w:ascii="Calibri" w:eastAsia="Times New Roman" w:hAnsi="Calibri" w:cs="Calibri"/>
                <w:color w:val="000000"/>
                <w:sz w:val="18"/>
                <w:szCs w:val="18"/>
                <w:lang w:eastAsia="pl-PL"/>
              </w:rPr>
              <w:br/>
              <w:t>- prowadzenia działań o charakterze gospodarczym lub społecznym, podlegających szczególnym wymaganiom związanym ze świadczeniem usług publicznych.</w:t>
            </w:r>
            <w:r w:rsidRPr="005E78BB">
              <w:rPr>
                <w:rFonts w:ascii="Calibri" w:eastAsia="Times New Roman" w:hAnsi="Calibri" w:cs="Calibri"/>
                <w:color w:val="000000"/>
                <w:sz w:val="18"/>
                <w:szCs w:val="18"/>
                <w:lang w:eastAsia="pl-PL"/>
              </w:rPr>
              <w:br/>
              <w:t xml:space="preserve">Treść PGW nie odwołuje się do żadnego z ww. obszarów. Można również założyć, że interes publiczny może być nadrzędny tylko wówczas, gdy jest interesem długofalowym; krótkoterminowe interesy, gospodarcze lub inne, które przyniosłyby społeczeństwu jedynie krótkotrwałe korzyści, wydają się nie być wystarczające, by przeważyć nad </w:t>
            </w:r>
            <w:r w:rsidRPr="005E78BB">
              <w:rPr>
                <w:rFonts w:ascii="Calibri" w:eastAsia="Times New Roman" w:hAnsi="Calibri" w:cs="Calibri"/>
                <w:color w:val="000000"/>
                <w:sz w:val="18"/>
                <w:szCs w:val="18"/>
                <w:lang w:eastAsia="pl-PL"/>
              </w:rPr>
              <w:lastRenderedPageBreak/>
              <w:t>długofalowymi interesami ochrony zabezpieczonymi przez RDW.</w:t>
            </w:r>
          </w:p>
        </w:tc>
        <w:tc>
          <w:tcPr>
            <w:tcW w:w="1918" w:type="dxa"/>
            <w:shd w:val="clear" w:color="auto" w:fill="auto"/>
            <w:hideMark/>
          </w:tcPr>
          <w:p w14:paraId="6F6A6A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Stow_NieDlaCynkuOłowiu_Wisła</w:t>
            </w:r>
          </w:p>
        </w:tc>
        <w:tc>
          <w:tcPr>
            <w:tcW w:w="1276" w:type="dxa"/>
            <w:shd w:val="clear" w:color="auto" w:fill="auto"/>
            <w:hideMark/>
          </w:tcPr>
          <w:p w14:paraId="6078A3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1528FC" w14:textId="6AC4F52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5775C4F4" w14:textId="77777777" w:rsidTr="00E92AE6">
        <w:trPr>
          <w:trHeight w:val="454"/>
        </w:trPr>
        <w:tc>
          <w:tcPr>
            <w:tcW w:w="562" w:type="dxa"/>
            <w:shd w:val="clear" w:color="auto" w:fill="auto"/>
            <w:hideMark/>
          </w:tcPr>
          <w:p w14:paraId="48B874C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148</w:t>
            </w:r>
          </w:p>
        </w:tc>
        <w:tc>
          <w:tcPr>
            <w:tcW w:w="1021" w:type="dxa"/>
          </w:tcPr>
          <w:p w14:paraId="2861203F" w14:textId="5618F75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Karol Anioł</w:t>
            </w:r>
          </w:p>
        </w:tc>
        <w:tc>
          <w:tcPr>
            <w:tcW w:w="1630" w:type="dxa"/>
            <w:shd w:val="clear" w:color="auto" w:fill="auto"/>
            <w:hideMark/>
          </w:tcPr>
          <w:p w14:paraId="1B78A0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DA876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Nr działek 356, 359, 357,358, 360, 361, 385/1 Tereny, które zamieszkuję z rodziną zostały uznane za tereny zalewowe. Posiadam własną działalność i obawiam się upadku. Jestem młody chciałbym się rozbudować, co nie jest możliwe na chwilę obecną. Dalsza działalność nie jest możliwa. </w:t>
            </w:r>
          </w:p>
        </w:tc>
        <w:tc>
          <w:tcPr>
            <w:tcW w:w="3377" w:type="dxa"/>
            <w:shd w:val="clear" w:color="auto" w:fill="auto"/>
            <w:hideMark/>
          </w:tcPr>
          <w:p w14:paraId="42E7BE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Uważam, że należy uregulować koryto Wisły i liczne kanały, które nie są udrożnione i zarośnięte. </w:t>
            </w:r>
          </w:p>
        </w:tc>
        <w:tc>
          <w:tcPr>
            <w:tcW w:w="3401" w:type="dxa"/>
            <w:shd w:val="clear" w:color="auto" w:fill="auto"/>
            <w:hideMark/>
          </w:tcPr>
          <w:p w14:paraId="4F7717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Zarówno Wisła i jej dopływy (kanały) nie były od lat czyszczone. Uważam, że doprowadzi nas to do bankructwa. </w:t>
            </w:r>
          </w:p>
        </w:tc>
        <w:tc>
          <w:tcPr>
            <w:tcW w:w="1918" w:type="dxa"/>
            <w:shd w:val="clear" w:color="auto" w:fill="auto"/>
            <w:hideMark/>
          </w:tcPr>
          <w:p w14:paraId="26C092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4B3D1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17C45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67236D1" w14:textId="77777777" w:rsidTr="00E92AE6">
        <w:trPr>
          <w:trHeight w:val="454"/>
        </w:trPr>
        <w:tc>
          <w:tcPr>
            <w:tcW w:w="562" w:type="dxa"/>
            <w:shd w:val="clear" w:color="auto" w:fill="auto"/>
            <w:hideMark/>
          </w:tcPr>
          <w:p w14:paraId="5C11B20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149</w:t>
            </w:r>
          </w:p>
        </w:tc>
        <w:tc>
          <w:tcPr>
            <w:tcW w:w="1021" w:type="dxa"/>
          </w:tcPr>
          <w:p w14:paraId="075C930F" w14:textId="16D63C8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Malina Wawrzkiewicz</w:t>
            </w:r>
          </w:p>
        </w:tc>
        <w:tc>
          <w:tcPr>
            <w:tcW w:w="1630" w:type="dxa"/>
            <w:shd w:val="clear" w:color="auto" w:fill="auto"/>
            <w:hideMark/>
          </w:tcPr>
          <w:p w14:paraId="3439BF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68430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zamieszkuję oraz moje działki 223, 222/2, 222, 394/1, 394/2, 340,339, 338, 341, 337/2, 352/1, 337/2, 342/2, 504, 503 zostały uznane jako  zalewowe. Wnoszę o ich zniesienie ponieważ nie będzie można rozwijać swojego gospodarstwa oraz się rozbudowywać. </w:t>
            </w:r>
          </w:p>
        </w:tc>
        <w:tc>
          <w:tcPr>
            <w:tcW w:w="3377" w:type="dxa"/>
            <w:shd w:val="clear" w:color="auto" w:fill="auto"/>
            <w:hideMark/>
          </w:tcPr>
          <w:p w14:paraId="3855C1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Wody Polskie powinny zająć się organizacją pracy związanej z uregulowaniem dorzecza Wisły oczyszczeniem krzewów oraz walów. </w:t>
            </w:r>
          </w:p>
        </w:tc>
        <w:tc>
          <w:tcPr>
            <w:tcW w:w="3401" w:type="dxa"/>
            <w:shd w:val="clear" w:color="auto" w:fill="auto"/>
            <w:hideMark/>
          </w:tcPr>
          <w:p w14:paraId="4CEA37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Jeżeli wstępne podjęte decyzje o zakazie budowy to wtedy nasze gospodarstwa oraz działki tracą na wartości nie będzie chętnych do pozostania na nich ani do ich kupna. </w:t>
            </w:r>
          </w:p>
        </w:tc>
        <w:tc>
          <w:tcPr>
            <w:tcW w:w="1918" w:type="dxa"/>
            <w:shd w:val="clear" w:color="auto" w:fill="auto"/>
            <w:hideMark/>
          </w:tcPr>
          <w:p w14:paraId="505E5A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EC56F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5081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A54E33F" w14:textId="77777777" w:rsidTr="00E92AE6">
        <w:trPr>
          <w:trHeight w:val="454"/>
        </w:trPr>
        <w:tc>
          <w:tcPr>
            <w:tcW w:w="562" w:type="dxa"/>
            <w:shd w:val="clear" w:color="auto" w:fill="auto"/>
            <w:hideMark/>
          </w:tcPr>
          <w:p w14:paraId="56ADCAE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150</w:t>
            </w:r>
          </w:p>
        </w:tc>
        <w:tc>
          <w:tcPr>
            <w:tcW w:w="1021" w:type="dxa"/>
          </w:tcPr>
          <w:p w14:paraId="77220F59" w14:textId="33DD7C3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Paweł Anioł</w:t>
            </w:r>
          </w:p>
        </w:tc>
        <w:tc>
          <w:tcPr>
            <w:tcW w:w="1630" w:type="dxa"/>
            <w:shd w:val="clear" w:color="auto" w:fill="auto"/>
            <w:hideMark/>
          </w:tcPr>
          <w:p w14:paraId="0599E0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37FF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Uwaga dotyczy działek działek 236/1, 236/2, 237/1, 237/2, 428/1, 428/2 które zostały uznane jako tereny zalewowe. Są to działki budowlane i rolne. Stracą na wartości rynkowej albo będzie brak zainteresowania należy dodać, ze nikt nie będzie chciał pozostać </w:t>
            </w:r>
          </w:p>
        </w:tc>
        <w:tc>
          <w:tcPr>
            <w:tcW w:w="3377" w:type="dxa"/>
            <w:shd w:val="clear" w:color="auto" w:fill="auto"/>
            <w:hideMark/>
          </w:tcPr>
          <w:p w14:paraId="2E5082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Uważam z wiekszością mieszkańców, że należy zacząć od regulacji Wisły z licznych kanałów i przepustów. </w:t>
            </w:r>
          </w:p>
        </w:tc>
        <w:tc>
          <w:tcPr>
            <w:tcW w:w="3401" w:type="dxa"/>
            <w:shd w:val="clear" w:color="auto" w:fill="auto"/>
            <w:hideMark/>
          </w:tcPr>
          <w:p w14:paraId="61A19B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Rzeka i kanały nie było modernizowane od bardzo dawna i są bardzo zarośnięte. </w:t>
            </w:r>
          </w:p>
        </w:tc>
        <w:tc>
          <w:tcPr>
            <w:tcW w:w="1918" w:type="dxa"/>
            <w:shd w:val="clear" w:color="auto" w:fill="auto"/>
            <w:hideMark/>
          </w:tcPr>
          <w:p w14:paraId="0FCBFE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FED2C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8C220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41D3C177" w14:textId="77777777" w:rsidTr="00E92AE6">
        <w:trPr>
          <w:trHeight w:val="454"/>
        </w:trPr>
        <w:tc>
          <w:tcPr>
            <w:tcW w:w="562" w:type="dxa"/>
            <w:shd w:val="clear" w:color="auto" w:fill="auto"/>
            <w:hideMark/>
          </w:tcPr>
          <w:p w14:paraId="259ED52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151</w:t>
            </w:r>
          </w:p>
        </w:tc>
        <w:tc>
          <w:tcPr>
            <w:tcW w:w="1021" w:type="dxa"/>
          </w:tcPr>
          <w:p w14:paraId="3D83904A" w14:textId="52F2E3A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Martyna Sławińska</w:t>
            </w:r>
          </w:p>
        </w:tc>
        <w:tc>
          <w:tcPr>
            <w:tcW w:w="1630" w:type="dxa"/>
            <w:shd w:val="clear" w:color="auto" w:fill="auto"/>
            <w:hideMark/>
          </w:tcPr>
          <w:p w14:paraId="5189DB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0B04C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zamieszkuję oraz moje działki 444, 450, 88/3 zostały uznane jako zalewowe. Wnoszę o ich zniesienie ponieważ nie będzie można rozwijać swoje gospodarstwa oraz się rozbudowywać. </w:t>
            </w:r>
          </w:p>
        </w:tc>
        <w:tc>
          <w:tcPr>
            <w:tcW w:w="3377" w:type="dxa"/>
            <w:shd w:val="clear" w:color="auto" w:fill="auto"/>
            <w:hideMark/>
          </w:tcPr>
          <w:p w14:paraId="7674D2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Trzeba uregulować dorzecze Wisły. Udrożnić rowy zrobić przepusty i powycinać krzewy. </w:t>
            </w:r>
          </w:p>
        </w:tc>
        <w:tc>
          <w:tcPr>
            <w:tcW w:w="3401" w:type="dxa"/>
            <w:shd w:val="clear" w:color="auto" w:fill="auto"/>
            <w:hideMark/>
          </w:tcPr>
          <w:p w14:paraId="7ABD45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Gospodarstwa stracą na wartości, a także zniechęci to obecnych i przyszłych mieszkańców do pozostania w dotychczasowym miejscu zamieszkania. Dlatego trzeba dążyć do zmiany tych planów. </w:t>
            </w:r>
          </w:p>
        </w:tc>
        <w:tc>
          <w:tcPr>
            <w:tcW w:w="1918" w:type="dxa"/>
            <w:shd w:val="clear" w:color="auto" w:fill="auto"/>
            <w:hideMark/>
          </w:tcPr>
          <w:p w14:paraId="4A2801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7BC6CB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66AB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42E9A924" w14:textId="77777777" w:rsidTr="00E92AE6">
        <w:trPr>
          <w:trHeight w:val="454"/>
        </w:trPr>
        <w:tc>
          <w:tcPr>
            <w:tcW w:w="562" w:type="dxa"/>
            <w:shd w:val="clear" w:color="auto" w:fill="auto"/>
            <w:hideMark/>
          </w:tcPr>
          <w:p w14:paraId="73B1DAF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152</w:t>
            </w:r>
          </w:p>
        </w:tc>
        <w:tc>
          <w:tcPr>
            <w:tcW w:w="1021" w:type="dxa"/>
          </w:tcPr>
          <w:p w14:paraId="6021F357" w14:textId="4B156FA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Katarzyna Sławek </w:t>
            </w:r>
          </w:p>
        </w:tc>
        <w:tc>
          <w:tcPr>
            <w:tcW w:w="1630" w:type="dxa"/>
            <w:shd w:val="clear" w:color="auto" w:fill="auto"/>
            <w:hideMark/>
          </w:tcPr>
          <w:p w14:paraId="444161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B3F80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Nr działek 471, 472. Teren który zamieszkuję z rodziną zostały uznane jako zalewowe. Dlatego nie możemy rozwijać swojej działaności , a nawet wybudować żadnego budynku.  </w:t>
            </w:r>
          </w:p>
        </w:tc>
        <w:tc>
          <w:tcPr>
            <w:tcW w:w="3377" w:type="dxa"/>
            <w:shd w:val="clear" w:color="auto" w:fill="auto"/>
            <w:hideMark/>
          </w:tcPr>
          <w:p w14:paraId="6E24FB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udrożnić kanały i przepusty oraz oczyścić tereny nad Wisłą. </w:t>
            </w:r>
          </w:p>
        </w:tc>
        <w:tc>
          <w:tcPr>
            <w:tcW w:w="3401" w:type="dxa"/>
            <w:shd w:val="clear" w:color="auto" w:fill="auto"/>
            <w:hideMark/>
          </w:tcPr>
          <w:p w14:paraId="1BD96C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Nasze gospodarstwa stracą na wartości, a młodzi wyemigrują i nasze dorobki pójdą w niepamięć. </w:t>
            </w:r>
          </w:p>
        </w:tc>
        <w:tc>
          <w:tcPr>
            <w:tcW w:w="1918" w:type="dxa"/>
            <w:shd w:val="clear" w:color="auto" w:fill="auto"/>
            <w:hideMark/>
          </w:tcPr>
          <w:p w14:paraId="7F1ACC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21AE7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D2581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0F52E644" w14:textId="77777777" w:rsidTr="00E92AE6">
        <w:trPr>
          <w:trHeight w:val="454"/>
        </w:trPr>
        <w:tc>
          <w:tcPr>
            <w:tcW w:w="562" w:type="dxa"/>
            <w:shd w:val="clear" w:color="auto" w:fill="auto"/>
            <w:hideMark/>
          </w:tcPr>
          <w:p w14:paraId="190AACC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153</w:t>
            </w:r>
          </w:p>
        </w:tc>
        <w:tc>
          <w:tcPr>
            <w:tcW w:w="1021" w:type="dxa"/>
          </w:tcPr>
          <w:p w14:paraId="25CA0C1E" w14:textId="1069A4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Andrzej Raś</w:t>
            </w:r>
          </w:p>
        </w:tc>
        <w:tc>
          <w:tcPr>
            <w:tcW w:w="1630" w:type="dxa"/>
            <w:shd w:val="clear" w:color="auto" w:fill="auto"/>
            <w:hideMark/>
          </w:tcPr>
          <w:p w14:paraId="11FD8E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4FFF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Treść uwagi: </w:t>
            </w:r>
            <w:r w:rsidRPr="005E78BB">
              <w:rPr>
                <w:rFonts w:ascii="Calibri" w:eastAsia="Times New Roman" w:hAnsi="Calibri" w:cs="Calibri"/>
                <w:color w:val="000000"/>
                <w:sz w:val="18"/>
                <w:szCs w:val="18"/>
                <w:lang w:eastAsia="pl-PL"/>
              </w:rPr>
              <w:br w:type="page"/>
              <w:t xml:space="preserve">Wnoszę o zniesienie ternu mojej działki położonej w miejscowości Niekurza stref zalewowych. Ponieważ, będzie to utrudniać prowadzenie i rozwój gospodarstwa oraz ograniczy możliwość rozbudowy gospodarstwa. </w:t>
            </w:r>
          </w:p>
        </w:tc>
        <w:tc>
          <w:tcPr>
            <w:tcW w:w="3377" w:type="dxa"/>
            <w:shd w:val="clear" w:color="auto" w:fill="auto"/>
            <w:hideMark/>
          </w:tcPr>
          <w:p w14:paraId="62FAF4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Pogłębienie koryta rzeki, oczyszczenie i udrożnienie wody, oraz zwiększenie przepustowości pod mostem kolejowym w Matiaszowie.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507320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BB38C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621ED9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48F0F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54F0C888" w14:textId="77777777" w:rsidTr="00E92AE6">
        <w:trPr>
          <w:trHeight w:val="454"/>
        </w:trPr>
        <w:tc>
          <w:tcPr>
            <w:tcW w:w="562" w:type="dxa"/>
            <w:shd w:val="clear" w:color="auto" w:fill="auto"/>
            <w:hideMark/>
          </w:tcPr>
          <w:p w14:paraId="7A5871B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154</w:t>
            </w:r>
          </w:p>
        </w:tc>
        <w:tc>
          <w:tcPr>
            <w:tcW w:w="1021" w:type="dxa"/>
          </w:tcPr>
          <w:p w14:paraId="4D984D3F" w14:textId="3FD2D12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Węgierska Górka</w:t>
            </w:r>
          </w:p>
        </w:tc>
        <w:tc>
          <w:tcPr>
            <w:tcW w:w="1630" w:type="dxa"/>
            <w:shd w:val="clear" w:color="auto" w:fill="auto"/>
            <w:hideMark/>
          </w:tcPr>
          <w:p w14:paraId="323DAD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Konieczne, dodatkowe działania podjęte w trakcie realizacji ostatniego planu gospodarowania wodami na obszarze dorzecza</w:t>
            </w:r>
          </w:p>
        </w:tc>
        <w:tc>
          <w:tcPr>
            <w:tcW w:w="5663" w:type="dxa"/>
            <w:shd w:val="clear" w:color="auto" w:fill="auto"/>
            <w:hideMark/>
          </w:tcPr>
          <w:p w14:paraId="033B854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Niżej wymienione obiekty powinny pilnie zostać uwzględnione w w działaniach służących osiągnięciu i utrzymaniu dobrego stanu wód na terenie Gminy Węgierska Górka ( dotyczy konsultacji społecznych realizowanych przez PGW Wody Polskie  projektu II aPGW. Wskazujemy kolejny raz pilne potrzeby wg nazwy rzeki/potoku, nazwy obiektu i zakresu prac oraz funkcje pełnione przez obiekt:</w:t>
            </w:r>
            <w:r w:rsidRPr="005E78BB">
              <w:rPr>
                <w:rFonts w:ascii="Calibri" w:eastAsia="Times New Roman" w:hAnsi="Calibri" w:cs="Calibri"/>
                <w:color w:val="000000"/>
                <w:sz w:val="18"/>
                <w:szCs w:val="18"/>
                <w:lang w:eastAsia="pl-PL"/>
              </w:rPr>
              <w:br/>
              <w:t>Rzeka Soła - należy wyregulować rzekę na całej jej długości, wykonać lokalne opaski brzegowe, wyremontować istniejące budowle liniowe oraz udrożnić koryto. Należy wybudować nowe wały przeciwpowodziowe.Ochrona przed powodzią miejscowej ludności, cele gospodarcze.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Potok Cięcinka - należy wyremontować 4 zapory przeciwrumoszowe oraz uregulować  i wyremontować żłób, wybudować zaporę i zbiornik wodny. Wyrównanie odpływu w przekroju ujęcia wody dla miejscowości Cięcina, zapewnienie ochrony przed powodzią oraz suszą, cele gospodarcze.</w:t>
            </w:r>
            <w:r w:rsidRPr="005E78BB">
              <w:rPr>
                <w:rFonts w:ascii="Calibri" w:eastAsia="Times New Roman" w:hAnsi="Calibri" w:cs="Calibri"/>
                <w:color w:val="000000"/>
                <w:sz w:val="18"/>
                <w:szCs w:val="18"/>
                <w:lang w:eastAsia="pl-PL"/>
              </w:rPr>
              <w:br/>
              <w:t>Potok Stara Cięcinka- należy dokonać kompleksowej regulacji potoku na całej jego długości.Ochrona przed powodzią miejscowej ludności, cele gospodarcze.</w:t>
            </w:r>
            <w:r w:rsidRPr="005E78BB">
              <w:rPr>
                <w:rFonts w:ascii="Calibri" w:eastAsia="Times New Roman" w:hAnsi="Calibri" w:cs="Calibri"/>
                <w:color w:val="000000"/>
                <w:sz w:val="18"/>
                <w:szCs w:val="18"/>
                <w:lang w:eastAsia="pl-PL"/>
              </w:rPr>
              <w:br/>
              <w:t>Potok Loraniec - należy lokalnie umocnić brzeg oraz wyremontować żłób, wybudować zaporę i zbiornik wodny. Wyrównanie odpływu w przekroju ujęcia wody dla miejscowości Cięcina, zapewnienie ochrony przed powodzią oraz suszą, cele gospodarcze.</w:t>
            </w:r>
            <w:r w:rsidRPr="005E78BB">
              <w:rPr>
                <w:rFonts w:ascii="Calibri" w:eastAsia="Times New Roman" w:hAnsi="Calibri" w:cs="Calibri"/>
                <w:color w:val="000000"/>
                <w:sz w:val="18"/>
                <w:szCs w:val="18"/>
                <w:lang w:eastAsia="pl-PL"/>
              </w:rPr>
              <w:br/>
              <w:t xml:space="preserve">Rzeka Żabniczanka - Należy w sposób kompleksowy na całej długości uregulować  i zabezpieczyć brzegi potoku wraz </w:t>
            </w:r>
            <w:r w:rsidRPr="005E78BB">
              <w:rPr>
                <w:rFonts w:ascii="Calibri" w:eastAsia="Times New Roman" w:hAnsi="Calibri" w:cs="Calibri"/>
                <w:color w:val="000000"/>
                <w:sz w:val="18"/>
                <w:szCs w:val="18"/>
                <w:lang w:eastAsia="pl-PL"/>
              </w:rPr>
              <w:br/>
              <w:t>z udrożnieniem potoku (odżwirowanie koryta oraz wykonanie opasek z narzutu kamiennego i gabionów siatkowych). Należy wybudować zbiornik wodny i zaporę, stopnie wodne i mury oporowe. Od mostu kolejowego w kierunku ujścia z rzeką Sołą wykonać zabezpieczenia betonowe od strony istniejącego wału (deptak spacerowy). Wyrównanie odpływu w przekroju ujęcia wody dla miejscowości Żabnica, zapewnienie ochrony przed powodzią oraz suszą, cele gospodarcze.</w:t>
            </w:r>
            <w:r w:rsidRPr="005E78BB">
              <w:rPr>
                <w:rFonts w:ascii="Calibri" w:eastAsia="Times New Roman" w:hAnsi="Calibri" w:cs="Calibri"/>
                <w:color w:val="000000"/>
                <w:sz w:val="18"/>
                <w:szCs w:val="18"/>
                <w:lang w:eastAsia="pl-PL"/>
              </w:rPr>
              <w:br/>
              <w:t>Potok Tynionka - należy wybudować zbiornik retencyjno-przeciwpowodziowy oraz zaporę wraz z regulacją potoku. 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Fułatów - należy wybudować zbiornik retencyjno-przeciwpowodziowy, odbudować istniejące zapory - 2 sztuki wraz z regulacją potoku. 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Grzegorzków - należy wybudować zbiornik retencyjno-przeciwpowodziowy oraz zaporę - 2 sztuki wraz z regulacją potoku. 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Kubiców - należy odbudować i zmodernizować koryta cieku Kubiców. Wybudować zapory 2 sztuki i zbiornik wodny.Wyrównanie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Gołuszki - należy wybudować zbiornik retencyjno-przeciwpowodziowy oraz zaporę wraz z regulacją potoku.Wyrównanie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Strzałków - należy wyremontować zaporę przeciwrumoszową i zbiornik wodny wraz z regulacją potoku.Wyrównanie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Drożdżów - należy wybudować zbiornik retencyjno-przeciwpowodziowy oraz zapory wraz z regulacją potoku.Wyrównanie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Talików - Należy wybudować zbiornik wodny i zaporę.Wyrównanie odpływu w przekroju ujęcia wody dla miejscowości Cisiec, zapewnienie ochrony przed powodzią oraz suszą, cele gospodarcze.</w:t>
            </w:r>
            <w:r w:rsidRPr="005E78BB">
              <w:rPr>
                <w:rFonts w:ascii="Calibri" w:eastAsia="Times New Roman" w:hAnsi="Calibri" w:cs="Calibri"/>
                <w:color w:val="000000"/>
                <w:sz w:val="18"/>
                <w:szCs w:val="18"/>
                <w:lang w:eastAsia="pl-PL"/>
              </w:rPr>
              <w:br/>
              <w:t>Potok Olejnik - należy wybudować zbiornik retencyjno-przeciwpowodziowy oraz zaporę wraz z regulacją potoku. Wyrównanie odpływu w przekroju ujęcia wody dla miejscowości Cięcina, zapewnienie ochrony przed powodzią oraz suszą, cele gospodarcze.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W uzasadnieniu wskazujemy, że wymienione obiekty związane są z </w:t>
            </w:r>
            <w:r w:rsidRPr="005E78BB">
              <w:rPr>
                <w:rFonts w:ascii="Calibri" w:eastAsia="Times New Roman" w:hAnsi="Calibri" w:cs="Calibri"/>
                <w:color w:val="000000"/>
                <w:sz w:val="18"/>
                <w:szCs w:val="18"/>
                <w:lang w:eastAsia="pl-PL"/>
              </w:rPr>
              <w:lastRenderedPageBreak/>
              <w:t>ochroną przeciwpowodziową, ochroną gęstej zabudowy mieszkaniowej, linii kolejowej, sieci infrastruktury technicznej, dróg gminnych, mostów oraz przepustów. Niepokojącym wydaje się brak uwzględnienia w ww. Planie zadań związanych z ochroną przeciwpowodziową na mniejszych ciekach w zlewni Soły. Brak realizacji ww. prac będzie skutkować postępującą degradacją rzek i potoków z wysokimi stratami materialnymi w przypadku przejścia wielkich wód, jak również wywoła silny sprzeciw społeczności lokalnej. Obiekty te wymagają pilnej budowy lub modernizacji ponieważ ich brak wpłynie negatywnie na osiągnięcie dobrego stanu wód, a co się z tym wiąże bezpieczeństwa okolicznych mieszkańców. Należy również brać pod uwagę pojawiające się coraz częściej zjawiska ekstremalne (gwałtowne burze, oberwania chmury), które przebiegają w krótkim okresie czasu i bardzo niebezpieczne przyczyniają się do zagrożenia ryzyka powodziowego.</w:t>
            </w:r>
            <w:r w:rsidRPr="005E78BB">
              <w:rPr>
                <w:rFonts w:ascii="Calibri" w:eastAsia="Times New Roman" w:hAnsi="Calibri" w:cs="Calibri"/>
                <w:color w:val="000000"/>
                <w:sz w:val="18"/>
                <w:szCs w:val="18"/>
                <w:lang w:eastAsia="pl-PL"/>
              </w:rPr>
              <w:br/>
              <w:t xml:space="preserve"> Uzasadnionym wydaje się podejście do problemu zagrożenia i ryzyka powodziowego, w sposób który uwzględnia problemy związane z ochroną życia i mienia również ludności zamieszkującej tereny górskie. Ponoszone dotychczas straty są niewspółmierne do kosztów planowanych inwestycji mających na celu poprawę życia i bezpieczeństwa mieszkańców.</w:t>
            </w:r>
            <w:r w:rsidRPr="005E78BB">
              <w:rPr>
                <w:rFonts w:ascii="Calibri" w:eastAsia="Times New Roman" w:hAnsi="Calibri" w:cs="Calibri"/>
                <w:color w:val="000000"/>
                <w:sz w:val="18"/>
                <w:szCs w:val="18"/>
                <w:lang w:eastAsia="pl-PL"/>
              </w:rPr>
              <w:br/>
              <w:t xml:space="preserve"> Do dnia dzisiejszego nie otrzymaliśmy żadnej pisemnej i oficjalnej odpowiedzi od żadnej instytucji o której mowa w rozdzielniku mimo zachowania terminu wnoszenia uwagi potrzeb w ramach konsultacji tj.do 22.06.2015r. Gmina Węgierska Górka bardzo aktywnie angażowała się w trakcie trwania konsultacji uczestnicząc m.in. w cyklicznych spotkaniach w Krakowie w Witku. Jedyną formą odpowiedzi (na nasze wyraźne interwencje) była odpowiedź wysłana drogą elektroniczną przez pracownika DHI Polska sp. z.o.o. Kraków. Jest to według DHI Polska odpowiedź nieoficjalna niezaakceptowana przez RZGW Kraków. Z odpowiedzi tej m.in. wynika, że firma MGGP S.A. informowała, że Gmina Węgierska Górka w przeszłości nie zgłaszała tak obszernego zestawienia działań technicznych, koniecznych do realizacji w gminie.   Informujemy, że już w roku 2014 na prośbę tejże firmy, Gmina przygotowała ankietę nt. zagrożenia powodziowego w Gminie w obszarze zlewni Soły przekazując pełny zakres  strat powodziowych jak również istniejące zagrożenia ze strony obiektów o których  mowa w piśmie dołączając mapy firmy w 8 egzemplarzach oraz mapy pomocnicze wykonane przez Urząd Gminy (3 egzemplarze). Ważnym jest fakt, że wszystkie wyżej wskazane w tabeli obiekty zostały ujęte w pismach skierowanych do właściwych instytucji w obowiązującym terminie w ramach konsultacji tj. do 22.06.2015r. Uważamy, że takie zachowanie jest niedopuszczalne.       O taką odpowiedź prosiliśmy również na spotkaniu organizowanym przez KZGW w Krakowie w dniu 07.07.2015r. wypełniając i składając na ręce Moderator spotkania (Pani Magdalena Dziewa) obowiązujący formularz zgłaszania uwag i wniosków. Zawarliśmy w nim wszystkie dotychczasowe uwagi sygnalizując o braku odpowiedzi na nasze pisma a co najważniejsze o zagrożeniach wynikających z braku ujęcia w PZRP ważnych i strategicznych obiektów które z kolei są zagrożeniem dla mienia i ludzi w czasie powodzi. Również do dnia dzisiejszego nie otrzymaliśmy pisemnej odpowiedzi. Taka sytuacja powoduje, że Gmina Węgierska Górka w żaden sposób nie może odnieś się do nieotrzymanych odpowiedzi od instytucji zaangażowanych w PZRP.  </w:t>
            </w:r>
            <w:r w:rsidRPr="005E78BB">
              <w:rPr>
                <w:rFonts w:ascii="Calibri" w:eastAsia="Times New Roman" w:hAnsi="Calibri" w:cs="Calibri"/>
                <w:color w:val="000000"/>
                <w:sz w:val="18"/>
                <w:szCs w:val="18"/>
                <w:lang w:eastAsia="pl-PL"/>
              </w:rPr>
              <w:br/>
              <w:t xml:space="preserve">Reasumując z uwagi na kończące się kolejne konsultacje społeczne PGW Wody Polskie projektu II aPGW trwające do 14.10.2021r., zwracamy się           z kolejną pilną prośbą o konieczne uwzględnienie ww. obiektów w pracach planistycznych oraz o pisemne poinformowanie Gminy Węgierska Górka               o podjętych działaniach w celu skutecznego ujęcia wskazanych obiektów służących osiągnięciu i utrzymaniu dobrego stanu wód w naszym regionie     ( rzeka Soła, Żabniczanka oraz wyżej wymienione potoki  ), </w:t>
            </w:r>
            <w:r w:rsidRPr="005E78BB">
              <w:rPr>
                <w:rFonts w:ascii="Calibri" w:eastAsia="Times New Roman" w:hAnsi="Calibri" w:cs="Calibri"/>
                <w:color w:val="000000"/>
                <w:sz w:val="18"/>
                <w:szCs w:val="18"/>
                <w:lang w:eastAsia="pl-PL"/>
              </w:rPr>
              <w:br/>
            </w:r>
          </w:p>
        </w:tc>
        <w:tc>
          <w:tcPr>
            <w:tcW w:w="3377" w:type="dxa"/>
            <w:shd w:val="clear" w:color="auto" w:fill="auto"/>
            <w:hideMark/>
          </w:tcPr>
          <w:p w14:paraId="1D74FC0A" w14:textId="6D8C9F8E" w:rsidR="0085319C" w:rsidRPr="005E78BB" w:rsidRDefault="0085319C" w:rsidP="0085319C">
            <w:pPr>
              <w:ind w:firstLine="0"/>
              <w:jc w:val="left"/>
              <w:rPr>
                <w:rFonts w:ascii="Calibri" w:eastAsia="Times New Roman" w:hAnsi="Calibri" w:cs="Calibri"/>
                <w:color w:val="000000"/>
                <w:sz w:val="18"/>
                <w:szCs w:val="18"/>
                <w:lang w:eastAsia="pl-PL"/>
              </w:rPr>
            </w:pPr>
            <w:r w:rsidRPr="0059664F">
              <w:rPr>
                <w:rFonts w:ascii="Calibri" w:eastAsia="Times New Roman" w:hAnsi="Calibri" w:cs="Calibri"/>
                <w:color w:val="000000"/>
                <w:sz w:val="18"/>
                <w:szCs w:val="18"/>
                <w:lang w:eastAsia="pl-PL"/>
              </w:rPr>
              <w:lastRenderedPageBreak/>
              <w:t xml:space="preserve">- </w:t>
            </w:r>
          </w:p>
        </w:tc>
        <w:tc>
          <w:tcPr>
            <w:tcW w:w="3401" w:type="dxa"/>
            <w:shd w:val="clear" w:color="auto" w:fill="auto"/>
            <w:hideMark/>
          </w:tcPr>
          <w:p w14:paraId="2BF5E028" w14:textId="0264FF9A" w:rsidR="0085319C" w:rsidRPr="005E78BB" w:rsidRDefault="0085319C" w:rsidP="0085319C">
            <w:pPr>
              <w:ind w:firstLine="0"/>
              <w:jc w:val="left"/>
              <w:rPr>
                <w:rFonts w:ascii="Calibri" w:eastAsia="Times New Roman" w:hAnsi="Calibri" w:cs="Calibri"/>
                <w:color w:val="000000"/>
                <w:sz w:val="18"/>
                <w:szCs w:val="18"/>
                <w:lang w:eastAsia="pl-PL"/>
              </w:rPr>
            </w:pPr>
            <w:r w:rsidRPr="0059664F">
              <w:rPr>
                <w:rFonts w:ascii="Calibri" w:eastAsia="Times New Roman" w:hAnsi="Calibri" w:cs="Calibri"/>
                <w:color w:val="000000"/>
                <w:sz w:val="18"/>
                <w:szCs w:val="18"/>
                <w:lang w:eastAsia="pl-PL"/>
              </w:rPr>
              <w:t xml:space="preserve">- </w:t>
            </w:r>
          </w:p>
        </w:tc>
        <w:tc>
          <w:tcPr>
            <w:tcW w:w="1918" w:type="dxa"/>
            <w:shd w:val="clear" w:color="auto" w:fill="auto"/>
            <w:hideMark/>
          </w:tcPr>
          <w:p w14:paraId="12A524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48227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042FC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Przywołane w uwadze inwestycje stanowiące działania aPZRP i PPSS wskazane zostały w Załączniku 6 do Planów Gospodarowania Wodami - Wykaz Inwestycji i Działań zawierający inwestycje, które uzyskały wymagane decyzje środowiskowe.</w:t>
            </w:r>
            <w:r w:rsidRPr="005E78BB">
              <w:rPr>
                <w:rFonts w:ascii="Calibri" w:eastAsia="Times New Roman" w:hAnsi="Calibri" w:cs="Calibri"/>
                <w:color w:val="000000"/>
                <w:sz w:val="18"/>
                <w:szCs w:val="18"/>
                <w:lang w:eastAsia="pl-PL"/>
              </w:rPr>
              <w:br/>
              <w:t xml:space="preserve">Działania naprawcze wskazane w IIaPGW (Zestawy działań) służą osiągnięciu celów środowiskowych (cele środowiskowe - Załączniki 5.1) wskazanych dla jcw. Działania naprawcze nie mogą prowadzić do </w:t>
            </w:r>
            <w:r w:rsidRPr="005E78BB">
              <w:rPr>
                <w:rFonts w:ascii="Calibri" w:eastAsia="Times New Roman" w:hAnsi="Calibri" w:cs="Calibri"/>
                <w:color w:val="000000"/>
                <w:sz w:val="18"/>
                <w:szCs w:val="18"/>
                <w:lang w:eastAsia="pl-PL"/>
              </w:rPr>
              <w:lastRenderedPageBreak/>
              <w:t>pogorszenia stanu wód, w tym pogorszenia stanu ilościowego lub jakościowego innych jcw.</w:t>
            </w:r>
          </w:p>
        </w:tc>
      </w:tr>
      <w:tr w:rsidR="0085319C" w:rsidRPr="005E78BB" w14:paraId="525DECDA" w14:textId="77777777" w:rsidTr="00E92AE6">
        <w:trPr>
          <w:trHeight w:val="454"/>
        </w:trPr>
        <w:tc>
          <w:tcPr>
            <w:tcW w:w="562" w:type="dxa"/>
            <w:shd w:val="clear" w:color="auto" w:fill="auto"/>
            <w:hideMark/>
          </w:tcPr>
          <w:p w14:paraId="3449FA0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155</w:t>
            </w:r>
          </w:p>
        </w:tc>
        <w:tc>
          <w:tcPr>
            <w:tcW w:w="1021" w:type="dxa"/>
          </w:tcPr>
          <w:p w14:paraId="12128397" w14:textId="15ADE74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Elżbieta Książka </w:t>
            </w:r>
          </w:p>
        </w:tc>
        <w:tc>
          <w:tcPr>
            <w:tcW w:w="1630" w:type="dxa"/>
            <w:shd w:val="clear" w:color="auto" w:fill="auto"/>
            <w:hideMark/>
          </w:tcPr>
          <w:p w14:paraId="2B3C3B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0B421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zamieszkuje zostały uznane za tereny zalewowe. Jestem przeciwna tej decyzji, ponieważ jest to niekorzystne dla gospodarstwa, w którym zamieszkuje. Niekurza. </w:t>
            </w:r>
          </w:p>
        </w:tc>
        <w:tc>
          <w:tcPr>
            <w:tcW w:w="3377" w:type="dxa"/>
            <w:shd w:val="clear" w:color="auto" w:fill="auto"/>
            <w:hideMark/>
          </w:tcPr>
          <w:p w14:paraId="5974EE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75E70D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Gospodarstwo i działki stracą na wartości. Nie zgadzam się z tymi decyzjami i zgłaszam uwagi. </w:t>
            </w:r>
          </w:p>
        </w:tc>
        <w:tc>
          <w:tcPr>
            <w:tcW w:w="1918" w:type="dxa"/>
            <w:shd w:val="clear" w:color="auto" w:fill="auto"/>
            <w:hideMark/>
          </w:tcPr>
          <w:p w14:paraId="3C0C98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A3D9B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87A99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CC9E665" w14:textId="77777777" w:rsidTr="00E92AE6">
        <w:trPr>
          <w:trHeight w:val="454"/>
        </w:trPr>
        <w:tc>
          <w:tcPr>
            <w:tcW w:w="562" w:type="dxa"/>
            <w:shd w:val="clear" w:color="auto" w:fill="auto"/>
            <w:hideMark/>
          </w:tcPr>
          <w:p w14:paraId="78544EB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156</w:t>
            </w:r>
          </w:p>
        </w:tc>
        <w:tc>
          <w:tcPr>
            <w:tcW w:w="1021" w:type="dxa"/>
          </w:tcPr>
          <w:p w14:paraId="4E592588" w14:textId="4B8E9E8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Helena Matyja</w:t>
            </w:r>
          </w:p>
        </w:tc>
        <w:tc>
          <w:tcPr>
            <w:tcW w:w="1630" w:type="dxa"/>
            <w:shd w:val="clear" w:color="auto" w:fill="auto"/>
            <w:hideMark/>
          </w:tcPr>
          <w:p w14:paraId="0B0BF4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49CBD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zamieszkuje zostały uznane za tereny zalewowe. Nie zgadzam się z tym, ponieważ jest to niekorzystne dla mnie, ograniczy to możliwość rozbudowy mojego gospodarstwa działki nr 125 w Niekurzy. </w:t>
            </w:r>
          </w:p>
        </w:tc>
        <w:tc>
          <w:tcPr>
            <w:tcW w:w="3377" w:type="dxa"/>
            <w:shd w:val="clear" w:color="auto" w:fill="auto"/>
            <w:hideMark/>
          </w:tcPr>
          <w:p w14:paraId="6C2864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64A2EA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Gospodarstwo tracą na wartości, co przyczyni się do wyludnienia tego terenu. Nie zgadzam się z tymi decyzjami i dlatego zgłaszam uwagi. </w:t>
            </w:r>
          </w:p>
        </w:tc>
        <w:tc>
          <w:tcPr>
            <w:tcW w:w="1918" w:type="dxa"/>
            <w:shd w:val="clear" w:color="auto" w:fill="auto"/>
            <w:hideMark/>
          </w:tcPr>
          <w:p w14:paraId="5907E5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F0BE9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7121C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5548978" w14:textId="77777777" w:rsidTr="00E92AE6">
        <w:trPr>
          <w:trHeight w:val="454"/>
        </w:trPr>
        <w:tc>
          <w:tcPr>
            <w:tcW w:w="562" w:type="dxa"/>
            <w:shd w:val="clear" w:color="auto" w:fill="auto"/>
            <w:hideMark/>
          </w:tcPr>
          <w:p w14:paraId="6898B72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157</w:t>
            </w:r>
          </w:p>
        </w:tc>
        <w:tc>
          <w:tcPr>
            <w:tcW w:w="1021" w:type="dxa"/>
          </w:tcPr>
          <w:p w14:paraId="561CA8D5" w14:textId="3963A38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Dariusz Skiba</w:t>
            </w:r>
          </w:p>
        </w:tc>
        <w:tc>
          <w:tcPr>
            <w:tcW w:w="1630" w:type="dxa"/>
            <w:shd w:val="clear" w:color="auto" w:fill="auto"/>
            <w:hideMark/>
          </w:tcPr>
          <w:p w14:paraId="534920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376B52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"Budowy zbiornika wodnego Bodzentyn-Hucisko" w gminie Bodzentyn, powiat kielecki, woj. świętokrzyskie</w:t>
            </w:r>
          </w:p>
        </w:tc>
        <w:tc>
          <w:tcPr>
            <w:tcW w:w="3377" w:type="dxa"/>
            <w:shd w:val="clear" w:color="auto" w:fill="auto"/>
            <w:hideMark/>
          </w:tcPr>
          <w:p w14:paraId="2B5BD7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inwestycji pn. "Budowa zbiornika wodnego Bodzentyn-Hucisko"  </w:t>
            </w:r>
          </w:p>
        </w:tc>
        <w:tc>
          <w:tcPr>
            <w:tcW w:w="3401" w:type="dxa"/>
            <w:shd w:val="clear" w:color="auto" w:fill="auto"/>
            <w:hideMark/>
          </w:tcPr>
          <w:p w14:paraId="7D74B0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Zbiornik na rzece Psarce o funkcji retencyjnej przyczyni się do zwiększenia zasobów wodnych wód powierzchniowych oraz zmniejszenia skutków suszy i obniżania poziomu wód gruntowych. Budowa zbiornika Bodzentyn-Hucisko znajduje się w „Programie małej retencji dla Woj. Świętokrzyskiego” oraz w „Planie zagospodarowania Przestrzennego Woj. Świętokrzyskiego” z 2014r.. Gmina posiada pozytywne opinie planu budowy w/w zbiornika Państwowego Gospodarstwa Wodnego Wody Polskie (Zarząd Zlewni w Radomiu) oraz Regionalnej Dyrekcji Ochrony Środowiska w Kielcach.</w:t>
            </w:r>
          </w:p>
        </w:tc>
        <w:tc>
          <w:tcPr>
            <w:tcW w:w="1918" w:type="dxa"/>
            <w:shd w:val="clear" w:color="auto" w:fill="auto"/>
            <w:hideMark/>
          </w:tcPr>
          <w:p w14:paraId="00A4AE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C6D9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811021" w14:textId="01D080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Wykazie Inwestycji i Działań mogą znaleźć się wyłącznie takie planowane inwestycje, co do których stwierdzono, że uniemożliwią one osiągnięcie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jednak potwierdzono (w aPGW z 2016 r., w decyzji o środowiskowych uwarunkowaniach, w ocenie wodnoprawnej), że inwestycje te spełniają przesłanki wskazane w art. 68 ustawy Prawo wodne. Wedle posiadanych informacji, dla predmiotowej inwestycji nie wydano decyzji środowiskowej ani oceny wodnoprawnej z zastosowaniem art. 68 ustawy Prawo wodne, inwestycja ta również nie była wpisana do aPGW z 2016 r. Dlatego nie ma prawnej możliwości jej wpisania do Wykazu Inwestycji i Działań - jednak ten brak wpisu nie jest żadną przeszkodą w dążeniu do realizacji tego przedsięwzięcia. Natomiast plan gospodarowania wodami pełni funkcję planistyczną jedynie dla działań ukierunkowanych na osiągnięcie celów środowiskowych (o czym mowa w ustaleniach dot. zestawów działań).</w:t>
            </w:r>
          </w:p>
        </w:tc>
      </w:tr>
      <w:tr w:rsidR="0085319C" w:rsidRPr="005E78BB" w14:paraId="49FD4249" w14:textId="77777777" w:rsidTr="00E92AE6">
        <w:trPr>
          <w:trHeight w:val="454"/>
        </w:trPr>
        <w:tc>
          <w:tcPr>
            <w:tcW w:w="562" w:type="dxa"/>
            <w:shd w:val="clear" w:color="auto" w:fill="auto"/>
            <w:hideMark/>
          </w:tcPr>
          <w:p w14:paraId="772AA55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158</w:t>
            </w:r>
          </w:p>
        </w:tc>
        <w:tc>
          <w:tcPr>
            <w:tcW w:w="1021" w:type="dxa"/>
          </w:tcPr>
          <w:p w14:paraId="3BC872E5" w14:textId="3E85B57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Czesław i Danuta Pełka</w:t>
            </w:r>
          </w:p>
        </w:tc>
        <w:tc>
          <w:tcPr>
            <w:tcW w:w="1630" w:type="dxa"/>
            <w:shd w:val="clear" w:color="auto" w:fill="auto"/>
            <w:hideMark/>
          </w:tcPr>
          <w:p w14:paraId="224525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1ABB5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terenu działki w miejscowości Niekurza i Szwagrów położnych wzdłuż terenów zalewowych, ponieważ będzie to utrudniało prowadzenie przez nas gospodarstwa rolnego oraz ograniczało znacząco możliwość rozbudowy mojego gospodarstwa. Działki nr 109/4 Niekurza, Działki nr 269 i 270 Szwagrów. </w:t>
            </w:r>
          </w:p>
        </w:tc>
        <w:tc>
          <w:tcPr>
            <w:tcW w:w="3377" w:type="dxa"/>
            <w:shd w:val="clear" w:color="auto" w:fill="auto"/>
            <w:hideMark/>
          </w:tcPr>
          <w:p w14:paraId="4359E0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69FA9A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zadbać o pogłębienie i regulacje rzeki Wisły oraz oczyszczenie zakrzewień i zadrzewień co da dodatkowe powierzchnie na wezbrane wody i przelanie przez koronę wałów. </w:t>
            </w:r>
          </w:p>
        </w:tc>
        <w:tc>
          <w:tcPr>
            <w:tcW w:w="1918" w:type="dxa"/>
            <w:shd w:val="clear" w:color="auto" w:fill="auto"/>
            <w:hideMark/>
          </w:tcPr>
          <w:p w14:paraId="4DF6E3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387B8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8B59A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E527848" w14:textId="77777777" w:rsidTr="00E92AE6">
        <w:trPr>
          <w:trHeight w:val="454"/>
        </w:trPr>
        <w:tc>
          <w:tcPr>
            <w:tcW w:w="562" w:type="dxa"/>
            <w:shd w:val="clear" w:color="auto" w:fill="auto"/>
            <w:hideMark/>
          </w:tcPr>
          <w:p w14:paraId="13E4C24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159</w:t>
            </w:r>
          </w:p>
        </w:tc>
        <w:tc>
          <w:tcPr>
            <w:tcW w:w="1021" w:type="dxa"/>
          </w:tcPr>
          <w:p w14:paraId="7754979C" w14:textId="2A8F18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Waldemar Gajdowski</w:t>
            </w:r>
          </w:p>
        </w:tc>
        <w:tc>
          <w:tcPr>
            <w:tcW w:w="1630" w:type="dxa"/>
            <w:shd w:val="clear" w:color="auto" w:fill="auto"/>
            <w:hideMark/>
          </w:tcPr>
          <w:p w14:paraId="165B10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E882B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terenu działki w miejscowości Niekurza położnej wzdłuż terenów zalewowych, ponieważ będzie to utrudniało rozbudowę budynków na mojej działce. Działka nr 110/3 Niekurza. </w:t>
            </w:r>
          </w:p>
        </w:tc>
        <w:tc>
          <w:tcPr>
            <w:tcW w:w="3377" w:type="dxa"/>
            <w:shd w:val="clear" w:color="auto" w:fill="auto"/>
            <w:hideMark/>
          </w:tcPr>
          <w:p w14:paraId="090213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2FB1FC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zadbać o pogłębienie i regulacje rzeki Wisły oraz oczyszczenie zakrzewień i zadrzewień co da dodatkowe powierzchnie na wezbrane wody i przelanie przez koronę wałów. </w:t>
            </w:r>
          </w:p>
        </w:tc>
        <w:tc>
          <w:tcPr>
            <w:tcW w:w="1918" w:type="dxa"/>
            <w:shd w:val="clear" w:color="auto" w:fill="auto"/>
            <w:hideMark/>
          </w:tcPr>
          <w:p w14:paraId="5A3BF0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895C3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6ABF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E41364D" w14:textId="77777777" w:rsidTr="00707C14">
        <w:trPr>
          <w:trHeight w:val="454"/>
        </w:trPr>
        <w:tc>
          <w:tcPr>
            <w:tcW w:w="562" w:type="dxa"/>
            <w:shd w:val="clear" w:color="auto" w:fill="auto"/>
            <w:hideMark/>
          </w:tcPr>
          <w:p w14:paraId="3CDD6C66" w14:textId="77777777" w:rsidR="0085319C" w:rsidRPr="00707C14" w:rsidRDefault="0085319C" w:rsidP="0085319C">
            <w:pPr>
              <w:ind w:firstLine="0"/>
              <w:jc w:val="center"/>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t>160</w:t>
            </w:r>
          </w:p>
        </w:tc>
        <w:tc>
          <w:tcPr>
            <w:tcW w:w="1021" w:type="dxa"/>
            <w:shd w:val="clear" w:color="auto" w:fill="auto"/>
          </w:tcPr>
          <w:p w14:paraId="28043ABB" w14:textId="4EADCB43"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hAnsi="Calibri" w:cs="Calibri"/>
                <w:color w:val="000000"/>
                <w:sz w:val="18"/>
                <w:szCs w:val="18"/>
              </w:rPr>
              <w:t xml:space="preserve">Polska Izba Przemysłu </w:t>
            </w:r>
            <w:r w:rsidRPr="00707C14">
              <w:rPr>
                <w:rFonts w:ascii="Calibri" w:hAnsi="Calibri" w:cs="Calibri"/>
                <w:color w:val="000000"/>
                <w:sz w:val="18"/>
                <w:szCs w:val="18"/>
              </w:rPr>
              <w:lastRenderedPageBreak/>
              <w:t>Chemicznego</w:t>
            </w:r>
          </w:p>
        </w:tc>
        <w:tc>
          <w:tcPr>
            <w:tcW w:w="1630" w:type="dxa"/>
            <w:shd w:val="clear" w:color="auto" w:fill="auto"/>
            <w:hideMark/>
          </w:tcPr>
          <w:p w14:paraId="78C70053" w14:textId="77777777"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lastRenderedPageBreak/>
              <w:t>inne/pozostałe</w:t>
            </w:r>
          </w:p>
        </w:tc>
        <w:tc>
          <w:tcPr>
            <w:tcW w:w="5663" w:type="dxa"/>
            <w:shd w:val="clear" w:color="auto" w:fill="auto"/>
            <w:hideMark/>
          </w:tcPr>
          <w:p w14:paraId="05646C76" w14:textId="1B76F9B9"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t xml:space="preserve">W odpowiedzi na KONSULTACJE SPOŁECZNE projektów II aktualizacji planów gospodarowania wodami na obszarach dorzeczy, Polska Izba Przemysłu Chemicznego, niniejszym przekazuje swoje stanowisko. </w:t>
            </w:r>
            <w:r w:rsidRPr="00707C14">
              <w:rPr>
                <w:rFonts w:ascii="Calibri" w:eastAsia="Times New Roman" w:hAnsi="Calibri" w:cs="Calibri"/>
                <w:color w:val="000000"/>
                <w:sz w:val="18"/>
                <w:szCs w:val="18"/>
                <w:lang w:eastAsia="pl-PL"/>
              </w:rPr>
              <w:br w:type="page"/>
              <w:t xml:space="preserve">Uwagi i </w:t>
            </w:r>
            <w:r w:rsidRPr="00707C14">
              <w:rPr>
                <w:rFonts w:ascii="Calibri" w:eastAsia="Times New Roman" w:hAnsi="Calibri" w:cs="Calibri"/>
                <w:color w:val="000000"/>
                <w:sz w:val="18"/>
                <w:szCs w:val="18"/>
                <w:lang w:eastAsia="pl-PL"/>
              </w:rPr>
              <w:lastRenderedPageBreak/>
              <w:t>postulowane zmiany dotyczą przede wszystkim projektów planów gospodarowania wodami na obszarze dorzeczy Wisły i Odry w zakresie jednolitych części wód powierzchniowych rzecznych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RW). </w:t>
            </w:r>
            <w:r w:rsidRPr="00707C14">
              <w:rPr>
                <w:rFonts w:ascii="Calibri" w:eastAsia="Times New Roman" w:hAnsi="Calibri" w:cs="Calibri"/>
                <w:color w:val="000000"/>
                <w:sz w:val="18"/>
                <w:szCs w:val="18"/>
                <w:lang w:eastAsia="pl-PL"/>
              </w:rPr>
              <w:br w:type="page"/>
              <w:t>Po analizie projektów II aktualizacji planów gospodarowania wodami, dla obszaru dorzeczy Wisły, jak i Odry, zauważamy, że w załączniku 3.1 projektów, dla silnie zmienionych jednolitych części wód powierzchniowych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nie określono wartości granicznych wskaźników fizykochemicznych, w tym wskaźnika jakim jest przewodność. Wartości te dla silnie zmienionych części wód (SZCW) nie pojawiają się również w innych elementach projektu. W załączniku 3.1 dla SZCW określono je wyłącznie dla zbiorników zaporowych, i to tylko pośrednio, przez odesłanie do wartości klas dla jezior i rzek. Równocześnie zwracamy uwagę, że jest to niezgodne z przepisami obowiązującego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 w którego załączniku nr 7 dotyczącym wartości granicznych wskaźników jakości wód powierzchniowych odnoszących się do jednolitych wód rzecznych, wskazano, że „Wartości graniczne dla klas jakości wód powierzchniowych wskaźników jakości wód powierzchniowych, będące podstawą klasyfikacji potencjału ekologicznego jednolitych części wód powierzchniowych, odnoszące się do jednolitych części wód rzecznych wyznaczonych jako sztuczne lub silnie zmienione jednolite części wód powierzchniowych, z wyjątkiem wskaźników jakości wód powierzchniowych wchodzących w skład elementów biologicznych odnoszących się do jednolitych części wód rzecznych wyznaczonych jako silnie zmienione jednolite części wód powierzchniowych, będących zbiornikami zaporowymi, określa się w rozporządzeniu, o którym mowa w art. 321 ustawy, w ramach planu gospodarowania wodami na obszarze dorzecza lub w ramach jego aktualizacji”. Przypominamy, że jest to rozwiązanie wypracowane w 2019 r. podczas nowelizacji rozporządzenia klasyfikacyjnego. </w:t>
            </w:r>
            <w:r w:rsidRPr="00707C14">
              <w:rPr>
                <w:rFonts w:ascii="Calibri" w:eastAsia="Times New Roman" w:hAnsi="Calibri" w:cs="Calibri"/>
                <w:color w:val="000000"/>
                <w:sz w:val="18"/>
                <w:szCs w:val="18"/>
                <w:lang w:eastAsia="pl-PL"/>
              </w:rPr>
              <w:br w:type="page"/>
              <w:t xml:space="preserve">Jedną z istotnych zmian wprowadzanych obecną aktualizacją jest zmiana granic części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związana z wyznaczeniem nowych punktów monitoringu. W niektórych przypadkach nowych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z powodu braku wyników monitoringu przyjęto arbitralnie, że derogacje ograniczą się tylko </w:t>
            </w:r>
            <w:r w:rsidRPr="00707C14">
              <w:rPr>
                <w:rFonts w:ascii="Calibri" w:eastAsia="Times New Roman" w:hAnsi="Calibri" w:cs="Calibri"/>
                <w:color w:val="000000"/>
                <w:sz w:val="18"/>
                <w:szCs w:val="18"/>
                <w:lang w:eastAsia="pl-PL"/>
              </w:rPr>
              <w:br w:type="page"/>
              <w:t xml:space="preserve">do wskaźników chemicznych, pomijając te fizykochemiczne. Dotyczy to również tych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które powstały z podziału „starych”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dla których w obecnie jeszcze obowiązującej I aktualizacji przyjęto derogacje czy to z art. 4.4 czy to 4.5 RDW. Należy zachować ciągłość tych derogacji przyjmując za podstawę ocenę ekspercką w przypadkach braku danych z monitoringu państwowego. Warto rozważyć również uwzględnienie wyników danych monitoringowych, którymi dysponuje dany podmiot.   </w:t>
            </w:r>
            <w:r w:rsidRPr="00707C14">
              <w:rPr>
                <w:rFonts w:ascii="Calibri" w:eastAsia="Times New Roman" w:hAnsi="Calibri" w:cs="Calibri"/>
                <w:color w:val="000000"/>
                <w:sz w:val="18"/>
                <w:szCs w:val="18"/>
                <w:lang w:eastAsia="pl-PL"/>
              </w:rPr>
              <w:br w:type="page"/>
              <w:t xml:space="preserve">W tym miejscu warto wskazać, że w przypadku części zakładów, na odcinkach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z których korzystają, graniczne wartości wskaźnika fizykochemicznego – przewodności elektrolitycznej są przekroczone już przed zrzutem ścieków. Jest konsekwencja wpływu kopalnictwa węgla kamiennego w górnych biegach obu rzek czy też transgranicznego zanieczyszczenia (Odra). Z powodu braku określenia granicznych wartości wskaźników fizykochemicznych w załączniku 3.1 projektów planów, jako poziom odniesienia może zostać przyjęta wartość 850 μS/cm (rozporządzenie klasyfikacyjne).   Poziom rzeczywistych wartości wskaźnika przewodności elektrolitycznej nie jest ujęty w projektach planów. Oparcie się na niemiarodajnych danych stwarza istotne ryzyko nieprawidłowej oceny dobrostanu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Ocena ta stwarza również pośrednio zagrożenie dla działalności gospodarczej przedsiębiorstw odprowadzających swoje ścieki do tych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ponieważ istnieje ryzyko, że byłaby ona uwzględniana przy wydawaniu i okresowych przeglądach pozwoleń administracyjnoprawnych </w:t>
            </w:r>
            <w:r w:rsidRPr="00707C14">
              <w:rPr>
                <w:rFonts w:ascii="Calibri" w:eastAsia="Times New Roman" w:hAnsi="Calibri" w:cs="Calibri"/>
                <w:color w:val="000000"/>
                <w:sz w:val="18"/>
                <w:szCs w:val="18"/>
                <w:lang w:eastAsia="pl-PL"/>
              </w:rPr>
              <w:lastRenderedPageBreak/>
              <w:t xml:space="preserve">dla tych podmiotów. W przypadku bowiem, gdy zostanie przyjęte błędne założenie, że cele środowiskowe zostaną, czy też zostały osiągnięte, może być niemożliwe wystąpienia o stosowne derogacje, konieczne dla prowadzenia przez dane podmioty działalności gospodarczej. Istotnym jest określenie działań, w wyniku których zostaną osiągnięte założone w aPGW cele środowiskowe, ale przy jednoczesnym nieograniczaniu presji już istniejących – </w:t>
            </w:r>
            <w:r w:rsidRPr="00707C14">
              <w:rPr>
                <w:rFonts w:ascii="Calibri" w:eastAsia="Times New Roman" w:hAnsi="Calibri" w:cs="Calibri"/>
                <w:color w:val="000000"/>
                <w:sz w:val="18"/>
                <w:szCs w:val="18"/>
                <w:lang w:eastAsia="pl-PL"/>
              </w:rPr>
              <w:br w:type="page"/>
              <w:t xml:space="preserve">w przypadku odprowadzanych przez przedsiębiorstwa wód zasolonych, jak już wielokrotnie podczas konsultacji dokumentów związanych z gospodarką wodną wspominaliśmy, nie ma alternatywnego, opłacalnego środowiskowo i ekonomicznie rozwiązania. Ograniczanie produkcji w tych zakładach lub jej likwidacja jedynie z powodu przekraczania jednego z pomocniczych wskaźników fizykochemicznych byłoby niewspółmiernie wysokim kosztem zarówno gospodarczym jak i społecznym. Należy pamiętać, że główne źródła presji zasalających znajdują się w górnych biegach obu głównych rzek i pochodzą z górnictwa węgla kamiennego, którego wydobycie będzie w kolejnych latach stopniowo ograniczane, a co za tym idzie można oczekiwać zmniejszania tych presji. </w:t>
            </w:r>
            <w:r w:rsidRPr="00707C14">
              <w:rPr>
                <w:rFonts w:ascii="Calibri" w:eastAsia="Times New Roman" w:hAnsi="Calibri" w:cs="Calibri"/>
                <w:color w:val="000000"/>
                <w:sz w:val="18"/>
                <w:szCs w:val="18"/>
                <w:lang w:eastAsia="pl-PL"/>
              </w:rPr>
              <w:br w:type="page"/>
              <w:t xml:space="preserve">W celu rozwiązania ww. problematyki, postulujemy ustanowienie w załączniku 3.1. do projektów II aktualizacji planów gospodarowania wodami, zarówno dla Odry, jak i dla Wisły, wartości granicznej dobrego potencjału wskaźnika przewodności elektrolitycznej dla silnie zmienionych części wód na poziomie uwzględniającym faktyczne zasolenie wód (wpływ kopalnictwa węgla kamiennego w górnych biegach obu rzek i transgraniczne zanieczyszczenia w przypadku Odry) oraz realną do uzyskania wartość - 1500 µS/cm. </w:t>
            </w:r>
            <w:r w:rsidRPr="00707C14">
              <w:rPr>
                <w:rFonts w:ascii="Calibri" w:eastAsia="Times New Roman" w:hAnsi="Calibri" w:cs="Calibri"/>
                <w:color w:val="000000"/>
                <w:sz w:val="18"/>
                <w:szCs w:val="18"/>
                <w:lang w:eastAsia="pl-PL"/>
              </w:rPr>
              <w:br w:type="page"/>
              <w:t xml:space="preserve">Podkreślić należy, że Ramowa Dyrektywa Wodna (dalej: RDW) obligowała państwa członkowskie Unii Europejskiej do osiągnięcia „dobrego stanu” wód powierzchniowych i podziemnych do 2015 roku. Ze względu na warunki naturalne, wykonalność techniczną, nieproporcjonalne koszty, Państwa Członkowskie nie zawsze mogły osiągnąć dobry stan wszystkich części wód do 2015 roku. W związku z tym przewidziano okres przejściowy pozwalający na doprowadzenie do osiągnięcia przez te wody wymaganego przez RDW stanu podczas dwóch kolejnych sześcioletnich cykli, czyli do 2027 roku. Zgodnie z RDW cel środowiskowy dotyczący wód powierzchniowych to osiągnięcie dobrego stanu ekologicznego oraz zapewnienie, że nie nastąpi pogorszenie dobrego stanu ekologicznego. W przypadku sztucznych i silnie zmienionych części wód celem jest osiągnięcie dobrego potencjału ekologicznego i dobrego stanu chemicznego wód powierzchniowych. Stan ekologiczny, jak również potencjał ekologiczny, określany jest przez trzy grupy elementów jakości: (i) biologiczne, (ii) fizykochemiczne, oraz (iii) hydromorfologiczne. </w:t>
            </w:r>
            <w:r w:rsidRPr="00707C14">
              <w:rPr>
                <w:rFonts w:ascii="Calibri" w:eastAsia="Times New Roman" w:hAnsi="Calibri" w:cs="Calibri"/>
                <w:color w:val="000000"/>
                <w:sz w:val="18"/>
                <w:szCs w:val="18"/>
                <w:lang w:eastAsia="pl-PL"/>
              </w:rPr>
              <w:br w:type="page"/>
              <w:t xml:space="preserve">Te elementy jakości stosowane są do klasyfikacji jakości wód powierzchniowych. W ramach elementów fizykochemicznych jakości wód powierzchniowych w załączniku V RDW wyróżnia się między innymi wskaźniki zasolenia jako wskaźniki jakości wód. Wskaźniki te są wykorzystywane do prowadzenia oceny stanu i klasyfikacji jakości wód. </w:t>
            </w:r>
            <w:r w:rsidRPr="00707C14">
              <w:rPr>
                <w:rFonts w:ascii="Calibri" w:eastAsia="Times New Roman" w:hAnsi="Calibri" w:cs="Calibri"/>
                <w:color w:val="000000"/>
                <w:sz w:val="18"/>
                <w:szCs w:val="18"/>
                <w:lang w:eastAsia="pl-PL"/>
              </w:rPr>
              <w:br w:type="page"/>
              <w:t xml:space="preserve">Zgodnie z przepisami RDW, wskaźniki zasolenia nie są uznawane za: (i) zanieczyszczenia, (ii) substancje zanieczyszczające w rozumieniu Załącznika IX RDW, (iii) substancje priorytetowe, (iv) substancje niebezpieczne z Załącznika X RDW. Z tej przyczyny wskaźniki zasolenia nie są uregulowane w zakresie RDW w odniesieniu do odprowadzania ścieków. Ogólnie zasolenie, zgodnie z RDW, kwalifikowane jest w grupie elementów chemicznych i fizykochemicznych wspierających elementy biologiczne  w odniesieniu do następujących wód powierzchniowych: rzeki, jeziora, wody przejściowe, wody przybrzeżne. Przewodność elektryczna jest uwzględniana jako parametr dla określania stanu chemicznego wód podziemnych  oraz w ramach monitoringu diagnostycznego . W zakresie monitoringu wód RDW wskazuje, że wskaźniki zasolenia powinny być monitorowane, jednakże nie określa, jakie wskaźniki należą do kategorii </w:t>
            </w:r>
            <w:r w:rsidRPr="00707C14">
              <w:rPr>
                <w:rFonts w:ascii="Calibri" w:eastAsia="Times New Roman" w:hAnsi="Calibri" w:cs="Calibri"/>
                <w:color w:val="000000"/>
                <w:sz w:val="18"/>
                <w:szCs w:val="18"/>
                <w:lang w:eastAsia="pl-PL"/>
              </w:rPr>
              <w:lastRenderedPageBreak/>
              <w:t>wskaźników zasolenia. RDW określa jedynie częstotliwości monitoringu wód ze względu na zasolenie, która dla rzek powinna następować co 3 miesiące.</w:t>
            </w:r>
            <w:r w:rsidRPr="00707C14">
              <w:rPr>
                <w:rFonts w:ascii="Calibri" w:eastAsia="Times New Roman" w:hAnsi="Calibri" w:cs="Calibri"/>
                <w:color w:val="000000"/>
                <w:sz w:val="18"/>
                <w:szCs w:val="18"/>
                <w:lang w:eastAsia="pl-PL"/>
              </w:rPr>
              <w:br w:type="page"/>
              <w:t>Podsumowując, RDW nie wskazuje ani konkretnych wskaźników, które należałoby przypisywać do kategorii zasolenia, ani nie przypisuje przewodności, siarczanom i chlorkom granicznych wielkości jakości. Z RDW wynika jedynie obowiązek uwzględnienia przez Państwa Członkowskie wskaźników zasolenia jako takich, nie wynika natomiast nakaz przyjęcia konkretnych wartości wskaźników. Zaznaczyć należy, że RDW zasolenie wymienia jedynie w przypadku elementów jakości dla klasyfikacji stanu ekologicznego wód . W przypadku określania definicji maksymalnego, dobrego i umiarkowanego potencjału ekologicznego dla silnie zmienionych lub sztucznych części wód wskaźnik zasolenia nie został w RDW wymieniony . Oznacza to, że RDW nie wymaga, aby wskaźnik zasolenia był uwzględniany przy definiowaniu potencjału ekologicznego dla silnie zmienionych lub sztucznych części wód.</w:t>
            </w:r>
            <w:r w:rsidRPr="00707C14">
              <w:rPr>
                <w:rFonts w:ascii="Calibri" w:eastAsia="Times New Roman" w:hAnsi="Calibri" w:cs="Calibri"/>
                <w:color w:val="000000"/>
                <w:sz w:val="18"/>
                <w:szCs w:val="18"/>
                <w:lang w:eastAsia="pl-PL"/>
              </w:rPr>
              <w:br w:type="page"/>
              <w:t>Należy podkreślić, że ww. nieuwzględnianie wskaźnika zasolenia dla silnie zmienionych części wód nie stwarza ryzyka i nie oznacza braku kontroli nad wprowadzaniem ścieków zasolonych przez podmioty, ponieważ ich parametry określają przepisy dotyczące jakości ścieków.</w:t>
            </w:r>
            <w:r w:rsidRPr="00707C14">
              <w:rPr>
                <w:rFonts w:ascii="Calibri" w:eastAsia="Times New Roman" w:hAnsi="Calibri" w:cs="Calibri"/>
                <w:color w:val="000000"/>
                <w:sz w:val="18"/>
                <w:szCs w:val="18"/>
                <w:lang w:eastAsia="pl-PL"/>
              </w:rPr>
              <w:br w:type="page"/>
              <w:t xml:space="preserve">Biorąc pod uwagę powyższe, w ramach alternatywnego rozwiązania do wskazanego wyżej, postulujemy o odstąpienie od wyznaczania wskaźników zasolenia dla silnie zmienionych części wód na podstawie przepisów załącznika V Ramowej Dyrektywy Wodnej. </w:t>
            </w:r>
            <w:r w:rsidRPr="00707C14">
              <w:rPr>
                <w:rFonts w:ascii="Calibri" w:eastAsia="Times New Roman" w:hAnsi="Calibri" w:cs="Calibri"/>
                <w:color w:val="000000"/>
                <w:sz w:val="18"/>
                <w:szCs w:val="18"/>
                <w:lang w:eastAsia="pl-PL"/>
              </w:rPr>
              <w:br w:type="page"/>
              <w:t xml:space="preserve">Kolejnym aspektem, mającym bezpośredni wpływ na stabilność funkcjonowania branży chemicznej, są zapisy w projektach planów gospodarowania wodami na obszarze dorzeczy Wisły dotyczące możliwych derogacji dla azotu ogólnego. Zgodnie z zapisami obowiązującego rozporządzenia klasyfikacyjnego, planowane jest znaczne obniżenie dopuszczalnych dla azotu amonowego z 0,843 mg/l do 0,45 mg/l oraz azotu ogólnego z 4,0 mg/l na 3,50 mg/l dla typu wód powierzchniowych RwN. Obniżenie dopuszczalnych norm dla azotu może stanowić duże zagrożenie  dla dalszego rozwoju tego sektora. Identyfikujemy ryzyko wstrzymywanie realizacji inwestycji, nieuzyskania stosownych pozwoleń wodnoprawnych. W związku z tym wnioskujemy o określenie w procedowanej aktualizacji planów gospodarowania wodami na obszarze dorzecza Wisły standardu/monitoringu w odniesieniu do azotu ogólnego biorąc pod uwagę, że konkluzje dotyczące najlepszych dostępnych technik (konkluzje BAT) w odniesieniu do wspólnych systemów oczyszczania ścieków/gazów odlotowych i zarządzania nimi w sektorze chemicznym (CWW) wprowadzają w odniesieniu do azotu jedynie standard dla azotu ogólnego (bez wskazywania jego poszczególnych form) oraz wprowadzenie w odniesieniu dla danych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odstępstwa dla azotu ogólnego, a nie jedynie dla azotu amonowego (na ten moment dostrzegamy taką konieczność dla </w:t>
            </w:r>
            <w:r w:rsidR="00513278">
              <w:rPr>
                <w:rFonts w:ascii="Calibri" w:eastAsia="Times New Roman" w:hAnsi="Calibri" w:cs="Calibri"/>
                <w:color w:val="000000"/>
                <w:sz w:val="18"/>
                <w:szCs w:val="18"/>
                <w:lang w:eastAsia="pl-PL"/>
              </w:rPr>
              <w:t>JCWP</w:t>
            </w:r>
            <w:r w:rsidRPr="00707C14">
              <w:rPr>
                <w:rFonts w:ascii="Calibri" w:eastAsia="Times New Roman" w:hAnsi="Calibri" w:cs="Calibri"/>
                <w:color w:val="000000"/>
                <w:sz w:val="18"/>
                <w:szCs w:val="18"/>
                <w:lang w:eastAsia="pl-PL"/>
              </w:rPr>
              <w:t xml:space="preserve"> RW 2000122399).</w:t>
            </w:r>
            <w:r w:rsidRPr="00707C14">
              <w:rPr>
                <w:rFonts w:ascii="Calibri" w:eastAsia="Times New Roman" w:hAnsi="Calibri" w:cs="Calibri"/>
                <w:color w:val="000000"/>
                <w:sz w:val="18"/>
                <w:szCs w:val="18"/>
                <w:lang w:eastAsia="pl-PL"/>
              </w:rPr>
              <w:br w:type="page"/>
              <w:t xml:space="preserve">Ponadto, wskazujemy, że najważniejsze ustalenia planów gospodarowania wodami znajdują się w załącznikach, a ich mnogość, liczba odniesień oraz poziom skomplikowania utrudnia analizę dokumentów. Zwracamy się z uprzejmą prośbą, aby projektowane rozporządzenia dotyczące </w:t>
            </w:r>
            <w:r w:rsidRPr="00707C14">
              <w:rPr>
                <w:rFonts w:ascii="Calibri" w:eastAsia="Times New Roman" w:hAnsi="Calibri" w:cs="Calibri"/>
                <w:color w:val="000000"/>
                <w:sz w:val="18"/>
                <w:szCs w:val="18"/>
                <w:lang w:eastAsia="pl-PL"/>
              </w:rPr>
              <w:br w:type="page"/>
              <w:t>II aPGW w sposób jednoznaczny i transparentny obrazowały przyjęte w planach zapisy i rozwiązania.</w:t>
            </w:r>
            <w:r w:rsidRPr="00707C14">
              <w:rPr>
                <w:rFonts w:ascii="Calibri" w:eastAsia="Times New Roman" w:hAnsi="Calibri" w:cs="Calibri"/>
                <w:color w:val="000000"/>
                <w:sz w:val="18"/>
                <w:szCs w:val="18"/>
                <w:lang w:eastAsia="pl-PL"/>
              </w:rPr>
              <w:br w:type="page"/>
              <w:t xml:space="preserve">W ramach konsultacji II aktualizacji planów gospodarowania wodami, część podmiotów przekazuje uwagi również indywidualnie, w odniesieniu do zapisów dotyczących poszczególnych obszarów dorzeczy. Polska Izba Przemysłu Chemicznego w pełni popiera i wnosi o uwzględnienie postulowanych przez Członków PIPC proponowanych zmian dotyczących zapisów II aktualizacji planów gospodarowania wodami. </w:t>
            </w:r>
            <w:r w:rsidRPr="00707C14">
              <w:rPr>
                <w:rFonts w:ascii="Calibri" w:eastAsia="Times New Roman" w:hAnsi="Calibri" w:cs="Calibri"/>
                <w:color w:val="000000"/>
                <w:sz w:val="18"/>
                <w:szCs w:val="18"/>
                <w:lang w:eastAsia="pl-PL"/>
              </w:rPr>
              <w:br w:type="page"/>
              <w:t xml:space="preserve">W tym miejscu, chcielibyśmy również podkreślić znaczenie przedsiębiorstw przemysłu chemicznego. Przemysł chemiczny w Polsce jest jednym z czołowych sektorów budujących narodową gospodarkę. Jego produkcja sprzedana w 2020 roku kształtowała się na poziomie </w:t>
            </w:r>
            <w:r w:rsidRPr="00707C14">
              <w:rPr>
                <w:rFonts w:ascii="Calibri" w:eastAsia="Times New Roman" w:hAnsi="Calibri" w:cs="Calibri"/>
                <w:color w:val="000000"/>
                <w:sz w:val="18"/>
                <w:szCs w:val="18"/>
                <w:lang w:eastAsia="pl-PL"/>
              </w:rPr>
              <w:br w:type="page"/>
              <w:t xml:space="preserve">254 miliardów złotych, co daje 16% udziału w całym polskim </w:t>
            </w:r>
            <w:r w:rsidRPr="00707C14">
              <w:rPr>
                <w:rFonts w:ascii="Calibri" w:eastAsia="Times New Roman" w:hAnsi="Calibri" w:cs="Calibri"/>
                <w:color w:val="000000"/>
                <w:sz w:val="18"/>
                <w:szCs w:val="18"/>
                <w:lang w:eastAsia="pl-PL"/>
              </w:rPr>
              <w:lastRenderedPageBreak/>
              <w:t xml:space="preserve">przemyśle. Tworzy obecnie ponad 323 tysiące miejsc pracy i jest jednym z najsilniej zaangażowanych w budowanie i rozwój polskiej gospodarki. Polska Chemia to rozwój wsi, miast, regionów, innych branż oraz społeczeństwa. Pomiędzy rozwojem branży chemicznej i rozwojem całej polskiej gospodarki możemy śmiało postawić znak równości. Zwłaszcza, ostatnie kilkanaście miesięcy pokazało kluczową rolę produktów przemysłu chemicznego w zapewnieniu bezpieczeństwa państwa i obywateli. Nieuwzględnienie wyżej proponowanych rozwiązań może bezpośrednio zagrażać ciągłości funkcjonowania przemysłu chemicznego w Polsce w najbliższej przyszłości oraz uniemożliwiać rozwój i inwestycje sektora. </w:t>
            </w:r>
            <w:r w:rsidRPr="00707C14">
              <w:rPr>
                <w:rFonts w:ascii="Calibri" w:eastAsia="Times New Roman" w:hAnsi="Calibri" w:cs="Calibri"/>
                <w:color w:val="000000"/>
                <w:sz w:val="18"/>
                <w:szCs w:val="18"/>
                <w:lang w:eastAsia="pl-PL"/>
              </w:rPr>
              <w:br w:type="page"/>
              <w:t xml:space="preserve">Zwracamy się z prośbą o analizę i uwzględnienie przedstawionych postulatów licząc na to, że głos tak ważnego sektora dla polskiej gospodarki jakim jest sektor chemiczny zostanie uwzględniony w trakcie dalszych prac nad II aktualizacją planów gospodarowania wodami </w:t>
            </w:r>
            <w:r w:rsidRPr="00707C14">
              <w:rPr>
                <w:rFonts w:ascii="Calibri" w:eastAsia="Times New Roman" w:hAnsi="Calibri" w:cs="Calibri"/>
                <w:color w:val="000000"/>
                <w:sz w:val="18"/>
                <w:szCs w:val="18"/>
                <w:lang w:eastAsia="pl-PL"/>
              </w:rPr>
              <w:br w:type="page"/>
              <w:t xml:space="preserve">na obszarach dorzeczy. </w:t>
            </w:r>
            <w:r w:rsidRPr="00707C14">
              <w:rPr>
                <w:rFonts w:ascii="Calibri" w:eastAsia="Times New Roman" w:hAnsi="Calibri" w:cs="Calibri"/>
                <w:color w:val="000000"/>
                <w:sz w:val="18"/>
                <w:szCs w:val="18"/>
                <w:lang w:eastAsia="pl-PL"/>
              </w:rPr>
              <w:br w:type="page"/>
            </w:r>
          </w:p>
        </w:tc>
        <w:tc>
          <w:tcPr>
            <w:tcW w:w="3377" w:type="dxa"/>
            <w:shd w:val="clear" w:color="auto" w:fill="auto"/>
            <w:hideMark/>
          </w:tcPr>
          <w:p w14:paraId="78A1AB87" w14:textId="77777777"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lastRenderedPageBreak/>
              <w:t>-</w:t>
            </w:r>
          </w:p>
        </w:tc>
        <w:tc>
          <w:tcPr>
            <w:tcW w:w="3401" w:type="dxa"/>
            <w:shd w:val="clear" w:color="auto" w:fill="auto"/>
            <w:hideMark/>
          </w:tcPr>
          <w:p w14:paraId="6D3E50E0" w14:textId="77777777"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t>-</w:t>
            </w:r>
          </w:p>
        </w:tc>
        <w:tc>
          <w:tcPr>
            <w:tcW w:w="1918" w:type="dxa"/>
            <w:shd w:val="clear" w:color="auto" w:fill="auto"/>
            <w:hideMark/>
          </w:tcPr>
          <w:p w14:paraId="0AB1A4E1" w14:textId="77777777"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t>160_PIPC_Wisła</w:t>
            </w:r>
          </w:p>
        </w:tc>
        <w:tc>
          <w:tcPr>
            <w:tcW w:w="1276" w:type="dxa"/>
            <w:shd w:val="clear" w:color="auto" w:fill="auto"/>
            <w:hideMark/>
          </w:tcPr>
          <w:p w14:paraId="5C0EF6D2" w14:textId="77777777" w:rsidR="0085319C" w:rsidRPr="00707C14" w:rsidRDefault="0085319C" w:rsidP="0085319C">
            <w:pPr>
              <w:ind w:firstLine="0"/>
              <w:jc w:val="left"/>
              <w:rPr>
                <w:rFonts w:ascii="Calibri" w:eastAsia="Times New Roman" w:hAnsi="Calibri" w:cs="Calibri"/>
                <w:color w:val="000000"/>
                <w:sz w:val="18"/>
                <w:szCs w:val="18"/>
                <w:lang w:eastAsia="pl-PL"/>
              </w:rPr>
            </w:pPr>
            <w:r w:rsidRPr="00707C14">
              <w:rPr>
                <w:rFonts w:ascii="Calibri" w:eastAsia="Times New Roman" w:hAnsi="Calibri" w:cs="Calibri"/>
                <w:color w:val="000000"/>
                <w:sz w:val="18"/>
                <w:szCs w:val="18"/>
                <w:lang w:eastAsia="pl-PL"/>
              </w:rPr>
              <w:t>uwzględniono</w:t>
            </w:r>
          </w:p>
        </w:tc>
        <w:tc>
          <w:tcPr>
            <w:tcW w:w="3513" w:type="dxa"/>
            <w:shd w:val="clear" w:color="auto" w:fill="auto"/>
            <w:hideMark/>
          </w:tcPr>
          <w:p w14:paraId="1DA04CD9" w14:textId="2681C6F7" w:rsidR="00707C14" w:rsidRPr="00F57DBC" w:rsidRDefault="0085319C" w:rsidP="00707C14">
            <w:pPr>
              <w:ind w:firstLine="0"/>
              <w:jc w:val="left"/>
              <w:rPr>
                <w:rFonts w:ascii="Calibri" w:eastAsia="Times New Roman" w:hAnsi="Calibri" w:cs="Calibri"/>
                <w:sz w:val="18"/>
                <w:szCs w:val="18"/>
                <w:lang w:eastAsia="pl-PL"/>
              </w:rPr>
            </w:pPr>
            <w:r w:rsidRPr="00707C14">
              <w:rPr>
                <w:rFonts w:ascii="Calibri" w:eastAsia="Times New Roman" w:hAnsi="Calibri" w:cs="Calibri"/>
                <w:color w:val="000000"/>
                <w:sz w:val="18"/>
                <w:szCs w:val="18"/>
                <w:lang w:eastAsia="pl-PL"/>
              </w:rPr>
              <w:t xml:space="preserve">Wskazane w uwadze zagadnienie prezentacji w IIaPGW wartości granicznych potencjału ekologicznego stanowi element nowy, </w:t>
            </w:r>
            <w:r w:rsidRPr="00707C14">
              <w:rPr>
                <w:rFonts w:ascii="Calibri" w:eastAsia="Times New Roman" w:hAnsi="Calibri" w:cs="Calibri"/>
                <w:color w:val="000000"/>
                <w:sz w:val="18"/>
                <w:szCs w:val="18"/>
                <w:lang w:eastAsia="pl-PL"/>
              </w:rPr>
              <w:lastRenderedPageBreak/>
              <w:t xml:space="preserve">wprowadzony po raz pierwszy w planach gospodarowania wodami. Rozporządzenie w sprawie klasyfikacji stanu ekologicznego, potencjału ekologicznego i stanu chemicznego oraz sposobu klasyfikacji stanu jednolitych części wód powierzchniowych, a także środowiskowych norm jakości dla substancji priorytetowych wskazuje, że jeżeli chodzi o silnie zmienione i sztuczne części wód wartości graniczne wskazywane są w Planie gospodarowania wodami. W IIaPGW, zgodnie z informacjami przedstawionymi w rozdziale 5.1.3. IIaPGW, wartości graniczne dla potencjału ekologicznego zawarte są w załączniku </w:t>
            </w:r>
            <w:r w:rsidR="00707C14">
              <w:rPr>
                <w:rFonts w:ascii="Calibri" w:eastAsia="Times New Roman" w:hAnsi="Calibri" w:cs="Calibri"/>
                <w:color w:val="000000"/>
                <w:sz w:val="18"/>
                <w:szCs w:val="18"/>
                <w:lang w:eastAsia="pl-PL"/>
              </w:rPr>
              <w:t>Wartości graniczne SCW i SZCW</w:t>
            </w:r>
            <w:r w:rsidRPr="00707C14">
              <w:rPr>
                <w:rFonts w:ascii="Calibri" w:eastAsia="Times New Roman" w:hAnsi="Calibri" w:cs="Calibri"/>
                <w:color w:val="000000"/>
                <w:sz w:val="18"/>
                <w:szCs w:val="18"/>
                <w:lang w:eastAsia="pl-PL"/>
              </w:rPr>
              <w:t xml:space="preserve"> do IIaPGW, w którym poszczególne zakładki dedykowane są kategoriom wód: rzecznym, zbiornikowym i jeziornym oddzielnie. Wskazane są w nich, w poszczególnych kolumnach, konkretne wartości, jeżeli chodzi o elementy biologiczne. </w:t>
            </w:r>
            <w:r w:rsidR="00707C14" w:rsidRPr="00F57DBC">
              <w:rPr>
                <w:rFonts w:ascii="Calibri" w:eastAsia="Times New Roman" w:hAnsi="Calibri" w:cs="Calibri"/>
                <w:sz w:val="18"/>
                <w:szCs w:val="18"/>
                <w:lang w:eastAsia="pl-PL"/>
              </w:rPr>
              <w:t>W przypadku wartości granicznych dot. wskaźników fizykochemicznych zastosowano dwa rodzaje podejścia:</w:t>
            </w:r>
          </w:p>
          <w:p w14:paraId="29B0DB34" w14:textId="254DD18F" w:rsidR="00707C14" w:rsidRPr="00F57DBC" w:rsidRDefault="00707C14" w:rsidP="00707C14">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F57DBC">
              <w:rPr>
                <w:rFonts w:cstheme="minorHAnsi"/>
                <w:sz w:val="18"/>
                <w:szCs w:val="18"/>
                <w:shd w:val="clear" w:color="auto" w:fill="FFFFFF"/>
              </w:rPr>
              <w:t xml:space="preserve"> RW określonego typu”</w:t>
            </w:r>
          </w:p>
          <w:p w14:paraId="00D6207A" w14:textId="37F6CD6B" w:rsidR="00707C14" w:rsidRPr="00F57DBC" w:rsidRDefault="00707C14" w:rsidP="00707C14">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F57DBC">
              <w:rPr>
                <w:rFonts w:eastAsia="Times New Roman" w:cstheme="minorHAnsi"/>
                <w:sz w:val="18"/>
                <w:szCs w:val="18"/>
                <w:lang w:eastAsia="pl-PL"/>
              </w:rPr>
              <w:t xml:space="preserve">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451FC123" w14:textId="2668A580" w:rsidR="0085319C" w:rsidRPr="00707C14" w:rsidRDefault="00707C14" w:rsidP="00707C14">
            <w:pPr>
              <w:ind w:firstLine="0"/>
              <w:jc w:val="left"/>
              <w:rPr>
                <w:rFonts w:ascii="Calibri" w:eastAsia="Times New Roman" w:hAnsi="Calibri" w:cs="Calibri"/>
                <w:color w:val="000000"/>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Pr>
                <w:rFonts w:ascii="Calibri" w:eastAsia="Times New Roman" w:hAnsi="Calibri" w:cs="Calibri"/>
                <w:sz w:val="18"/>
                <w:szCs w:val="18"/>
                <w:lang w:eastAsia="pl-PL"/>
              </w:rPr>
              <w:t>.</w:t>
            </w:r>
            <w:r w:rsidR="0085319C" w:rsidRPr="00707C14">
              <w:rPr>
                <w:rFonts w:ascii="Calibri" w:eastAsia="Times New Roman" w:hAnsi="Calibri" w:cs="Calibri"/>
                <w:color w:val="000000"/>
                <w:sz w:val="18"/>
                <w:szCs w:val="18"/>
                <w:lang w:eastAsia="pl-PL"/>
              </w:rPr>
              <w:t xml:space="preserve"> Dodatkowo uzupełnione zostały objaśnienia dla poszczególnych kolumn.</w:t>
            </w:r>
          </w:p>
        </w:tc>
      </w:tr>
      <w:tr w:rsidR="0085319C" w:rsidRPr="005E78BB" w14:paraId="518C6603" w14:textId="77777777" w:rsidTr="00E92AE6">
        <w:trPr>
          <w:trHeight w:val="454"/>
        </w:trPr>
        <w:tc>
          <w:tcPr>
            <w:tcW w:w="562" w:type="dxa"/>
            <w:shd w:val="clear" w:color="auto" w:fill="auto"/>
            <w:hideMark/>
          </w:tcPr>
          <w:p w14:paraId="56CD18F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161</w:t>
            </w:r>
          </w:p>
        </w:tc>
        <w:tc>
          <w:tcPr>
            <w:tcW w:w="1021" w:type="dxa"/>
          </w:tcPr>
          <w:p w14:paraId="59AE8833" w14:textId="7C5BB4B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Urząd Marszałkowski Województwa Pomorskiego </w:t>
            </w:r>
          </w:p>
        </w:tc>
        <w:tc>
          <w:tcPr>
            <w:tcW w:w="1630" w:type="dxa"/>
            <w:shd w:val="clear" w:color="auto" w:fill="auto"/>
            <w:hideMark/>
          </w:tcPr>
          <w:p w14:paraId="5C4F59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Katalogi działań poszczególnych kategorii wód</w:t>
            </w:r>
          </w:p>
        </w:tc>
        <w:tc>
          <w:tcPr>
            <w:tcW w:w="5663" w:type="dxa"/>
            <w:shd w:val="clear" w:color="auto" w:fill="auto"/>
            <w:hideMark/>
          </w:tcPr>
          <w:p w14:paraId="6B259351" w14:textId="58B696C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 Dokument w niewystarczający stopniu ujmuje problematykę renaturyzacji wód powierzchniowych. Odniesiono się jedynie ogólnie do zapisów powstałego</w:t>
            </w:r>
            <w:r w:rsidRPr="005E78BB">
              <w:rPr>
                <w:rFonts w:ascii="Calibri" w:eastAsia="Times New Roman" w:hAnsi="Calibri" w:cs="Calibri"/>
                <w:color w:val="000000"/>
                <w:sz w:val="18"/>
                <w:szCs w:val="18"/>
                <w:lang w:eastAsia="pl-PL"/>
              </w:rPr>
              <w:br/>
              <w:t>na zlecenie PGW WP Krajowego programu renaturyzacji wód powierzchniowych (KPRWP), bez odzwierciedlenia tej tematyki w programie działań (środków) ukierunkowanych na osiągnięcie celów środowiskowych dla wód powierzchniowych, podziemnych i obszarów chronionych.</w:t>
            </w:r>
            <w:r w:rsidRPr="005E78BB">
              <w:rPr>
                <w:rFonts w:ascii="Calibri" w:eastAsia="Times New Roman" w:hAnsi="Calibri" w:cs="Calibri"/>
                <w:color w:val="000000"/>
                <w:sz w:val="18"/>
                <w:szCs w:val="18"/>
                <w:lang w:eastAsia="pl-PL"/>
              </w:rPr>
              <w:br/>
              <w:t xml:space="preserve">W załączniku nr 7.3 Zestaw działań RW, znalazło się działanie renaturyzacyjne – Analiza sposobu prowadzenia działań restytucyjnych z uwzględnieniem zachowania funkcji cieku oraz realizacja działań restytucyjnych na podstawie przeprowadzonej analizy (do 2027 r.). </w:t>
            </w:r>
            <w:r w:rsidRPr="005E78BB">
              <w:rPr>
                <w:rFonts w:ascii="Calibri" w:eastAsia="Times New Roman" w:hAnsi="Calibri" w:cs="Calibri"/>
                <w:color w:val="000000"/>
                <w:sz w:val="18"/>
                <w:szCs w:val="18"/>
                <w:lang w:eastAsia="pl-PL"/>
              </w:rPr>
              <w:br/>
              <w:t xml:space="preserve">Do realizacji działania wskazano 13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obszaru województwa pomorskiego, w tym rzeki Potok Oliwski i Strzyża, które przepływają przez obszar ścisłej zabudowy miasta Gdańska, gdzie brak jest możliwości technicznych przeprowadzenia renaturyzacji, a wszelkie działania na tych ciekach powinny skupiać się na zapewnieniu ochrony przeciwpowodziowej obszaru miasta, głównie poprzez retencję. Ponadto działanie to zakłada jedynie analizy przeprowadzenia działań renaturyzacyjnych do 2027 r., a nie realizację konkretnych działań. </w:t>
            </w:r>
          </w:p>
        </w:tc>
        <w:tc>
          <w:tcPr>
            <w:tcW w:w="3377" w:type="dxa"/>
            <w:shd w:val="clear" w:color="auto" w:fill="auto"/>
            <w:hideMark/>
          </w:tcPr>
          <w:p w14:paraId="1B916E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Biorąc pod uwagę trwające prace nad kolejną perspektywą finansową UE 2021-2027, gdzie zaplanowano wsparcie na poziomie krajowym na projekty dot. renaturyzacji przekształconych cieków wodnych i obszarów od wód zależnych, należy rozszerzyć zakres przedmiotowego działania. W szczególności o projekty pozwalające rzece na wylanie się w miejscach, gdzie nie przyniesie to szkody ludziom, środowisku i gospodarce, a jednocześnie przyniesie wymierne korzyści dla bioróżnorodności i zwiększenia retencji.</w:t>
            </w:r>
          </w:p>
        </w:tc>
        <w:tc>
          <w:tcPr>
            <w:tcW w:w="3401" w:type="dxa"/>
            <w:shd w:val="clear" w:color="auto" w:fill="auto"/>
            <w:hideMark/>
          </w:tcPr>
          <w:p w14:paraId="354A24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Biorąc pod uwagę trwające prace nad kolejną perspektywą finansową UE 2021-2027, gdzie zaplanowano wsparcie na poziomie krajowym na projekty dot. renaturyzacji przekształconych cieków wodnych i obszarów od wód zależnych, należy rozszerzyć zakres przedmiotowego działania. W szczególności o projekty pozwalające rzece na wylanie się w miejscach, gdzie nie przyniesie to szkody ludziom, środowisku i gospodarce, a jednocześnie przyniesie wymierne korzyści dla bioróżnorodności i zwiększenia retencji.</w:t>
            </w:r>
          </w:p>
        </w:tc>
        <w:tc>
          <w:tcPr>
            <w:tcW w:w="1918" w:type="dxa"/>
            <w:shd w:val="clear" w:color="auto" w:fill="auto"/>
            <w:hideMark/>
          </w:tcPr>
          <w:p w14:paraId="786D25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E3C3C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F1C7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zestawie działań IIaPGW wpisano działania z tzw. testu restytucji opracowanego w ramach projektu: Przegląd i weryfikacja metodyk wyznaczania silnie zmienionych i sztucznych części wód powierzchniowych wraz ze wstępnym i ostatecznym wyznaczeniem wskazane dla SZCW (2019), dla których na podstawie danych GIOŚ (2020) zidentyfikowano ryzyko nieosiągnięcia celów środowiskowych z uwagi na presje hydromorfologiczne. Zakres działań był przedmiotem konsultacji społecnych w ramach w/w projektu w ramach 2019 roku, uwzględnia możliwość wdorożenia działań w zakresie np. nasadzeń.</w:t>
            </w:r>
          </w:p>
        </w:tc>
      </w:tr>
      <w:tr w:rsidR="0085319C" w:rsidRPr="005E78BB" w14:paraId="2EAA9BBB" w14:textId="77777777" w:rsidTr="00E92AE6">
        <w:trPr>
          <w:trHeight w:val="454"/>
        </w:trPr>
        <w:tc>
          <w:tcPr>
            <w:tcW w:w="562" w:type="dxa"/>
            <w:shd w:val="clear" w:color="auto" w:fill="auto"/>
            <w:hideMark/>
          </w:tcPr>
          <w:p w14:paraId="123251F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162</w:t>
            </w:r>
          </w:p>
        </w:tc>
        <w:tc>
          <w:tcPr>
            <w:tcW w:w="1021" w:type="dxa"/>
          </w:tcPr>
          <w:p w14:paraId="3A04A68F" w14:textId="65308F1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Urząd Marszałkowski Województwa Pomorskiego </w:t>
            </w:r>
          </w:p>
        </w:tc>
        <w:tc>
          <w:tcPr>
            <w:tcW w:w="1630" w:type="dxa"/>
            <w:shd w:val="clear" w:color="auto" w:fill="auto"/>
            <w:hideMark/>
          </w:tcPr>
          <w:p w14:paraId="191004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69759EB" w14:textId="0B7DECE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 Załącznik nr 7.3 Zestaw działań RW i 7.5 Zestaw działań LW:</w:t>
            </w:r>
            <w:r w:rsidRPr="005E78BB">
              <w:rPr>
                <w:rFonts w:ascii="Calibri" w:eastAsia="Times New Roman" w:hAnsi="Calibri" w:cs="Calibri"/>
                <w:color w:val="000000"/>
                <w:sz w:val="18"/>
                <w:szCs w:val="18"/>
                <w:lang w:eastAsia="pl-PL"/>
              </w:rPr>
              <w:br/>
              <w:t xml:space="preserve">1. Działanie: Weryfikacja i aktualizacja programu ochrony środowiska pod kątem poprawy efektywności dotyczącej ograniczania dopływu zanieczyszczeń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celu ograniczenia emisji zanieczyszczeń do wody i powietrza, substancji będących czynnikami stwierdzonej presji chemicznej w wodzie oraz redukcji dopływu substancji priorytetowych ze zlewni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Jako jednostkę odpowiedzialną za realizację ww. działania wskazano m.in. Pomorski Urząd Marszałkowski (powinno być Urząd Marszałkowski Województwa Pomorskiego), który na podstawie art. 17 ustawy - Prawo ochrony środowiska sporządza wojewódzki program ochrony środowiska. Jednak w ustawie nie ma delegacji prawnej do weryfikacji programu, gdyż po zakończeniu obowiązywania programu ustanawiany jest nowy, bądź aktualizowany poprzedni, co może nie zbiec się w czasie z terminami realizacji działania wskazanymi w II aPGW. Ponadto zapisy programu ochrony środowiska odnoszą się do działań wskazanych w innych dokumentach, a w przypadku gospodarki wodnej do PGW </w:t>
            </w:r>
            <w:r w:rsidRPr="005E78BB">
              <w:rPr>
                <w:rFonts w:ascii="Calibri" w:eastAsia="Times New Roman" w:hAnsi="Calibri" w:cs="Calibri"/>
                <w:color w:val="000000"/>
                <w:sz w:val="18"/>
                <w:szCs w:val="18"/>
                <w:lang w:eastAsia="pl-PL"/>
              </w:rPr>
              <w:br/>
              <w:t>i KPOWM, a więc przede wszystkim te dokumenty powinny zawierać działania mające na celu ograniczenie presji chemicznej.</w:t>
            </w:r>
          </w:p>
        </w:tc>
        <w:tc>
          <w:tcPr>
            <w:tcW w:w="3377" w:type="dxa"/>
            <w:shd w:val="clear" w:color="auto" w:fill="auto"/>
            <w:hideMark/>
          </w:tcPr>
          <w:p w14:paraId="476158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powyższym proszę o usunięcie działania.</w:t>
            </w:r>
          </w:p>
        </w:tc>
        <w:tc>
          <w:tcPr>
            <w:tcW w:w="3401" w:type="dxa"/>
            <w:shd w:val="clear" w:color="auto" w:fill="auto"/>
            <w:hideMark/>
          </w:tcPr>
          <w:p w14:paraId="7C958E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powyższym proszę o usunięcie działania.</w:t>
            </w:r>
          </w:p>
        </w:tc>
        <w:tc>
          <w:tcPr>
            <w:tcW w:w="1918" w:type="dxa"/>
            <w:shd w:val="clear" w:color="auto" w:fill="auto"/>
            <w:hideMark/>
          </w:tcPr>
          <w:p w14:paraId="108B36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7C806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FA3EC3C" w14:textId="2D6F37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nie zakłada zmiany planu na etapie jego obowiązywania, ze względu na brak podstawy prawnej do weryfikacji programu. Intencją działania jest identyfikacja problemu i ujęcie rozwiązań do wdrożenia na poziomie JST w zakresie poprawy stanu wód na etapie opracowania nowego programu ochrony śorodowiska lub jego aktualizacji.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Dokonano zmiany nazwy działania:</w:t>
            </w:r>
            <w:r w:rsidRPr="005E78BB">
              <w:rPr>
                <w:rFonts w:ascii="Calibri" w:eastAsia="Times New Roman" w:hAnsi="Calibri" w:cs="Calibri"/>
                <w:color w:val="000000"/>
                <w:sz w:val="18"/>
                <w:szCs w:val="18"/>
                <w:lang w:eastAsia="pl-PL"/>
              </w:rPr>
              <w:br/>
              <w:t xml:space="preserve">"Aktualizacja programu ochrony środowiska pod kątem poprawy efektywności dotyczącej ograniczania dopływu zanieczyszczeń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oraz zmiany i uszczegółowienia opisu działania:</w:t>
            </w:r>
            <w:r w:rsidRPr="005E78BB">
              <w:rPr>
                <w:rFonts w:ascii="Calibri" w:eastAsia="Times New Roman" w:hAnsi="Calibri" w:cs="Calibri"/>
                <w:color w:val="000000"/>
                <w:sz w:val="18"/>
                <w:szCs w:val="18"/>
                <w:lang w:eastAsia="pl-PL"/>
              </w:rPr>
              <w:br/>
              <w:t xml:space="preserve">"Aktualizacja programu ochrony środowiska w celu ograniczenia emisji zanieczyszczeń do wody i powietrza, substancji będących czynnikami stwierdzonej presji chemicznej w wodzie oraz redukcji dopływu substancji priorytetowych ze zlewni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Obejmuje uwzględnienie w opracowywanych i aktualizowanych planach (na wszystkich </w:t>
            </w:r>
            <w:r w:rsidRPr="005E78BB">
              <w:rPr>
                <w:rFonts w:ascii="Calibri" w:eastAsia="Times New Roman" w:hAnsi="Calibri" w:cs="Calibri"/>
                <w:color w:val="000000"/>
                <w:sz w:val="18"/>
                <w:szCs w:val="18"/>
                <w:lang w:eastAsia="pl-PL"/>
              </w:rPr>
              <w:lastRenderedPageBreak/>
              <w:t>poziomach JST) zagadnień związanych z identyfikacją zagrożeń i problemów oraz wdrażaniem lokalnych działań mających na celu ograniczenie stwierdzonych presji chemicznych i poprawę stanu wód. Planowanie specyficznych działań na szczeblu samorządowym ma przyczyniać się do osiągnięcia celów zapisanych w krajowych dokumentach strategicznych i programowych."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Skorygowano nazwę jednostki odpowiedzialnej za realizację działania.</w:t>
            </w:r>
          </w:p>
        </w:tc>
      </w:tr>
      <w:tr w:rsidR="0085319C" w:rsidRPr="005E78BB" w14:paraId="222F1E5C" w14:textId="77777777" w:rsidTr="00E92AE6">
        <w:trPr>
          <w:trHeight w:val="454"/>
        </w:trPr>
        <w:tc>
          <w:tcPr>
            <w:tcW w:w="562" w:type="dxa"/>
            <w:shd w:val="clear" w:color="auto" w:fill="auto"/>
            <w:hideMark/>
          </w:tcPr>
          <w:p w14:paraId="622517E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163</w:t>
            </w:r>
          </w:p>
        </w:tc>
        <w:tc>
          <w:tcPr>
            <w:tcW w:w="1021" w:type="dxa"/>
          </w:tcPr>
          <w:p w14:paraId="6529235C" w14:textId="12EF6C6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Urząd Marszałkowski Województwa Pomorskiego </w:t>
            </w:r>
          </w:p>
        </w:tc>
        <w:tc>
          <w:tcPr>
            <w:tcW w:w="1630" w:type="dxa"/>
            <w:shd w:val="clear" w:color="auto" w:fill="auto"/>
            <w:hideMark/>
          </w:tcPr>
          <w:p w14:paraId="3A644B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B847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 Załącznik nr 7.3 Zestaw działań RW i 7.5 Zestaw działań LW:</w:t>
            </w:r>
            <w:r w:rsidRPr="005E78BB">
              <w:rPr>
                <w:rFonts w:ascii="Calibri" w:eastAsia="Times New Roman" w:hAnsi="Calibri" w:cs="Calibri"/>
                <w:color w:val="000000"/>
                <w:sz w:val="18"/>
                <w:szCs w:val="18"/>
                <w:lang w:eastAsia="pl-PL"/>
              </w:rPr>
              <w:br/>
              <w:t>2. Działanie: Realizacja działań wynikających z planów ochrony i planów zadań ochronnych dla obszarów chronionych – zakres: Dostosowanie gospodarki rybackiej do specyfiki siedliska i Modyfikacja gospodarki rybackiej.</w:t>
            </w:r>
            <w:r w:rsidRPr="005E78BB">
              <w:rPr>
                <w:rFonts w:ascii="Calibri" w:eastAsia="Times New Roman" w:hAnsi="Calibri" w:cs="Calibri"/>
                <w:color w:val="000000"/>
                <w:sz w:val="18"/>
                <w:szCs w:val="18"/>
                <w:lang w:eastAsia="pl-PL"/>
              </w:rPr>
              <w:br/>
              <w:t>W ramach realizacji działania przepisano działania ochronne z planów zadań ochronnych dla obszarów Natura 2000: Bytowskie Jeziora Lobeliowe PLH220005</w:t>
            </w:r>
            <w:r w:rsidRPr="005E78BB">
              <w:rPr>
                <w:rFonts w:ascii="Calibri" w:eastAsia="Times New Roman" w:hAnsi="Calibri" w:cs="Calibri"/>
                <w:color w:val="000000"/>
                <w:sz w:val="18"/>
                <w:szCs w:val="18"/>
                <w:lang w:eastAsia="pl-PL"/>
              </w:rPr>
              <w:br/>
              <w:t>i Młosino-Lubnia PLH220077. W obu aktach prawnych ustanawiających plany, jako podmiot odpowiedzialna za wykonanie działań ochronnych wskazano Marszałka Województwa Pomorskiego. W latach tworzenia ww. planów (2014 r.</w:t>
            </w:r>
            <w:r w:rsidRPr="005E78BB">
              <w:rPr>
                <w:rFonts w:ascii="Calibri" w:eastAsia="Times New Roman" w:hAnsi="Calibri" w:cs="Calibri"/>
                <w:color w:val="000000"/>
                <w:sz w:val="18"/>
                <w:szCs w:val="18"/>
                <w:lang w:eastAsia="pl-PL"/>
              </w:rPr>
              <w:br/>
              <w:t>i 2017 r.) Marszałek Województwa Pomorskiego wykonywał prawa właścicielskie w stosunku do jezior w nich wymienionych, zlokalizowanych na wodach stanowiących własność publiczną. Jednak w związku z wejściem w życie ustawy</w:t>
            </w:r>
            <w:r w:rsidRPr="005E78BB">
              <w:rPr>
                <w:rFonts w:ascii="Calibri" w:eastAsia="Times New Roman" w:hAnsi="Calibri" w:cs="Calibri"/>
                <w:color w:val="000000"/>
                <w:sz w:val="18"/>
                <w:szCs w:val="18"/>
                <w:lang w:eastAsia="pl-PL"/>
              </w:rPr>
              <w:br/>
              <w:t xml:space="preserve">z dnia 20 lipca 2017 r. Prawo wodne, marszałkowie województw utracili kompetencje </w:t>
            </w:r>
            <w:r w:rsidRPr="005E78BB">
              <w:rPr>
                <w:rFonts w:ascii="Calibri" w:eastAsia="Times New Roman" w:hAnsi="Calibri" w:cs="Calibri"/>
                <w:color w:val="000000"/>
                <w:sz w:val="18"/>
                <w:szCs w:val="18"/>
                <w:lang w:eastAsia="pl-PL"/>
              </w:rPr>
              <w:br/>
              <w:t>w zakresie gospodarki wodnej, na rzecz Państwowego Gospodarstwa Wodnego Wody Polskie. W związku z powyższym przedmiotowe plany zadań ochronnych powinny zostać zaktualizowane zgodnie z nowymi przepisami. Natomiast dokument II aPGW nie powinien powielać nieaktualnych zobowiązań. Ponadto dostosowanie czy modyfikacja gospodarki rybackiej jest zadaniem użytkownika rybackiego, a nie marszałków województw, pod nadzorem PGW Wody Polskie jako udostępniającego obwody rybackie do prowadzenia racjonalnej gospodarki rybackiej.</w:t>
            </w:r>
          </w:p>
        </w:tc>
        <w:tc>
          <w:tcPr>
            <w:tcW w:w="3377" w:type="dxa"/>
            <w:shd w:val="clear" w:color="auto" w:fill="auto"/>
            <w:hideMark/>
          </w:tcPr>
          <w:p w14:paraId="1CA090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powyższym proszę o usunięcie Marszałka Województwa Pomorskiego jako jednostki odpowiedzialnej za realizację działania.</w:t>
            </w:r>
          </w:p>
        </w:tc>
        <w:tc>
          <w:tcPr>
            <w:tcW w:w="3401" w:type="dxa"/>
            <w:shd w:val="clear" w:color="auto" w:fill="auto"/>
            <w:hideMark/>
          </w:tcPr>
          <w:p w14:paraId="56DFF3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powyższym proszę o usunięcie Marszałka Województwa Pomorskiego jako jednostki odpowiedzialnej za realizację działania.</w:t>
            </w:r>
          </w:p>
        </w:tc>
        <w:tc>
          <w:tcPr>
            <w:tcW w:w="1918" w:type="dxa"/>
            <w:shd w:val="clear" w:color="auto" w:fill="auto"/>
            <w:hideMark/>
          </w:tcPr>
          <w:p w14:paraId="689A8A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BBF18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D0C76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Skorygowno zapis. Obecne brzmienie zapisów: "Zarządcy/ właściciele jezior: Cechyńskie Wielkie, Pipionek, Głęboczko, Stary Staw, Łąkie, Jeleń, Gubisz, Lubienieckie Wielkie, Czarne Dąbrówno, Lubienieckie Małe, Ząbinowskie i rybaccy użytkownicy jezior uprawnieni do rybactwa, na podstawie porozumienia z RDOŚ Gdańsk", "RZWG Gdańsk, zarządcy/właściciele jezior, RDOŚ Gdańsk, użytkownicy rybaccy jezior".</w:t>
            </w:r>
          </w:p>
        </w:tc>
      </w:tr>
      <w:tr w:rsidR="0085319C" w:rsidRPr="005E78BB" w14:paraId="3AA5D00C" w14:textId="77777777" w:rsidTr="00E92AE6">
        <w:trPr>
          <w:trHeight w:val="454"/>
        </w:trPr>
        <w:tc>
          <w:tcPr>
            <w:tcW w:w="562" w:type="dxa"/>
            <w:shd w:val="clear" w:color="auto" w:fill="auto"/>
            <w:hideMark/>
          </w:tcPr>
          <w:p w14:paraId="04AC612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164</w:t>
            </w:r>
          </w:p>
        </w:tc>
        <w:tc>
          <w:tcPr>
            <w:tcW w:w="1021" w:type="dxa"/>
          </w:tcPr>
          <w:p w14:paraId="55B418FD" w14:textId="061EAA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5787D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A85A5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przypisie 7 wpisane niaktualne rozporzadzenia w sprawie klasyfikacji i sposobu prowadzenia monitoringu</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WERSJA NIESPECJALISTYCZNA projektu drugiej aktualizacji planu gospodarowania wodami na obszarze dorzecza Wisły (rozdział 3 str 6)</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4283C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Powinno być: Rozporzadzenie Ministra Infrastruktury z dnia 25 czerwca 2021 r. w sprawie klasyfikacji stanu ekologicznego, potencjału ekologicznego i stanu chemicznego oraz sposobu klasyfikacji stanu jednolitych częsci wód powierzchniowych, a także środowiskowych norm jakości dla substancji priorytetowych Dz.U 2021.1475  oraz Rozporzadzenie Ministra Infrastuktury z dnia 13 lipca 2021 r. w sprawie form i sposobu prowadzenia monitoringu jednolitych części wód powierzchniowych i jednolitych części wód podziemnych Dz. U. 2021.1576</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6B869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aktualizacja  aktów prawnych</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BA44D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930BB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D8461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trakcie konsultacji społecznych projektów IIaPGW wskazane w uwadze akty prawne utraciły moc i wprowadzone zostały akty je zastępujące. Zmiany aktualizacyjne w tym zakresie zostały wprowadzone do treści IIaPGW.</w:t>
            </w:r>
          </w:p>
        </w:tc>
      </w:tr>
      <w:tr w:rsidR="0085319C" w:rsidRPr="005E78BB" w14:paraId="6A4103C2" w14:textId="77777777" w:rsidTr="00E92AE6">
        <w:trPr>
          <w:trHeight w:val="454"/>
        </w:trPr>
        <w:tc>
          <w:tcPr>
            <w:tcW w:w="562" w:type="dxa"/>
            <w:shd w:val="clear" w:color="auto" w:fill="auto"/>
            <w:hideMark/>
          </w:tcPr>
          <w:p w14:paraId="062B2E0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165</w:t>
            </w:r>
          </w:p>
        </w:tc>
        <w:tc>
          <w:tcPr>
            <w:tcW w:w="1021" w:type="dxa"/>
          </w:tcPr>
          <w:p w14:paraId="2D5ACA0B" w14:textId="6190E59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w:t>
            </w:r>
            <w:r>
              <w:rPr>
                <w:rFonts w:ascii="Calibri" w:hAnsi="Calibri" w:cs="Calibri"/>
                <w:color w:val="000000"/>
                <w:sz w:val="18"/>
                <w:szCs w:val="18"/>
              </w:rPr>
              <w:lastRenderedPageBreak/>
              <w:t xml:space="preserve">ŚRODOWISKA </w:t>
            </w:r>
          </w:p>
        </w:tc>
        <w:tc>
          <w:tcPr>
            <w:tcW w:w="1630" w:type="dxa"/>
            <w:shd w:val="clear" w:color="auto" w:fill="auto"/>
            <w:hideMark/>
          </w:tcPr>
          <w:p w14:paraId="0FD7AB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inne/pozostałe</w:t>
            </w:r>
          </w:p>
        </w:tc>
        <w:tc>
          <w:tcPr>
            <w:tcW w:w="5663" w:type="dxa"/>
            <w:shd w:val="clear" w:color="auto" w:fill="auto"/>
            <w:hideMark/>
          </w:tcPr>
          <w:p w14:paraId="5FE7FC7E" w14:textId="7EDE59B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skrótach r.kl.</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r.m.jcw wpisane niaktualne rozporzadzenia w sprawie klasyfikacji i sposobu prowadzenia monitoringu</w:t>
            </w:r>
            <w:r w:rsidRPr="005E78BB">
              <w:rPr>
                <w:rFonts w:ascii="Calibri" w:eastAsia="Times New Roman" w:hAnsi="Calibri" w:cs="Calibri"/>
                <w:color w:val="000000"/>
                <w:sz w:val="18"/>
                <w:szCs w:val="18"/>
                <w:lang w:eastAsia="pl-PL"/>
              </w:rPr>
              <w:br/>
              <w:t xml:space="preserve">Część projektu planu, do którego zgłaszana jest uwaga (numer rozdziału, </w:t>
            </w:r>
            <w:r w:rsidRPr="005E78BB">
              <w:rPr>
                <w:rFonts w:ascii="Calibri" w:eastAsia="Times New Roman" w:hAnsi="Calibri" w:cs="Calibri"/>
                <w:color w:val="000000"/>
                <w:sz w:val="18"/>
                <w:szCs w:val="18"/>
                <w:lang w:eastAsia="pl-PL"/>
              </w:rPr>
              <w:lastRenderedPageBreak/>
              <w:t>strona dokumentu, nr załącznika): Projekt_IIaPGW_OD_Wisła (wykaz skrótów 5 strona 21)</w:t>
            </w:r>
          </w:p>
        </w:tc>
        <w:tc>
          <w:tcPr>
            <w:tcW w:w="3377" w:type="dxa"/>
            <w:shd w:val="clear" w:color="auto" w:fill="auto"/>
            <w:hideMark/>
          </w:tcPr>
          <w:p w14:paraId="61CE60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Powinno być: Rozporzadzenie Ministra Infrastruktury z dnia 25 czerwca 2021 r. w sprawie klasyfikacji stanu ekologicznego, potencjału ekologicznego i stanu </w:t>
            </w:r>
            <w:r w:rsidRPr="005E78BB">
              <w:rPr>
                <w:rFonts w:ascii="Calibri" w:eastAsia="Times New Roman" w:hAnsi="Calibri" w:cs="Calibri"/>
                <w:color w:val="000000"/>
                <w:sz w:val="18"/>
                <w:szCs w:val="18"/>
                <w:lang w:eastAsia="pl-PL"/>
              </w:rPr>
              <w:lastRenderedPageBreak/>
              <w:t>chemicznego oraz sposobu klasyfikacji stanu jednolitych częsci wód powierzchniowych, a także środowiskowych norm jakości dla substancji priorytetowych Dz.U 2021.1475  oraz Rozporzadzenie Ministra Infrastuktury z dnia 13 lipca 2021 r. w sprawie form i sposobu prowadzenia monitoringu jednolitych części wód powierzchniowych i jednolitych części wód podziemnych Dz. U. 2021.1576</w:t>
            </w:r>
          </w:p>
        </w:tc>
        <w:tc>
          <w:tcPr>
            <w:tcW w:w="3401" w:type="dxa"/>
            <w:shd w:val="clear" w:color="auto" w:fill="auto"/>
            <w:hideMark/>
          </w:tcPr>
          <w:p w14:paraId="454A19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aktualizacja  aktów prawnych</w:t>
            </w:r>
          </w:p>
        </w:tc>
        <w:tc>
          <w:tcPr>
            <w:tcW w:w="1918" w:type="dxa"/>
            <w:shd w:val="clear" w:color="auto" w:fill="auto"/>
            <w:hideMark/>
          </w:tcPr>
          <w:p w14:paraId="46BDF2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08BB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A200A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trakcie konsultacji społecznych projektów IIaPGW wskazane w uwadze akty prawne utraciły moc i wprowadzone zostały akty je zastępujące. Zmiany aktualizacyjne w tym </w:t>
            </w:r>
            <w:r w:rsidRPr="005E78BB">
              <w:rPr>
                <w:rFonts w:ascii="Calibri" w:eastAsia="Times New Roman" w:hAnsi="Calibri" w:cs="Calibri"/>
                <w:color w:val="000000"/>
                <w:sz w:val="18"/>
                <w:szCs w:val="18"/>
                <w:lang w:eastAsia="pl-PL"/>
              </w:rPr>
              <w:lastRenderedPageBreak/>
              <w:t>zakresie zostały wprowadzone do treści IIaPGW.</w:t>
            </w:r>
          </w:p>
        </w:tc>
      </w:tr>
      <w:tr w:rsidR="0085319C" w:rsidRPr="005E78BB" w14:paraId="1D05015D" w14:textId="77777777" w:rsidTr="00E92AE6">
        <w:trPr>
          <w:trHeight w:val="454"/>
        </w:trPr>
        <w:tc>
          <w:tcPr>
            <w:tcW w:w="562" w:type="dxa"/>
            <w:shd w:val="clear" w:color="auto" w:fill="auto"/>
            <w:hideMark/>
          </w:tcPr>
          <w:p w14:paraId="5B3A16B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166</w:t>
            </w:r>
          </w:p>
        </w:tc>
        <w:tc>
          <w:tcPr>
            <w:tcW w:w="1021" w:type="dxa"/>
          </w:tcPr>
          <w:p w14:paraId="6FB5A069" w14:textId="0EC4F6B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A8016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EDEB8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przypisie 23 wpisane niaktualne rozporzadzenia w sprawie klasyfikacji i sposobu prowadzenia monitoringu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(rozdział 5 strona 78)</w:t>
            </w:r>
          </w:p>
        </w:tc>
        <w:tc>
          <w:tcPr>
            <w:tcW w:w="3377" w:type="dxa"/>
            <w:shd w:val="clear" w:color="auto" w:fill="auto"/>
            <w:hideMark/>
          </w:tcPr>
          <w:p w14:paraId="51607F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Powinno być: Rozporzadzenie Ministra Infrastruktury z dnia 25 czerwca 2021 r. w sprawie klasyfikacji stanu ekologicznego, potencjału ekologicznego i stanu chemicznego oraz sposobu klasyfikacji stanu jednolitych częsci wód powierzchniowych, a także środowiskowych norm jakości dla substancji priorytetowych Dz.U 2021.1475  oraz Rozporzadzenie Ministra Infrastuktury z dnia 13 lipca 2021 r. w sprawie form i sposobu prowadzenia monitoringu jednolitych części wód powierzchniowych i jednolitych części wód podziemnych Dz. U. 2021.1576</w:t>
            </w:r>
          </w:p>
        </w:tc>
        <w:tc>
          <w:tcPr>
            <w:tcW w:w="3401" w:type="dxa"/>
            <w:shd w:val="clear" w:color="auto" w:fill="auto"/>
            <w:hideMark/>
          </w:tcPr>
          <w:p w14:paraId="7E0433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aktualizacja  aktów prawnych</w:t>
            </w:r>
          </w:p>
        </w:tc>
        <w:tc>
          <w:tcPr>
            <w:tcW w:w="1918" w:type="dxa"/>
            <w:shd w:val="clear" w:color="auto" w:fill="auto"/>
            <w:hideMark/>
          </w:tcPr>
          <w:p w14:paraId="024293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1465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C78B0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trakcie konsultacji społecznych projektów IIaPGW wskazane w uwadze akty prawne utraciły moc i wprowadzone zostały akty je zastępujące. Zmiany aktualizacyjne w tym zakresie zostały wprowadzone do treści IIaPGW.</w:t>
            </w:r>
          </w:p>
        </w:tc>
      </w:tr>
      <w:tr w:rsidR="0085319C" w:rsidRPr="005E78BB" w14:paraId="4F79CAA5" w14:textId="77777777" w:rsidTr="00E92AE6">
        <w:trPr>
          <w:trHeight w:val="454"/>
        </w:trPr>
        <w:tc>
          <w:tcPr>
            <w:tcW w:w="562" w:type="dxa"/>
            <w:shd w:val="clear" w:color="auto" w:fill="auto"/>
            <w:hideMark/>
          </w:tcPr>
          <w:p w14:paraId="64120EF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167</w:t>
            </w:r>
          </w:p>
        </w:tc>
        <w:tc>
          <w:tcPr>
            <w:tcW w:w="1021" w:type="dxa"/>
          </w:tcPr>
          <w:p w14:paraId="651BD4DA" w14:textId="3538FBE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10E4B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C61FCA7" w14:textId="4078A22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nr załączników z nr 8 na nr 9 dot. kryteriów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w ramach monitoringu diagnostycznego, operacyjnego oraz moniroringu obszarów chronionych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(rozdział 5.1.1.1 strona 80, 82, 84)</w:t>
            </w:r>
          </w:p>
        </w:tc>
        <w:tc>
          <w:tcPr>
            <w:tcW w:w="3377" w:type="dxa"/>
            <w:shd w:val="clear" w:color="auto" w:fill="auto"/>
            <w:hideMark/>
          </w:tcPr>
          <w:p w14:paraId="16265E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Powinno być w treści Załacznik nr 9 do r.m.jcw  str 80, 82, 84  i tabeli nr 5-1, 5-2, 5-3, </w:t>
            </w:r>
          </w:p>
        </w:tc>
        <w:tc>
          <w:tcPr>
            <w:tcW w:w="3401" w:type="dxa"/>
            <w:shd w:val="clear" w:color="auto" w:fill="auto"/>
            <w:hideMark/>
          </w:tcPr>
          <w:p w14:paraId="590CA0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nr załączników w obowiazujacym rozporządzeniu monitoringowym Dz.U.2021. 1576</w:t>
            </w:r>
          </w:p>
        </w:tc>
        <w:tc>
          <w:tcPr>
            <w:tcW w:w="1918" w:type="dxa"/>
            <w:shd w:val="clear" w:color="auto" w:fill="auto"/>
            <w:hideMark/>
          </w:tcPr>
          <w:p w14:paraId="547D9D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FF44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90066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Dokonano korekty zgodnie z uwagą.</w:t>
            </w:r>
          </w:p>
        </w:tc>
      </w:tr>
      <w:tr w:rsidR="0085319C" w:rsidRPr="005E78BB" w14:paraId="6AECD809" w14:textId="77777777" w:rsidTr="00E92AE6">
        <w:trPr>
          <w:trHeight w:val="454"/>
        </w:trPr>
        <w:tc>
          <w:tcPr>
            <w:tcW w:w="562" w:type="dxa"/>
            <w:shd w:val="clear" w:color="auto" w:fill="auto"/>
            <w:hideMark/>
          </w:tcPr>
          <w:p w14:paraId="0E60046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168</w:t>
            </w:r>
          </w:p>
        </w:tc>
        <w:tc>
          <w:tcPr>
            <w:tcW w:w="1021" w:type="dxa"/>
          </w:tcPr>
          <w:p w14:paraId="5B619A03" w14:textId="6623D22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3F7BD7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D0A60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Brak wiersza w drugiej części tabeli  w nagłówku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(rozdział 5.1.1.1 strona 85 tabela 5-3)</w:t>
            </w:r>
          </w:p>
        </w:tc>
        <w:tc>
          <w:tcPr>
            <w:tcW w:w="3377" w:type="dxa"/>
            <w:shd w:val="clear" w:color="auto" w:fill="auto"/>
            <w:hideMark/>
          </w:tcPr>
          <w:p w14:paraId="62137B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dopisać: po 31 grudnia 2021 r. (załacznik nr 1 do r.m.jcw)</w:t>
            </w:r>
          </w:p>
        </w:tc>
        <w:tc>
          <w:tcPr>
            <w:tcW w:w="3401" w:type="dxa"/>
            <w:shd w:val="clear" w:color="auto" w:fill="auto"/>
            <w:hideMark/>
          </w:tcPr>
          <w:p w14:paraId="208655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 podst. § 25 Rozp monitoringowego Dz.U. 2021. 1576</w:t>
            </w:r>
          </w:p>
        </w:tc>
        <w:tc>
          <w:tcPr>
            <w:tcW w:w="1918" w:type="dxa"/>
            <w:shd w:val="clear" w:color="auto" w:fill="auto"/>
            <w:hideMark/>
          </w:tcPr>
          <w:p w14:paraId="5C9AE6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D98C6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91021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Dokonano korekty zgodnie z uwagą.</w:t>
            </w:r>
          </w:p>
        </w:tc>
      </w:tr>
      <w:tr w:rsidR="0085319C" w:rsidRPr="005E78BB" w14:paraId="71FF95A0" w14:textId="77777777" w:rsidTr="00E92AE6">
        <w:trPr>
          <w:trHeight w:val="454"/>
        </w:trPr>
        <w:tc>
          <w:tcPr>
            <w:tcW w:w="562" w:type="dxa"/>
            <w:shd w:val="clear" w:color="auto" w:fill="auto"/>
            <w:hideMark/>
          </w:tcPr>
          <w:p w14:paraId="1B28BE1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169</w:t>
            </w:r>
          </w:p>
        </w:tc>
        <w:tc>
          <w:tcPr>
            <w:tcW w:w="1021" w:type="dxa"/>
          </w:tcPr>
          <w:p w14:paraId="1DC07534" w14:textId="0743410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09138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E25B673" w14:textId="0EA4A14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uwzględnienia w dokumentach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 ze względu na brak przepływu wody nie będą możliwe do monitorowania i badań.</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dot. braku możliwości wykonania badań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(ogólna)</w:t>
            </w:r>
          </w:p>
        </w:tc>
        <w:tc>
          <w:tcPr>
            <w:tcW w:w="3377" w:type="dxa"/>
            <w:shd w:val="clear" w:color="auto" w:fill="auto"/>
            <w:hideMark/>
          </w:tcPr>
          <w:p w14:paraId="47D51CEA" w14:textId="390D71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się dodanie następujacego zapisu w rozdziale 5.1.1. Monitoring wód powierzchniowych: Reprezentatywnych punktów pomiarowo-kontrolnych w monitoringu diagnostycznym i operacyjnym nie wyznacza się w suchej, epizodycznej lub okresowej wyznaczonej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zgodnie z załacznikiem nr 5 do r.m.jcw</w:t>
            </w:r>
          </w:p>
        </w:tc>
        <w:tc>
          <w:tcPr>
            <w:tcW w:w="3401" w:type="dxa"/>
            <w:shd w:val="clear" w:color="auto" w:fill="auto"/>
            <w:hideMark/>
          </w:tcPr>
          <w:p w14:paraId="55C30D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 podst Załacznika nr 5 pkt 1 i 3 do Rozp monitoringowego Dz.U.2021.1576</w:t>
            </w:r>
          </w:p>
        </w:tc>
        <w:tc>
          <w:tcPr>
            <w:tcW w:w="1918" w:type="dxa"/>
            <w:shd w:val="clear" w:color="auto" w:fill="auto"/>
            <w:hideMark/>
          </w:tcPr>
          <w:p w14:paraId="36E065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91C0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7891B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przywołuje w swojej treści informacje dotyczące sieci monitoringu i programów monitoringu stanowiących podstawę dla prowadzonych badań monitoringowych w aktualnym cyklu planistycznym oraz projektowanych sieci monitoringu i założeń programów dla nowego cyklu planistycznego. Informacje prezentowane w IIaPGW mają charakter informacyjny a nie decyzyjny co do programów monitoringu. Wskazany w uwadze zapis stanowi ustalenie dla sposobu prowadzenia monitoringu wykraczające poza zakres IIaPGW.</w:t>
            </w:r>
          </w:p>
        </w:tc>
      </w:tr>
      <w:tr w:rsidR="0085319C" w:rsidRPr="005E78BB" w14:paraId="10BA0469" w14:textId="77777777" w:rsidTr="00E92AE6">
        <w:trPr>
          <w:trHeight w:val="454"/>
        </w:trPr>
        <w:tc>
          <w:tcPr>
            <w:tcW w:w="562" w:type="dxa"/>
            <w:shd w:val="clear" w:color="auto" w:fill="auto"/>
            <w:hideMark/>
          </w:tcPr>
          <w:p w14:paraId="751C03D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170</w:t>
            </w:r>
          </w:p>
        </w:tc>
        <w:tc>
          <w:tcPr>
            <w:tcW w:w="1021" w:type="dxa"/>
          </w:tcPr>
          <w:p w14:paraId="3B27BA87" w14:textId="3A23396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Waldemar i Małgorzata Jeczeń</w:t>
            </w:r>
          </w:p>
        </w:tc>
        <w:tc>
          <w:tcPr>
            <w:tcW w:w="1630" w:type="dxa"/>
            <w:shd w:val="clear" w:color="auto" w:fill="auto"/>
            <w:hideMark/>
          </w:tcPr>
          <w:p w14:paraId="3CAD4D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F9108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terenu działki w miejscowości Niekurza położnej wzdłuż terenów zalewowych, ponieważ będzie to utrudniało prowadzenie przez nas gospodarstwa rolnego oraz ograniczało znacząco możliwość rozbudowy mojego gospodarstwa.. Działki nr 110/4 i 368 Niekurza. </w:t>
            </w:r>
          </w:p>
        </w:tc>
        <w:tc>
          <w:tcPr>
            <w:tcW w:w="3377" w:type="dxa"/>
            <w:shd w:val="clear" w:color="auto" w:fill="auto"/>
            <w:hideMark/>
          </w:tcPr>
          <w:p w14:paraId="59FD22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p>
        </w:tc>
        <w:tc>
          <w:tcPr>
            <w:tcW w:w="3401" w:type="dxa"/>
            <w:shd w:val="clear" w:color="auto" w:fill="auto"/>
            <w:hideMark/>
          </w:tcPr>
          <w:p w14:paraId="5F1122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zadbać o pogłębienie i regulacje rzeki Wisły oraz oczyszczenie zakrzewień i zadrzewień co da dodatkowe powierzchnie na wezbrane wody i przelanie przez koronę wałów. </w:t>
            </w:r>
          </w:p>
        </w:tc>
        <w:tc>
          <w:tcPr>
            <w:tcW w:w="1918" w:type="dxa"/>
            <w:shd w:val="clear" w:color="auto" w:fill="auto"/>
            <w:hideMark/>
          </w:tcPr>
          <w:p w14:paraId="2F7860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812AD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F99F7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CF7CDD6" w14:textId="77777777" w:rsidTr="00E92AE6">
        <w:trPr>
          <w:trHeight w:val="454"/>
        </w:trPr>
        <w:tc>
          <w:tcPr>
            <w:tcW w:w="562" w:type="dxa"/>
            <w:shd w:val="clear" w:color="auto" w:fill="auto"/>
            <w:hideMark/>
          </w:tcPr>
          <w:p w14:paraId="4B47E81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171</w:t>
            </w:r>
          </w:p>
        </w:tc>
        <w:tc>
          <w:tcPr>
            <w:tcW w:w="1021" w:type="dxa"/>
          </w:tcPr>
          <w:p w14:paraId="688921FC" w14:textId="745D3E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4B7479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58B1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 dotyczy: Wisła/Region wodny Bugu</w:t>
            </w:r>
            <w:r w:rsidRPr="005E78BB">
              <w:rPr>
                <w:rFonts w:ascii="Calibri" w:eastAsia="Times New Roman" w:hAnsi="Calibri" w:cs="Calibri"/>
                <w:color w:val="000000"/>
                <w:sz w:val="18"/>
                <w:szCs w:val="18"/>
                <w:lang w:eastAsia="pl-PL"/>
              </w:rPr>
              <w:br/>
              <w:t>W przypadku jeziora Kleszczów PLLW 30700 w ocenie stanu wód jako wskaźniki determinujące ocenę wpisano przezroczystość i przewodność,  wszystkie wskaźniki fizykochemiczne jeziora badane w latach 2010-2015 i 2016-2021 spełniały wymagania staniu dobrego</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8_wykaz odstępstw Wisła</w:t>
            </w:r>
          </w:p>
        </w:tc>
        <w:tc>
          <w:tcPr>
            <w:tcW w:w="3377" w:type="dxa"/>
            <w:shd w:val="clear" w:color="auto" w:fill="auto"/>
            <w:hideMark/>
          </w:tcPr>
          <w:p w14:paraId="3BAC96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Wskaźniki determinujące umiarkowaną ocenę stanu ekologicznego to wskaźniki biologiczne: makrobezkręgowce bentosowe oraz ichtiofauna, a w przypadku złego stanu chemicznego oprócz benzo(a)pirenu również obecność Di (2-etyloheksyl) ftalan (DEHP)</w:t>
            </w:r>
          </w:p>
        </w:tc>
        <w:tc>
          <w:tcPr>
            <w:tcW w:w="3401" w:type="dxa"/>
            <w:shd w:val="clear" w:color="auto" w:fill="auto"/>
            <w:hideMark/>
          </w:tcPr>
          <w:p w14:paraId="671C21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wyniki badań monitoringowych</w:t>
            </w:r>
          </w:p>
        </w:tc>
        <w:tc>
          <w:tcPr>
            <w:tcW w:w="1918" w:type="dxa"/>
            <w:shd w:val="clear" w:color="auto" w:fill="auto"/>
            <w:hideMark/>
          </w:tcPr>
          <w:p w14:paraId="3D417C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4071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75BEF4B" w14:textId="318DFF3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Dane przedstawione w Wykazie Odstępstw IIaPGW odnoszą się do wartości granicznych, które obowiązywać będą od 01.01.2022 r. (doprecyzowano tę informację w tytule stosownych kolumn tabeli). W ramach IIaPGW wyniki PMŚ zostały przeliczone i przełożone na wartości obowiązujące od 01.01.2022 r. oraz na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odniesieniu do stanu chemicznego - dodano informację o przekroczeniu środowiskowych norm jakości dla wskaźnika DEHP.</w:t>
            </w:r>
          </w:p>
        </w:tc>
      </w:tr>
      <w:tr w:rsidR="0085319C" w:rsidRPr="005E78BB" w14:paraId="4163AF44" w14:textId="77777777" w:rsidTr="00E92AE6">
        <w:trPr>
          <w:trHeight w:val="454"/>
        </w:trPr>
        <w:tc>
          <w:tcPr>
            <w:tcW w:w="562" w:type="dxa"/>
            <w:shd w:val="clear" w:color="auto" w:fill="auto"/>
            <w:hideMark/>
          </w:tcPr>
          <w:p w14:paraId="79A0706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172</w:t>
            </w:r>
          </w:p>
        </w:tc>
        <w:tc>
          <w:tcPr>
            <w:tcW w:w="1021" w:type="dxa"/>
          </w:tcPr>
          <w:p w14:paraId="703C14FA" w14:textId="3825C73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Szczepan Jeczeń</w:t>
            </w:r>
          </w:p>
        </w:tc>
        <w:tc>
          <w:tcPr>
            <w:tcW w:w="1630" w:type="dxa"/>
            <w:shd w:val="clear" w:color="auto" w:fill="auto"/>
            <w:hideMark/>
          </w:tcPr>
          <w:p w14:paraId="42A8C1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F1564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z terenu działki nr 215/2 położonych w miejscowości Niekurza stref zalewowych, ponieważ będzie to utrudniało rozbudowę mojej działki, którą otrzymałem po rodzicach.Chce ja zamieszkiwać i użytkować z myślą o przyszłych pokoleniach. </w:t>
            </w:r>
          </w:p>
        </w:tc>
        <w:tc>
          <w:tcPr>
            <w:tcW w:w="3377" w:type="dxa"/>
            <w:shd w:val="clear" w:color="auto" w:fill="auto"/>
            <w:hideMark/>
          </w:tcPr>
          <w:p w14:paraId="52B605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umocnić wały Wiślane umocnić i podwyższyć koronę wału oczyścić miedzy wale zadrzewień i zakrzewień. </w:t>
            </w:r>
          </w:p>
        </w:tc>
        <w:tc>
          <w:tcPr>
            <w:tcW w:w="3401" w:type="dxa"/>
            <w:shd w:val="clear" w:color="auto" w:fill="auto"/>
            <w:hideMark/>
          </w:tcPr>
          <w:p w14:paraId="2C06F1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1749D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1CA25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0EFF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396568FE" w14:textId="77777777" w:rsidTr="00E92AE6">
        <w:trPr>
          <w:trHeight w:val="454"/>
        </w:trPr>
        <w:tc>
          <w:tcPr>
            <w:tcW w:w="562" w:type="dxa"/>
            <w:shd w:val="clear" w:color="auto" w:fill="auto"/>
            <w:hideMark/>
          </w:tcPr>
          <w:p w14:paraId="28479C3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173</w:t>
            </w:r>
          </w:p>
        </w:tc>
        <w:tc>
          <w:tcPr>
            <w:tcW w:w="1021" w:type="dxa"/>
          </w:tcPr>
          <w:p w14:paraId="60B49EA6" w14:textId="1C59593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56206B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DB43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 dotyczy Wisła/Region wodny Bugu</w:t>
            </w:r>
            <w:r w:rsidRPr="005E78BB">
              <w:rPr>
                <w:rFonts w:ascii="Calibri" w:eastAsia="Times New Roman" w:hAnsi="Calibri" w:cs="Calibri"/>
                <w:color w:val="000000"/>
                <w:sz w:val="18"/>
                <w:szCs w:val="18"/>
                <w:lang w:eastAsia="pl-PL"/>
              </w:rPr>
              <w:br/>
              <w:t>Metryka jeziora Piaseczno LW30692 podano wynik  dla b(k)fluorantenu - badania w  2017 roku - w tym roku jezioro nie miało prowadzonych badań substancji priorytetowych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4 Wwykaz emisji i stężeń ; RZGW_Lublin_4.2_OD_Wisła</w:t>
            </w:r>
          </w:p>
        </w:tc>
        <w:tc>
          <w:tcPr>
            <w:tcW w:w="3377" w:type="dxa"/>
            <w:shd w:val="clear" w:color="auto" w:fill="auto"/>
            <w:hideMark/>
          </w:tcPr>
          <w:p w14:paraId="5ABFB5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Powinien być zapis jak w przypadku pozostałych substancji w grupy WWA np. b(b)fluorantenu rok badań 2014</w:t>
            </w:r>
          </w:p>
        </w:tc>
        <w:tc>
          <w:tcPr>
            <w:tcW w:w="3401" w:type="dxa"/>
            <w:shd w:val="clear" w:color="auto" w:fill="auto"/>
            <w:hideMark/>
          </w:tcPr>
          <w:p w14:paraId="07A42E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wyniki badań monitoringowych</w:t>
            </w:r>
          </w:p>
        </w:tc>
        <w:tc>
          <w:tcPr>
            <w:tcW w:w="1918" w:type="dxa"/>
            <w:shd w:val="clear" w:color="auto" w:fill="auto"/>
            <w:hideMark/>
          </w:tcPr>
          <w:p w14:paraId="4093D8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2D3D6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3CCF8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zasadna - skorygowano.</w:t>
            </w:r>
          </w:p>
        </w:tc>
      </w:tr>
      <w:tr w:rsidR="0085319C" w:rsidRPr="005E78BB" w14:paraId="11D06CC1" w14:textId="77777777" w:rsidTr="00E92AE6">
        <w:trPr>
          <w:trHeight w:val="454"/>
        </w:trPr>
        <w:tc>
          <w:tcPr>
            <w:tcW w:w="562" w:type="dxa"/>
            <w:shd w:val="clear" w:color="auto" w:fill="auto"/>
            <w:hideMark/>
          </w:tcPr>
          <w:p w14:paraId="0279AEB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174</w:t>
            </w:r>
          </w:p>
        </w:tc>
        <w:tc>
          <w:tcPr>
            <w:tcW w:w="1021" w:type="dxa"/>
          </w:tcPr>
          <w:p w14:paraId="3B8B0996" w14:textId="2ABF3AB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Jeczeń</w:t>
            </w:r>
          </w:p>
        </w:tc>
        <w:tc>
          <w:tcPr>
            <w:tcW w:w="1630" w:type="dxa"/>
            <w:shd w:val="clear" w:color="auto" w:fill="auto"/>
            <w:hideMark/>
          </w:tcPr>
          <w:p w14:paraId="322331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B315C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z terenu działki nr 637/2 Niekurza stref zalewowych, ponieważ będzie to utrudniało prowadzenie przeze mnie budowy i rozbudowy mojej działki, przejętej po rodzicach. Zamierzam budować się na tej działce, proszę o nieograniczenie moich możliwości budowy i rozwoju mojej działki. </w:t>
            </w:r>
          </w:p>
        </w:tc>
        <w:tc>
          <w:tcPr>
            <w:tcW w:w="3377" w:type="dxa"/>
            <w:shd w:val="clear" w:color="auto" w:fill="auto"/>
            <w:hideMark/>
          </w:tcPr>
          <w:p w14:paraId="7FA500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umocnić wały Wiślane w mojej miejscowości Niekurzy nałożyć nakład na oczyszczenie zadrzewień i zakrzewień na terenach w miedzy-wał. </w:t>
            </w:r>
          </w:p>
        </w:tc>
        <w:tc>
          <w:tcPr>
            <w:tcW w:w="3401" w:type="dxa"/>
            <w:shd w:val="clear" w:color="auto" w:fill="auto"/>
            <w:hideMark/>
          </w:tcPr>
          <w:p w14:paraId="78005F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15C64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0839D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41F7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21A83D09" w14:textId="77777777" w:rsidTr="00E92AE6">
        <w:trPr>
          <w:trHeight w:val="454"/>
        </w:trPr>
        <w:tc>
          <w:tcPr>
            <w:tcW w:w="562" w:type="dxa"/>
            <w:shd w:val="clear" w:color="auto" w:fill="auto"/>
            <w:hideMark/>
          </w:tcPr>
          <w:p w14:paraId="03E8EA0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175</w:t>
            </w:r>
          </w:p>
        </w:tc>
        <w:tc>
          <w:tcPr>
            <w:tcW w:w="1021" w:type="dxa"/>
          </w:tcPr>
          <w:p w14:paraId="50E012F1" w14:textId="053D364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Halina Kardaś</w:t>
            </w:r>
          </w:p>
        </w:tc>
        <w:tc>
          <w:tcPr>
            <w:tcW w:w="1630" w:type="dxa"/>
            <w:shd w:val="clear" w:color="auto" w:fill="auto"/>
            <w:hideMark/>
          </w:tcPr>
          <w:p w14:paraId="3D8646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344F4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z terenu działki nr 184/3 położonej w miejscowości Niekurza stref zalewowych, ponieważ będzie to utrudniało rozbudowę mojego gospodarstwa, które chce przekazać mojemu wnukowi. </w:t>
            </w:r>
          </w:p>
        </w:tc>
        <w:tc>
          <w:tcPr>
            <w:tcW w:w="3377" w:type="dxa"/>
            <w:shd w:val="clear" w:color="auto" w:fill="auto"/>
            <w:hideMark/>
          </w:tcPr>
          <w:p w14:paraId="676BB4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zadbać o wzmocnienie i podwyższenie wałów Wiślanych, udrożnienie i pogłębienie rzeki </w:t>
            </w:r>
          </w:p>
        </w:tc>
        <w:tc>
          <w:tcPr>
            <w:tcW w:w="3401" w:type="dxa"/>
            <w:shd w:val="clear" w:color="auto" w:fill="auto"/>
            <w:hideMark/>
          </w:tcPr>
          <w:p w14:paraId="29EC94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41307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191F27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4C85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E3F1C78" w14:textId="77777777" w:rsidTr="00E92AE6">
        <w:trPr>
          <w:trHeight w:val="454"/>
        </w:trPr>
        <w:tc>
          <w:tcPr>
            <w:tcW w:w="562" w:type="dxa"/>
            <w:shd w:val="clear" w:color="auto" w:fill="auto"/>
            <w:hideMark/>
          </w:tcPr>
          <w:p w14:paraId="4E3A34D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176</w:t>
            </w:r>
          </w:p>
        </w:tc>
        <w:tc>
          <w:tcPr>
            <w:tcW w:w="1021" w:type="dxa"/>
          </w:tcPr>
          <w:p w14:paraId="1A775A22" w14:textId="185754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46ACC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026BD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 dotyczy Wisła/Region wodny Bugu</w:t>
            </w:r>
            <w:r w:rsidRPr="005E78BB">
              <w:rPr>
                <w:rFonts w:ascii="Calibri" w:eastAsia="Times New Roman" w:hAnsi="Calibri" w:cs="Calibri"/>
                <w:color w:val="000000"/>
                <w:sz w:val="18"/>
                <w:szCs w:val="18"/>
                <w:lang w:eastAsia="pl-PL"/>
              </w:rPr>
              <w:br w:type="page"/>
              <w:t xml:space="preserve">Metryka jeziora Uścimowskie LW30694 brak wyniku  dla Di (2-etyloheksyl) ftalan (DEHP) - badany w  2019 roku, wartość powyżej EQS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Załącznik 4 Wwykaz emisji i stężeń ; RZGW_Lublin_4.2_OD_Wisła</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94FF0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podać wartość 2,18   wpisaną czerwoną czcionką</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ABED8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wyniki badań monitoringowych</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67255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56D5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D5844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zasadna - skorygowano.</w:t>
            </w:r>
          </w:p>
        </w:tc>
      </w:tr>
      <w:tr w:rsidR="0085319C" w:rsidRPr="005E78BB" w14:paraId="40188345" w14:textId="77777777" w:rsidTr="00E92AE6">
        <w:trPr>
          <w:trHeight w:val="454"/>
        </w:trPr>
        <w:tc>
          <w:tcPr>
            <w:tcW w:w="562" w:type="dxa"/>
            <w:shd w:val="clear" w:color="auto" w:fill="auto"/>
            <w:hideMark/>
          </w:tcPr>
          <w:p w14:paraId="063423E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177</w:t>
            </w:r>
          </w:p>
        </w:tc>
        <w:tc>
          <w:tcPr>
            <w:tcW w:w="1021" w:type="dxa"/>
          </w:tcPr>
          <w:p w14:paraId="23203AD5" w14:textId="694D9F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7D12C5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3381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 dotyczy Wisła/Region wodny Bugu</w:t>
            </w:r>
            <w:r w:rsidRPr="005E78BB">
              <w:rPr>
                <w:rFonts w:ascii="Calibri" w:eastAsia="Times New Roman" w:hAnsi="Calibri" w:cs="Calibri"/>
                <w:color w:val="000000"/>
                <w:sz w:val="18"/>
                <w:szCs w:val="18"/>
                <w:lang w:eastAsia="pl-PL"/>
              </w:rPr>
              <w:br/>
              <w:t xml:space="preserve">Metryka jeziora Kleszczów LW30700 brak wyniku  dla Di (2-etyloheksyl) ftalan (DEHP) - badany w  2019 roku, wartość powyżej EQS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4 Wwykaz emisji i stężeń ; RZGW_Lublin_4.2_OD_Wisła</w:t>
            </w:r>
          </w:p>
        </w:tc>
        <w:tc>
          <w:tcPr>
            <w:tcW w:w="3377" w:type="dxa"/>
            <w:shd w:val="clear" w:color="auto" w:fill="auto"/>
            <w:hideMark/>
          </w:tcPr>
          <w:p w14:paraId="570C71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podać wartość 3,72   wpisaną czerwoną czcionką</w:t>
            </w:r>
          </w:p>
        </w:tc>
        <w:tc>
          <w:tcPr>
            <w:tcW w:w="3401" w:type="dxa"/>
            <w:shd w:val="clear" w:color="auto" w:fill="auto"/>
            <w:hideMark/>
          </w:tcPr>
          <w:p w14:paraId="1364BC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wyniki badań monitoringowych</w:t>
            </w:r>
          </w:p>
        </w:tc>
        <w:tc>
          <w:tcPr>
            <w:tcW w:w="1918" w:type="dxa"/>
            <w:shd w:val="clear" w:color="auto" w:fill="auto"/>
            <w:hideMark/>
          </w:tcPr>
          <w:p w14:paraId="1AB24F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5B155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F29C2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zasadna - skorygowano.</w:t>
            </w:r>
          </w:p>
        </w:tc>
      </w:tr>
      <w:tr w:rsidR="0085319C" w:rsidRPr="005E78BB" w14:paraId="1E6F8795" w14:textId="77777777" w:rsidTr="00E92AE6">
        <w:trPr>
          <w:trHeight w:val="454"/>
        </w:trPr>
        <w:tc>
          <w:tcPr>
            <w:tcW w:w="562" w:type="dxa"/>
            <w:shd w:val="clear" w:color="auto" w:fill="auto"/>
            <w:hideMark/>
          </w:tcPr>
          <w:p w14:paraId="0770B9D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178</w:t>
            </w:r>
          </w:p>
        </w:tc>
        <w:tc>
          <w:tcPr>
            <w:tcW w:w="1021" w:type="dxa"/>
          </w:tcPr>
          <w:p w14:paraId="411E7A66" w14:textId="61E8FDC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Marek Janiec</w:t>
            </w:r>
          </w:p>
        </w:tc>
        <w:tc>
          <w:tcPr>
            <w:tcW w:w="1630" w:type="dxa"/>
            <w:shd w:val="clear" w:color="auto" w:fill="auto"/>
            <w:hideMark/>
          </w:tcPr>
          <w:p w14:paraId="235A06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FBB7D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Treść uwagi: </w:t>
            </w:r>
            <w:r w:rsidRPr="005E78BB">
              <w:rPr>
                <w:rFonts w:ascii="Calibri" w:eastAsia="Times New Roman" w:hAnsi="Calibri" w:cs="Calibri"/>
                <w:color w:val="000000"/>
                <w:sz w:val="18"/>
                <w:szCs w:val="18"/>
                <w:lang w:eastAsia="pl-PL"/>
              </w:rPr>
              <w:br/>
              <w:t xml:space="preserve">Wnoszę o zniesienie terenu działki w miejscowości Niekurza położonych stref zalewowych, ponieważ będzie to utrudniało prowadzenie przeze mnie gospodarstwa rolnego oraz ograniczają znacząco możliwość rozbudowy mojego gospodarstwa. Działki nr 65,66,107,108. </w:t>
            </w:r>
          </w:p>
        </w:tc>
        <w:tc>
          <w:tcPr>
            <w:tcW w:w="3377" w:type="dxa"/>
            <w:shd w:val="clear" w:color="auto" w:fill="auto"/>
            <w:hideMark/>
          </w:tcPr>
          <w:p w14:paraId="66B7B1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Proponuje zadbać o podwyższenie i regulację Wisły oraz o wyczyszczenie </w:t>
            </w:r>
            <w:r w:rsidRPr="005E78BB">
              <w:rPr>
                <w:rFonts w:ascii="Calibri" w:eastAsia="Times New Roman" w:hAnsi="Calibri" w:cs="Calibri"/>
                <w:color w:val="000000"/>
                <w:sz w:val="18"/>
                <w:szCs w:val="18"/>
                <w:lang w:eastAsia="pl-PL"/>
              </w:rPr>
              <w:lastRenderedPageBreak/>
              <w:t xml:space="preserve">krzaków i drzew. Proponuje wzmocnić i udrożnić wałów.  </w:t>
            </w:r>
          </w:p>
        </w:tc>
        <w:tc>
          <w:tcPr>
            <w:tcW w:w="3401" w:type="dxa"/>
            <w:shd w:val="clear" w:color="auto" w:fill="auto"/>
            <w:hideMark/>
          </w:tcPr>
          <w:p w14:paraId="302A44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1918" w:type="dxa"/>
            <w:shd w:val="clear" w:color="auto" w:fill="auto"/>
            <w:hideMark/>
          </w:tcPr>
          <w:p w14:paraId="608DF0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05E2D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8137B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nie dotyczy bezpośrednio konsultowanego dokumentu. IIaPGW nie ustala stref zalewowych. Zagadnienia </w:t>
            </w:r>
            <w:r w:rsidRPr="005E78BB">
              <w:rPr>
                <w:rFonts w:ascii="Calibri" w:eastAsia="Times New Roman" w:hAnsi="Calibri" w:cs="Calibri"/>
                <w:color w:val="000000"/>
                <w:sz w:val="18"/>
                <w:szCs w:val="18"/>
                <w:lang w:eastAsia="pl-PL"/>
              </w:rPr>
              <w:lastRenderedPageBreak/>
              <w:t>zagrożenia i ryzyka powodziowego stanowią element Planów zarządzania ryzykiem powodziowym i ich aktualizacji.</w:t>
            </w:r>
          </w:p>
        </w:tc>
      </w:tr>
      <w:tr w:rsidR="0085319C" w:rsidRPr="005E78BB" w14:paraId="64F33EE8" w14:textId="77777777" w:rsidTr="00E92AE6">
        <w:trPr>
          <w:trHeight w:val="454"/>
        </w:trPr>
        <w:tc>
          <w:tcPr>
            <w:tcW w:w="562" w:type="dxa"/>
            <w:shd w:val="clear" w:color="auto" w:fill="auto"/>
            <w:hideMark/>
          </w:tcPr>
          <w:p w14:paraId="37B123F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179</w:t>
            </w:r>
          </w:p>
        </w:tc>
        <w:tc>
          <w:tcPr>
            <w:tcW w:w="1021" w:type="dxa"/>
          </w:tcPr>
          <w:p w14:paraId="4A89EECF" w14:textId="425D4A9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30D8E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A155FAB" w14:textId="7E52BA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 dotyczy Wisła/Region wodny Bugu</w:t>
            </w:r>
            <w:r w:rsidRPr="005E78BB">
              <w:rPr>
                <w:rFonts w:ascii="Calibri" w:eastAsia="Times New Roman" w:hAnsi="Calibri" w:cs="Calibri"/>
                <w:color w:val="000000"/>
                <w:sz w:val="18"/>
                <w:szCs w:val="18"/>
                <w:lang w:eastAsia="pl-PL"/>
              </w:rPr>
              <w:br/>
              <w:t xml:space="preserve"> Wykres 12-11 Udział działań podstawowych oraz uzupełniających w katalogu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 na wykresie inaczej  przypisano wartości procentowe działaniom uzupełniającym i podstawowym niż w częsci tekstowej opisującej wykres</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Projekt_IIaPGW_OD_Wisła,  rozdział  12.2.3 12.2.3. Katalog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str. 292-293</w:t>
            </w:r>
          </w:p>
        </w:tc>
        <w:tc>
          <w:tcPr>
            <w:tcW w:w="3377" w:type="dxa"/>
            <w:shd w:val="clear" w:color="auto" w:fill="auto"/>
            <w:hideMark/>
          </w:tcPr>
          <w:p w14:paraId="010409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wstawić poprawne wartości do tekstu lub wykresu</w:t>
            </w:r>
          </w:p>
        </w:tc>
        <w:tc>
          <w:tcPr>
            <w:tcW w:w="3401" w:type="dxa"/>
            <w:shd w:val="clear" w:color="auto" w:fill="auto"/>
            <w:hideMark/>
          </w:tcPr>
          <w:p w14:paraId="12FAA4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Niespójne wartości procentowe działań uzupełniających i podstawowych w części tekstowej opisującej wykres i  na wykresie</w:t>
            </w:r>
          </w:p>
        </w:tc>
        <w:tc>
          <w:tcPr>
            <w:tcW w:w="1918" w:type="dxa"/>
            <w:shd w:val="clear" w:color="auto" w:fill="auto"/>
            <w:hideMark/>
          </w:tcPr>
          <w:p w14:paraId="3490ED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E94A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EE6BD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Zweryfikowano wskazane w uwadze zagadnienia i uspójniono dane.</w:t>
            </w:r>
          </w:p>
        </w:tc>
      </w:tr>
      <w:tr w:rsidR="0085319C" w:rsidRPr="005E78BB" w14:paraId="4ECF236E" w14:textId="77777777" w:rsidTr="00E92AE6">
        <w:trPr>
          <w:trHeight w:val="454"/>
        </w:trPr>
        <w:tc>
          <w:tcPr>
            <w:tcW w:w="562" w:type="dxa"/>
            <w:shd w:val="clear" w:color="auto" w:fill="auto"/>
            <w:hideMark/>
          </w:tcPr>
          <w:p w14:paraId="62C13D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180</w:t>
            </w:r>
          </w:p>
        </w:tc>
        <w:tc>
          <w:tcPr>
            <w:tcW w:w="1021" w:type="dxa"/>
          </w:tcPr>
          <w:p w14:paraId="6A25B1C9" w14:textId="100411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33E416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043ED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Substancje szczególnie szkodliwe dla środowiska wodnego to nie sa są substancje z gr 3.6 specyficzne zanieczyszczenia syntetyczne i niesyntetyczne, a substancje z grupy 4 czyli substancje priorytetowe oraz inne substancje zanieczyszczające; określają one zatem stan chemiczny, a nie stan/potencjał ekologiczny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5.1.2.2. Program sieci monitoringu na obszarze dorzecza Wisły w cyklu planistycznym 2022-2027, str. 91</w:t>
            </w:r>
          </w:p>
        </w:tc>
        <w:tc>
          <w:tcPr>
            <w:tcW w:w="3377" w:type="dxa"/>
            <w:shd w:val="clear" w:color="auto" w:fill="auto"/>
            <w:hideMark/>
          </w:tcPr>
          <w:p w14:paraId="590CAB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podać tylko określenie: specyficzne zanieczyszczenia syntetyczne i niesyntetyczne</w:t>
            </w:r>
          </w:p>
        </w:tc>
        <w:tc>
          <w:tcPr>
            <w:tcW w:w="3401" w:type="dxa"/>
            <w:shd w:val="clear" w:color="auto" w:fill="auto"/>
            <w:hideMark/>
          </w:tcPr>
          <w:p w14:paraId="562D11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Stosowane nazewnictwo powinno być tożsame z nazwami stosowanymi w aktach prawnych (tutaj rozporządzenia Ministra Infrastruktury)</w:t>
            </w:r>
          </w:p>
        </w:tc>
        <w:tc>
          <w:tcPr>
            <w:tcW w:w="1918" w:type="dxa"/>
            <w:shd w:val="clear" w:color="auto" w:fill="auto"/>
            <w:hideMark/>
          </w:tcPr>
          <w:p w14:paraId="1A05F4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7E12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C986E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zasadna - skorygowano.</w:t>
            </w:r>
          </w:p>
        </w:tc>
      </w:tr>
      <w:tr w:rsidR="0085319C" w:rsidRPr="005E78BB" w14:paraId="588F8CA4" w14:textId="77777777" w:rsidTr="00E92AE6">
        <w:trPr>
          <w:trHeight w:val="454"/>
        </w:trPr>
        <w:tc>
          <w:tcPr>
            <w:tcW w:w="562" w:type="dxa"/>
            <w:shd w:val="clear" w:color="auto" w:fill="auto"/>
            <w:hideMark/>
          </w:tcPr>
          <w:p w14:paraId="7B8F028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181</w:t>
            </w:r>
          </w:p>
        </w:tc>
        <w:tc>
          <w:tcPr>
            <w:tcW w:w="1021" w:type="dxa"/>
          </w:tcPr>
          <w:p w14:paraId="1814F59C" w14:textId="072B91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7FDD47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71B97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treści aPGW jako aktualne rozporządzenia klasyfikcyjne i monitoringowe wskazuje się rozporządzenia z 2019 r. Aktualnie obowiązującymi rozporzadzeniami są rozporzadzenia z roku 2021 i to one będą obowiązywały w momencie wejścia w życie II aPGW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cały dokument</w:t>
            </w:r>
          </w:p>
        </w:tc>
        <w:tc>
          <w:tcPr>
            <w:tcW w:w="3377" w:type="dxa"/>
            <w:shd w:val="clear" w:color="auto" w:fill="auto"/>
            <w:hideMark/>
          </w:tcPr>
          <w:p w14:paraId="289765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 się przywoływać aktualne wersje rozporządzeń i dostosować w treści aktualną numerację załączników</w:t>
            </w:r>
          </w:p>
        </w:tc>
        <w:tc>
          <w:tcPr>
            <w:tcW w:w="3401" w:type="dxa"/>
            <w:shd w:val="clear" w:color="auto" w:fill="auto"/>
            <w:hideMark/>
          </w:tcPr>
          <w:p w14:paraId="5319DC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Przywoływanie dokumentów wg aktualnie obowiązującego stanu prawnego</w:t>
            </w:r>
          </w:p>
        </w:tc>
        <w:tc>
          <w:tcPr>
            <w:tcW w:w="1918" w:type="dxa"/>
            <w:shd w:val="clear" w:color="auto" w:fill="auto"/>
            <w:hideMark/>
          </w:tcPr>
          <w:p w14:paraId="2238DA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2235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D718F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trakcie konsultacji społecznych projektów IIaPGW wskazane w uwadze akty prawne utraciły moc i wprowadzone zostały akty je zastępujące. Zmiany aktualizacyjne w tym zakresie zostały wprowadzone do treści IIaPGW.</w:t>
            </w:r>
          </w:p>
        </w:tc>
      </w:tr>
      <w:tr w:rsidR="0085319C" w:rsidRPr="005E78BB" w14:paraId="16E792A1" w14:textId="77777777" w:rsidTr="00E92AE6">
        <w:trPr>
          <w:trHeight w:val="454"/>
        </w:trPr>
        <w:tc>
          <w:tcPr>
            <w:tcW w:w="562" w:type="dxa"/>
            <w:shd w:val="clear" w:color="auto" w:fill="auto"/>
            <w:hideMark/>
          </w:tcPr>
          <w:p w14:paraId="161345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182</w:t>
            </w:r>
          </w:p>
        </w:tc>
        <w:tc>
          <w:tcPr>
            <w:tcW w:w="1021" w:type="dxa"/>
          </w:tcPr>
          <w:p w14:paraId="000212E4" w14:textId="2D83805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A87EC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B7EE8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Brak wyjaśnienia skrótów RW, RWr, LW, TW, CW przy pierwszym zetknięciu się z nimi w treści (nie widniejąw tabeli: Wykaz skrótów, nie są też wyjaśnione przy pierwszym ich stosowaniu w treści dokumentu.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w:t>
            </w:r>
          </w:p>
        </w:tc>
        <w:tc>
          <w:tcPr>
            <w:tcW w:w="3377" w:type="dxa"/>
            <w:shd w:val="clear" w:color="auto" w:fill="auto"/>
            <w:hideMark/>
          </w:tcPr>
          <w:p w14:paraId="0EB412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 się umieścić pojęcia w tabeli z wykazem skrótów</w:t>
            </w:r>
          </w:p>
        </w:tc>
        <w:tc>
          <w:tcPr>
            <w:tcW w:w="3401" w:type="dxa"/>
            <w:shd w:val="clear" w:color="auto" w:fill="auto"/>
            <w:hideMark/>
          </w:tcPr>
          <w:p w14:paraId="2D48B2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8FA5C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7AD1E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893C9F" w14:textId="3EEA46F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wykazie skrótów IIaPGW znajduje się wyjaśnienie skrótów: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CW.</w:t>
            </w:r>
          </w:p>
        </w:tc>
      </w:tr>
      <w:tr w:rsidR="0085319C" w:rsidRPr="005E78BB" w14:paraId="44FC4CD5" w14:textId="77777777" w:rsidTr="00E92AE6">
        <w:trPr>
          <w:trHeight w:val="454"/>
        </w:trPr>
        <w:tc>
          <w:tcPr>
            <w:tcW w:w="562" w:type="dxa"/>
            <w:shd w:val="clear" w:color="auto" w:fill="auto"/>
            <w:hideMark/>
          </w:tcPr>
          <w:p w14:paraId="4CF0EF6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183</w:t>
            </w:r>
          </w:p>
        </w:tc>
        <w:tc>
          <w:tcPr>
            <w:tcW w:w="1021" w:type="dxa"/>
          </w:tcPr>
          <w:p w14:paraId="6930B0A9" w14:textId="28E055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5F318F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B5488AC" w14:textId="09A44E4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Okres ważności danych hydromorfologicznych w monitoringu operacyjnym wynosi 6 lat a nie 3, jak wynika z zapisów dotyczących dziedziczenia danych</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Projekt_IIaPGW_OD_Wisła, 5.1.3.1. Sposób klasyfikacji i interpretacji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str. 121</w:t>
            </w:r>
          </w:p>
        </w:tc>
        <w:tc>
          <w:tcPr>
            <w:tcW w:w="3377" w:type="dxa"/>
            <w:shd w:val="clear" w:color="auto" w:fill="auto"/>
            <w:hideMark/>
          </w:tcPr>
          <w:p w14:paraId="450BEB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uszczegółowić, że okres danych biologicznych i fizykochemicznych wynosi 3 lata, a hydromorfologicznych 6 lat</w:t>
            </w:r>
          </w:p>
        </w:tc>
        <w:tc>
          <w:tcPr>
            <w:tcW w:w="3401" w:type="dxa"/>
            <w:shd w:val="clear" w:color="auto" w:fill="auto"/>
            <w:hideMark/>
          </w:tcPr>
          <w:p w14:paraId="754FBB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Częstotliwość prowadzenia badań z zakresu hydromorfologii wynika z rozporządzenia monitoringowego</w:t>
            </w:r>
          </w:p>
        </w:tc>
        <w:tc>
          <w:tcPr>
            <w:tcW w:w="1918" w:type="dxa"/>
            <w:shd w:val="clear" w:color="auto" w:fill="auto"/>
            <w:hideMark/>
          </w:tcPr>
          <w:p w14:paraId="0EE749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F5FE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D40AB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Zweryfikowano wskazane w uwadze zagadnienie i wprowadzono stosowne korekty w treści IIaPGW.</w:t>
            </w:r>
          </w:p>
        </w:tc>
      </w:tr>
      <w:tr w:rsidR="0085319C" w:rsidRPr="005E78BB" w14:paraId="48E773A9" w14:textId="77777777" w:rsidTr="00E92AE6">
        <w:trPr>
          <w:trHeight w:val="454"/>
        </w:trPr>
        <w:tc>
          <w:tcPr>
            <w:tcW w:w="562" w:type="dxa"/>
            <w:shd w:val="clear" w:color="auto" w:fill="auto"/>
            <w:hideMark/>
          </w:tcPr>
          <w:p w14:paraId="1E1C6CF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184</w:t>
            </w:r>
          </w:p>
        </w:tc>
        <w:tc>
          <w:tcPr>
            <w:tcW w:w="1021" w:type="dxa"/>
          </w:tcPr>
          <w:p w14:paraId="7D7E64F0" w14:textId="412FFCE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FDA2A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FA41187" w14:textId="217127D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procesie oceny stanu wód dokonuje się klasyfikacji stanu/potencjału ekologicznego, klasyfikacji stanu chemicznego, a następnie oceny stanu wód</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Projekt_IIaPGW_OD_Wisła, 5.1.3.1. Sposób klasyfikacji i interpretacji stanu </w:t>
            </w:r>
            <w:r w:rsidR="00513278">
              <w:rPr>
                <w:rFonts w:ascii="Calibri" w:eastAsia="Times New Roman" w:hAnsi="Calibri" w:cs="Calibri"/>
                <w:color w:val="000000"/>
                <w:sz w:val="18"/>
                <w:szCs w:val="18"/>
                <w:lang w:eastAsia="pl-PL"/>
              </w:rPr>
              <w:t>JCWP</w:t>
            </w:r>
          </w:p>
        </w:tc>
        <w:tc>
          <w:tcPr>
            <w:tcW w:w="3377" w:type="dxa"/>
            <w:shd w:val="clear" w:color="auto" w:fill="auto"/>
            <w:hideMark/>
          </w:tcPr>
          <w:p w14:paraId="34414A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dostosować odpowiednie słownictwo</w:t>
            </w:r>
          </w:p>
        </w:tc>
        <w:tc>
          <w:tcPr>
            <w:tcW w:w="3401" w:type="dxa"/>
            <w:shd w:val="clear" w:color="auto" w:fill="auto"/>
            <w:hideMark/>
          </w:tcPr>
          <w:p w14:paraId="47CE1E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Stosowanie pojęć: klasyfikacja stanu/potencjału ekologicznego, klasyfikacja stanu chemicznego oraz ocena stanu wód wynika z rozporządzenia klasyfikacyjnego</w:t>
            </w:r>
          </w:p>
        </w:tc>
        <w:tc>
          <w:tcPr>
            <w:tcW w:w="1918" w:type="dxa"/>
            <w:shd w:val="clear" w:color="auto" w:fill="auto"/>
            <w:hideMark/>
          </w:tcPr>
          <w:p w14:paraId="4967DE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E17B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55C16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Zweryfikowano wskazane w uwadze zagadnienie i wprowadzono stosowne korekty w treści IIaPGW.</w:t>
            </w:r>
          </w:p>
        </w:tc>
      </w:tr>
      <w:tr w:rsidR="0085319C" w:rsidRPr="005E78BB" w14:paraId="12FBAE29" w14:textId="77777777" w:rsidTr="00E92AE6">
        <w:trPr>
          <w:trHeight w:val="454"/>
        </w:trPr>
        <w:tc>
          <w:tcPr>
            <w:tcW w:w="562" w:type="dxa"/>
            <w:shd w:val="clear" w:color="auto" w:fill="auto"/>
            <w:hideMark/>
          </w:tcPr>
          <w:p w14:paraId="724CE8C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185</w:t>
            </w:r>
          </w:p>
        </w:tc>
        <w:tc>
          <w:tcPr>
            <w:tcW w:w="1021" w:type="dxa"/>
          </w:tcPr>
          <w:p w14:paraId="3349FC64" w14:textId="69052EA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13F52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557D1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Podaje się, że w skali kraju opracowano spójny i jednolity wykaz stężeń i emisji - w pliku Zal_a_IIaPGW_OD_Wisla nie wymieniono RZGW Lublin, z kolei dla RZGW w Lublinie brak danych pochodzących z pozwoleń wodnoprawnych - w wykazie emisji widnieje tylko 1 podmiot (źródło: PRTR). Ponadto w załączniku graficznym 25 (zakłady przemysłowe na obszarze dorzecza Wisły zgodnie z bazą PRTR) dane nie pokrywają się z danymi w załączniku 4</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6. Wykaz wielkości emisji i stężeń ……….., str. 137  Zal_a_IIaPGW_OD_Wisla "</w:t>
            </w:r>
          </w:p>
        </w:tc>
        <w:tc>
          <w:tcPr>
            <w:tcW w:w="3377" w:type="dxa"/>
            <w:shd w:val="clear" w:color="auto" w:fill="auto"/>
            <w:hideMark/>
          </w:tcPr>
          <w:p w14:paraId="25118A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 załączniku umieścić RZGW w Lublinie oraz uzupełnić dane pochodzące z pozwoleń wodnoprawnych i pozwoleń zintegrowanych </w:t>
            </w:r>
          </w:p>
        </w:tc>
        <w:tc>
          <w:tcPr>
            <w:tcW w:w="3401" w:type="dxa"/>
            <w:shd w:val="clear" w:color="auto" w:fill="auto"/>
            <w:hideMark/>
          </w:tcPr>
          <w:p w14:paraId="2CEC74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Uzupełnienie danych zapewni kompletny wykaz emisji substancji priorytetowych w kraju</w:t>
            </w:r>
          </w:p>
        </w:tc>
        <w:tc>
          <w:tcPr>
            <w:tcW w:w="1918" w:type="dxa"/>
            <w:shd w:val="clear" w:color="auto" w:fill="auto"/>
            <w:hideMark/>
          </w:tcPr>
          <w:p w14:paraId="062DA1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A6A4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EE67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zawiera wykaz emisji rozumiany jako: wykaz wielkości emisji i stężeń substancji priorytetowych określonych w przepisach wydanych na podstawie art. 114 ustawy Prawo Wodne oraz innych substancji powodujących zanieczyszczenie, dla których zostały określone środowiskowe normy jakości. W związku z powyższym, zawiera informacje na temat emisji ww. substancji zidentyfikowanej w danym okresie.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W przypadku drugiej aktualizacji planów gospodarowania wodami na obszarach dorzeczy podstawą wykazów emisji były wykazy przygotowane przez poszczególne RZGW, które obejmowały informacje dotyczące podmiotów wprowadzających ładunki substancji dla lat 2015-2017. Wykazy te zostały ujednolicone i uzupełnione przy wartości ładunków za rok 2018, uzyskanych z Krajowego Rejestru Uwalniania i Transferu Zanieczyszczeń oraz bazy opłat środowiskowych. Zestawienie to posłużyło do sporządzenia metryk pojedynczych podmiotów wprowadzających ładunki substancji priorytetowych oraz innych substancji zanieczyszczających do środowiska.</w:t>
            </w:r>
            <w:r w:rsidRPr="005E78BB">
              <w:rPr>
                <w:rFonts w:ascii="Calibri" w:eastAsia="Times New Roman" w:hAnsi="Calibri" w:cs="Calibri"/>
                <w:color w:val="000000"/>
                <w:sz w:val="18"/>
                <w:szCs w:val="18"/>
                <w:lang w:eastAsia="pl-PL"/>
              </w:rPr>
              <w:br/>
              <w:t>Istotą opracowania wykazów jest wykorzystanie rzeczywistych danych o sprawozdawanej emisji, a nie limitów emisji dla zakładów według ich pozwoleń wodnoprawnych w związku z czym nie uwzględnia się w nim danych dopuszczalnej wielkości emisji z pozwoleń wodnoprawnych.</w:t>
            </w:r>
            <w:r w:rsidRPr="005E78BB">
              <w:rPr>
                <w:rFonts w:ascii="Calibri" w:eastAsia="Times New Roman" w:hAnsi="Calibri" w:cs="Calibri"/>
                <w:color w:val="000000"/>
                <w:sz w:val="18"/>
                <w:szCs w:val="18"/>
                <w:lang w:eastAsia="pl-PL"/>
              </w:rPr>
              <w:br/>
              <w:t>Jak wskazano powyżej, wykaz uwzględnia emisję wyłącznie substancji priorytetowych, natomiast dane przedstawione w załączniku 25 pokazują liczbę zakładów emitujących wszystkie sprawozdawane w ramach PRTR substancje uwalniane do wód, dlatego liczba podmiotów ujętych w wykazie emisji i liczby zakładów przemysłowych z bazy PRTR różni się.</w:t>
            </w:r>
            <w:r w:rsidRPr="005E78BB">
              <w:rPr>
                <w:rFonts w:ascii="Calibri" w:eastAsia="Times New Roman" w:hAnsi="Calibri" w:cs="Calibri"/>
                <w:color w:val="000000"/>
                <w:sz w:val="18"/>
                <w:szCs w:val="18"/>
                <w:lang w:eastAsia="pl-PL"/>
              </w:rPr>
              <w:br/>
              <w:t>W przypadku RZGW w Lublinie w wykazie emisji wskazano jeden podmiot sprawozdający substancje priorytetowe, ze względu na to, że tylko w tym przypadku w analizowanym okresie zidentyfikowano emisje substancji, których dotyczy wykaz.</w:t>
            </w:r>
          </w:p>
        </w:tc>
      </w:tr>
      <w:tr w:rsidR="0085319C" w:rsidRPr="005E78BB" w14:paraId="788E4481" w14:textId="77777777" w:rsidTr="00E92AE6">
        <w:trPr>
          <w:trHeight w:val="454"/>
        </w:trPr>
        <w:tc>
          <w:tcPr>
            <w:tcW w:w="562" w:type="dxa"/>
            <w:shd w:val="clear" w:color="auto" w:fill="auto"/>
            <w:hideMark/>
          </w:tcPr>
          <w:p w14:paraId="5C551F4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186</w:t>
            </w:r>
          </w:p>
        </w:tc>
        <w:tc>
          <w:tcPr>
            <w:tcW w:w="1021" w:type="dxa"/>
          </w:tcPr>
          <w:p w14:paraId="7CC96C4B" w14:textId="06DBEAF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0E4373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CBC8948" w14:textId="03D1EAA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wykresu wynika, że  na obszarze dorzecza Wisły nie wystepują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których nie osiągnięto celu środowiskowego wyznaczonego dla stanu chemicznego, co nie jest prawdą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str. 186, wykres 8-3</w:t>
            </w:r>
          </w:p>
        </w:tc>
        <w:tc>
          <w:tcPr>
            <w:tcW w:w="3377" w:type="dxa"/>
            <w:shd w:val="clear" w:color="auto" w:fill="auto"/>
            <w:hideMark/>
          </w:tcPr>
          <w:p w14:paraId="77EB64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poprawić wykres</w:t>
            </w:r>
          </w:p>
        </w:tc>
        <w:tc>
          <w:tcPr>
            <w:tcW w:w="3401" w:type="dxa"/>
            <w:shd w:val="clear" w:color="auto" w:fill="auto"/>
            <w:hideMark/>
          </w:tcPr>
          <w:p w14:paraId="1C8117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Błąd w wykresie</w:t>
            </w:r>
          </w:p>
        </w:tc>
        <w:tc>
          <w:tcPr>
            <w:tcW w:w="1918" w:type="dxa"/>
            <w:shd w:val="clear" w:color="auto" w:fill="auto"/>
            <w:hideMark/>
          </w:tcPr>
          <w:p w14:paraId="1F7B42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6B054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5B2D4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dane na wykresie. Dokonano stosownej zmiany zapewniając spójność prezentowanych danych.</w:t>
            </w:r>
          </w:p>
        </w:tc>
      </w:tr>
      <w:tr w:rsidR="0085319C" w:rsidRPr="005E78BB" w14:paraId="511A91F0" w14:textId="77777777" w:rsidTr="00E92AE6">
        <w:trPr>
          <w:trHeight w:val="454"/>
        </w:trPr>
        <w:tc>
          <w:tcPr>
            <w:tcW w:w="562" w:type="dxa"/>
            <w:shd w:val="clear" w:color="auto" w:fill="auto"/>
            <w:hideMark/>
          </w:tcPr>
          <w:p w14:paraId="04E6F0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187</w:t>
            </w:r>
          </w:p>
        </w:tc>
        <w:tc>
          <w:tcPr>
            <w:tcW w:w="1021" w:type="dxa"/>
          </w:tcPr>
          <w:p w14:paraId="4BB166FE" w14:textId="3DD1592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564CC4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A171781" w14:textId="429F656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Prezentacja danych o realizacji działań zawartych w aPGW jest przedstawiona w różny sposób dla poszczególnych kategorii wód, np. wykresy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oraz TW i CW sąinnego typu, co utrudnia szybkie porównanie, natomiast wykres dla LW podaje inną informację, której nie ma dla RW oraz TW i CW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Projekt_IIaPGW_OD_Wisła, rozdział 10 , wykresy 10-4 - 10-7 </w:t>
            </w:r>
          </w:p>
        </w:tc>
        <w:tc>
          <w:tcPr>
            <w:tcW w:w="3377" w:type="dxa"/>
            <w:shd w:val="clear" w:color="auto" w:fill="auto"/>
            <w:hideMark/>
          </w:tcPr>
          <w:p w14:paraId="42ED8E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Propozycja ujednolicenia sposobu przedstawienia danych na wykresach</w:t>
            </w:r>
          </w:p>
        </w:tc>
        <w:tc>
          <w:tcPr>
            <w:tcW w:w="3401" w:type="dxa"/>
            <w:shd w:val="clear" w:color="auto" w:fill="auto"/>
            <w:hideMark/>
          </w:tcPr>
          <w:p w14:paraId="2E77E8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Przedstawienie danych o stopniu realizacji poszczególnych działań dla wód rzecznych oraz przejściowych i przybrzeżnych stanowiłoby dla czytelnika/odbiorcy cenną informację o realizacji działań</w:t>
            </w:r>
          </w:p>
        </w:tc>
        <w:tc>
          <w:tcPr>
            <w:tcW w:w="1918" w:type="dxa"/>
            <w:shd w:val="clear" w:color="auto" w:fill="auto"/>
            <w:hideMark/>
          </w:tcPr>
          <w:p w14:paraId="4912CA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0F0A8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7C7829" w14:textId="7B5B98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Zaprezentowane w rozdziale 10 IIaPGW podsumowanie działań zawartych w aPGW przygotowane zostało na podstawie dokumentów, przy sporządzaniu których wykorzystano dane z monitoringu realizacji działań (w ramach sprawozdawczości podmiotów odpowiedzialnych za realizację działań):</w:t>
            </w:r>
            <w:r w:rsidRPr="005E78BB">
              <w:rPr>
                <w:rFonts w:ascii="Calibri" w:eastAsia="Times New Roman" w:hAnsi="Calibri" w:cs="Calibri"/>
                <w:color w:val="000000"/>
                <w:sz w:val="18"/>
                <w:szCs w:val="18"/>
                <w:lang w:eastAsia="pl-PL"/>
              </w:rPr>
              <w:br/>
              <w:t xml:space="preserve">• Ocena postępu we wdrażaniu programów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wynikających z aPWŚK (2018), który syntetycznie przedstawia informacje na temat stopnia realizacji działań w latach 2016-2018.</w:t>
            </w:r>
            <w:r w:rsidRPr="005E78BB">
              <w:rPr>
                <w:rFonts w:ascii="Calibri" w:eastAsia="Times New Roman" w:hAnsi="Calibri" w:cs="Calibri"/>
                <w:color w:val="000000"/>
                <w:sz w:val="18"/>
                <w:szCs w:val="18"/>
                <w:lang w:eastAsia="pl-PL"/>
              </w:rPr>
              <w:br/>
              <w:t xml:space="preserve">• Sprawozdania roczne z realizacji działań za </w:t>
            </w:r>
            <w:r w:rsidRPr="005E78BB">
              <w:rPr>
                <w:rFonts w:ascii="Calibri" w:eastAsia="Times New Roman" w:hAnsi="Calibri" w:cs="Calibri"/>
                <w:color w:val="000000"/>
                <w:sz w:val="18"/>
                <w:szCs w:val="18"/>
                <w:lang w:eastAsia="pl-PL"/>
              </w:rPr>
              <w:lastRenderedPageBreak/>
              <w:t>lata 2018-2019.</w:t>
            </w:r>
            <w:r w:rsidRPr="005E78BB">
              <w:rPr>
                <w:rFonts w:ascii="Calibri" w:eastAsia="Times New Roman" w:hAnsi="Calibri" w:cs="Calibri"/>
                <w:color w:val="000000"/>
                <w:sz w:val="18"/>
                <w:szCs w:val="18"/>
                <w:lang w:eastAsia="pl-PL"/>
              </w:rPr>
              <w:br/>
              <w:t>Ostatecznie przyjęty sposób prezentacji danych i informacji w rozdziale 10 wynika z danych dostępnych dla poszczególnych kategorii wód, których zróżnicowanie zdeterminowało sposób prezentacji. Zmieniono sposób prezentacji danych na wykresie 10-6.</w:t>
            </w:r>
          </w:p>
        </w:tc>
      </w:tr>
      <w:tr w:rsidR="0085319C" w:rsidRPr="005E78BB" w14:paraId="3CCF9489" w14:textId="77777777" w:rsidTr="00E92AE6">
        <w:trPr>
          <w:trHeight w:val="454"/>
        </w:trPr>
        <w:tc>
          <w:tcPr>
            <w:tcW w:w="562" w:type="dxa"/>
            <w:shd w:val="clear" w:color="auto" w:fill="auto"/>
            <w:hideMark/>
          </w:tcPr>
          <w:p w14:paraId="035D844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188</w:t>
            </w:r>
          </w:p>
        </w:tc>
        <w:tc>
          <w:tcPr>
            <w:tcW w:w="1021" w:type="dxa"/>
          </w:tcPr>
          <w:p w14:paraId="0E8C838F" w14:textId="2355DDB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B5500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6F92A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Tabela 10-4 jest wstawiona bez komentarza i z danymi tylko z RZGW Kraków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Projekt_IIaPGW_OD_Wisła, rozdział 10 , str. 254</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0FE2D7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Jeśli jest to pomyłka, należy uzupełnić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0C6356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9FDBD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6610D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45B47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Przywołana w uwadze tabela 10-4 przedstawia liczbę postępowań będących wynikiem przeglądów pozwoleń wodnoprawnych przeprowadzonych przez organy Wód Polskich wg danych za 2019 rok. Wskazane zostało wyłącznie RZGW Kraków z uwagi na zarejstrowane dokonane przeglądy właśnie przez to RZGW. Pozostałe RZGW nie posiadają zarejestrowanych takich zdarzeń. Przed tabelą dodano zdanie wprowadzające.</w:t>
            </w:r>
          </w:p>
        </w:tc>
      </w:tr>
      <w:tr w:rsidR="0085319C" w:rsidRPr="005E78BB" w14:paraId="5442E9D7" w14:textId="77777777" w:rsidTr="00E92AE6">
        <w:trPr>
          <w:trHeight w:val="454"/>
        </w:trPr>
        <w:tc>
          <w:tcPr>
            <w:tcW w:w="562" w:type="dxa"/>
            <w:shd w:val="clear" w:color="auto" w:fill="auto"/>
            <w:hideMark/>
          </w:tcPr>
          <w:p w14:paraId="02821C3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189</w:t>
            </w:r>
          </w:p>
        </w:tc>
        <w:tc>
          <w:tcPr>
            <w:tcW w:w="1021" w:type="dxa"/>
          </w:tcPr>
          <w:p w14:paraId="7080DC17" w14:textId="3027D0A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Lucyna Żyła</w:t>
            </w:r>
          </w:p>
        </w:tc>
        <w:tc>
          <w:tcPr>
            <w:tcW w:w="1630" w:type="dxa"/>
            <w:shd w:val="clear" w:color="auto" w:fill="auto"/>
            <w:hideMark/>
          </w:tcPr>
          <w:p w14:paraId="26CA8C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36AC5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z terenu mojej działki nr 102 i 71 położonych w miejscowości Niekurza stref zalewowych, ponieważ będzie to utrudniało prowadzenie przeze mnie gospodarstwa rolnego oraz ograniczy znacząco możliwość rozbudowy mojego gospodarstwa. </w:t>
            </w:r>
          </w:p>
        </w:tc>
        <w:tc>
          <w:tcPr>
            <w:tcW w:w="3377" w:type="dxa"/>
            <w:shd w:val="clear" w:color="auto" w:fill="auto"/>
            <w:hideMark/>
          </w:tcPr>
          <w:p w14:paraId="722016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 zadbać o podwyższenie i regulację rzeki Wisły oraz o wyczyszczenie krzaków i drzew. Wzmocnienie wałów.  </w:t>
            </w:r>
          </w:p>
        </w:tc>
        <w:tc>
          <w:tcPr>
            <w:tcW w:w="3401" w:type="dxa"/>
            <w:shd w:val="clear" w:color="auto" w:fill="auto"/>
            <w:hideMark/>
          </w:tcPr>
          <w:p w14:paraId="5401A7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E85CF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E733E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62213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01E5F54" w14:textId="77777777" w:rsidTr="00E92AE6">
        <w:trPr>
          <w:trHeight w:val="454"/>
        </w:trPr>
        <w:tc>
          <w:tcPr>
            <w:tcW w:w="562" w:type="dxa"/>
            <w:shd w:val="clear" w:color="auto" w:fill="auto"/>
            <w:hideMark/>
          </w:tcPr>
          <w:p w14:paraId="2611B5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190</w:t>
            </w:r>
          </w:p>
        </w:tc>
        <w:tc>
          <w:tcPr>
            <w:tcW w:w="1021" w:type="dxa"/>
          </w:tcPr>
          <w:p w14:paraId="7B4D34F4" w14:textId="027C9DB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Henryk Najduk</w:t>
            </w:r>
          </w:p>
        </w:tc>
        <w:tc>
          <w:tcPr>
            <w:tcW w:w="1630" w:type="dxa"/>
            <w:shd w:val="clear" w:color="auto" w:fill="auto"/>
            <w:hideMark/>
          </w:tcPr>
          <w:p w14:paraId="68DB95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AF29A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Wnoszę o zniesienie z terenu mojej działki położonych w miejscowości Niekurza stref zalewowych, ponieważ będzie to utrudniało prowadzenie gospodarstwa oraz ograniczy możliwość rozbudowy gospodarstwa. </w:t>
            </w:r>
          </w:p>
        </w:tc>
        <w:tc>
          <w:tcPr>
            <w:tcW w:w="3377" w:type="dxa"/>
            <w:shd w:val="clear" w:color="auto" w:fill="auto"/>
            <w:hideMark/>
          </w:tcPr>
          <w:p w14:paraId="581534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Pogłębienie koryta rzeki, oczyszczenie i udrożnienie międzywala.</w:t>
            </w:r>
          </w:p>
        </w:tc>
        <w:tc>
          <w:tcPr>
            <w:tcW w:w="3401" w:type="dxa"/>
            <w:shd w:val="clear" w:color="auto" w:fill="auto"/>
            <w:hideMark/>
          </w:tcPr>
          <w:p w14:paraId="409AD0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E4D82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E9F5A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6B0E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6713198B" w14:textId="77777777" w:rsidTr="00E92AE6">
        <w:trPr>
          <w:trHeight w:val="454"/>
        </w:trPr>
        <w:tc>
          <w:tcPr>
            <w:tcW w:w="562" w:type="dxa"/>
            <w:shd w:val="clear" w:color="auto" w:fill="auto"/>
            <w:hideMark/>
          </w:tcPr>
          <w:p w14:paraId="583C15F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191</w:t>
            </w:r>
          </w:p>
        </w:tc>
        <w:tc>
          <w:tcPr>
            <w:tcW w:w="1021" w:type="dxa"/>
          </w:tcPr>
          <w:p w14:paraId="71AD3E5B" w14:textId="01BA4E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3A8BC7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F783B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Błędna numeracja kategorii działań, brak spójności działań wymienionych z działaniami przedstawionymi na wykresie 12-1;  dlaczego wyodrębniono oddzielną kategorię (dot. wykresu): działania organizacyjno-prawne, jeśli widnieje też działanie: działania organizacyjno-prawne, informacyjne i edukacyjne?. Wykres nie zawiera też działania - ochrona siedlisk i gatunków.  Ponadto nie ma spójności z wykazem w załączniku 7 w pliku 7.1_Katalog_krajowe</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12.1 Katalog działań krajowych, str. 274 Zal_7_ZestawDzialan_Wisla</w:t>
            </w:r>
          </w:p>
        </w:tc>
        <w:tc>
          <w:tcPr>
            <w:tcW w:w="3377" w:type="dxa"/>
            <w:shd w:val="clear" w:color="auto" w:fill="auto"/>
            <w:hideMark/>
          </w:tcPr>
          <w:p w14:paraId="62A095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tak poprawić dane, aby kategorie działań w treści, na wykresie i w załączniku 7  były takie same</w:t>
            </w:r>
          </w:p>
        </w:tc>
        <w:tc>
          <w:tcPr>
            <w:tcW w:w="3401" w:type="dxa"/>
            <w:shd w:val="clear" w:color="auto" w:fill="auto"/>
            <w:hideMark/>
          </w:tcPr>
          <w:p w14:paraId="459AAA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987C6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D30B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36CFC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Zweryfikowano wskazane w uwadze zagadnienia i uspójniono dane.</w:t>
            </w:r>
          </w:p>
        </w:tc>
      </w:tr>
      <w:tr w:rsidR="0085319C" w:rsidRPr="005E78BB" w14:paraId="6027A3DA" w14:textId="77777777" w:rsidTr="00E92AE6">
        <w:trPr>
          <w:trHeight w:val="454"/>
        </w:trPr>
        <w:tc>
          <w:tcPr>
            <w:tcW w:w="562" w:type="dxa"/>
            <w:shd w:val="clear" w:color="auto" w:fill="auto"/>
            <w:hideMark/>
          </w:tcPr>
          <w:p w14:paraId="62C7E97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192</w:t>
            </w:r>
          </w:p>
        </w:tc>
        <w:tc>
          <w:tcPr>
            <w:tcW w:w="1021" w:type="dxa"/>
          </w:tcPr>
          <w:p w14:paraId="4EBC83F3" w14:textId="6372490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0D0DF3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B4CB3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tabeli wskazano WIOŚ jako jednostkę kompetentną do monitoringu wód</w:t>
            </w:r>
          </w:p>
        </w:tc>
        <w:tc>
          <w:tcPr>
            <w:tcW w:w="3377" w:type="dxa"/>
            <w:shd w:val="clear" w:color="auto" w:fill="auto"/>
            <w:hideMark/>
          </w:tcPr>
          <w:p w14:paraId="788E98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185FB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 2019 r. monitoring wód powierzchniowych należy do kmpetencji GIOŚ</w:t>
            </w:r>
          </w:p>
        </w:tc>
        <w:tc>
          <w:tcPr>
            <w:tcW w:w="1918" w:type="dxa"/>
            <w:shd w:val="clear" w:color="auto" w:fill="auto"/>
            <w:hideMark/>
          </w:tcPr>
          <w:p w14:paraId="5BFB0A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C86F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C5E7E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Dokonano korekty zgodnie z uwagą.</w:t>
            </w:r>
          </w:p>
        </w:tc>
      </w:tr>
      <w:tr w:rsidR="0085319C" w:rsidRPr="005E78BB" w14:paraId="0DE678A1" w14:textId="77777777" w:rsidTr="00E92AE6">
        <w:trPr>
          <w:trHeight w:val="454"/>
        </w:trPr>
        <w:tc>
          <w:tcPr>
            <w:tcW w:w="562" w:type="dxa"/>
            <w:shd w:val="clear" w:color="auto" w:fill="auto"/>
            <w:hideMark/>
          </w:tcPr>
          <w:p w14:paraId="6BC5DA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193</w:t>
            </w:r>
          </w:p>
        </w:tc>
        <w:tc>
          <w:tcPr>
            <w:tcW w:w="1021" w:type="dxa"/>
          </w:tcPr>
          <w:p w14:paraId="0935EF26" w14:textId="3267FF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27D798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50182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Tabela 14-1: podane granice oznaczalności są niewłaściwe w stosunku do wód powierzchniowych. Badania wód powierzchniowych w zakresie substancji priorytetowych wykonuje Centralne Laboratorium Badawcze (CLB) GIOŚ i we wszystkich  swoich 16 oddziałach stosowane są ujednolicone granice oznaczalności, które się nie pokrywają z tymi w tabeli.  Układ rozdziału jest mało przejrzysty, pod tabelą zamieszczono szczegółowy opis badań w wodach podziemnych, a rozdział i monitoring substancji priorytetowych dotyczy również wód powierzchniowych - </w:t>
            </w:r>
            <w:r w:rsidRPr="005E78BB">
              <w:rPr>
                <w:rFonts w:ascii="Calibri" w:eastAsia="Times New Roman" w:hAnsi="Calibri" w:cs="Calibri"/>
                <w:color w:val="000000"/>
                <w:sz w:val="18"/>
                <w:szCs w:val="18"/>
                <w:lang w:eastAsia="pl-PL"/>
              </w:rPr>
              <w:lastRenderedPageBreak/>
              <w:t>Laboratorium CLB również posiada system jakości zgodny z normą PN EN ISO/IEC 17025 i większość substancji priorytetowych jest akredytowana.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rozdział 14</w:t>
            </w:r>
          </w:p>
        </w:tc>
        <w:tc>
          <w:tcPr>
            <w:tcW w:w="3377" w:type="dxa"/>
            <w:shd w:val="clear" w:color="auto" w:fill="auto"/>
            <w:hideMark/>
          </w:tcPr>
          <w:p w14:paraId="75EE83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Należy podać właściwe granice oznaczalnośi dla substancji priorytetowych, proponuje się również rozszerzenie rozdziału o zapisy potwierdzające wiarygodność badań (system jakości, akredytacja, badanie biegłości….) w wodach powierzchniowych</w:t>
            </w:r>
          </w:p>
        </w:tc>
        <w:tc>
          <w:tcPr>
            <w:tcW w:w="3401" w:type="dxa"/>
            <w:shd w:val="clear" w:color="auto" w:fill="auto"/>
            <w:hideMark/>
          </w:tcPr>
          <w:p w14:paraId="5A32E7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DEAA2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D777F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C665C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Tabele z rozdziału 14 zostały usunięte, a w treści rozdziału zawarte są ogólne zasady dla granic oznaczalności.</w:t>
            </w:r>
          </w:p>
        </w:tc>
      </w:tr>
      <w:tr w:rsidR="0085319C" w:rsidRPr="005E78BB" w14:paraId="09BF7227" w14:textId="77777777" w:rsidTr="00E92AE6">
        <w:trPr>
          <w:trHeight w:val="454"/>
        </w:trPr>
        <w:tc>
          <w:tcPr>
            <w:tcW w:w="562" w:type="dxa"/>
            <w:shd w:val="clear" w:color="auto" w:fill="auto"/>
            <w:hideMark/>
          </w:tcPr>
          <w:p w14:paraId="5DAE6F6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194</w:t>
            </w:r>
          </w:p>
        </w:tc>
        <w:tc>
          <w:tcPr>
            <w:tcW w:w="1021" w:type="dxa"/>
          </w:tcPr>
          <w:p w14:paraId="0B8CBCF1" w14:textId="5ABE0CA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Stanisław Blamowski</w:t>
            </w:r>
          </w:p>
        </w:tc>
        <w:tc>
          <w:tcPr>
            <w:tcW w:w="1630" w:type="dxa"/>
            <w:shd w:val="clear" w:color="auto" w:fill="auto"/>
            <w:hideMark/>
          </w:tcPr>
          <w:p w14:paraId="5A6CB3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739B8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Wnoszę o zniesienie z terenu mojej działki nr 141 i 172 położonych w miejscowości Niekurza stref zalewowych, ponieważ jestem rolnikiem utrzymuję się z gospodarstwa położonego w dorzeczu Wisły. Wszelkie inwestycje związane z prowadzeniem gospodarstwa ogranicza mi zakaz wprowadzony przez Wody Polskie.</w:t>
            </w:r>
          </w:p>
        </w:tc>
        <w:tc>
          <w:tcPr>
            <w:tcW w:w="3377" w:type="dxa"/>
            <w:shd w:val="clear" w:color="auto" w:fill="auto"/>
            <w:hideMark/>
          </w:tcPr>
          <w:p w14:paraId="1C7187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Uważam, że Wody Polskie powinny zająć się pogłębieniem i uregulowaniem koryta Wisły, wycięcie zbędnych krzewów i drzew na powierzchni od wału wiślanego do korytarza rzeki. Spowodowałoby to lepszy przepływ wzbierających wód. </w:t>
            </w:r>
          </w:p>
        </w:tc>
        <w:tc>
          <w:tcPr>
            <w:tcW w:w="3401" w:type="dxa"/>
            <w:shd w:val="clear" w:color="auto" w:fill="auto"/>
            <w:hideMark/>
          </w:tcPr>
          <w:p w14:paraId="4A6152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Mieszkamy tu od pokoleń, uważamy że wprowadzone zakazy są wielokroć bezsensowne i nie służą nam obywatelom. </w:t>
            </w:r>
          </w:p>
        </w:tc>
        <w:tc>
          <w:tcPr>
            <w:tcW w:w="1918" w:type="dxa"/>
            <w:shd w:val="clear" w:color="auto" w:fill="auto"/>
            <w:hideMark/>
          </w:tcPr>
          <w:p w14:paraId="12A1CA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63E154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655D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9457280" w14:textId="77777777" w:rsidTr="00E92AE6">
        <w:trPr>
          <w:trHeight w:val="454"/>
        </w:trPr>
        <w:tc>
          <w:tcPr>
            <w:tcW w:w="562" w:type="dxa"/>
            <w:shd w:val="clear" w:color="auto" w:fill="auto"/>
            <w:hideMark/>
          </w:tcPr>
          <w:p w14:paraId="108B066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195</w:t>
            </w:r>
          </w:p>
        </w:tc>
        <w:tc>
          <w:tcPr>
            <w:tcW w:w="1021" w:type="dxa"/>
          </w:tcPr>
          <w:p w14:paraId="76F8E8C4" w14:textId="47F739C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701E3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E921D3E" w14:textId="14E0295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Wskazano rzeki transgraniczne w zlewni Sanu. W zlewni Bugu tez wydzielono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transgraniczne i również powinny być wskazane w treści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Projekt_IIaPGW_OD_Wisła, rozdział 22, str. 451 </w:t>
            </w:r>
          </w:p>
        </w:tc>
        <w:tc>
          <w:tcPr>
            <w:tcW w:w="3377" w:type="dxa"/>
            <w:shd w:val="clear" w:color="auto" w:fill="auto"/>
            <w:hideMark/>
          </w:tcPr>
          <w:p w14:paraId="5678B0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 się uzupełnić zapis o rzeki trangraniczne w zlewni Bugu (Sołokija, Warężanka)</w:t>
            </w:r>
          </w:p>
        </w:tc>
        <w:tc>
          <w:tcPr>
            <w:tcW w:w="3401" w:type="dxa"/>
            <w:shd w:val="clear" w:color="auto" w:fill="auto"/>
            <w:hideMark/>
          </w:tcPr>
          <w:p w14:paraId="6F0715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DDC37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5B8D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75B6B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Uzupełniono treść IIaPGW wskazując również rzeki zlewni Bugu: Sołokija, Warężanka, zgodnie z uwagą.</w:t>
            </w:r>
          </w:p>
        </w:tc>
      </w:tr>
      <w:tr w:rsidR="0085319C" w:rsidRPr="005E78BB" w14:paraId="6862619A" w14:textId="77777777" w:rsidTr="00E92AE6">
        <w:trPr>
          <w:trHeight w:val="454"/>
        </w:trPr>
        <w:tc>
          <w:tcPr>
            <w:tcW w:w="562" w:type="dxa"/>
            <w:shd w:val="clear" w:color="auto" w:fill="auto"/>
            <w:hideMark/>
          </w:tcPr>
          <w:p w14:paraId="184645F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196</w:t>
            </w:r>
          </w:p>
        </w:tc>
        <w:tc>
          <w:tcPr>
            <w:tcW w:w="1021" w:type="dxa"/>
          </w:tcPr>
          <w:p w14:paraId="04298262" w14:textId="7270777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66A2AE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A1CF7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tej części opisano projekty, w których podjeto działania zmierzające do porawy stanu wód w zlewniach granicznych. Warto jeszcze wspomnieć o projekcie „Poprawa stanu środowiska w granicach Szackiego Parku Narodowego poprzez budowę kanalizacji na obszarach wiejskich nad jeziorem Świtaź” (akronim SVITYAZ). Liderem projektu jest Rejon Szacki (obwód wołyński), a jego partnerem po polskiej stronie Gmina Włodawa.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Projekt_IIaPGW_OD_Wisła, rozdział 22, str. 454</w:t>
            </w:r>
          </w:p>
        </w:tc>
        <w:tc>
          <w:tcPr>
            <w:tcW w:w="3377" w:type="dxa"/>
            <w:shd w:val="clear" w:color="auto" w:fill="auto"/>
            <w:hideMark/>
          </w:tcPr>
          <w:p w14:paraId="14469E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 się uzupełnić  informację o działaniach wynikających z tego projektu</w:t>
            </w:r>
          </w:p>
        </w:tc>
        <w:tc>
          <w:tcPr>
            <w:tcW w:w="3401" w:type="dxa"/>
            <w:shd w:val="clear" w:color="auto" w:fill="auto"/>
            <w:hideMark/>
          </w:tcPr>
          <w:p w14:paraId="7432FA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2D187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4085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5408C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Rozdział dotyczący współpracy międzynarodowej stanowiący element IIaPGW prezentuje dane i informacje podsumowujące współpracę w zakresie wód transgranicznych z państwami sąsiednimi podejmowaną na podstawie umów zawartych pomiędzy państwami.</w:t>
            </w:r>
            <w:r w:rsidRPr="005E78BB">
              <w:rPr>
                <w:rFonts w:ascii="Calibri" w:eastAsia="Times New Roman" w:hAnsi="Calibri" w:cs="Calibri"/>
                <w:color w:val="000000"/>
                <w:sz w:val="18"/>
                <w:szCs w:val="18"/>
                <w:lang w:eastAsia="pl-PL"/>
              </w:rPr>
              <w:br/>
              <w:t>Wskazany w uwadze projekt nie wpisuje się w zakres informacji prezentowanych w rozdziale 22 IIaPGW, tym samym nie został włączony do treści dokumentu.</w:t>
            </w:r>
          </w:p>
        </w:tc>
      </w:tr>
      <w:tr w:rsidR="0085319C" w:rsidRPr="005E78BB" w14:paraId="6F6734C8" w14:textId="77777777" w:rsidTr="00E92AE6">
        <w:trPr>
          <w:trHeight w:val="454"/>
        </w:trPr>
        <w:tc>
          <w:tcPr>
            <w:tcW w:w="562" w:type="dxa"/>
            <w:shd w:val="clear" w:color="auto" w:fill="auto"/>
            <w:hideMark/>
          </w:tcPr>
          <w:p w14:paraId="2147421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197</w:t>
            </w:r>
          </w:p>
        </w:tc>
        <w:tc>
          <w:tcPr>
            <w:tcW w:w="1021" w:type="dxa"/>
          </w:tcPr>
          <w:p w14:paraId="6BCA3F7F" w14:textId="5FA3C07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Agnieszka Banach</w:t>
            </w:r>
          </w:p>
        </w:tc>
        <w:tc>
          <w:tcPr>
            <w:tcW w:w="1630" w:type="dxa"/>
            <w:shd w:val="clear" w:color="auto" w:fill="auto"/>
            <w:hideMark/>
          </w:tcPr>
          <w:p w14:paraId="51CD2D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5E88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Wnoszę o zniesienie z terenu mojej działki nr 169 położonej w miejscowości Niekurza stref zalewowych, ponieważ będzie utrudniało prowadzenie przeze mnie gospodarstwa rolnego oraz ograniczy możliwość rozbudowy mojego gospodarstwa.</w:t>
            </w:r>
          </w:p>
        </w:tc>
        <w:tc>
          <w:tcPr>
            <w:tcW w:w="3377" w:type="dxa"/>
            <w:shd w:val="clear" w:color="auto" w:fill="auto"/>
            <w:hideMark/>
          </w:tcPr>
          <w:p w14:paraId="10AABF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Proponuję o zadbanie o regulację i pogłębienie korytarza rzeki Wisły oraz wyczyszczenie z zakrzewień oraz zbędnych różnych drzew co ma wpływ na wezbranie wody i nie dopuścić do przepływu wody przez kanały rzeki. </w:t>
            </w:r>
          </w:p>
        </w:tc>
        <w:tc>
          <w:tcPr>
            <w:tcW w:w="3401" w:type="dxa"/>
            <w:shd w:val="clear" w:color="auto" w:fill="auto"/>
            <w:hideMark/>
          </w:tcPr>
          <w:p w14:paraId="018374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B2BF5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085C9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A27B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DDC49A3" w14:textId="77777777" w:rsidTr="00E92AE6">
        <w:trPr>
          <w:trHeight w:val="454"/>
        </w:trPr>
        <w:tc>
          <w:tcPr>
            <w:tcW w:w="562" w:type="dxa"/>
            <w:shd w:val="clear" w:color="auto" w:fill="auto"/>
            <w:hideMark/>
          </w:tcPr>
          <w:p w14:paraId="6560D17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198</w:t>
            </w:r>
          </w:p>
        </w:tc>
        <w:tc>
          <w:tcPr>
            <w:tcW w:w="1021" w:type="dxa"/>
          </w:tcPr>
          <w:p w14:paraId="27F9746C" w14:textId="281C2DF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Adrian Misiak</w:t>
            </w:r>
          </w:p>
        </w:tc>
        <w:tc>
          <w:tcPr>
            <w:tcW w:w="1630" w:type="dxa"/>
            <w:shd w:val="clear" w:color="auto" w:fill="auto"/>
            <w:hideMark/>
          </w:tcPr>
          <w:p w14:paraId="0C4862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FE836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Wnoszę o zniesienie z terenu mojej działki nr 19/8 położonej w msc. Szwagrów w strefie zalewowej, ponieważ będzie utrudniało w prowadzeniu,  rozbudowie i użytkowaniu gospodarstwa rolnego.</w:t>
            </w:r>
          </w:p>
        </w:tc>
        <w:tc>
          <w:tcPr>
            <w:tcW w:w="3377" w:type="dxa"/>
            <w:shd w:val="clear" w:color="auto" w:fill="auto"/>
            <w:hideMark/>
          </w:tcPr>
          <w:p w14:paraId="1A9192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Proponuję o zadbanie, pogłębienie i regulację koryta Wisły oraz wyczyszczenie zakrzewienia oraz wykarczowanie drzew rosnących pomiędzy wałem Wiślanym a korytem Wisły co przyczynia się do spiętrzenia poziomu wody. </w:t>
            </w:r>
          </w:p>
        </w:tc>
        <w:tc>
          <w:tcPr>
            <w:tcW w:w="3401" w:type="dxa"/>
            <w:shd w:val="clear" w:color="auto" w:fill="auto"/>
            <w:hideMark/>
          </w:tcPr>
          <w:p w14:paraId="5DAB1A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081B85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2D043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AB286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77247AA4" w14:textId="77777777" w:rsidTr="00E92AE6">
        <w:trPr>
          <w:trHeight w:val="454"/>
        </w:trPr>
        <w:tc>
          <w:tcPr>
            <w:tcW w:w="562" w:type="dxa"/>
            <w:shd w:val="clear" w:color="auto" w:fill="auto"/>
            <w:hideMark/>
          </w:tcPr>
          <w:p w14:paraId="2701A89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199</w:t>
            </w:r>
          </w:p>
        </w:tc>
        <w:tc>
          <w:tcPr>
            <w:tcW w:w="1021" w:type="dxa"/>
          </w:tcPr>
          <w:p w14:paraId="5D1EA753" w14:textId="5C1D0DB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Jacek Misiak</w:t>
            </w:r>
          </w:p>
        </w:tc>
        <w:tc>
          <w:tcPr>
            <w:tcW w:w="1630" w:type="dxa"/>
            <w:shd w:val="clear" w:color="auto" w:fill="auto"/>
            <w:hideMark/>
          </w:tcPr>
          <w:p w14:paraId="0E3C73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02AF7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Wnoszę o zniesienie z terenu mojej działki nr 145 położonej w miejscowości Niekurza w strefie zalewowej, ponieważ będzie utrudniało w prowadzeniu gospodarstwa rolnego,  oraz ograniczy możliwość rozbudowy mojego gospodarstwa.</w:t>
            </w:r>
          </w:p>
        </w:tc>
        <w:tc>
          <w:tcPr>
            <w:tcW w:w="3377" w:type="dxa"/>
            <w:shd w:val="clear" w:color="auto" w:fill="auto"/>
            <w:hideMark/>
          </w:tcPr>
          <w:p w14:paraId="4B779A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Proponuję o zadbanie, pogłębienie i regulację koryta Wisły oraz wyczyszczenie zakrzewienia oraz wykarczowanie drzew rosnących pomiędzy wałem Wiślanym a korytem Wisły co przyczynia się do spiętrzenia poziomu wody. </w:t>
            </w:r>
          </w:p>
        </w:tc>
        <w:tc>
          <w:tcPr>
            <w:tcW w:w="3401" w:type="dxa"/>
            <w:shd w:val="clear" w:color="auto" w:fill="auto"/>
            <w:hideMark/>
          </w:tcPr>
          <w:p w14:paraId="467287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2BA4C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017BB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99152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2FF3AA1F" w14:textId="77777777" w:rsidTr="00E92AE6">
        <w:trPr>
          <w:trHeight w:val="454"/>
        </w:trPr>
        <w:tc>
          <w:tcPr>
            <w:tcW w:w="562" w:type="dxa"/>
            <w:shd w:val="clear" w:color="auto" w:fill="auto"/>
            <w:hideMark/>
          </w:tcPr>
          <w:p w14:paraId="4D81D2A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200</w:t>
            </w:r>
          </w:p>
        </w:tc>
        <w:tc>
          <w:tcPr>
            <w:tcW w:w="1021" w:type="dxa"/>
          </w:tcPr>
          <w:p w14:paraId="0C2CDF18" w14:textId="61A2FD6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Jerzy Mazur</w:t>
            </w:r>
          </w:p>
        </w:tc>
        <w:tc>
          <w:tcPr>
            <w:tcW w:w="1630" w:type="dxa"/>
            <w:shd w:val="clear" w:color="auto" w:fill="auto"/>
            <w:hideMark/>
          </w:tcPr>
          <w:p w14:paraId="178B24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00F14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Wnoszę o zniesienie z terenu mojej działki stref zalewowych. Poczynania z Państwa strony godzą w mój interes. Jestem posiadaczem i właścicielem działek na które zawarłem umowę. Działanie Wód Polskich w znaczących stopniu ogranicza i dyskwalifikuje moje działki, które były majątkiem rodzinnym, będę zabiegał o protest zbiorowy i odszkodowania zbiorowe za utratę majątku. </w:t>
            </w:r>
          </w:p>
        </w:tc>
        <w:tc>
          <w:tcPr>
            <w:tcW w:w="3377" w:type="dxa"/>
            <w:shd w:val="clear" w:color="auto" w:fill="auto"/>
            <w:hideMark/>
          </w:tcPr>
          <w:p w14:paraId="6D9DD7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Proszę zadbać o wzmocnienie wałów, powiększenie korony wału, wycinkę ew. zbędnych drzew i krzewów. Przebudowę mostu w msc Matiasów tzw. "Ruskim </w:t>
            </w:r>
            <w:r w:rsidRPr="005E78BB">
              <w:rPr>
                <w:rFonts w:ascii="Calibri" w:eastAsia="Times New Roman" w:hAnsi="Calibri" w:cs="Calibri"/>
                <w:color w:val="000000"/>
                <w:sz w:val="18"/>
                <w:szCs w:val="18"/>
                <w:lang w:eastAsia="pl-PL"/>
              </w:rPr>
              <w:lastRenderedPageBreak/>
              <w:t>moście" gdzie sposób zabudowy ogranicza przepływ wód!</w:t>
            </w:r>
          </w:p>
        </w:tc>
        <w:tc>
          <w:tcPr>
            <w:tcW w:w="3401" w:type="dxa"/>
            <w:shd w:val="clear" w:color="auto" w:fill="auto"/>
            <w:hideMark/>
          </w:tcPr>
          <w:p w14:paraId="5B6FEA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Nie zgadzam się z wprowadzonymi planami. Mieszkamy tu od pokoleń. Uważam, że wprowadzenie zakazu budowy odbiera nam możliwość egzystowania. W bezsprzeczny </w:t>
            </w:r>
            <w:r w:rsidRPr="005E78BB">
              <w:rPr>
                <w:rFonts w:ascii="Calibri" w:eastAsia="Times New Roman" w:hAnsi="Calibri" w:cs="Calibri"/>
                <w:color w:val="000000"/>
                <w:sz w:val="18"/>
                <w:szCs w:val="18"/>
                <w:lang w:eastAsia="pl-PL"/>
              </w:rPr>
              <w:lastRenderedPageBreak/>
              <w:t xml:space="preserve">sposób odbiera nam wartość naszych posiadanych działek!  </w:t>
            </w:r>
          </w:p>
        </w:tc>
        <w:tc>
          <w:tcPr>
            <w:tcW w:w="1918" w:type="dxa"/>
            <w:shd w:val="clear" w:color="auto" w:fill="auto"/>
            <w:hideMark/>
          </w:tcPr>
          <w:p w14:paraId="6F7191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OsFiz_UG_Osiek_Wisła</w:t>
            </w:r>
          </w:p>
        </w:tc>
        <w:tc>
          <w:tcPr>
            <w:tcW w:w="1276" w:type="dxa"/>
            <w:shd w:val="clear" w:color="auto" w:fill="auto"/>
            <w:hideMark/>
          </w:tcPr>
          <w:p w14:paraId="72E65F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AE28A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nie dotyczy bezpośrednio konsultowanego dokumentu. IIaPGW nie ustala stref zalewowych. Zagadnienia zagrożenia i ryzyka powodziowego stanowią </w:t>
            </w:r>
            <w:r w:rsidRPr="005E78BB">
              <w:rPr>
                <w:rFonts w:ascii="Calibri" w:eastAsia="Times New Roman" w:hAnsi="Calibri" w:cs="Calibri"/>
                <w:color w:val="000000"/>
                <w:sz w:val="18"/>
                <w:szCs w:val="18"/>
                <w:lang w:eastAsia="pl-PL"/>
              </w:rPr>
              <w:lastRenderedPageBreak/>
              <w:t>element Planów zarządzania ryzykiem powodziowym i ich aktualizacji.</w:t>
            </w:r>
          </w:p>
        </w:tc>
      </w:tr>
      <w:tr w:rsidR="0085319C" w:rsidRPr="005E78BB" w14:paraId="41350DBF" w14:textId="77777777" w:rsidTr="00E92AE6">
        <w:trPr>
          <w:trHeight w:val="454"/>
        </w:trPr>
        <w:tc>
          <w:tcPr>
            <w:tcW w:w="562" w:type="dxa"/>
            <w:shd w:val="clear" w:color="auto" w:fill="auto"/>
            <w:hideMark/>
          </w:tcPr>
          <w:p w14:paraId="31D2445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201</w:t>
            </w:r>
          </w:p>
        </w:tc>
        <w:tc>
          <w:tcPr>
            <w:tcW w:w="1021" w:type="dxa"/>
          </w:tcPr>
          <w:p w14:paraId="6DDAEF2D" w14:textId="44E0BB9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Mariola Pełka </w:t>
            </w:r>
          </w:p>
        </w:tc>
        <w:tc>
          <w:tcPr>
            <w:tcW w:w="1630" w:type="dxa"/>
            <w:shd w:val="clear" w:color="auto" w:fill="auto"/>
            <w:hideMark/>
          </w:tcPr>
          <w:p w14:paraId="4833A5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06449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ype="page"/>
              <w:t xml:space="preserve">W-GZW-1393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Treść uwagi: </w:t>
            </w:r>
            <w:r w:rsidRPr="005E78BB">
              <w:rPr>
                <w:rFonts w:ascii="Calibri" w:eastAsia="Times New Roman" w:hAnsi="Calibri" w:cs="Calibri"/>
                <w:color w:val="000000"/>
                <w:sz w:val="18"/>
                <w:szCs w:val="18"/>
                <w:lang w:eastAsia="pl-PL"/>
              </w:rPr>
              <w:br w:type="page"/>
              <w:t xml:space="preserve">Wnoszę o zniesienie z terenu mojej działki nr 216 i 340 położonej w miejscowości Niekurza Szwagrów ponieważ będzie utrudniać korzystanie w wprowadzeniu gospodarstwa rolnego i rozbudowy. </w:t>
            </w:r>
          </w:p>
        </w:tc>
        <w:tc>
          <w:tcPr>
            <w:tcW w:w="3377" w:type="dxa"/>
            <w:shd w:val="clear" w:color="auto" w:fill="auto"/>
            <w:hideMark/>
          </w:tcPr>
          <w:p w14:paraId="227117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Uważam, że Wody polskie powinny zająć się uregulowaniem koryta Wisły, pogłębieniem i wyczyszczeniem powierzchni koło Wisły co umożliwi przepływ wody podczas powodzi. </w:t>
            </w:r>
          </w:p>
        </w:tc>
        <w:tc>
          <w:tcPr>
            <w:tcW w:w="3401" w:type="dxa"/>
            <w:shd w:val="clear" w:color="auto" w:fill="auto"/>
            <w:hideMark/>
          </w:tcPr>
          <w:p w14:paraId="67AA8F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Mieszkamy tu od pokoleń uważam, że wprowadzone zakazy są utrudnieniem dla obywateli. </w:t>
            </w:r>
          </w:p>
        </w:tc>
        <w:tc>
          <w:tcPr>
            <w:tcW w:w="1918" w:type="dxa"/>
            <w:shd w:val="clear" w:color="auto" w:fill="auto"/>
            <w:hideMark/>
          </w:tcPr>
          <w:p w14:paraId="153ED8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27107D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EA7AA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4EB30F6" w14:textId="77777777" w:rsidTr="00E92AE6">
        <w:trPr>
          <w:trHeight w:val="454"/>
        </w:trPr>
        <w:tc>
          <w:tcPr>
            <w:tcW w:w="562" w:type="dxa"/>
            <w:shd w:val="clear" w:color="auto" w:fill="auto"/>
            <w:hideMark/>
          </w:tcPr>
          <w:p w14:paraId="2B5D269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202</w:t>
            </w:r>
          </w:p>
        </w:tc>
        <w:tc>
          <w:tcPr>
            <w:tcW w:w="1021" w:type="dxa"/>
          </w:tcPr>
          <w:p w14:paraId="11E6767A" w14:textId="7C89D29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UM Sulejów</w:t>
            </w:r>
          </w:p>
        </w:tc>
        <w:tc>
          <w:tcPr>
            <w:tcW w:w="1630" w:type="dxa"/>
            <w:shd w:val="clear" w:color="auto" w:fill="auto"/>
            <w:hideMark/>
          </w:tcPr>
          <w:p w14:paraId="06B9B1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Opis zestawu działań podstawowych i uzupełniających jcw</w:t>
            </w:r>
          </w:p>
        </w:tc>
        <w:tc>
          <w:tcPr>
            <w:tcW w:w="5663" w:type="dxa"/>
            <w:shd w:val="clear" w:color="auto" w:fill="auto"/>
            <w:hideMark/>
          </w:tcPr>
          <w:p w14:paraId="1CD5F74E" w14:textId="54A4F4F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 RWP_01.00 str 242. Brak Gminy Sulejów w działaniach na tym </w:t>
            </w:r>
            <w:r w:rsidR="00513278">
              <w:rPr>
                <w:rFonts w:ascii="Calibri" w:eastAsia="Times New Roman" w:hAnsi="Calibri" w:cs="Calibri"/>
                <w:color w:val="000000"/>
                <w:sz w:val="18"/>
                <w:szCs w:val="18"/>
                <w:lang w:eastAsia="pl-PL"/>
              </w:rPr>
              <w:t>JCWP</w:t>
            </w:r>
          </w:p>
        </w:tc>
        <w:tc>
          <w:tcPr>
            <w:tcW w:w="3377" w:type="dxa"/>
            <w:shd w:val="clear" w:color="auto" w:fill="auto"/>
            <w:hideMark/>
          </w:tcPr>
          <w:p w14:paraId="577D3F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Budowa, rozbudowa i modernizacja gospodarki ściekowej na terenie Miasta i Gminy Sulejów. </w:t>
            </w:r>
          </w:p>
        </w:tc>
        <w:tc>
          <w:tcPr>
            <w:tcW w:w="3401" w:type="dxa"/>
            <w:shd w:val="clear" w:color="auto" w:fill="auto"/>
            <w:hideMark/>
          </w:tcPr>
          <w:p w14:paraId="7B078A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 uwagi na charakterystykę, potencjał turystyczny Miasta i Gminy Sulejów, znaczący wpływ na poprawę zagadnień związanych z ochroną środowiska, są działania związane z rozbudową gospodarki ściekowej w szczególności dla sołectw: Włodzimierzów, Witów, Witów Kolonia, Przygłów.</w:t>
            </w:r>
          </w:p>
        </w:tc>
        <w:tc>
          <w:tcPr>
            <w:tcW w:w="1918" w:type="dxa"/>
            <w:shd w:val="clear" w:color="auto" w:fill="auto"/>
            <w:hideMark/>
          </w:tcPr>
          <w:p w14:paraId="6B4DB7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977F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1F8E8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Inwestycje w zakresie goposdarki ściekowej w aglomeracjach wpisane są do zestawów działań zgodnie z danymi zawartymi w VIaKPOŚK z dn. 30.08.2021 r.</w:t>
            </w:r>
          </w:p>
        </w:tc>
      </w:tr>
      <w:tr w:rsidR="0085319C" w:rsidRPr="005E78BB" w14:paraId="5B886C47" w14:textId="77777777" w:rsidTr="00E92AE6">
        <w:trPr>
          <w:trHeight w:val="454"/>
        </w:trPr>
        <w:tc>
          <w:tcPr>
            <w:tcW w:w="562" w:type="dxa"/>
            <w:shd w:val="clear" w:color="auto" w:fill="auto"/>
            <w:hideMark/>
          </w:tcPr>
          <w:p w14:paraId="1DC218F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203</w:t>
            </w:r>
          </w:p>
        </w:tc>
        <w:tc>
          <w:tcPr>
            <w:tcW w:w="1021" w:type="dxa"/>
          </w:tcPr>
          <w:p w14:paraId="4AF338F7" w14:textId="4E60EE4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UM Sulejów</w:t>
            </w:r>
          </w:p>
        </w:tc>
        <w:tc>
          <w:tcPr>
            <w:tcW w:w="1630" w:type="dxa"/>
            <w:shd w:val="clear" w:color="auto" w:fill="auto"/>
            <w:hideMark/>
          </w:tcPr>
          <w:p w14:paraId="7B7FDF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Opis zestawu działań podstawowych i uzupełniających jcw</w:t>
            </w:r>
          </w:p>
        </w:tc>
        <w:tc>
          <w:tcPr>
            <w:tcW w:w="5663" w:type="dxa"/>
            <w:shd w:val="clear" w:color="auto" w:fill="auto"/>
            <w:hideMark/>
          </w:tcPr>
          <w:p w14:paraId="73A4E11B" w14:textId="4BCFE97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 RWP_01.00 str 242. Brak Gminy Sulejów w działaniach na tym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175CCC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Budowa przydomowych oczyszczalni ścieków na terenie Miasta i Gminy Sulejów</w:t>
            </w:r>
          </w:p>
        </w:tc>
        <w:tc>
          <w:tcPr>
            <w:tcW w:w="3401" w:type="dxa"/>
            <w:shd w:val="clear" w:color="auto" w:fill="auto"/>
            <w:hideMark/>
          </w:tcPr>
          <w:p w14:paraId="5E0B44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Zwiększenie zakresu budowy przydomowych oczyszczalni ścieków o tereny będące poza obszarem aglomeracji miasta Sulejów pozwoli na ograniczenie zanieczyszczenia wód związkami azotu i fosforu, których źródłem jest działalność rolnicza, w tym w szczególności działania ograniczające migrację biogenów wraz ze spływem powierzchniowym.</w:t>
            </w:r>
          </w:p>
        </w:tc>
        <w:tc>
          <w:tcPr>
            <w:tcW w:w="1918" w:type="dxa"/>
            <w:shd w:val="clear" w:color="auto" w:fill="auto"/>
            <w:hideMark/>
          </w:tcPr>
          <w:p w14:paraId="715602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BB372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E4296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Inwestycje w zakresie goposdarki ściekowej w aglomeracjach wpisane są do zestawów działań zgodnie z danymi zawartymi w VIaKPOŚK z dn. 30.08.2021 r.</w:t>
            </w:r>
          </w:p>
        </w:tc>
      </w:tr>
      <w:tr w:rsidR="0085319C" w:rsidRPr="005E78BB" w14:paraId="027A7096" w14:textId="77777777" w:rsidTr="00E92AE6">
        <w:trPr>
          <w:trHeight w:val="454"/>
        </w:trPr>
        <w:tc>
          <w:tcPr>
            <w:tcW w:w="562" w:type="dxa"/>
            <w:shd w:val="clear" w:color="auto" w:fill="auto"/>
            <w:hideMark/>
          </w:tcPr>
          <w:p w14:paraId="1BAECC8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204</w:t>
            </w:r>
          </w:p>
        </w:tc>
        <w:tc>
          <w:tcPr>
            <w:tcW w:w="1021" w:type="dxa"/>
          </w:tcPr>
          <w:p w14:paraId="168A9AA0" w14:textId="77A20AB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UM Sulejów</w:t>
            </w:r>
          </w:p>
        </w:tc>
        <w:tc>
          <w:tcPr>
            <w:tcW w:w="1630" w:type="dxa"/>
            <w:shd w:val="clear" w:color="auto" w:fill="auto"/>
            <w:hideMark/>
          </w:tcPr>
          <w:p w14:paraId="483F23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Opis zestawu działań podstawowych i uzupełniających jcw</w:t>
            </w:r>
          </w:p>
        </w:tc>
        <w:tc>
          <w:tcPr>
            <w:tcW w:w="5663" w:type="dxa"/>
            <w:shd w:val="clear" w:color="auto" w:fill="auto"/>
            <w:hideMark/>
          </w:tcPr>
          <w:p w14:paraId="39425E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 RWrP_01.00 str 290-291 Budowa, rozbudowa i modernizacja gospodarki ściekowej na terenie Miasta Sulejów. </w:t>
            </w:r>
          </w:p>
        </w:tc>
        <w:tc>
          <w:tcPr>
            <w:tcW w:w="3377" w:type="dxa"/>
            <w:shd w:val="clear" w:color="auto" w:fill="auto"/>
            <w:hideMark/>
          </w:tcPr>
          <w:p w14:paraId="423E0A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Budowa, rozbudowa i modernizacja gospodarki ściekowej na terenie Miasta i Gminy Sulejów. </w:t>
            </w:r>
          </w:p>
        </w:tc>
        <w:tc>
          <w:tcPr>
            <w:tcW w:w="3401" w:type="dxa"/>
            <w:shd w:val="clear" w:color="auto" w:fill="auto"/>
            <w:hideMark/>
          </w:tcPr>
          <w:p w14:paraId="6136A4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 uwagi na charakterystykę, potencjał turystyczny Miasta i Gminy Sulejów, znaczący wpływ na poprawę zagadnień związanych z ochroną środowiska, są działania związane z rozbudową gospodarki ściekowej w szczególności dla sołectw: Barkowice i Barkowice Mokre</w:t>
            </w:r>
          </w:p>
        </w:tc>
        <w:tc>
          <w:tcPr>
            <w:tcW w:w="1918" w:type="dxa"/>
            <w:shd w:val="clear" w:color="auto" w:fill="auto"/>
            <w:hideMark/>
          </w:tcPr>
          <w:p w14:paraId="084DEF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FC9E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5268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Inwestycje w zakresie goposdarki ściekowej w aglomeracjach wpisane są do zestawów działań zgodnie z danymi zawartymi w VIaKPOŚK z dn. 30.08.2021 r.</w:t>
            </w:r>
          </w:p>
        </w:tc>
      </w:tr>
      <w:tr w:rsidR="0085319C" w:rsidRPr="005E78BB" w14:paraId="54E2340D" w14:textId="77777777" w:rsidTr="00E92AE6">
        <w:trPr>
          <w:trHeight w:val="454"/>
        </w:trPr>
        <w:tc>
          <w:tcPr>
            <w:tcW w:w="562" w:type="dxa"/>
            <w:shd w:val="clear" w:color="auto" w:fill="auto"/>
            <w:hideMark/>
          </w:tcPr>
          <w:p w14:paraId="2E3DD1D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205</w:t>
            </w:r>
          </w:p>
        </w:tc>
        <w:tc>
          <w:tcPr>
            <w:tcW w:w="1021" w:type="dxa"/>
          </w:tcPr>
          <w:p w14:paraId="56841ECA" w14:textId="1E81B7B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UM Sulejów</w:t>
            </w:r>
          </w:p>
        </w:tc>
        <w:tc>
          <w:tcPr>
            <w:tcW w:w="1630" w:type="dxa"/>
            <w:shd w:val="clear" w:color="auto" w:fill="auto"/>
            <w:hideMark/>
          </w:tcPr>
          <w:p w14:paraId="7CC101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Opis zestawu działań podstawowych i uzupełniających jcw</w:t>
            </w:r>
          </w:p>
        </w:tc>
        <w:tc>
          <w:tcPr>
            <w:tcW w:w="5663" w:type="dxa"/>
            <w:shd w:val="clear" w:color="auto" w:fill="auto"/>
            <w:hideMark/>
          </w:tcPr>
          <w:p w14:paraId="135C08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 RWrP_01.00 str. 291 Budowa przydomowych oczyszczalni ścieków na terenie Miasta Sulejów</w:t>
            </w:r>
          </w:p>
        </w:tc>
        <w:tc>
          <w:tcPr>
            <w:tcW w:w="3377" w:type="dxa"/>
            <w:shd w:val="clear" w:color="auto" w:fill="auto"/>
            <w:hideMark/>
          </w:tcPr>
          <w:p w14:paraId="4CCE00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Budowa przydomowych oczyszczalni ścieków na terenie Miasta i Gminy Sulejów</w:t>
            </w:r>
          </w:p>
        </w:tc>
        <w:tc>
          <w:tcPr>
            <w:tcW w:w="3401" w:type="dxa"/>
            <w:shd w:val="clear" w:color="auto" w:fill="auto"/>
            <w:hideMark/>
          </w:tcPr>
          <w:p w14:paraId="16054A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Zwiększenie zakresu budowy przydomowych oczyszczalni ścieków o tereny będące poza obszarem aglomeracji miasta Sulejów pozwoli na ograniczenie zanieczyszczenia wód związkami azotu i fosforu, których źródłem jest działalność rolnicza, w tym w szczególności działania ograniczające migrację biogenów wraz ze spływem powierzchniowym.</w:t>
            </w:r>
          </w:p>
        </w:tc>
        <w:tc>
          <w:tcPr>
            <w:tcW w:w="1918" w:type="dxa"/>
            <w:shd w:val="clear" w:color="auto" w:fill="auto"/>
            <w:hideMark/>
          </w:tcPr>
          <w:p w14:paraId="64164C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68609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2E78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Inwestycje w zakresie goposdarki ściekowej w aglomeracjach wpisane są do zestawów działań zgodnie z danymi zawartymi w VIaKPOŚK z dn. 30.08.2021 r.</w:t>
            </w:r>
          </w:p>
        </w:tc>
      </w:tr>
      <w:tr w:rsidR="0085319C" w:rsidRPr="005E78BB" w14:paraId="3823D4D9" w14:textId="77777777" w:rsidTr="00E92AE6">
        <w:trPr>
          <w:trHeight w:val="454"/>
        </w:trPr>
        <w:tc>
          <w:tcPr>
            <w:tcW w:w="562" w:type="dxa"/>
            <w:shd w:val="clear" w:color="auto" w:fill="auto"/>
            <w:hideMark/>
          </w:tcPr>
          <w:p w14:paraId="04F3BE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206</w:t>
            </w:r>
          </w:p>
        </w:tc>
        <w:tc>
          <w:tcPr>
            <w:tcW w:w="1021" w:type="dxa"/>
          </w:tcPr>
          <w:p w14:paraId="39387905" w14:textId="7170D78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Łukasz Wnuk</w:t>
            </w:r>
          </w:p>
        </w:tc>
        <w:tc>
          <w:tcPr>
            <w:tcW w:w="1630" w:type="dxa"/>
            <w:shd w:val="clear" w:color="auto" w:fill="auto"/>
            <w:hideMark/>
          </w:tcPr>
          <w:p w14:paraId="29AA41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39B14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Dotyczy działki nr 104. Wnoszę o zniesienie z terenu mojej działki położonej w miejscowości Niekurza stref zalewowych. Jestem właściciela tej działki zamierzam się rozbudowywać skorzystać jako dobro przekazane po rodzicach. Nie zgadzam się aby ktoś decydował za mnie i odbierał mi majątek przekazany przez pokolenia! </w:t>
            </w:r>
          </w:p>
        </w:tc>
        <w:tc>
          <w:tcPr>
            <w:tcW w:w="3377" w:type="dxa"/>
            <w:shd w:val="clear" w:color="auto" w:fill="auto"/>
            <w:hideMark/>
          </w:tcPr>
          <w:p w14:paraId="6F6F8D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Proszę zadbać o wzmocnienie i podwyższenie wałów, pogłębienie koryta rzeki! </w:t>
            </w:r>
          </w:p>
        </w:tc>
        <w:tc>
          <w:tcPr>
            <w:tcW w:w="3401" w:type="dxa"/>
            <w:shd w:val="clear" w:color="auto" w:fill="auto"/>
            <w:hideMark/>
          </w:tcPr>
          <w:p w14:paraId="25994C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Mieszkam tu od pokoleń, bierzemy na siebie odpowiedzialność, że nadal tu chcemy mieszkać, zakazy godzą w nasz interes!</w:t>
            </w:r>
          </w:p>
        </w:tc>
        <w:tc>
          <w:tcPr>
            <w:tcW w:w="1918" w:type="dxa"/>
            <w:shd w:val="clear" w:color="auto" w:fill="auto"/>
            <w:hideMark/>
          </w:tcPr>
          <w:p w14:paraId="052163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6CF2D6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1BE4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5EEA329C" w14:textId="77777777" w:rsidTr="00E92AE6">
        <w:trPr>
          <w:trHeight w:val="454"/>
        </w:trPr>
        <w:tc>
          <w:tcPr>
            <w:tcW w:w="562" w:type="dxa"/>
            <w:shd w:val="clear" w:color="auto" w:fill="auto"/>
            <w:hideMark/>
          </w:tcPr>
          <w:p w14:paraId="51A951A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207</w:t>
            </w:r>
          </w:p>
        </w:tc>
        <w:tc>
          <w:tcPr>
            <w:tcW w:w="1021" w:type="dxa"/>
          </w:tcPr>
          <w:p w14:paraId="577EAB77" w14:textId="1109CBF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Artur Janiec</w:t>
            </w:r>
          </w:p>
        </w:tc>
        <w:tc>
          <w:tcPr>
            <w:tcW w:w="1630" w:type="dxa"/>
            <w:shd w:val="clear" w:color="auto" w:fill="auto"/>
            <w:hideMark/>
          </w:tcPr>
          <w:p w14:paraId="33901C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AAB6A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Treść uwagi: </w:t>
            </w:r>
            <w:r w:rsidRPr="005E78BB">
              <w:rPr>
                <w:rFonts w:ascii="Calibri" w:eastAsia="Times New Roman" w:hAnsi="Calibri" w:cs="Calibri"/>
                <w:color w:val="000000"/>
                <w:sz w:val="18"/>
                <w:szCs w:val="18"/>
                <w:lang w:eastAsia="pl-PL"/>
              </w:rPr>
              <w:br/>
              <w:t xml:space="preserve">Tereny, które zamieszkuję oraz moje działki 133,181, 333 zostały uznane jako zalewowe. Wnoszę o ich zniesienie ponieważ nie będzie można rozwijać swojego gospodarstwa oraz się rozbudowywać. </w:t>
            </w:r>
          </w:p>
        </w:tc>
        <w:tc>
          <w:tcPr>
            <w:tcW w:w="3377" w:type="dxa"/>
            <w:shd w:val="clear" w:color="auto" w:fill="auto"/>
            <w:hideMark/>
          </w:tcPr>
          <w:p w14:paraId="5D3218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65DD4A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Gospodarstwa stracą na wartości a także zniechęci to obecnych i przyszłych </w:t>
            </w:r>
            <w:r w:rsidRPr="005E78BB">
              <w:rPr>
                <w:rFonts w:ascii="Calibri" w:eastAsia="Times New Roman" w:hAnsi="Calibri" w:cs="Calibri"/>
                <w:color w:val="000000"/>
                <w:sz w:val="18"/>
                <w:szCs w:val="18"/>
                <w:lang w:eastAsia="pl-PL"/>
              </w:rPr>
              <w:lastRenderedPageBreak/>
              <w:t xml:space="preserve">mieszkańców do pozostania w dotychczasowym miejscu zamieszkania. </w:t>
            </w:r>
          </w:p>
        </w:tc>
        <w:tc>
          <w:tcPr>
            <w:tcW w:w="1918" w:type="dxa"/>
            <w:shd w:val="clear" w:color="auto" w:fill="auto"/>
            <w:hideMark/>
          </w:tcPr>
          <w:p w14:paraId="757F07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OsFiz_UG_Osiek_Wisła</w:t>
            </w:r>
          </w:p>
        </w:tc>
        <w:tc>
          <w:tcPr>
            <w:tcW w:w="1276" w:type="dxa"/>
            <w:shd w:val="clear" w:color="auto" w:fill="auto"/>
            <w:hideMark/>
          </w:tcPr>
          <w:p w14:paraId="256203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C3F2E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Zgłoszona uwaga nie dotyczy bezpośrednio konsultowanego dokumentu. IIaPGW nie ustala stref zalewowych. Zagadnienia </w:t>
            </w:r>
            <w:r w:rsidRPr="005E78BB">
              <w:rPr>
                <w:rFonts w:ascii="Calibri" w:eastAsia="Times New Roman" w:hAnsi="Calibri" w:cs="Calibri"/>
                <w:color w:val="000000"/>
                <w:sz w:val="18"/>
                <w:szCs w:val="18"/>
                <w:lang w:eastAsia="pl-PL"/>
              </w:rPr>
              <w:lastRenderedPageBreak/>
              <w:t>zagrożenia i ryzyka powodziowego stanowią element planów zarządzania ryzykiem powodziowym i ich aktualizacji.</w:t>
            </w:r>
          </w:p>
        </w:tc>
      </w:tr>
      <w:tr w:rsidR="0085319C" w:rsidRPr="005E78BB" w14:paraId="70DB3E04" w14:textId="77777777" w:rsidTr="00E92AE6">
        <w:trPr>
          <w:trHeight w:val="454"/>
        </w:trPr>
        <w:tc>
          <w:tcPr>
            <w:tcW w:w="562" w:type="dxa"/>
            <w:shd w:val="clear" w:color="auto" w:fill="auto"/>
            <w:hideMark/>
          </w:tcPr>
          <w:p w14:paraId="59A484E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208</w:t>
            </w:r>
          </w:p>
        </w:tc>
        <w:tc>
          <w:tcPr>
            <w:tcW w:w="1021" w:type="dxa"/>
          </w:tcPr>
          <w:p w14:paraId="4E472132" w14:textId="3FE2558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 Taras</w:t>
            </w:r>
          </w:p>
        </w:tc>
        <w:tc>
          <w:tcPr>
            <w:tcW w:w="1630" w:type="dxa"/>
            <w:shd w:val="clear" w:color="auto" w:fill="auto"/>
            <w:hideMark/>
          </w:tcPr>
          <w:p w14:paraId="39ABDF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1A9E1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zamieszkuję zostały uznane jako zalewowe. Jestem przeciw tej decyzji ponieważ jest to niekorzystne dla mojego gospodarstwa znajdującego się w miejscowości Niekurza. </w:t>
            </w:r>
          </w:p>
        </w:tc>
        <w:tc>
          <w:tcPr>
            <w:tcW w:w="3377" w:type="dxa"/>
            <w:shd w:val="clear" w:color="auto" w:fill="auto"/>
            <w:hideMark/>
          </w:tcPr>
          <w:p w14:paraId="3D4682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4F81D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Gospodarstwa i działki stracą na wartości. Nie zgadzam się z tymi decyzjami i zgłaszam uwagi. </w:t>
            </w:r>
          </w:p>
        </w:tc>
        <w:tc>
          <w:tcPr>
            <w:tcW w:w="1918" w:type="dxa"/>
            <w:shd w:val="clear" w:color="auto" w:fill="auto"/>
            <w:hideMark/>
          </w:tcPr>
          <w:p w14:paraId="4D9E8B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5664A7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E8B4B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w:t>
            </w:r>
          </w:p>
        </w:tc>
      </w:tr>
      <w:tr w:rsidR="0085319C" w:rsidRPr="005E78BB" w14:paraId="72327E85" w14:textId="77777777" w:rsidTr="00E92AE6">
        <w:trPr>
          <w:trHeight w:val="454"/>
        </w:trPr>
        <w:tc>
          <w:tcPr>
            <w:tcW w:w="562" w:type="dxa"/>
            <w:shd w:val="clear" w:color="auto" w:fill="auto"/>
            <w:hideMark/>
          </w:tcPr>
          <w:p w14:paraId="25E7105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209</w:t>
            </w:r>
          </w:p>
        </w:tc>
        <w:tc>
          <w:tcPr>
            <w:tcW w:w="1021" w:type="dxa"/>
          </w:tcPr>
          <w:p w14:paraId="0D806701" w14:textId="68F8594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CEZ Skawina S.A.</w:t>
            </w:r>
          </w:p>
        </w:tc>
        <w:tc>
          <w:tcPr>
            <w:tcW w:w="1630" w:type="dxa"/>
            <w:shd w:val="clear" w:color="auto" w:fill="auto"/>
            <w:hideMark/>
          </w:tcPr>
          <w:p w14:paraId="40E9ED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95A9A68" w14:textId="643FEC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RDW w art. 4 ust. 4-9 dopuszcza warunki, dla zastosowania odstępstwa od osiągnięcia celów środowiskowych dla JCW, w kontekście jakościowym i ilościowym. W szczególności, odstępstwo ustanawiane w trybie art. 4 ust. 5 RDW oraz art. 63 ustawy Prawa wodnego, polega na ustaleniu złagodzonych celów środowiskowych. Jego zastosowanie jest dopuszczalne dla tych JCW, w których warunki naturalne lub działalność człowieka sprawiają, że:</w:t>
            </w:r>
            <w:r w:rsidRPr="005E78BB">
              <w:rPr>
                <w:rFonts w:ascii="Calibri" w:eastAsia="Times New Roman" w:hAnsi="Calibri" w:cs="Calibri"/>
                <w:color w:val="000000"/>
                <w:sz w:val="18"/>
                <w:szCs w:val="18"/>
                <w:lang w:eastAsia="pl-PL"/>
              </w:rPr>
              <w:br/>
              <w:t xml:space="preserve">1. osiągnięcie dobrego stanu wód jest niewykonalne lub/i </w:t>
            </w:r>
            <w:r w:rsidRPr="005E78BB">
              <w:rPr>
                <w:rFonts w:ascii="Calibri" w:eastAsia="Times New Roman" w:hAnsi="Calibri" w:cs="Calibri"/>
                <w:color w:val="000000"/>
                <w:sz w:val="18"/>
                <w:szCs w:val="18"/>
                <w:lang w:eastAsia="pl-PL"/>
              </w:rPr>
              <w:br/>
              <w:t xml:space="preserve">2. nie istnieje wykonalna technicznie alternatywa dla presji powodowanej działalnością człowieka, lub istnieje - ale jej wdrożenie rodziłoby nieproporcjonalnie wysokie koszty w stosunku do spodziewanych korzyści i jednocześnie byłyby spełnione przesłanki wskazane   w ww. przepisach. </w:t>
            </w:r>
            <w:r w:rsidRPr="005E78BB">
              <w:rPr>
                <w:rFonts w:ascii="Calibri" w:eastAsia="Times New Roman" w:hAnsi="Calibri" w:cs="Calibri"/>
                <w:color w:val="000000"/>
                <w:sz w:val="18"/>
                <w:szCs w:val="18"/>
                <w:lang w:eastAsia="pl-PL"/>
              </w:rPr>
              <w:br/>
              <w:t>Powyższe uwarunkowania są zbieżne z kwestiami możliwości technicznych i uwarunkowań gospodarczych w odniesieniu do rzeki Skawinka od Głogoczówki  do ujścia,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Nr RW2000092135699), celem ustalenia mniej rygorystycznych celów środowiskowych.</w:t>
            </w:r>
            <w:r w:rsidRPr="005E78BB">
              <w:rPr>
                <w:rFonts w:ascii="Calibri" w:eastAsia="Times New Roman" w:hAnsi="Calibri" w:cs="Calibri"/>
                <w:color w:val="000000"/>
                <w:sz w:val="18"/>
                <w:szCs w:val="18"/>
                <w:lang w:eastAsia="pl-PL"/>
              </w:rPr>
              <w:br/>
              <w:t xml:space="preserve">W aPGW (2016r.) dla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ustalone zostało odstępstwo wynikające z braku możliwości technicznych osiągnięcia celu środowiskowego. W uzasadnieniu odstępstwa wskazano: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występuje presja przemysłowa. W programie działań zaplanowano działanie obejmujące przegląd pozwoleń wodnoprawnych na wprowadzanie ścieków do wód lub do ziemi przez użytkowników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uwagi na zagrożenie osiągnięcia celów środowiskowych, zgodnie z art. 136 ust. 3 ustawy – Prawo wodne, mające na celu szczegółowe rozpoznanie i w rezultacie ograniczenie tej presji tak, aby możliwe było osiągnięcie wskaźników zgodnych z wartościami dobrego stanu. Z uwagi jednak na czas niezbędny dla wdrożenia działań, a także okres niezbędny aby wdrożone działania przyniosły wymierne efekty, dobry stan będzie mógł być osiągnięty do roku 2027”.</w:t>
            </w:r>
          </w:p>
        </w:tc>
        <w:tc>
          <w:tcPr>
            <w:tcW w:w="3377" w:type="dxa"/>
            <w:shd w:val="clear" w:color="auto" w:fill="auto"/>
            <w:hideMark/>
          </w:tcPr>
          <w:p w14:paraId="53E26F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8 - kolumna 55 - Inwestycja z zakresu energetyki. Inwestycja spełnia potrzebę nadrzędnego interesu społecznego, a cele środowiskowe nie mogą być osiągnięte za pomocą innych działań z uwagi na nieproporcjonalne koszty.</w:t>
            </w:r>
          </w:p>
        </w:tc>
        <w:tc>
          <w:tcPr>
            <w:tcW w:w="3401" w:type="dxa"/>
            <w:shd w:val="clear" w:color="auto" w:fill="auto"/>
            <w:hideMark/>
          </w:tcPr>
          <w:p w14:paraId="30E729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8 - kolumna 56 - uzasadnieniem odstępstwa jest brak korzystniejszych alternatywnych opcji wynikających z dopełnienia obowiązujących wymagań prawnych w zakresie gospodarowania wodą. Eksploatacja elektrowni stanowi nadrzędny interes publiczny o charakterze społecznym i gospodarczym. Jej działalność odbywa się z pożytkiem dla całego społeczeństwa. Inwestycja spełnia konstytucyjną zasadę zrównoważonego rozwoju. Elektrownia wytwarza energie elektryczną i ciepło w wysokosprawnej kogeneracji co stanowi najbardziej efektowny sposób wytwarzania energii elektrycznej i ciepła. Pozwala to na zaoszczędzenie ok. 25-30% paliw oraz ograniczenie emisji zanieczyszczeń. Potencjał wytwórczy elektrowni zapewnia stabilność sieci elektroenergetycznych i obrotu energią elektryczną oraz znacząco wpływa na bezpieczeństwo krajowego systemu elektroenergetycznego. Poza produkcją energii elektrycznej i ciepła, elektrownia jest dostawcą pary technologicznej dla lokalnych przedsiębiorstw. Kontynuowanie prowadzenia działalności w tym zakresie w przedmiotowej lokalizacji spełnia potrzebę nadrzędnego interesu społecznego, a cele środowiskowe nie mogą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 xml:space="preserve">Zmiana systemu chłodzenia z „otwartego” (zrzut wody pochłodniczej do cieku wodnego) na „zamknięty” przyczyniłaby się do wzrostu kosztów wytwarzanie energii elektrycznej, wzrosłaby również emisja zanieczyszczeń, ok.: 28,5 tys. Mg CO2/rok, 110 Mg SO2/rok, 57 Mg NOX/rok i w odniesieniu do pyłu całkowitego o ok. 4 Mg/rok. Brak jest bowiem alternatywnych źródeł zaspokojenia potrzeb w wodę, o charakterze technicznym, i niepowodującej nieproporcjonalnych kosztów. </w:t>
            </w:r>
            <w:r w:rsidRPr="005E78BB">
              <w:rPr>
                <w:rFonts w:ascii="Calibri" w:eastAsia="Times New Roman" w:hAnsi="Calibri" w:cs="Calibri"/>
                <w:color w:val="000000"/>
                <w:sz w:val="18"/>
                <w:szCs w:val="18"/>
                <w:lang w:eastAsia="pl-PL"/>
              </w:rPr>
              <w:br/>
              <w:t xml:space="preserve">Dodatkowym negatywnym efektem zmiany </w:t>
            </w:r>
            <w:r w:rsidRPr="005E78BB">
              <w:rPr>
                <w:rFonts w:ascii="Calibri" w:eastAsia="Times New Roman" w:hAnsi="Calibri" w:cs="Calibri"/>
                <w:color w:val="000000"/>
                <w:sz w:val="18"/>
                <w:szCs w:val="18"/>
                <w:lang w:eastAsia="pl-PL"/>
              </w:rPr>
              <w:lastRenderedPageBreak/>
              <w:t>istniejącego układu chłodzenia byłby brak możliwości wykorzystania istniejącej elektrowni wodnej MEW Skawina, wytwarzającej czystą energię elektryczną w ilości ok. 4,5 GWh/rok.</w:t>
            </w:r>
            <w:r w:rsidRPr="005E78BB">
              <w:rPr>
                <w:rFonts w:ascii="Calibri" w:eastAsia="Times New Roman" w:hAnsi="Calibri" w:cs="Calibri"/>
                <w:color w:val="000000"/>
                <w:sz w:val="18"/>
                <w:szCs w:val="18"/>
                <w:lang w:eastAsia="pl-PL"/>
              </w:rPr>
              <w:br/>
              <w:t>Stosowanie odstępstwa nie wyklucza i nie przeszkadza w osiągnięciu celów RDW w innych częściach wód w tym samym obszarze dorzecza.</w:t>
            </w:r>
          </w:p>
        </w:tc>
        <w:tc>
          <w:tcPr>
            <w:tcW w:w="1918" w:type="dxa"/>
            <w:shd w:val="clear" w:color="auto" w:fill="auto"/>
            <w:hideMark/>
          </w:tcPr>
          <w:p w14:paraId="2F42C3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2F4192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18BFB40" w14:textId="58A163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Dla wskazanej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projekcie 2aPGW przypisano odstępstwa, w tym odstępstwo w trybie art. 4 ust. 5 Ramowej Dyrektywy Wodnej, tj. złagodzenie celów środowiskowych ze względu na istniejące presje (determinujące zły stan wód), wskazując na ich funkcje społeczne-gospodarcze.</w:t>
            </w:r>
          </w:p>
        </w:tc>
      </w:tr>
      <w:tr w:rsidR="0085319C" w:rsidRPr="005E78BB" w14:paraId="4E0B4362" w14:textId="77777777" w:rsidTr="00E92AE6">
        <w:trPr>
          <w:trHeight w:val="454"/>
        </w:trPr>
        <w:tc>
          <w:tcPr>
            <w:tcW w:w="562" w:type="dxa"/>
            <w:shd w:val="clear" w:color="auto" w:fill="auto"/>
            <w:hideMark/>
          </w:tcPr>
          <w:p w14:paraId="162C9DF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210</w:t>
            </w:r>
          </w:p>
        </w:tc>
        <w:tc>
          <w:tcPr>
            <w:tcW w:w="1021" w:type="dxa"/>
          </w:tcPr>
          <w:p w14:paraId="194DD6B9" w14:textId="1A8725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Małgorzata i Andrzej Buława </w:t>
            </w:r>
          </w:p>
        </w:tc>
        <w:tc>
          <w:tcPr>
            <w:tcW w:w="1630" w:type="dxa"/>
            <w:shd w:val="clear" w:color="auto" w:fill="auto"/>
            <w:hideMark/>
          </w:tcPr>
          <w:p w14:paraId="615FA5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D5510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na których mieszkamy od pokoleń uznane zostały jako tereny zalewowe. Nie zgadzamy się z tym i stanowczo protestujemy ponieważ ogranicza to możliwość rozbudowy mojego gospodarstwa nie daje szans na przekazanie działek naszym następcom, blokuje możliwość rozwoju i egzystencji na tym terenie. Nasz protest dotyczy działek o numerach: 121, 127, 50/1, 60, 139, 175, 187. W Niekurzu gmina Osiek! Wnosimy o zniesie z naszych działek stref zalewowych.  </w:t>
            </w:r>
          </w:p>
        </w:tc>
        <w:tc>
          <w:tcPr>
            <w:tcW w:w="3377" w:type="dxa"/>
            <w:shd w:val="clear" w:color="auto" w:fill="auto"/>
            <w:hideMark/>
          </w:tcPr>
          <w:p w14:paraId="336037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Proponujemy zadbać o pogłębienie i regulację rzeki Wisły, podwyższenie i wzmocnienie wałów i zwiększenie przepustowości pod mostem kolejowym w Matiasowie!</w:t>
            </w:r>
          </w:p>
        </w:tc>
        <w:tc>
          <w:tcPr>
            <w:tcW w:w="3401" w:type="dxa"/>
            <w:shd w:val="clear" w:color="auto" w:fill="auto"/>
            <w:hideMark/>
          </w:tcPr>
          <w:p w14:paraId="0D3BA4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Wprowadzone przepisy blokują możliwość budowy, przebudowy remontu na naszych działkach bezprawnie obniżają wartość naszych własności doprowadzą do wyludnienia terenów, które od lat zamieszkujemy. </w:t>
            </w:r>
          </w:p>
        </w:tc>
        <w:tc>
          <w:tcPr>
            <w:tcW w:w="1918" w:type="dxa"/>
            <w:shd w:val="clear" w:color="auto" w:fill="auto"/>
            <w:hideMark/>
          </w:tcPr>
          <w:p w14:paraId="44140A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4FDD4D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7E959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49D75F21" w14:textId="77777777" w:rsidTr="00E92AE6">
        <w:trPr>
          <w:trHeight w:val="454"/>
        </w:trPr>
        <w:tc>
          <w:tcPr>
            <w:tcW w:w="562" w:type="dxa"/>
            <w:shd w:val="clear" w:color="auto" w:fill="auto"/>
            <w:hideMark/>
          </w:tcPr>
          <w:p w14:paraId="2124EED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211</w:t>
            </w:r>
          </w:p>
        </w:tc>
        <w:tc>
          <w:tcPr>
            <w:tcW w:w="1021" w:type="dxa"/>
          </w:tcPr>
          <w:p w14:paraId="7B1E2908" w14:textId="4DA95A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Mirzec Mirzec</w:t>
            </w:r>
          </w:p>
        </w:tc>
        <w:tc>
          <w:tcPr>
            <w:tcW w:w="1630" w:type="dxa"/>
            <w:shd w:val="clear" w:color="auto" w:fill="auto"/>
            <w:hideMark/>
          </w:tcPr>
          <w:p w14:paraId="739A9D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0D9D0C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do planowanych zadań inwestycyjnych  budowy zbiornika retencyjnego.</w:t>
            </w:r>
          </w:p>
        </w:tc>
        <w:tc>
          <w:tcPr>
            <w:tcW w:w="3377" w:type="dxa"/>
            <w:shd w:val="clear" w:color="auto" w:fill="auto"/>
            <w:hideMark/>
          </w:tcPr>
          <w:p w14:paraId="5CFE88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podjętą uchwałą Rady Gminy Mirzec o możliwości budowy zbiornika, która miałaby na celu przeciwdziałanie i ograniczanie skutków suszy na terenie gminy Mirzec oraz w jej rejonie, jak również zintegrowanej ochronie zasobów wodnych i gospodarowaniu wodami na obszarze zlewni rzeki Iłżanki w regionie wodnym Środkowej Wisły.</w:t>
            </w:r>
          </w:p>
        </w:tc>
        <w:tc>
          <w:tcPr>
            <w:tcW w:w="3401" w:type="dxa"/>
            <w:shd w:val="clear" w:color="auto" w:fill="auto"/>
            <w:hideMark/>
          </w:tcPr>
          <w:p w14:paraId="2BD2E7A8" w14:textId="2751E6E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adaptacja do zmian klimatu</w:t>
            </w:r>
            <w:r w:rsidRPr="005E78BB">
              <w:rPr>
                <w:rFonts w:ascii="Calibri" w:eastAsia="Times New Roman" w:hAnsi="Calibri" w:cs="Calibri"/>
                <w:color w:val="000000"/>
                <w:sz w:val="18"/>
                <w:szCs w:val="18"/>
                <w:lang w:eastAsia="pl-PL"/>
              </w:rPr>
              <w:br w:type="page"/>
              <w:t xml:space="preserve">• kształtowanie stosunków wodnych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poprawa warunków dla obszarów chronionych,</w:t>
            </w:r>
            <w:r w:rsidRPr="005E78BB">
              <w:rPr>
                <w:rFonts w:ascii="Calibri" w:eastAsia="Times New Roman" w:hAnsi="Calibri" w:cs="Calibri"/>
                <w:color w:val="000000"/>
                <w:sz w:val="18"/>
                <w:szCs w:val="18"/>
                <w:lang w:eastAsia="pl-PL"/>
              </w:rPr>
              <w:br w:type="page"/>
              <w:t>• poprawa warunków hydromorfologicznych rzek i potoków</w:t>
            </w:r>
            <w:r w:rsidRPr="005E78BB">
              <w:rPr>
                <w:rFonts w:ascii="Calibri" w:eastAsia="Times New Roman" w:hAnsi="Calibri" w:cs="Calibri"/>
                <w:color w:val="000000"/>
                <w:sz w:val="18"/>
                <w:szCs w:val="18"/>
                <w:lang w:eastAsia="pl-PL"/>
              </w:rPr>
              <w:br w:type="page"/>
              <w:t>• ograniczenie zanieczyszczeń rozproszonych z rolnictwa</w:t>
            </w:r>
          </w:p>
        </w:tc>
        <w:tc>
          <w:tcPr>
            <w:tcW w:w="1918" w:type="dxa"/>
            <w:shd w:val="clear" w:color="auto" w:fill="auto"/>
            <w:hideMark/>
          </w:tcPr>
          <w:p w14:paraId="550DE0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211_GminaMirzec_Wisła</w:t>
            </w:r>
          </w:p>
        </w:tc>
        <w:tc>
          <w:tcPr>
            <w:tcW w:w="1276" w:type="dxa"/>
            <w:shd w:val="clear" w:color="auto" w:fill="auto"/>
            <w:hideMark/>
          </w:tcPr>
          <w:p w14:paraId="107B26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909C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jest wykazem planowanych inwestycji, lecz jest to dokument o funkcji sprawozdawczej. Pokazuje on wyłącznie takie działania i inwestycje, które uniemożliwią osiągnięcie celów środowiskowych, ale wobec nich stwierdzono (w aPGW z 2016 r., w ocenie wodnoprawnej lub w decyzji o środowiskowych uwarunkowaniach) dopuszczalność ich realizacji ze względu na spełnienie przesłanek wskazanych w art. 4 ust. 7 Ramowej Dyrektywy Wodnej (w art. 68 ustawy Prawo wodne).</w:t>
            </w:r>
          </w:p>
        </w:tc>
      </w:tr>
      <w:tr w:rsidR="0085319C" w:rsidRPr="005E78BB" w14:paraId="34F0B39A" w14:textId="77777777" w:rsidTr="00E92AE6">
        <w:trPr>
          <w:trHeight w:val="454"/>
        </w:trPr>
        <w:tc>
          <w:tcPr>
            <w:tcW w:w="562" w:type="dxa"/>
            <w:shd w:val="clear" w:color="auto" w:fill="auto"/>
            <w:hideMark/>
          </w:tcPr>
          <w:p w14:paraId="66695D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212</w:t>
            </w:r>
          </w:p>
        </w:tc>
        <w:tc>
          <w:tcPr>
            <w:tcW w:w="1021" w:type="dxa"/>
          </w:tcPr>
          <w:p w14:paraId="103A81DF" w14:textId="74F7561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Krzysztof Taras</w:t>
            </w:r>
          </w:p>
        </w:tc>
        <w:tc>
          <w:tcPr>
            <w:tcW w:w="1630" w:type="dxa"/>
            <w:shd w:val="clear" w:color="auto" w:fill="auto"/>
            <w:hideMark/>
          </w:tcPr>
          <w:p w14:paraId="033E34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4622D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W-GZW-1393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Tereny które  zamieszkuje zostały uznane za tereny zalewowe. Jestem przeciwny tej decyzji ponieważ jest to niekorzystne dla gospodarstwa w którym zamieszkują Szwagron. </w:t>
            </w:r>
          </w:p>
        </w:tc>
        <w:tc>
          <w:tcPr>
            <w:tcW w:w="3377" w:type="dxa"/>
            <w:shd w:val="clear" w:color="auto" w:fill="auto"/>
            <w:hideMark/>
          </w:tcPr>
          <w:p w14:paraId="456B0B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69AD4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Gospodarstwo straci na wartości. Działki też. Nie zgadzam się z tymi decyzjami. Zgłaszam uwagi.  </w:t>
            </w:r>
          </w:p>
        </w:tc>
        <w:tc>
          <w:tcPr>
            <w:tcW w:w="1918" w:type="dxa"/>
            <w:shd w:val="clear" w:color="auto" w:fill="auto"/>
            <w:hideMark/>
          </w:tcPr>
          <w:p w14:paraId="6CC405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OsFiz_UG_Osiek_Wisła</w:t>
            </w:r>
          </w:p>
        </w:tc>
        <w:tc>
          <w:tcPr>
            <w:tcW w:w="1276" w:type="dxa"/>
            <w:shd w:val="clear" w:color="auto" w:fill="auto"/>
            <w:hideMark/>
          </w:tcPr>
          <w:p w14:paraId="37100E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E08DC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IIaPGW nie ustala stref zalewowych. Zagadnienia zagrożenia i ryzyka powodziowego stanowią element Planów zarządzania ryzykiem powodziowym i ich aktualizacji.</w:t>
            </w:r>
          </w:p>
        </w:tc>
      </w:tr>
      <w:tr w:rsidR="0085319C" w:rsidRPr="005E78BB" w14:paraId="1270B290" w14:textId="77777777" w:rsidTr="00E92AE6">
        <w:trPr>
          <w:trHeight w:val="454"/>
        </w:trPr>
        <w:tc>
          <w:tcPr>
            <w:tcW w:w="562" w:type="dxa"/>
            <w:shd w:val="clear" w:color="auto" w:fill="auto"/>
            <w:hideMark/>
          </w:tcPr>
          <w:p w14:paraId="1126F2F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213</w:t>
            </w:r>
          </w:p>
        </w:tc>
        <w:tc>
          <w:tcPr>
            <w:tcW w:w="1021" w:type="dxa"/>
          </w:tcPr>
          <w:p w14:paraId="022494B7" w14:textId="4FAE5C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88036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STRUKTURA DOKUMENTU</w:t>
            </w:r>
          </w:p>
        </w:tc>
        <w:tc>
          <w:tcPr>
            <w:tcW w:w="5663" w:type="dxa"/>
            <w:shd w:val="clear" w:color="auto" w:fill="auto"/>
            <w:hideMark/>
          </w:tcPr>
          <w:p w14:paraId="79B086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uciążliwym interfejsem, uwagi do IIaPGW załączamy w formacie PDF. Są one zgodne z układem zaproponowanym w ankiecie on-line.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,,Część projektu planu, do którego zgłaszana jest uwaga": jest to UWAGA OGÓLNA</w:t>
            </w:r>
          </w:p>
        </w:tc>
        <w:tc>
          <w:tcPr>
            <w:tcW w:w="3377" w:type="dxa"/>
            <w:shd w:val="clear" w:color="auto" w:fill="auto"/>
            <w:hideMark/>
          </w:tcPr>
          <w:p w14:paraId="042AD4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A37E9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E021C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213_EKO-UNIA_Wisła</w:t>
            </w:r>
          </w:p>
        </w:tc>
        <w:tc>
          <w:tcPr>
            <w:tcW w:w="1276" w:type="dxa"/>
            <w:shd w:val="clear" w:color="auto" w:fill="auto"/>
            <w:hideMark/>
          </w:tcPr>
          <w:p w14:paraId="41FA7C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191D3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Odniesienie do zgłoszonych w formie załącznika uwag przedtawione zostało dla każdej uwagi odrębnie w niniejszym zestawieniu.</w:t>
            </w:r>
          </w:p>
        </w:tc>
      </w:tr>
      <w:tr w:rsidR="0085319C" w:rsidRPr="005E78BB" w14:paraId="63FA29B3" w14:textId="77777777" w:rsidTr="00E92AE6">
        <w:trPr>
          <w:trHeight w:val="454"/>
        </w:trPr>
        <w:tc>
          <w:tcPr>
            <w:tcW w:w="562" w:type="dxa"/>
            <w:shd w:val="clear" w:color="auto" w:fill="auto"/>
            <w:hideMark/>
          </w:tcPr>
          <w:p w14:paraId="087F077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214</w:t>
            </w:r>
          </w:p>
        </w:tc>
        <w:tc>
          <w:tcPr>
            <w:tcW w:w="1021" w:type="dxa"/>
          </w:tcPr>
          <w:p w14:paraId="0894A89B" w14:textId="6F2D603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hideMark/>
          </w:tcPr>
          <w:p w14:paraId="0F3610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8324F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Wprowadzenie otwartego publicznie narzędzia-portalu mapowego z informacjami o aktualnych przegrodach, budowlach na rzekach z możliwością zgłaszania sugestii, potrzeb</w:t>
            </w:r>
            <w:r w:rsidRPr="005E78BB">
              <w:rPr>
                <w:rFonts w:ascii="Calibri" w:eastAsia="Times New Roman" w:hAnsi="Calibri" w:cs="Calibri"/>
                <w:color w:val="000000"/>
                <w:sz w:val="18"/>
                <w:szCs w:val="18"/>
                <w:lang w:eastAsia="pl-PL"/>
              </w:rPr>
              <w:br/>
              <w:t>w kwestii Renaturyzacj, obserwacji odnośnie migracji/działania urządzeń do migracji ryb a także zgłaszania nowych budowli które nie są jeszcze zewidencjonowane.</w:t>
            </w:r>
          </w:p>
        </w:tc>
        <w:tc>
          <w:tcPr>
            <w:tcW w:w="3377" w:type="dxa"/>
            <w:shd w:val="clear" w:color="auto" w:fill="auto"/>
            <w:hideMark/>
          </w:tcPr>
          <w:p w14:paraId="2D131C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prawa zobowiązujące powstanie w końcu jednolitego publicznie otwartego narzędzia-portalu mapowego dotyczącego przegród i budowli na wodach z możliwością zgłaszania uwag.</w:t>
            </w:r>
          </w:p>
        </w:tc>
        <w:tc>
          <w:tcPr>
            <w:tcW w:w="3401" w:type="dxa"/>
            <w:shd w:val="clear" w:color="auto" w:fill="auto"/>
            <w:hideMark/>
          </w:tcPr>
          <w:p w14:paraId="512FAC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Obecnie patrząc na Hydroportal, informacje z bazy Hymo, czy nawet Google Maps, i będąc bezpośrednio przy budowli można jednoznacznie stwierdzić że nie wszystkie dane są spójne, zgodne i aktualne ze stanem faktycznym.</w:t>
            </w:r>
            <w:r w:rsidRPr="005E78BB">
              <w:rPr>
                <w:rFonts w:ascii="Calibri" w:eastAsia="Times New Roman" w:hAnsi="Calibri" w:cs="Calibri"/>
                <w:color w:val="000000"/>
                <w:sz w:val="18"/>
                <w:szCs w:val="18"/>
                <w:lang w:eastAsia="pl-PL"/>
              </w:rPr>
              <w:br/>
              <w:t xml:space="preserve">Podczas ankietyzacji używano portalu mapowego co cieszyło się bardzo dużym pozytywnym oddzewem i zaangażowaniem ze strony organizacji a zwłaszcza wędkarzy którzy są nad wodą najczęściej i w sumie </w:t>
            </w:r>
            <w:r w:rsidRPr="005E78BB">
              <w:rPr>
                <w:rFonts w:ascii="Calibri" w:eastAsia="Times New Roman" w:hAnsi="Calibri" w:cs="Calibri"/>
                <w:color w:val="000000"/>
                <w:sz w:val="18"/>
                <w:szCs w:val="18"/>
                <w:lang w:eastAsia="pl-PL"/>
              </w:rPr>
              <w:lastRenderedPageBreak/>
              <w:t>znają ją najlepiej.</w:t>
            </w:r>
            <w:r w:rsidRPr="005E78BB">
              <w:rPr>
                <w:rFonts w:ascii="Calibri" w:eastAsia="Times New Roman" w:hAnsi="Calibri" w:cs="Calibri"/>
                <w:color w:val="000000"/>
                <w:sz w:val="18"/>
                <w:szCs w:val="18"/>
                <w:lang w:eastAsia="pl-PL"/>
              </w:rPr>
              <w:br/>
              <w:t>Niestety czas na aktualizacje budowli na portalu mapowym nie był wystarczający żeby zaktualizować wszystkie budowle, co więcej dużo budowli nie zostało nigdzie ujętych później w wykazie budowli dla IIaPGW a informacja o istnieniu takich budowli może być już stracona lub została już stracona.</w:t>
            </w:r>
            <w:r w:rsidRPr="005E78BB">
              <w:rPr>
                <w:rFonts w:ascii="Calibri" w:eastAsia="Times New Roman" w:hAnsi="Calibri" w:cs="Calibri"/>
                <w:color w:val="000000"/>
                <w:sz w:val="18"/>
                <w:szCs w:val="18"/>
                <w:lang w:eastAsia="pl-PL"/>
              </w:rPr>
              <w:br/>
              <w:t>Bardzo dobrze było widać na mapie które obszary nie zostały dostatecznie powiadomione o takim portalu ( puste pola na mapie, pomimo widocznych przegród). To wszystko najlepiej obrazuje ile jest jeszcze przegród do skatalogowania oraz że czas na ich zgłoszenie był niewystarczający.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Patrząc pod względem posiadanej wiedzy odnośnie budowli, możliwości migracyjnych, i tym samym co najważniejsze KOORDYNACJI RENATURYZACJI/UDROŻNIENIA barier a i także wybiegając już dużo dalej do przyszłej aktualizacji PGW takie narzędzie powinno powstać jak najszybciej i jest oczywiście niezbędne.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Publiczne narzędzie pozwoli przy pomocy społeczeństwa na przeprowadzenie inwentaryzacji budowli w dość szybkim czasie i dodatkowo przy niewielkich kosztach finansowych.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portalu takim powinna być pełna i ogólnodostępna  informacja o przegrodzie-budowli ( wys. piętrzenia, rodzaj budowli, informacje o przepławkach, informacje na temat pozwolenia wodnoprawnego ( numer i daty obowiązywania ), raporty z migracji itp.)</w:t>
            </w:r>
            <w:r w:rsidRPr="005E78BB">
              <w:rPr>
                <w:rFonts w:ascii="Calibri" w:eastAsia="Times New Roman" w:hAnsi="Calibri" w:cs="Calibri"/>
                <w:color w:val="000000"/>
                <w:sz w:val="18"/>
                <w:szCs w:val="18"/>
                <w:lang w:eastAsia="pl-PL"/>
              </w:rPr>
              <w:br/>
              <w:t>Portal powinien zapewniać możliwość zgłaszania sugestii, potrzeb w kwestii Renaturyzacji, nieaktualnych danych, czy też uwag odnośnie migracji na danym obiekcie.</w:t>
            </w:r>
            <w:r w:rsidRPr="005E78BB">
              <w:rPr>
                <w:rFonts w:ascii="Calibri" w:eastAsia="Times New Roman" w:hAnsi="Calibri" w:cs="Calibri"/>
                <w:color w:val="000000"/>
                <w:sz w:val="18"/>
                <w:szCs w:val="18"/>
                <w:lang w:eastAsia="pl-PL"/>
              </w:rPr>
              <w:br/>
              <w:t>Powinna być także możliwość zgłaszania budowli które nie są jeszcze zewidencjonowane.</w:t>
            </w:r>
          </w:p>
        </w:tc>
        <w:tc>
          <w:tcPr>
            <w:tcW w:w="1918" w:type="dxa"/>
            <w:shd w:val="clear" w:color="auto" w:fill="auto"/>
            <w:hideMark/>
          </w:tcPr>
          <w:p w14:paraId="2D0BB1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34A98F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FCB0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nie dotyczy konsultacji projektów IIaPGW. Na Hydroportalu prezentowane są informacje o planowanych urządzeniach wodnych (na podstawie informacji z pozwoleń wodnoprawnych i zgłoszeń wodnoprawnych). Informacje te są aktualizowane w oparciu o zgłoszenia urządzenia wodnego przekazywane przez właścicieli urządzeń wodnych. Niemniej propozycja rozwoju systemu o możliwość zgłaszania uwagi przez obywateli, którzy </w:t>
            </w:r>
            <w:r w:rsidRPr="005E78BB">
              <w:rPr>
                <w:rFonts w:ascii="Calibri" w:eastAsia="Times New Roman" w:hAnsi="Calibri" w:cs="Calibri"/>
                <w:color w:val="000000"/>
                <w:sz w:val="18"/>
                <w:szCs w:val="18"/>
                <w:lang w:eastAsia="pl-PL"/>
              </w:rPr>
              <w:lastRenderedPageBreak/>
              <w:t>posiadają wiedzę o rzeczywistym istnieniu obiektu i jego stanie faktycznym jest zasadna i będzie rozważana w przyszłości jego realizacja.</w:t>
            </w:r>
          </w:p>
        </w:tc>
      </w:tr>
      <w:tr w:rsidR="0085319C" w:rsidRPr="005E78BB" w14:paraId="27222E11" w14:textId="77777777" w:rsidTr="00E92AE6">
        <w:trPr>
          <w:trHeight w:val="454"/>
        </w:trPr>
        <w:tc>
          <w:tcPr>
            <w:tcW w:w="562" w:type="dxa"/>
            <w:shd w:val="clear" w:color="auto" w:fill="auto"/>
            <w:hideMark/>
          </w:tcPr>
          <w:p w14:paraId="0F1EAF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215</w:t>
            </w:r>
          </w:p>
        </w:tc>
        <w:tc>
          <w:tcPr>
            <w:tcW w:w="1021" w:type="dxa"/>
          </w:tcPr>
          <w:p w14:paraId="2125F1B2" w14:textId="3AD178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17CD5C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C754508" w14:textId="0EB3C6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1_ZestawienieGlowne_Wisla_NEW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 zaproponowanym wykazie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uwzględniono cieku dotychczas zawartego w aPGW jako „Dopływ z Łosiej Wólki” kod: PLRW200023272966 faktycznie pod nazwą Kanał Ł9.</w:t>
            </w:r>
          </w:p>
        </w:tc>
        <w:tc>
          <w:tcPr>
            <w:tcW w:w="3377" w:type="dxa"/>
            <w:shd w:val="clear" w:color="auto" w:fill="auto"/>
            <w:hideMark/>
          </w:tcPr>
          <w:p w14:paraId="79E605B1" w14:textId="0B7B41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Kanał Ł9/Dopływ z Łosiej Wólki o statusie SZTUCZNY w obszarze chronionym – Kampinoski Park Narodowy</w:t>
            </w:r>
          </w:p>
        </w:tc>
        <w:tc>
          <w:tcPr>
            <w:tcW w:w="3401" w:type="dxa"/>
            <w:shd w:val="clear" w:color="auto" w:fill="auto"/>
            <w:hideMark/>
          </w:tcPr>
          <w:p w14:paraId="08754393" w14:textId="3DA3A63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Kanał Ł9 (Dopływ z Łosiej Wólki) jest istotną, oddzielną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przepływającą przez tereny chronionej przyrody w Kampinoskim Parku Narodowym oraz przez tereny wrażliwe społecznie. Wymaga on ujęcia i gospodarowania jako oddzielna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1918" w:type="dxa"/>
            <w:shd w:val="clear" w:color="auto" w:fill="auto"/>
            <w:hideMark/>
          </w:tcPr>
          <w:p w14:paraId="15AE24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54A857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22CD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61958451" w14:textId="77777777" w:rsidTr="00E92AE6">
        <w:trPr>
          <w:trHeight w:val="454"/>
        </w:trPr>
        <w:tc>
          <w:tcPr>
            <w:tcW w:w="562" w:type="dxa"/>
            <w:shd w:val="clear" w:color="auto" w:fill="auto"/>
            <w:hideMark/>
          </w:tcPr>
          <w:p w14:paraId="654E05A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216</w:t>
            </w:r>
          </w:p>
        </w:tc>
        <w:tc>
          <w:tcPr>
            <w:tcW w:w="1021" w:type="dxa"/>
          </w:tcPr>
          <w:p w14:paraId="29461087" w14:textId="10F647D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27DC3C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0D8B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1_ZestawienieGlowne_Wisla_NEW – kol. M poz. 1552-1554, 1640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Treść uwagi:</w:t>
            </w:r>
            <w:r w:rsidRPr="005E78BB">
              <w:rPr>
                <w:rFonts w:ascii="Calibri" w:eastAsia="Times New Roman" w:hAnsi="Calibri" w:cs="Calibri"/>
                <w:color w:val="000000"/>
                <w:sz w:val="18"/>
                <w:szCs w:val="18"/>
                <w:lang w:eastAsia="pl-PL"/>
              </w:rPr>
              <w:br/>
              <w:t>Jednolite części wód RW200024272969 – Łasica od Kanału Zaborowskiego do ujścia, RW2000232729649 – Łasica do Kanału Zaborowskiego, RW2000232729689 – Kanał Olszowiecki, RW2000232729899 – Kanał Kromnowski mają błędnie nadany status jako NATURALNE.</w:t>
            </w:r>
          </w:p>
        </w:tc>
        <w:tc>
          <w:tcPr>
            <w:tcW w:w="3377" w:type="dxa"/>
            <w:shd w:val="clear" w:color="auto" w:fill="auto"/>
            <w:hideMark/>
          </w:tcPr>
          <w:p w14:paraId="6DA6F5DF" w14:textId="2DE78C4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statusu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SZTUCZNY.</w:t>
            </w:r>
          </w:p>
        </w:tc>
        <w:tc>
          <w:tcPr>
            <w:tcW w:w="3401" w:type="dxa"/>
            <w:shd w:val="clear" w:color="auto" w:fill="auto"/>
            <w:hideMark/>
          </w:tcPr>
          <w:p w14:paraId="39335C7B" w14:textId="43D9764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Wszystkie wyżej wymienione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sztucznie utworzone w ciągu ostatnich 200 </w:t>
            </w:r>
            <w:r w:rsidRPr="005E78BB">
              <w:rPr>
                <w:rFonts w:ascii="Calibri" w:eastAsia="Times New Roman" w:hAnsi="Calibri" w:cs="Calibri"/>
                <w:color w:val="000000"/>
                <w:sz w:val="18"/>
                <w:szCs w:val="18"/>
                <w:lang w:eastAsia="pl-PL"/>
              </w:rPr>
              <w:lastRenderedPageBreak/>
              <w:t>lat w ramach melioracji i osuszania bagien Puszczy Kampinoskiej.</w:t>
            </w:r>
          </w:p>
        </w:tc>
        <w:tc>
          <w:tcPr>
            <w:tcW w:w="1918" w:type="dxa"/>
            <w:shd w:val="clear" w:color="auto" w:fill="auto"/>
            <w:hideMark/>
          </w:tcPr>
          <w:p w14:paraId="026FA6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215-225_KampinoskiPN_Wisła</w:t>
            </w:r>
          </w:p>
        </w:tc>
        <w:tc>
          <w:tcPr>
            <w:tcW w:w="1276" w:type="dxa"/>
            <w:shd w:val="clear" w:color="auto" w:fill="auto"/>
            <w:hideMark/>
          </w:tcPr>
          <w:p w14:paraId="106221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BAEFFD" w14:textId="3FE8285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materiału źródłowego do projektów IIaPGW i zostanie rozpatrzona przy aktualizacji na kolejny cykl. W ramach szeregu </w:t>
            </w:r>
            <w:r w:rsidRPr="005E78BB">
              <w:rPr>
                <w:rFonts w:ascii="Calibri" w:eastAsia="Times New Roman" w:hAnsi="Calibri" w:cs="Calibri"/>
                <w:color w:val="000000"/>
                <w:sz w:val="18"/>
                <w:szCs w:val="18"/>
                <w:lang w:eastAsia="pl-PL"/>
              </w:rPr>
              <w:lastRenderedPageBreak/>
              <w:t xml:space="preserve">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przygotowane zostały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zakresie uzasadnienia wyznaczenia, sposobu użytkowania wód oraz zmian hydromorlogicznych z nimi związanych.</w:t>
            </w:r>
          </w:p>
        </w:tc>
      </w:tr>
      <w:tr w:rsidR="0085319C" w:rsidRPr="005E78BB" w14:paraId="77BED813" w14:textId="77777777" w:rsidTr="00E92AE6">
        <w:trPr>
          <w:trHeight w:val="454"/>
        </w:trPr>
        <w:tc>
          <w:tcPr>
            <w:tcW w:w="562" w:type="dxa"/>
            <w:shd w:val="clear" w:color="auto" w:fill="auto"/>
            <w:hideMark/>
          </w:tcPr>
          <w:p w14:paraId="4001F53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217</w:t>
            </w:r>
          </w:p>
        </w:tc>
        <w:tc>
          <w:tcPr>
            <w:tcW w:w="1021" w:type="dxa"/>
          </w:tcPr>
          <w:p w14:paraId="6EE11C16" w14:textId="532EA56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30CA1B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8CAC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2_WykazObszary_chron_SiG_Wisla; kol. N; poz. 6</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Jako cel środowiskowy dla Kampinoskiego Parku Narodowego błędnie ujęto zapis „tworzenie i utrzymanie rowów odwadniających i kanalizacji deszczowej”. Cel dotyczący rezygnacji z wykaszania roślinności należy rozwinąć dla wszelkich prac utrzymaniowych. Cel dotyczący renaturalizacji stosunków wodnych należy rozwinąć o naturalizacje kanałów.</w:t>
            </w:r>
          </w:p>
        </w:tc>
        <w:tc>
          <w:tcPr>
            <w:tcW w:w="3377" w:type="dxa"/>
            <w:shd w:val="clear" w:color="auto" w:fill="auto"/>
            <w:hideMark/>
          </w:tcPr>
          <w:p w14:paraId="33C939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 „tworzenie i utrzymanie rowów odwadniających i kanalizacji deszczowej”. Dodać zapis „Rezygnacja lub ograniczenie prowadzenia prac utrzymaniowych na kanałach, rowach i ciekach oraz na terenach przyległych.” Rozszerzyć zapis „Renaturalizacja stosunków wodnych” o zapis „w tym naturalizacja głównych cieków”.</w:t>
            </w:r>
          </w:p>
        </w:tc>
        <w:tc>
          <w:tcPr>
            <w:tcW w:w="3401" w:type="dxa"/>
            <w:shd w:val="clear" w:color="auto" w:fill="auto"/>
            <w:hideMark/>
          </w:tcPr>
          <w:p w14:paraId="49BA1B00"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Cieki w Kampinoskim Parku Narodowym zostały wykopane w celu osuszenia bagien na potrzeby rolnictwa, natomiast obecnie rolnictwo w Parku zanika i odtwarzane są mokradła dlatego bezzasadne jest tworzenie i utrzymanie rowów odwadniających i kanalizacji deszczowej oraz prowadzenie intensywnych prac utrzymaniowych. W celu odtwarzania mokradeł i renaturalizacji stosunków wodnych niezbędna jest naturalizacja sztucznie utworzonych głównych cieków w KPN.</w:t>
            </w:r>
          </w:p>
        </w:tc>
        <w:tc>
          <w:tcPr>
            <w:tcW w:w="1918" w:type="dxa"/>
            <w:shd w:val="clear" w:color="auto" w:fill="auto"/>
            <w:hideMark/>
          </w:tcPr>
          <w:p w14:paraId="03AAA0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43CBC0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AB473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zapis kolumny Wymagania dla obszaru Kampinoski Park Narodowy zgodnie z wnioskiem. Obecne brzmienie zapisu: "Ochrona całości przyrody w granicach parku. Minimalizacja lub ograniczenie zagrożeń wewnętrznych i zewnętrznych. [Wymaga: zachowanie naturalnych procesów i struktur hydrologicznych, w tym obszarów bagiennych. Renaturalizacja systemu hydrologicznego – zahamowanie zmniejszania się zasobów wodnych Parku przez spowolnienie odpływu wód i zwiększenie zdolności retencyjnych ekosystemów. Zapewnienie warunków wodnych niezbędnych dla właściwego funkcjonowania ekosystemów wodnych i lądowych zależnych od wód. Ochrona wód powierzchniowych i podziemnych przed antropopresją i zanieczyszczeniami. Zapobieganie obniżaniu poziomu wód powierzchniowych i podziemnych, zanikaniu zbiorników wodnych, eutrofizacji, postępującemu przesuszaniu terenu Parku. Renaturalizacja stosunków wodnych, w tym naturalizacja głównych cieków. Rezygnacja z prac utrzymaniowych w wybranych rowach i ciekach lub ich fragmentach oraz na terenach przyległych. W przypadku dopuszczenia zrzutu wód pościekowych z oczyszczalni ścieków do układu hydrograficznego Parku zachowanie parametrów: BZT5 (mgO2/m3) 8 i poniżej, zawiesiny (mg/l) 30 i poniżej, ChZTcr (mg/l) 70 i poniżej, azot ogólny (mg N/l) 10 i poniżej, fosfor ogólny (mg P/l) 0,25 i poniżej. Ograniczenie poboru wód podziemnych. Ochrona powierzchni chłonnych dla wód opadowych. Ochrona oczek wodnych, cieków i ich różnorodności biologicznej. Wykluczenie budowy stopni piętrzących na Wiśle, które mogą negatywnie wpływać na warunki wodne Parku.].".</w:t>
            </w:r>
          </w:p>
        </w:tc>
      </w:tr>
      <w:tr w:rsidR="0085319C" w:rsidRPr="005E78BB" w14:paraId="7C6E5B56" w14:textId="77777777" w:rsidTr="00E92AE6">
        <w:trPr>
          <w:trHeight w:val="454"/>
        </w:trPr>
        <w:tc>
          <w:tcPr>
            <w:tcW w:w="562" w:type="dxa"/>
            <w:shd w:val="clear" w:color="auto" w:fill="auto"/>
            <w:hideMark/>
          </w:tcPr>
          <w:p w14:paraId="6F7439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218</w:t>
            </w:r>
          </w:p>
        </w:tc>
        <w:tc>
          <w:tcPr>
            <w:tcW w:w="1021" w:type="dxa"/>
          </w:tcPr>
          <w:p w14:paraId="7B071DB5" w14:textId="3F8D016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6A2CAD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F5F2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2_WykazObszary_chron_SiG_Wisla; kol. S; poz. 6</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Urządzenia piętrzące (jazy) na głównym cieku w KPN są w złym stanie technicznym i nie są w stanie pełnić swojej funkcji i jako takie wymagają remontu i/lub przebudowy. Niskie sumy opadów i przedłużające się niżówki i wysychanie cieków w KPN jest zjawiskiem występującym okresowo regularnie od wielu lat.</w:t>
            </w:r>
          </w:p>
        </w:tc>
        <w:tc>
          <w:tcPr>
            <w:tcW w:w="3377" w:type="dxa"/>
            <w:shd w:val="clear" w:color="auto" w:fill="auto"/>
            <w:hideMark/>
          </w:tcPr>
          <w:p w14:paraId="4C51E6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zapisu na: „Osiągnięcie celu wodnośrodowiskowego jest uzależnione od przebudowy i remontu istniejących urządzeń piętrzących na głównym kanale melioracyjnym i jego naturalizacji. Występujące regularnie od wielu lat niskie sumy opadów i przedłużające się niżówki (wysychanie) głównych cieków parku spowodowały pogorszenie stanu siedlisk bagiennych”.</w:t>
            </w:r>
          </w:p>
        </w:tc>
        <w:tc>
          <w:tcPr>
            <w:tcW w:w="3401" w:type="dxa"/>
            <w:shd w:val="clear" w:color="auto" w:fill="auto"/>
            <w:hideMark/>
          </w:tcPr>
          <w:p w14:paraId="7D0E648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Urządzenia piętrzące na głównym cieku w KPN są w złym stanie technicznym przez co nie są w stanie piętrzyć wody. Jazy na Kanale Łasica wymagają remontów/przebudowy. Ostatnie dwa lata (2021 i 2020) były latami stosunkowo mokrymi, natomiast niskie sumy opadów i niżówki, w tym wysychanie kanałów jest zajwiskiem występującym okresowo regularnie od wielu lat.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2C32CC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33E505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40B9C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zapis kolumny Uwagi do oceny dla Kampinoskiego Parku Narodowego zgodnie z wnioskiem. Korekcie poddano informację w kolimnie "Uwagi do oceny" dla KPN oraz obszarów Natura 2000: Puszcza Kampinoska, Kampinoska Dolina Wisły. Obecne brzmienie zapisu: "Osiągnięcie celu wodnośrodowiskowego jest uzależnione od przebudowy i remontu istniejących urządzeń piętrzących na głównym kanale melioracyjnym i jego naturalizacji. Występujące regularnie od wielu lat niskie sumy opadów i przedłużające się niżówki (wysychanie) głównych cieków parku spowodowały pogorszenie stanu siedlisk bagiennych".</w:t>
            </w:r>
          </w:p>
        </w:tc>
      </w:tr>
      <w:tr w:rsidR="0085319C" w:rsidRPr="005E78BB" w14:paraId="4F2ED7FB" w14:textId="77777777" w:rsidTr="00E92AE6">
        <w:trPr>
          <w:trHeight w:val="454"/>
        </w:trPr>
        <w:tc>
          <w:tcPr>
            <w:tcW w:w="562" w:type="dxa"/>
            <w:shd w:val="clear" w:color="auto" w:fill="auto"/>
            <w:hideMark/>
          </w:tcPr>
          <w:p w14:paraId="30B2F07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219</w:t>
            </w:r>
          </w:p>
        </w:tc>
        <w:tc>
          <w:tcPr>
            <w:tcW w:w="1021" w:type="dxa"/>
          </w:tcPr>
          <w:p w14:paraId="688BBA44" w14:textId="1F7C2FE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193D31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B914C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Zał. 5.1_CeleSrodowiskowe_Wisla; kol. N; poz. 1553, 1554, 1640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Jednolite części wód RW200024272969 – Łasica od Kanału Zaborowskiego do ujścia, , RW2000232729689 – Kanał Olszowiecki, RW2000232729899 – Kanał Kromnowski we wskazaniu obszarów chronionych przeznaczonych dla ochrony siedlisk i gatunków są błędnie opisane jako NIE.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02E8C60" w14:textId="28BA73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wskazania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kol. N na TAK jako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obszarze chronionym dla ochrony siedlisk i gatunków (Kampinoski Park Narodowy).</w:t>
            </w:r>
          </w:p>
        </w:tc>
        <w:tc>
          <w:tcPr>
            <w:tcW w:w="3401" w:type="dxa"/>
            <w:shd w:val="clear" w:color="auto" w:fill="auto"/>
            <w:hideMark/>
          </w:tcPr>
          <w:p w14:paraId="44CC2C58" w14:textId="39F8E84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Wyżej wymienione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znajdują się w granicach Kampinoskiego Parku Narodowego.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7CE14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67EF4E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AE2E30" w14:textId="2103BE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Informacje na temat położenia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obszarze chronionym znajdują się w kolumnie R (Obszary chronione, O_CHRONIONE). Dla wszystkich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kolumnie R występuje wartość 1, co oznacza, że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znajduje się w zasięgu obszaru chronionego. Ponadto w kolumnie S (Obszary chronione przeznaczone dla ochrony siedlisk i gatunków, SiG) kod Inspire Kampinoskiego Parku Narodowego został wymieniony wśród innych form ochrony przyrody.</w:t>
            </w:r>
          </w:p>
        </w:tc>
      </w:tr>
      <w:tr w:rsidR="0085319C" w:rsidRPr="005E78BB" w14:paraId="3201D4A2" w14:textId="77777777" w:rsidTr="00E92AE6">
        <w:trPr>
          <w:trHeight w:val="454"/>
        </w:trPr>
        <w:tc>
          <w:tcPr>
            <w:tcW w:w="562" w:type="dxa"/>
            <w:shd w:val="clear" w:color="auto" w:fill="auto"/>
            <w:hideMark/>
          </w:tcPr>
          <w:p w14:paraId="53208B4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220</w:t>
            </w:r>
          </w:p>
        </w:tc>
        <w:tc>
          <w:tcPr>
            <w:tcW w:w="1021" w:type="dxa"/>
          </w:tcPr>
          <w:p w14:paraId="631FE55D" w14:textId="7A46761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71EE67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2029377" w14:textId="3812B2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5.1_CeleSrodowiskowe_Wisla; kol. AS i AT-AX; poz. 1552-1553, 1640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Błędny zapis dla poz. 1553 i 1640 w kol. N jako nd.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również jest wymagany ponadkorytowy charakter przepływu. Brak wpisanych dodatkowych wymagań dla poz. 1552, 1553, 1640 w kolumnach AT-AX.</w:t>
            </w:r>
          </w:p>
        </w:tc>
        <w:tc>
          <w:tcPr>
            <w:tcW w:w="3377" w:type="dxa"/>
            <w:shd w:val="clear" w:color="auto" w:fill="auto"/>
            <w:hideMark/>
          </w:tcPr>
          <w:p w14:paraId="17E038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Dodanie zapisu dla poz. 1553 i 1640 w kolumnie N „Ponadkorytowy charakter przepływu Q50 i niezredukowana antropogenicznie częstotliwość jego występowania (wylewy potrzebne dla: 91E0 w Puszcza Kampinoska PLC140001)”</w:t>
            </w:r>
            <w:r w:rsidRPr="005E78BB">
              <w:rPr>
                <w:rFonts w:ascii="Calibri" w:eastAsia="Times New Roman" w:hAnsi="Calibri" w:cs="Calibri"/>
                <w:color w:val="000000"/>
                <w:sz w:val="18"/>
                <w:szCs w:val="18"/>
                <w:lang w:eastAsia="pl-PL"/>
              </w:rPr>
              <w:br/>
              <w:t>Dodanie zapisów dla poz. 1552, 1553, 1640 w kolumnach AT-AX: „ Zachowanie namułów dennych jako siedliska piskorza 1145”; „Zachowanie roślinności wodnej jako siedliska różanki 5339”; „Unaturalnienie przebiegu i kształtu koryt głównych cieków”; „Przywrócenie przepływu roztokowego na mokradłach”.</w:t>
            </w:r>
          </w:p>
        </w:tc>
        <w:tc>
          <w:tcPr>
            <w:tcW w:w="3401" w:type="dxa"/>
            <w:shd w:val="clear" w:color="auto" w:fill="auto"/>
            <w:hideMark/>
          </w:tcPr>
          <w:p w14:paraId="0FE5C6B9" w14:textId="5FEC013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Poziomy wód i wylewy w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warunkują stan chronionych mokradeł w Kampinoskim Parku Narodowym. Ponatdo wyżej wymienione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są siedliskiem gatunków Natura 2000.</w:t>
            </w:r>
          </w:p>
        </w:tc>
        <w:tc>
          <w:tcPr>
            <w:tcW w:w="1918" w:type="dxa"/>
            <w:shd w:val="clear" w:color="auto" w:fill="auto"/>
            <w:hideMark/>
          </w:tcPr>
          <w:p w14:paraId="7D0570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54C1D7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6A8F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szeregu prac realizowanych w okresie III cyklu planistycznego przeprowadzone zostały również działania dotyczące ustalenia celów środowiskowych dla jednolitych części wód wraz z opracowaniem rejestru wykazów obszarów chronionych. W wyniku przeprowadzonych analiz określone zostały wymagania w zakresie celów środowiskowych dla obszarów chronionych. Wyniki pracy pn.: „Ustalenie celów środowiskowych dla jednolitych części wód wraz z opracowaniem rejestru wykazów obszarów chronionych”, stanowią materiał źródłowy dla IIaPGW i są udostępniane na wniosek o udostępnienie danych.</w:t>
            </w:r>
          </w:p>
        </w:tc>
      </w:tr>
      <w:tr w:rsidR="0085319C" w:rsidRPr="005E78BB" w14:paraId="5F026277" w14:textId="77777777" w:rsidTr="00E92AE6">
        <w:trPr>
          <w:trHeight w:val="454"/>
        </w:trPr>
        <w:tc>
          <w:tcPr>
            <w:tcW w:w="562" w:type="dxa"/>
            <w:shd w:val="clear" w:color="auto" w:fill="auto"/>
            <w:hideMark/>
          </w:tcPr>
          <w:p w14:paraId="0B47170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221</w:t>
            </w:r>
          </w:p>
        </w:tc>
        <w:tc>
          <w:tcPr>
            <w:tcW w:w="1021" w:type="dxa"/>
          </w:tcPr>
          <w:p w14:paraId="2AD9E664" w14:textId="7C2CA9D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25C6C0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DD36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7.3_Zestaw_Działan_RW_ODWisla; poz. 9038, 9039, 9044-9046, 90554; kol. T, X, AD, AE.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Zmiana działania z rozpoznania na działanie wdrożeniowe oraz zmiana jednostki odpowiedzialnej za realizację i sprawozdawczość.</w:t>
            </w:r>
          </w:p>
        </w:tc>
        <w:tc>
          <w:tcPr>
            <w:tcW w:w="3377" w:type="dxa"/>
            <w:shd w:val="clear" w:color="auto" w:fill="auto"/>
            <w:hideMark/>
          </w:tcPr>
          <w:p w14:paraId="45735D0B" w14:textId="7770F1A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zapisu na: „Ograniczenie prac utrzymaniowych. Prowadzenie tych prac jedynie na podstawie wskazań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KPRWP, zgodnie z PZO/PO Kampinoskiego Parku Narodowego oraz zgodnie z Katalogiem Dobrych Praktyk Prac Utrzymaniowych. Dodatkowo planowane prace utrzymaniowe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KPN należy każdorazowo uzgadniać z Dyrektorem KPN.” Podmiot odpowiedzialny za realizację i sprawozdawczość: PGW WP. Typ działania: techniczne.</w:t>
            </w:r>
          </w:p>
        </w:tc>
        <w:tc>
          <w:tcPr>
            <w:tcW w:w="3401" w:type="dxa"/>
            <w:shd w:val="clear" w:color="auto" w:fill="auto"/>
            <w:hideMark/>
          </w:tcPr>
          <w:p w14:paraId="75C557E5" w14:textId="5663BD0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Zakres oraz zasady prowadzenia prac utrzymaniowych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KPN są już rozpoznane i ujmowane w PZO/PO.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KPN zastały wskazane w KPRWP jako kluczowe dla renaturyzacji i określono dla nich zakres działań renaturyzacyjnych: U0 U1 U2 U3 U4 U5 U9 U10 U12 U13 D4 D6 D7 T1 T2 T3 T4 T5 T10 T11 T12 T14 T16.</w:t>
            </w:r>
          </w:p>
        </w:tc>
        <w:tc>
          <w:tcPr>
            <w:tcW w:w="1918" w:type="dxa"/>
            <w:shd w:val="clear" w:color="auto" w:fill="auto"/>
            <w:hideMark/>
          </w:tcPr>
          <w:p w14:paraId="2EC9D1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0F73DF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B3EB0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działaniem zawartym w katalogu krajowym IIaPGW (działania do wdrożenia we wszystkich jcw): Realizacja działań wynikających z planów ochrony i planów zadań ochronnych dla obszarów chronionych, dla których brak ustanowionego planu ochrony/planu zadań ochronnych na dzień sporządzenia IIaPGW, ale zostaną ustanowione w czasie jego obowiązywania. Plan ochrony/ plan zadań ochronnych w odniesieniu do działań związanych z utrzymaniem lub poprawą stanu wód jest integralną częścią planu gospodarowania wodami na obszarze dorzecza na lata 2022 - 2027, wynika, że wszystkie działania które zostaną wpisne do PO/PZO staną się </w:t>
            </w:r>
            <w:r w:rsidRPr="005E78BB">
              <w:rPr>
                <w:rFonts w:ascii="Calibri" w:eastAsia="Times New Roman" w:hAnsi="Calibri" w:cs="Calibri"/>
                <w:color w:val="000000"/>
                <w:sz w:val="18"/>
                <w:szCs w:val="18"/>
                <w:lang w:eastAsia="pl-PL"/>
              </w:rPr>
              <w:lastRenderedPageBreak/>
              <w:t>automatycznie częścią planów gospodarowania wodami. Wskazywane w uwadze działanie należy uwzgędnić w PZO/PO bądź zadaniach ochronnych. Uszczegółowono zapis zgodnie z uwagą dla wskanego działania w katalogu krajowym na: Realizacja działań wynikających z planów ochrony, planów zadań ochronnych lub zadań ochronnych dla obszarów chronionych, dla których brak ustanowionego planu ochrony/planu zadań ochronnych na dzień sporządzenia IIaPGW, ale zostaną ustanowione w czasie jego obowiązywania. Plan ochrony/ plan zadań ochronnych w odniesieniu do działań związanych z utrzymaniem lub poprawą stanu wód jest integralną częścią planu gospodarowania wodami na obszarze dorzecza na lata 2022 - 2027. Prace utrzymaniowe będą realizowane zgodnie z działaniem w katalogu krajowym 2apgw: Prowadzenie prac utrzymaniowych zgodnie z Katalogiem dobrych praktyk prac utrzymaniowych i robót hydrotechnicznych.</w:t>
            </w:r>
          </w:p>
        </w:tc>
      </w:tr>
      <w:tr w:rsidR="0085319C" w:rsidRPr="005E78BB" w14:paraId="46FB608A" w14:textId="77777777" w:rsidTr="00E92AE6">
        <w:trPr>
          <w:trHeight w:val="454"/>
        </w:trPr>
        <w:tc>
          <w:tcPr>
            <w:tcW w:w="562" w:type="dxa"/>
            <w:shd w:val="clear" w:color="auto" w:fill="auto"/>
            <w:hideMark/>
          </w:tcPr>
          <w:p w14:paraId="7988639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222</w:t>
            </w:r>
          </w:p>
        </w:tc>
        <w:tc>
          <w:tcPr>
            <w:tcW w:w="1021" w:type="dxa"/>
          </w:tcPr>
          <w:p w14:paraId="3139D56D" w14:textId="587C8F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3B94A3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049A0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7.3_Zestaw_Działan_RW_ODWisla; poz. 9037, 9553; kol. T, U, X, AD, AE.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Zmiana działania z rozpoznania na działanie wdrożeniowe, zmiana liczby budowli oraz zmiana jednostki odpowiedzialnej za realizację i sprawozdawczość</w:t>
            </w:r>
          </w:p>
        </w:tc>
        <w:tc>
          <w:tcPr>
            <w:tcW w:w="3377" w:type="dxa"/>
            <w:shd w:val="clear" w:color="auto" w:fill="auto"/>
            <w:hideMark/>
          </w:tcPr>
          <w:p w14:paraId="33A81368" w14:textId="3C7EA6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zapisu na: „Zachowanie okresowej drożności w zależności od warunków hydrologicznych.” Podmiot odpowiedzialny za realizację i sprawozdawczość: PGW WP. Liczba budowli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RW200024272969 – Łasica od Kanału Zaborowskiego do ujścia: 5,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RW2000232729649 – Łasica do Kanału Zaborowskiego: 3. Typ działania: techniczne.</w:t>
            </w:r>
          </w:p>
        </w:tc>
        <w:tc>
          <w:tcPr>
            <w:tcW w:w="3401" w:type="dxa"/>
            <w:shd w:val="clear" w:color="auto" w:fill="auto"/>
            <w:hideMark/>
          </w:tcPr>
          <w:p w14:paraId="51FD3EB8" w14:textId="2B33E60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Zasadność zachowania drożności cieków w KPN jest rozpoznana. W propozycji zmian wskazano faktyczną liczbę budowli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1918" w:type="dxa"/>
            <w:shd w:val="clear" w:color="auto" w:fill="auto"/>
            <w:hideMark/>
          </w:tcPr>
          <w:p w14:paraId="7B5BEC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1093FF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8C1342D" w14:textId="526A0C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Uzupełniono działania techniczne RWHM_02.01 Analiza możliwości przebudowy budowli piętrzących w zakresie zapewniającym ciągłość biologiczną i spełnienie celów środowiskowych z uwzględnieniem wykazu budowli przedstawionym w Zał. 1 Wykaz działań dla budowli. Realizacja działań zgodnie z przeprowadzoną analizą dla wskazanych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43CC888" w14:textId="77777777" w:rsidTr="00E92AE6">
        <w:trPr>
          <w:trHeight w:val="454"/>
        </w:trPr>
        <w:tc>
          <w:tcPr>
            <w:tcW w:w="562" w:type="dxa"/>
            <w:shd w:val="clear" w:color="auto" w:fill="auto"/>
            <w:hideMark/>
          </w:tcPr>
          <w:p w14:paraId="34B35ED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223</w:t>
            </w:r>
          </w:p>
        </w:tc>
        <w:tc>
          <w:tcPr>
            <w:tcW w:w="1021" w:type="dxa"/>
          </w:tcPr>
          <w:p w14:paraId="0D74C933" w14:textId="3D9AC93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0CAC8D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2C592BA" w14:textId="29E63E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7.3_Zestaw_Działan_RW_ODWisla.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Dodanie zapisu dotyczącego działań zaplanowanych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RW200024272969 – Łasica od Kanału Zaborowskiego do ujścia i RW2000232729649 – Łasica do Kanału Zaborowskiego w ramach projektu LIFE Kampinos WetLIFE nr projektu: LIFE19 NAT/PL/000746.</w:t>
            </w:r>
          </w:p>
        </w:tc>
        <w:tc>
          <w:tcPr>
            <w:tcW w:w="3377" w:type="dxa"/>
            <w:shd w:val="clear" w:color="auto" w:fill="auto"/>
            <w:hideMark/>
          </w:tcPr>
          <w:p w14:paraId="009ABCF8" w14:textId="684407E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nowego działania na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treści: „Prowadzenie działań naturalizacyjnych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Kampinoskim Parku Narodowym w ramach projektu LIFE Kampinos WetLIFE nr projektu: LIFE19 NAT/PL/000746.” Podmiot odpowiedzialny za realizację i sprawozdawczość: KPN. Typ działania: techniczne.</w:t>
            </w:r>
          </w:p>
        </w:tc>
        <w:tc>
          <w:tcPr>
            <w:tcW w:w="3401" w:type="dxa"/>
            <w:shd w:val="clear" w:color="auto" w:fill="auto"/>
            <w:hideMark/>
          </w:tcPr>
          <w:p w14:paraId="4B502F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2020 r. rozpoczął się projekt LIFE Kampinos WetLIFE, który ma na celu ochronę i odtwarzanie mokradeł na terenie Kampinoskiego Parku Narodowego. W ramach tego projektu zaplanowane zostały prace naturalizacyjne na głównych ciekach w KPN.</w:t>
            </w:r>
          </w:p>
        </w:tc>
        <w:tc>
          <w:tcPr>
            <w:tcW w:w="1918" w:type="dxa"/>
            <w:shd w:val="clear" w:color="auto" w:fill="auto"/>
            <w:hideMark/>
          </w:tcPr>
          <w:p w14:paraId="5E4BEC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21C52E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49C88E7" w14:textId="489726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uwzględniona. Działanie o nazwie: „Prowadzenie działań naturalizacyjnych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Kampinoskim Parku Narodowym w ramach projektu LIFE Kampinos WetLIFE nr projektu: LIFE19 NAT/PL/000746”; podmiot odpowiedzialny za realizację i sprawozdawczość: KPN. Typ działania: techniczne.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RW200024272969 – Łasica od Kanału Zaborowskiego do ujścia, RW2000232729649 – Łasica do Kanału Zaborowskiego, zostanie wpisane do</w:t>
            </w:r>
            <w:r w:rsidRPr="005E78BB">
              <w:rPr>
                <w:rFonts w:ascii="Calibri" w:eastAsia="Times New Roman" w:hAnsi="Calibri" w:cs="Calibri"/>
                <w:color w:val="000000"/>
                <w:sz w:val="18"/>
                <w:szCs w:val="18"/>
                <w:lang w:eastAsia="pl-PL"/>
              </w:rPr>
              <w:br/>
              <w:t>Zał. 7.3_Zestaw_Działan_RW_ODWisla.</w:t>
            </w:r>
          </w:p>
        </w:tc>
      </w:tr>
      <w:tr w:rsidR="0085319C" w:rsidRPr="005E78BB" w14:paraId="092BEFD1" w14:textId="77777777" w:rsidTr="00E92AE6">
        <w:trPr>
          <w:trHeight w:val="454"/>
        </w:trPr>
        <w:tc>
          <w:tcPr>
            <w:tcW w:w="562" w:type="dxa"/>
            <w:shd w:val="clear" w:color="auto" w:fill="auto"/>
            <w:hideMark/>
          </w:tcPr>
          <w:p w14:paraId="4AE5CF3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224</w:t>
            </w:r>
          </w:p>
        </w:tc>
        <w:tc>
          <w:tcPr>
            <w:tcW w:w="1021" w:type="dxa"/>
          </w:tcPr>
          <w:p w14:paraId="36B75F9D" w14:textId="762726E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20AA0B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6893DD8" w14:textId="43EAFCF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7.3_Zestaw_Działan_RW_ODWisla.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Dodanie zapisu dotyczącego remontu/przebudowy budowli piętrzących (jazów)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RW200024272969 – Łasica od Kanału Zaborowskiego do ujścia i RW2000232729649 – Łasica do Kanału Zaborowskiego.</w:t>
            </w:r>
          </w:p>
        </w:tc>
        <w:tc>
          <w:tcPr>
            <w:tcW w:w="3377" w:type="dxa"/>
            <w:shd w:val="clear" w:color="auto" w:fill="auto"/>
            <w:hideMark/>
          </w:tcPr>
          <w:p w14:paraId="4A164E5A" w14:textId="5373F83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nowego działania na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treści: „Remont i/lub przebudowa budowli piętrzących (jazów) na Kanale Łasica w Kampinoskim Parku Narodowym.” Podmiot odpowiedzialny za realizację i sprawozdawczość: PGW WP. Liczba budowli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RW200024272969 – Łasica od Kanału Zaborowskiego do ujścia: 3 oraz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RW2000232729649 – Łasica do Kanału Zaborowskiego: 3.</w:t>
            </w:r>
          </w:p>
        </w:tc>
        <w:tc>
          <w:tcPr>
            <w:tcW w:w="3401" w:type="dxa"/>
            <w:shd w:val="clear" w:color="auto" w:fill="auto"/>
            <w:hideMark/>
          </w:tcPr>
          <w:p w14:paraId="54C8A6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jazów na Kanale Łasica w KPN jest w złym stanie technicznym. Przede wszystkim jazy są nieszczelne przez co nie są w stanie odpowiednio funkcjonować.</w:t>
            </w:r>
          </w:p>
        </w:tc>
        <w:tc>
          <w:tcPr>
            <w:tcW w:w="1918" w:type="dxa"/>
            <w:shd w:val="clear" w:color="auto" w:fill="auto"/>
            <w:hideMark/>
          </w:tcPr>
          <w:p w14:paraId="3098A0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6A5496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A2BB0D6" w14:textId="201745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Uzupełniono działania techniczne RWHM_02.01 Analiza możliwości przebudowy budowli piętrzących w zakresie zapewniającym ciągłość biologiczną i spełnienie celów środowiskowych z uwzględnieniem wykazu budowli przedstawionym w Zał. 1 Wykaz działań dla budowli. Realizacja działań zgodnie z przeprowadzoną analizą dla wskazanych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5366D571" w14:textId="77777777" w:rsidTr="00E92AE6">
        <w:trPr>
          <w:trHeight w:val="454"/>
        </w:trPr>
        <w:tc>
          <w:tcPr>
            <w:tcW w:w="562" w:type="dxa"/>
            <w:shd w:val="clear" w:color="auto" w:fill="auto"/>
            <w:hideMark/>
          </w:tcPr>
          <w:p w14:paraId="759BD1E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225</w:t>
            </w:r>
          </w:p>
        </w:tc>
        <w:tc>
          <w:tcPr>
            <w:tcW w:w="1021" w:type="dxa"/>
          </w:tcPr>
          <w:p w14:paraId="14A546DA" w14:textId="570BCAB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Kampinoski Park Narodowy</w:t>
            </w:r>
          </w:p>
        </w:tc>
        <w:tc>
          <w:tcPr>
            <w:tcW w:w="1630" w:type="dxa"/>
            <w:shd w:val="clear" w:color="auto" w:fill="auto"/>
            <w:hideMark/>
          </w:tcPr>
          <w:p w14:paraId="39E084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5418BEA" w14:textId="31A4C56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 7.3_Zestaw_Działan_RW_ODWisla. poz. 7026 kol. AD, AE</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Kampinoski Park Narodowy nie może być jednostką odpowiedzialną i sprawozdawczą dla działań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Pilica od zb. Sulejów do ujścia.</w:t>
            </w:r>
          </w:p>
        </w:tc>
        <w:tc>
          <w:tcPr>
            <w:tcW w:w="3377" w:type="dxa"/>
            <w:shd w:val="clear" w:color="auto" w:fill="auto"/>
            <w:hideMark/>
          </w:tcPr>
          <w:p w14:paraId="6EA184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Zmiana jednostki odpowiedzialnej za realizację i sprawozdawczość.</w:t>
            </w:r>
          </w:p>
        </w:tc>
        <w:tc>
          <w:tcPr>
            <w:tcW w:w="3401" w:type="dxa"/>
            <w:shd w:val="clear" w:color="auto" w:fill="auto"/>
            <w:hideMark/>
          </w:tcPr>
          <w:p w14:paraId="4562EDBE" w14:textId="2E3FCB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KPN nie sprawuje zarządu nad obszarem chronionym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Pilica od zb. Sulejów do ujścia.</w:t>
            </w:r>
          </w:p>
        </w:tc>
        <w:tc>
          <w:tcPr>
            <w:tcW w:w="1918" w:type="dxa"/>
            <w:shd w:val="clear" w:color="auto" w:fill="auto"/>
            <w:hideMark/>
          </w:tcPr>
          <w:p w14:paraId="7F4774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215-225_KampinoskiPN_Wisła</w:t>
            </w:r>
          </w:p>
        </w:tc>
        <w:tc>
          <w:tcPr>
            <w:tcW w:w="1276" w:type="dxa"/>
            <w:shd w:val="clear" w:color="auto" w:fill="auto"/>
            <w:hideMark/>
          </w:tcPr>
          <w:p w14:paraId="7343C0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93BBA4D" w14:textId="367CAA0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zostało błędnie przypisane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znajdującej się poza Kampinoskim Parkiem Narodowym, najprawdopodobniej na skutek </w:t>
            </w:r>
            <w:r w:rsidRPr="005E78BB">
              <w:rPr>
                <w:rFonts w:ascii="Calibri" w:eastAsia="Times New Roman" w:hAnsi="Calibri" w:cs="Calibri"/>
                <w:color w:val="000000"/>
                <w:sz w:val="18"/>
                <w:szCs w:val="18"/>
                <w:lang w:eastAsia="pl-PL"/>
              </w:rPr>
              <w:lastRenderedPageBreak/>
              <w:t>błędu powstałego w czasie analiz przestrzennych. Błędnie przypisane działanie RW200011254999__RWHM_03.01__OC__23370 zostało usunięte.</w:t>
            </w:r>
          </w:p>
        </w:tc>
      </w:tr>
      <w:tr w:rsidR="0085319C" w:rsidRPr="005E78BB" w14:paraId="4A0C5A7F" w14:textId="77777777" w:rsidTr="00E92AE6">
        <w:trPr>
          <w:trHeight w:val="454"/>
        </w:trPr>
        <w:tc>
          <w:tcPr>
            <w:tcW w:w="562" w:type="dxa"/>
            <w:shd w:val="clear" w:color="auto" w:fill="auto"/>
            <w:hideMark/>
          </w:tcPr>
          <w:p w14:paraId="2B17361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226</w:t>
            </w:r>
          </w:p>
        </w:tc>
        <w:tc>
          <w:tcPr>
            <w:tcW w:w="1021" w:type="dxa"/>
          </w:tcPr>
          <w:p w14:paraId="2E9CAAE7" w14:textId="7A6D099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30E331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6DE3E1B" w14:textId="606F16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 tabeli przekazanej z pismem DM/ 0701/1/21/PP zawierającej Załącznik. Lista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których rekomendowany jest monitoring fitoplanktonu, należy dodać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RW2000112133529 Kanał Dwory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uwaga do załącznika zawierającego wykaz S</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SZ</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kryteriami potencjału ekologicznego</w:t>
            </w:r>
          </w:p>
        </w:tc>
        <w:tc>
          <w:tcPr>
            <w:tcW w:w="3377" w:type="dxa"/>
            <w:shd w:val="clear" w:color="auto" w:fill="auto"/>
            <w:hideMark/>
          </w:tcPr>
          <w:p w14:paraId="67015EFC" w14:textId="5791B53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kryteriów potencjału ekologicznego dla jednej </w:t>
            </w:r>
            <w:r w:rsidR="00513278">
              <w:rPr>
                <w:rFonts w:ascii="Calibri" w:eastAsia="Times New Roman" w:hAnsi="Calibri" w:cs="Calibri"/>
                <w:color w:val="000000"/>
                <w:sz w:val="18"/>
                <w:szCs w:val="18"/>
                <w:lang w:eastAsia="pl-PL"/>
              </w:rPr>
              <w:t>JCWP</w:t>
            </w:r>
          </w:p>
        </w:tc>
        <w:tc>
          <w:tcPr>
            <w:tcW w:w="3401" w:type="dxa"/>
            <w:shd w:val="clear" w:color="auto" w:fill="auto"/>
            <w:hideMark/>
          </w:tcPr>
          <w:p w14:paraId="3AA5C6D5" w14:textId="2336CE5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tabeli załączonej do pisma DM/ 0701/1/21/PP zabrakło jednej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która mimo nazwy Kanał Dwory, w istocie jest ramieniem Wisły, a znajduje się w tej części Wisły, która jest "rzeką fitoplanktonową"</w:t>
            </w:r>
          </w:p>
        </w:tc>
        <w:tc>
          <w:tcPr>
            <w:tcW w:w="1918" w:type="dxa"/>
            <w:shd w:val="clear" w:color="auto" w:fill="auto"/>
            <w:hideMark/>
          </w:tcPr>
          <w:p w14:paraId="04C9B8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BF13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25ECDDC" w14:textId="3462C30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Wskazana w uwadze dodatkowa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została dodana do przekazanej pismem DM/ 0701/1/21/PP listy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których zgodnie z Podręcznikiem do monitoringu elementów biologicznych i klasyfikacji stanu ekologicznego wód powierzchniowych (2020) rekomendowany jest monitoring stanu fitoplanktonu i klasyfikacja przy użyciu wskaźnika IFPL.</w:t>
            </w:r>
            <w:r w:rsidRPr="005E78BB">
              <w:rPr>
                <w:rFonts w:ascii="Calibri" w:eastAsia="Times New Roman" w:hAnsi="Calibri" w:cs="Calibri"/>
                <w:color w:val="000000"/>
                <w:sz w:val="18"/>
                <w:szCs w:val="18"/>
                <w:lang w:eastAsia="pl-PL"/>
              </w:rPr>
              <w:br/>
              <w:t xml:space="preserve">Dokonano stosownych zmian w załączniku 3.1. IIaPGW, tym samym rekomendacja monitoringu stanu fitoplanktonu i klasyfikacja przy użyciu wskaźnika IFPL dotyczy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zgodnie ze wskazaniem w piśmie DM/ 0701/1/21/PP przy włączeniu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RW2000112133529 Kanał Dwory.</w:t>
            </w:r>
          </w:p>
        </w:tc>
      </w:tr>
      <w:tr w:rsidR="0085319C" w:rsidRPr="005E78BB" w14:paraId="578C111B" w14:textId="77777777" w:rsidTr="00E92AE6">
        <w:trPr>
          <w:trHeight w:val="454"/>
        </w:trPr>
        <w:tc>
          <w:tcPr>
            <w:tcW w:w="562" w:type="dxa"/>
            <w:shd w:val="clear" w:color="auto" w:fill="auto"/>
            <w:hideMark/>
          </w:tcPr>
          <w:p w14:paraId="56F8915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227</w:t>
            </w:r>
          </w:p>
        </w:tc>
        <w:tc>
          <w:tcPr>
            <w:tcW w:w="1021" w:type="dxa"/>
          </w:tcPr>
          <w:p w14:paraId="1DFA8BA5" w14:textId="44153B9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5A25D3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84278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uciążliwym interfejsem, uwagi do IIaPGW załączamy w formacie PDF i są zgodnie z układem zaproponowanym w ankiecie on-line, czyli: do jakiej części kierowana jest uwaga / treść uwagi / propozycja zmian / uzasadnienie.</w:t>
            </w:r>
          </w:p>
        </w:tc>
        <w:tc>
          <w:tcPr>
            <w:tcW w:w="3377" w:type="dxa"/>
            <w:shd w:val="clear" w:color="auto" w:fill="auto"/>
            <w:hideMark/>
          </w:tcPr>
          <w:p w14:paraId="291141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161965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76056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227_PZW_Kielce_Wisła</w:t>
            </w:r>
          </w:p>
        </w:tc>
        <w:tc>
          <w:tcPr>
            <w:tcW w:w="1276" w:type="dxa"/>
            <w:shd w:val="clear" w:color="auto" w:fill="auto"/>
            <w:hideMark/>
          </w:tcPr>
          <w:p w14:paraId="75D9D2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07159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Uwagi przekazane w formie pdf zostały wprowadzone do niniejszego zestawienia w oddzielnych wierszach. Odpowiedzi na zgłoszone uwagi znajdują się przy poszczególnych uwagach.</w:t>
            </w:r>
          </w:p>
        </w:tc>
      </w:tr>
      <w:tr w:rsidR="0085319C" w:rsidRPr="005E78BB" w14:paraId="5753631F" w14:textId="77777777" w:rsidTr="00E92AE6">
        <w:trPr>
          <w:trHeight w:val="454"/>
        </w:trPr>
        <w:tc>
          <w:tcPr>
            <w:tcW w:w="562" w:type="dxa"/>
            <w:shd w:val="clear" w:color="auto" w:fill="auto"/>
            <w:hideMark/>
          </w:tcPr>
          <w:p w14:paraId="33791F2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228</w:t>
            </w:r>
          </w:p>
        </w:tc>
        <w:tc>
          <w:tcPr>
            <w:tcW w:w="1021" w:type="dxa"/>
          </w:tcPr>
          <w:p w14:paraId="3F3C1F65" w14:textId="7D9C255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3A71D2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BB69AB4" w14:textId="3F94B61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zmienić odniesienia do rozporządzeń:</w:t>
            </w:r>
            <w:r w:rsidRPr="005E78BB">
              <w:rPr>
                <w:rFonts w:ascii="Calibri" w:eastAsia="Times New Roman" w:hAnsi="Calibri" w:cs="Calibri"/>
                <w:color w:val="000000"/>
                <w:sz w:val="18"/>
                <w:szCs w:val="18"/>
                <w:lang w:eastAsia="pl-PL"/>
              </w:rPr>
              <w:br w:type="page"/>
              <w:t>- z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 na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z 2021 r. poz. 1475);</w:t>
            </w:r>
            <w:r w:rsidRPr="005E78BB">
              <w:rPr>
                <w:rFonts w:ascii="Calibri" w:eastAsia="Times New Roman" w:hAnsi="Calibri" w:cs="Calibri"/>
                <w:color w:val="000000"/>
                <w:sz w:val="18"/>
                <w:szCs w:val="18"/>
                <w:lang w:eastAsia="pl-PL"/>
              </w:rPr>
              <w:br w:type="page"/>
              <w:t>- z rozporządzenia Ministra Gospodarki Morskiej i Żeglugi Śródlądowej z dnia 9 października 2019 r. w sprawie form i sposobu prowadzenia monitoringu jednolitych części wód powierzchniowych i jednolitych części wód podziemnych (Dz.U. z 2019 r. poz. 2147) na rozporządzenie Ministra Infrastruktury z dnia 13 lipca 2021 r. w sprawie form i sposobu prowadzenia monitoringu jednolitych części wód powierzchniowych i jednolitych części wód podziemnych (Dz. U. z 2021 r. poz. 1576).</w:t>
            </w:r>
            <w:r w:rsidRPr="005E78BB">
              <w:rPr>
                <w:rFonts w:ascii="Calibri" w:eastAsia="Times New Roman" w:hAnsi="Calibri" w:cs="Calibri"/>
                <w:color w:val="000000"/>
                <w:sz w:val="18"/>
                <w:szCs w:val="18"/>
                <w:lang w:eastAsia="pl-PL"/>
              </w:rPr>
              <w:br w:type="page"/>
              <w:t xml:space="preserve">Wyjątkiem są te fragmenty dokumentów, które mówią o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 2019 r. (na podstawie danych za lata 2014-2019) oraz monitoringu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latach 2020-2021 - tu podstawą były rozporządzenia MGMiŻŚ z 2019 r."</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Uwaga ogólna do plików "Projekt_IIaPGW_OD_..." oraz do plików "Wersja niespecjalistyczna projektu II aPGW dla obszaru dorzecza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759D0D7" w14:textId="59D498A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słowniku skrótów i w zasadniczym tekście dokumentów:</w:t>
            </w:r>
            <w:r w:rsidRPr="005E78BB">
              <w:rPr>
                <w:rFonts w:ascii="Calibri" w:eastAsia="Times New Roman" w:hAnsi="Calibri" w:cs="Calibri"/>
                <w:color w:val="000000"/>
                <w:sz w:val="18"/>
                <w:szCs w:val="18"/>
                <w:lang w:eastAsia="pl-PL"/>
              </w:rPr>
              <w:br w:type="page"/>
              <w:t>- skrót ""r.kl.</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powinien oznaczać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z 2021 r. poz. 1475);</w:t>
            </w:r>
            <w:r w:rsidRPr="005E78BB">
              <w:rPr>
                <w:rFonts w:ascii="Calibri" w:eastAsia="Times New Roman" w:hAnsi="Calibri" w:cs="Calibri"/>
                <w:color w:val="000000"/>
                <w:sz w:val="18"/>
                <w:szCs w:val="18"/>
                <w:lang w:eastAsia="pl-PL"/>
              </w:rPr>
              <w:br w:type="page"/>
              <w:t>- skrót ""r.m.jcw"" powinien oznaczać rozporządzenie Ministra Infrastruktury z dnia 13 lipca 2021 r. w sprawie form i sposobu prowadzenia monitoringu jednolitych części wód powierzchniowych i jednolitych części wód podziemnych (Dz. U. z 2021 r. poz. 1576);</w:t>
            </w:r>
            <w:r w:rsidRPr="005E78BB">
              <w:rPr>
                <w:rFonts w:ascii="Calibri" w:eastAsia="Times New Roman" w:hAnsi="Calibri" w:cs="Calibri"/>
                <w:color w:val="000000"/>
                <w:sz w:val="18"/>
                <w:szCs w:val="18"/>
                <w:lang w:eastAsia="pl-PL"/>
              </w:rPr>
              <w:br w:type="page"/>
              <w:t>- rozporządzeniom MGMiŻŚ z 2019 r. powinny odpowiadać skróty, odpowiednio: ""s.r.kl. (2019)"" i ""s.r.m. jcw (2019)"".</w:t>
            </w:r>
            <w:r w:rsidRPr="005E78BB">
              <w:rPr>
                <w:rFonts w:ascii="Calibri" w:eastAsia="Times New Roman" w:hAnsi="Calibri" w:cs="Calibri"/>
                <w:color w:val="000000"/>
                <w:sz w:val="18"/>
                <w:szCs w:val="18"/>
                <w:lang w:eastAsia="pl-PL"/>
              </w:rPr>
              <w:br w:type="page"/>
              <w:t>Wszędzie tam, gdzie podaje się pełne tytuły rozporządzeń jako aktów obecnie obowiązujących, należy zmienić je z tytułów rozporządzeń MGMiŻŚ z 2019 r. na tytuły rozporządzeń MI z 2021 r.</w:t>
            </w:r>
            <w:r w:rsidRPr="005E78BB">
              <w:rPr>
                <w:rFonts w:ascii="Calibri" w:eastAsia="Times New Roman" w:hAnsi="Calibri" w:cs="Calibri"/>
                <w:color w:val="000000"/>
                <w:sz w:val="18"/>
                <w:szCs w:val="18"/>
                <w:lang w:eastAsia="pl-PL"/>
              </w:rPr>
              <w:br w:type="page"/>
              <w:t xml:space="preserve">Wyjątkiem są te fragmenty dokumentów, które mówią o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 2019 r. (na podstawie danych za lata 2014-2019) oraz monitoringu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latach 2020-2021 - tu podstawą były rozporządzenia MGMiŻŚ z 2019 r."</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BADC60E" w14:textId="1E23535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Rozporządzenia: klasyfikacyjne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MGMiŻŚ oraz monitoringowe MGMiŻŚ utraciły moc 24.05.2021 i zostały zastąpione przez odpowiednie rozporządzenia MI.</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549414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D9BD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F3B77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aktualizacyjne treści IIaPGW w zakresie wskazanym w uwadze zostały wprowadzone. Uzupełniono wykaz skrótów o s.r.kl (2019) oraz s.r.m (2019).</w:t>
            </w:r>
          </w:p>
        </w:tc>
      </w:tr>
      <w:tr w:rsidR="0085319C" w:rsidRPr="005E78BB" w14:paraId="4D8CCD29" w14:textId="77777777" w:rsidTr="00E92AE6">
        <w:trPr>
          <w:trHeight w:val="454"/>
        </w:trPr>
        <w:tc>
          <w:tcPr>
            <w:tcW w:w="562" w:type="dxa"/>
            <w:shd w:val="clear" w:color="auto" w:fill="auto"/>
            <w:hideMark/>
          </w:tcPr>
          <w:p w14:paraId="350E930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229</w:t>
            </w:r>
          </w:p>
        </w:tc>
        <w:tc>
          <w:tcPr>
            <w:tcW w:w="1021" w:type="dxa"/>
          </w:tcPr>
          <w:p w14:paraId="446985FC" w14:textId="6A513C6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10F223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3438C8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krajowe-monitoring.</w:t>
            </w:r>
            <w:r w:rsidRPr="005E78BB">
              <w:rPr>
                <w:rFonts w:ascii="Calibri" w:eastAsia="Times New Roman" w:hAnsi="Calibri" w:cs="Calibri"/>
                <w:color w:val="000000"/>
                <w:sz w:val="18"/>
                <w:szCs w:val="18"/>
                <w:lang w:eastAsia="pl-PL"/>
              </w:rPr>
              <w:br/>
              <w:t>Obowiązek zgłaszania przez wykonawców do elektronicznej-mapowej bazy danych wszystkich nowych budowli na wodach a także skutków modernizacji i pracy utrzymaniowych na obecnych ciekach, budowlach/obiektach.</w:t>
            </w:r>
          </w:p>
        </w:tc>
        <w:tc>
          <w:tcPr>
            <w:tcW w:w="3377" w:type="dxa"/>
            <w:shd w:val="clear" w:color="auto" w:fill="auto"/>
            <w:hideMark/>
          </w:tcPr>
          <w:p w14:paraId="016BEC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prawa zobowiązujące do obowiązkowego zgłaszania przez wykonawców do elektronicznej-mapowej bazy danych wszystkich nowych budowli na wodach a także skutków modernizacji i pracy utrzymaniowych na obecnych ciekach, budowlach/obiektach.</w:t>
            </w:r>
          </w:p>
        </w:tc>
        <w:tc>
          <w:tcPr>
            <w:tcW w:w="3401" w:type="dxa"/>
            <w:shd w:val="clear" w:color="auto" w:fill="auto"/>
            <w:hideMark/>
          </w:tcPr>
          <w:p w14:paraId="245744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Często spotykanym przykładem jest że wykonuje sie prace na danej rzece, powstaje nowy próg/piętrzenie i nie ma takiej informacji w formie elektronicznej w portalu mapowym/czy tez w elektronicznym wykazie budowli. Pomijam już informacje techniczne ( wys., piętrzenia, typ itd. )</w:t>
            </w:r>
            <w:r w:rsidRPr="005E78BB">
              <w:rPr>
                <w:rFonts w:ascii="Calibri" w:eastAsia="Times New Roman" w:hAnsi="Calibri" w:cs="Calibri"/>
                <w:color w:val="000000"/>
                <w:sz w:val="18"/>
                <w:szCs w:val="18"/>
                <w:lang w:eastAsia="pl-PL"/>
              </w:rPr>
              <w:br/>
              <w:t>To samo dotyczy modernizacji/remontu/prac utrzymaniowych na obiektach czy wodach gdy następuje zmiana parametrów czy też drożności migracyjnej danej budowli.</w:t>
            </w:r>
          </w:p>
        </w:tc>
        <w:tc>
          <w:tcPr>
            <w:tcW w:w="1918" w:type="dxa"/>
            <w:shd w:val="clear" w:color="auto" w:fill="auto"/>
            <w:hideMark/>
          </w:tcPr>
          <w:p w14:paraId="42FD6C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F34AB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9EB4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Uwaga dotycząca identyfikacji urządzeń wodnych („nowych budowli na wodach”) oraz ujawniania ich stanu technicznego „w elektronicznej-mapowej bazie danych” znajduje już odzwierciedlenie w przepisach prawa.</w:t>
            </w:r>
            <w:r w:rsidRPr="005E78BB">
              <w:rPr>
                <w:rFonts w:ascii="Calibri" w:eastAsia="Times New Roman" w:hAnsi="Calibri" w:cs="Calibri"/>
                <w:color w:val="000000"/>
                <w:sz w:val="18"/>
                <w:szCs w:val="18"/>
                <w:lang w:eastAsia="pl-PL"/>
              </w:rPr>
              <w:br/>
              <w:t>Zgodnie z art. 403 ust.2 pkt 12 ustawy z dnia 20 lipca 2017 r. Prawo wodne (t.j. Dz. U. z 2021 r. poz. 624 z późn. zm.), „W dostosowaniu do rodzaju działalności, której dotyczy pozwolenie wodnoprawne, w pozwoleniu wodnoprawnym ustala się w szczególności: (…) opis urządzenia wodnego, w tym podstawowe parametry charakteryzujące to urządzenie, i warunki jego wykonania oraz jego lokalizację za pomocą informacji o nazwie lub numerze obrębu ewidencyjnego z numerem lub numerami działek ewidencyjnych oraz współrzędnych”.</w:t>
            </w:r>
            <w:r w:rsidRPr="005E78BB">
              <w:rPr>
                <w:rFonts w:ascii="Calibri" w:eastAsia="Times New Roman" w:hAnsi="Calibri" w:cs="Calibri"/>
                <w:color w:val="000000"/>
                <w:sz w:val="18"/>
                <w:szCs w:val="18"/>
                <w:lang w:eastAsia="pl-PL"/>
              </w:rPr>
              <w:br/>
              <w:t>Zgodnie z art. 329 ust.2 pkt 12 Prawa wodnego, „[w] systemie informacyjnym gospodarowania wodami gromadzi się informacje w zakresie gospodarowania wodami, w szczególności informacje na temat (...) urządzeń wodnych”</w:t>
            </w:r>
            <w:r w:rsidRPr="005E78BB">
              <w:rPr>
                <w:rFonts w:ascii="Calibri" w:eastAsia="Times New Roman" w:hAnsi="Calibri" w:cs="Calibri"/>
                <w:color w:val="000000"/>
                <w:sz w:val="18"/>
                <w:szCs w:val="18"/>
                <w:lang w:eastAsia="pl-PL"/>
              </w:rPr>
              <w:br/>
              <w:t>W myśl art. 331 ust.1 pkt 15, „[ź]ródłami danych dla systemu informacyjnego gospodarowania wodami są rejestry i zbiory danych prowadzone przez ministra właściwego do spraw gospodarki wodnej oraz Wody Polskie, a także: (...) w zakresie urządzeń wodnych - właściciele tych urządzeń;”.</w:t>
            </w:r>
            <w:r w:rsidRPr="005E78BB">
              <w:rPr>
                <w:rFonts w:ascii="Calibri" w:eastAsia="Times New Roman" w:hAnsi="Calibri" w:cs="Calibri"/>
                <w:color w:val="000000"/>
                <w:sz w:val="18"/>
                <w:szCs w:val="18"/>
                <w:lang w:eastAsia="pl-PL"/>
              </w:rPr>
              <w:br/>
              <w:t>Stosownie do ust.3 i 4 ww. przepisu:</w:t>
            </w:r>
            <w:r w:rsidRPr="005E78BB">
              <w:rPr>
                <w:rFonts w:ascii="Calibri" w:eastAsia="Times New Roman" w:hAnsi="Calibri" w:cs="Calibri"/>
                <w:color w:val="000000"/>
                <w:sz w:val="18"/>
                <w:szCs w:val="18"/>
                <w:lang w:eastAsia="pl-PL"/>
              </w:rPr>
              <w:br/>
              <w:t>„Właściciel urządzenia wodnego zgłasza posiadane urządzenie wodne Wodom Polskim w celu wpisania do systemu informacyjnego gospodarowania wodami w terminie 60 dni od dnia przystąpienia do użytkowania tego urządzenia.”</w:t>
            </w:r>
            <w:r w:rsidRPr="005E78BB">
              <w:rPr>
                <w:rFonts w:ascii="Calibri" w:eastAsia="Times New Roman" w:hAnsi="Calibri" w:cs="Calibri"/>
                <w:color w:val="000000"/>
                <w:sz w:val="18"/>
                <w:szCs w:val="18"/>
                <w:lang w:eastAsia="pl-PL"/>
              </w:rPr>
              <w:br/>
              <w:t>„Wpis urządzenia wodnego do systemu informacyjnego gospodarowania wodami obejmuje:</w:t>
            </w:r>
            <w:r w:rsidRPr="005E78BB">
              <w:rPr>
                <w:rFonts w:ascii="Calibri" w:eastAsia="Times New Roman" w:hAnsi="Calibri" w:cs="Calibri"/>
                <w:color w:val="000000"/>
                <w:sz w:val="18"/>
                <w:szCs w:val="18"/>
                <w:lang w:eastAsia="pl-PL"/>
              </w:rPr>
              <w:br/>
              <w:t>1) nazwę, siedzibę, adres właściciela i sposób korzystania z wód;</w:t>
            </w:r>
            <w:r w:rsidRPr="005E78BB">
              <w:rPr>
                <w:rFonts w:ascii="Calibri" w:eastAsia="Times New Roman" w:hAnsi="Calibri" w:cs="Calibri"/>
                <w:color w:val="000000"/>
                <w:sz w:val="18"/>
                <w:szCs w:val="18"/>
                <w:lang w:eastAsia="pl-PL"/>
              </w:rPr>
              <w:br/>
              <w:t>2) parametry urządzenia wodnego i jego stan techniczny;</w:t>
            </w:r>
            <w:r w:rsidRPr="005E78BB">
              <w:rPr>
                <w:rFonts w:ascii="Calibri" w:eastAsia="Times New Roman" w:hAnsi="Calibri" w:cs="Calibri"/>
                <w:color w:val="000000"/>
                <w:sz w:val="18"/>
                <w:szCs w:val="18"/>
                <w:lang w:eastAsia="pl-PL"/>
              </w:rPr>
              <w:br/>
              <w:t xml:space="preserve">3) lokalizację urządzenia wodnego, w tym nazwę lub numer obrębu ewidencyjnego z </w:t>
            </w:r>
            <w:r w:rsidRPr="005E78BB">
              <w:rPr>
                <w:rFonts w:ascii="Calibri" w:eastAsia="Times New Roman" w:hAnsi="Calibri" w:cs="Calibri"/>
                <w:color w:val="000000"/>
                <w:sz w:val="18"/>
                <w:szCs w:val="18"/>
                <w:lang w:eastAsia="pl-PL"/>
              </w:rPr>
              <w:lastRenderedPageBreak/>
              <w:t>numerem lub numerami działek ewidencyjnych oraz współrzędne;</w:t>
            </w:r>
            <w:r w:rsidRPr="005E78BB">
              <w:rPr>
                <w:rFonts w:ascii="Calibri" w:eastAsia="Times New Roman" w:hAnsi="Calibri" w:cs="Calibri"/>
                <w:color w:val="000000"/>
                <w:sz w:val="18"/>
                <w:szCs w:val="18"/>
                <w:lang w:eastAsia="pl-PL"/>
              </w:rPr>
              <w:br/>
              <w:t>4) dane dotyczące zgody wodnoprawnej określającej warunki korzystania z wód.”</w:t>
            </w:r>
            <w:r w:rsidRPr="005E78BB">
              <w:rPr>
                <w:rFonts w:ascii="Calibri" w:eastAsia="Times New Roman" w:hAnsi="Calibri" w:cs="Calibri"/>
                <w:color w:val="000000"/>
                <w:sz w:val="18"/>
                <w:szCs w:val="18"/>
                <w:lang w:eastAsia="pl-PL"/>
              </w:rPr>
              <w:br/>
              <w:t>Obowiązek powyższy rozciąga się również na przepławki jako urządzenia wodne („Przepławka dla ryb stanowi całość techniczno-użytkową z podstawową budowlą piętrzącą i pozwala na jej prawidłowe użytkowanie, stąd jako obiekt towarzyszący budowli piętrzącej uznana została jako urządzenie wodne.” (Wyrok WSA w Poznaniu z 13.12.2017 r., II SA/Po 805/17, LEX nr 2435569)).</w:t>
            </w:r>
          </w:p>
        </w:tc>
      </w:tr>
      <w:tr w:rsidR="0085319C" w:rsidRPr="005E78BB" w14:paraId="579E2CCA" w14:textId="77777777" w:rsidTr="00E92AE6">
        <w:trPr>
          <w:trHeight w:val="454"/>
        </w:trPr>
        <w:tc>
          <w:tcPr>
            <w:tcW w:w="562" w:type="dxa"/>
            <w:shd w:val="clear" w:color="auto" w:fill="auto"/>
            <w:hideMark/>
          </w:tcPr>
          <w:p w14:paraId="2DA7802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230</w:t>
            </w:r>
          </w:p>
        </w:tc>
        <w:tc>
          <w:tcPr>
            <w:tcW w:w="1021" w:type="dxa"/>
          </w:tcPr>
          <w:p w14:paraId="59FF3BC7" w14:textId="4986B4C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11C9AF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015488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krajowe-monitoring.</w:t>
            </w:r>
            <w:r w:rsidRPr="005E78BB">
              <w:rPr>
                <w:rFonts w:ascii="Calibri" w:eastAsia="Times New Roman" w:hAnsi="Calibri" w:cs="Calibri"/>
                <w:color w:val="000000"/>
                <w:sz w:val="18"/>
                <w:szCs w:val="18"/>
                <w:lang w:eastAsia="pl-PL"/>
              </w:rPr>
              <w:br/>
              <w:t xml:space="preserve">Obowiązek o konieczności pokrywania przez przez właścicieli budowli kosztów monitoringu skuteczności migracji </w:t>
            </w:r>
          </w:p>
        </w:tc>
        <w:tc>
          <w:tcPr>
            <w:tcW w:w="3377" w:type="dxa"/>
            <w:shd w:val="clear" w:color="auto" w:fill="auto"/>
            <w:hideMark/>
          </w:tcPr>
          <w:p w14:paraId="2317EC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zmieniające obecne zapisy prawa ( Prawo Wodne ) które zobowiązywałyby właścicieli budowli/obiektów na wodach  do obowiązku pokrycia kosztów monitoringu migracji ( wykonywanego przez Wody Polskie ) na danej budowli co najmniej raz na określony przedział czasowy.</w:t>
            </w:r>
          </w:p>
        </w:tc>
        <w:tc>
          <w:tcPr>
            <w:tcW w:w="3401" w:type="dxa"/>
            <w:shd w:val="clear" w:color="auto" w:fill="auto"/>
            <w:hideMark/>
          </w:tcPr>
          <w:p w14:paraId="67D923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Często spotykanym przykładem jest że powstaje przykładowo MEW, przepławka ma odbiory, działa.</w:t>
            </w:r>
            <w:r w:rsidRPr="005E78BB">
              <w:rPr>
                <w:rFonts w:ascii="Calibri" w:eastAsia="Times New Roman" w:hAnsi="Calibri" w:cs="Calibri"/>
                <w:color w:val="000000"/>
                <w:sz w:val="18"/>
                <w:szCs w:val="18"/>
                <w:lang w:eastAsia="pl-PL"/>
              </w:rPr>
              <w:br/>
              <w:t>W późniejszym okresie eksploatacji wychodzą wady techniczne danej przepławki i budowla nie jest drożna dla ryb.</w:t>
            </w:r>
            <w:r w:rsidRPr="005E78BB">
              <w:rPr>
                <w:rFonts w:ascii="Calibri" w:eastAsia="Times New Roman" w:hAnsi="Calibri" w:cs="Calibri"/>
                <w:color w:val="000000"/>
                <w:sz w:val="18"/>
                <w:szCs w:val="18"/>
                <w:lang w:eastAsia="pl-PL"/>
              </w:rPr>
              <w:br/>
              <w:t>Właściciel obiektu twierdzi że przepławka jest sprawna, ma pozwolenie wodno prawne i odbiory.</w:t>
            </w:r>
            <w:r w:rsidRPr="005E78BB">
              <w:rPr>
                <w:rFonts w:ascii="Calibri" w:eastAsia="Times New Roman" w:hAnsi="Calibri" w:cs="Calibri"/>
                <w:color w:val="000000"/>
                <w:sz w:val="18"/>
                <w:szCs w:val="18"/>
                <w:lang w:eastAsia="pl-PL"/>
              </w:rPr>
              <w:br/>
              <w:t>Powoduje to powstanie nowych budowli piętrzących które nie spełniają warunków migracji dla ryb.</w:t>
            </w:r>
            <w:r w:rsidRPr="005E78BB">
              <w:rPr>
                <w:rFonts w:ascii="Calibri" w:eastAsia="Times New Roman" w:hAnsi="Calibri" w:cs="Calibri"/>
                <w:color w:val="000000"/>
                <w:sz w:val="18"/>
                <w:szCs w:val="18"/>
                <w:lang w:eastAsia="pl-PL"/>
              </w:rPr>
              <w:br/>
              <w:t>To samo dotyczy obecnych budowli.</w:t>
            </w:r>
            <w:r w:rsidRPr="005E78BB">
              <w:rPr>
                <w:rFonts w:ascii="Calibri" w:eastAsia="Times New Roman" w:hAnsi="Calibri" w:cs="Calibri"/>
                <w:color w:val="000000"/>
                <w:sz w:val="18"/>
                <w:szCs w:val="18"/>
                <w:lang w:eastAsia="pl-PL"/>
              </w:rPr>
              <w:br/>
              <w:t>Dodatkowa argumentacja-widoczne podczas wykazu budowli jest brak informacji o skuteczności migracji danej budowli.</w:t>
            </w:r>
            <w:r w:rsidRPr="005E78BB">
              <w:rPr>
                <w:rFonts w:ascii="Calibri" w:eastAsia="Times New Roman" w:hAnsi="Calibri" w:cs="Calibri"/>
                <w:color w:val="000000"/>
                <w:sz w:val="18"/>
                <w:szCs w:val="18"/>
                <w:lang w:eastAsia="pl-PL"/>
              </w:rPr>
              <w:br/>
              <w:t>Właściciel budowli pokrywa koszt monitoringu migracji raz na określony przedział czasowy. Monitoring wykonują Wody Polskie-bo przypadku monitoringu wykonywanego przez właścicieli obiektów może okazać się nagle ze wszystkie budowle mamy fałszywie drożne.</w:t>
            </w:r>
            <w:r w:rsidRPr="005E78BB">
              <w:rPr>
                <w:rFonts w:ascii="Calibri" w:eastAsia="Times New Roman" w:hAnsi="Calibri" w:cs="Calibri"/>
                <w:color w:val="000000"/>
                <w:sz w:val="18"/>
                <w:szCs w:val="18"/>
                <w:lang w:eastAsia="pl-PL"/>
              </w:rPr>
              <w:br/>
              <w:t>Zapis taki pozwoliłby na budowanie aktualnej bazy informacji o budowlach co do których mamy pewność że są drożne/niedrożne i późniejszą KOORDYNACJIE RENATURYZACJI/UDROŻNIENIA barier</w:t>
            </w:r>
          </w:p>
        </w:tc>
        <w:tc>
          <w:tcPr>
            <w:tcW w:w="1918" w:type="dxa"/>
            <w:shd w:val="clear" w:color="auto" w:fill="auto"/>
            <w:hideMark/>
          </w:tcPr>
          <w:p w14:paraId="103696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34E7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D9E29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Zaproponowane działanie nie zostało uwzględnione w IIaPGW.</w:t>
            </w:r>
            <w:r w:rsidRPr="005E78BB">
              <w:rPr>
                <w:rFonts w:ascii="Calibri" w:eastAsia="Times New Roman" w:hAnsi="Calibri" w:cs="Calibri"/>
                <w:color w:val="000000"/>
                <w:sz w:val="18"/>
                <w:szCs w:val="18"/>
                <w:lang w:eastAsia="pl-PL"/>
              </w:rPr>
              <w:br/>
              <w:t>Zgodnie z art. 403 ust.6 pkt 2, 3 i 5 ustawy Prawo wodne: „Jeżeli jest to konieczne dla szczegółowego określenia warunków i zakresu korzystania z wód, utrzymywania wód lub projektowania, wykonywania, lub utrzymywania urządzeń wodnych, lub uprawnień osób trzecich, w pozwoleniu wodnoprawnym można dodatkowo ustalić obowiązek: (…)</w:t>
            </w:r>
            <w:r w:rsidRPr="005E78BB">
              <w:rPr>
                <w:rFonts w:ascii="Calibri" w:eastAsia="Times New Roman" w:hAnsi="Calibri" w:cs="Calibri"/>
                <w:color w:val="000000"/>
                <w:sz w:val="18"/>
                <w:szCs w:val="18"/>
                <w:lang w:eastAsia="pl-PL"/>
              </w:rPr>
              <w:br/>
              <w:t>2) wykonania robót lub uczestniczenia w kosztach projektowania, wykonywania lub utrzymania urządzeń wodnych stosownie do odnoszonych lub prognozowanych korzyści;</w:t>
            </w:r>
            <w:r w:rsidRPr="005E78BB">
              <w:rPr>
                <w:rFonts w:ascii="Calibri" w:eastAsia="Times New Roman" w:hAnsi="Calibri" w:cs="Calibri"/>
                <w:color w:val="000000"/>
                <w:sz w:val="18"/>
                <w:szCs w:val="18"/>
                <w:lang w:eastAsia="pl-PL"/>
              </w:rPr>
              <w:br/>
              <w:t>3) wykonania robót lub uczestniczenia w kosztach utrzymania wód stosownie do wzrostu tych kosztów w związku z wykonywaniem tego pozwolenia; (...)</w:t>
            </w:r>
            <w:r w:rsidRPr="005E78BB">
              <w:rPr>
                <w:rFonts w:ascii="Calibri" w:eastAsia="Times New Roman" w:hAnsi="Calibri" w:cs="Calibri"/>
                <w:color w:val="000000"/>
                <w:sz w:val="18"/>
                <w:szCs w:val="18"/>
                <w:lang w:eastAsia="pl-PL"/>
              </w:rPr>
              <w:br/>
              <w:t>5) podjęcia działań służących poprawie stanu zasobów ryb lub uczestniczenia w kosztach zarybiania wód powierzchniowych, jeżeli w związku z wykonywaniem pozwolenia wodnoprawnego nastąpi zmniejszenie populacji ryb lub utrudnienie ich migracji;”</w:t>
            </w:r>
            <w:r w:rsidRPr="005E78BB">
              <w:rPr>
                <w:rFonts w:ascii="Calibri" w:eastAsia="Times New Roman" w:hAnsi="Calibri" w:cs="Calibri"/>
                <w:color w:val="000000"/>
                <w:sz w:val="18"/>
                <w:szCs w:val="18"/>
                <w:lang w:eastAsia="pl-PL"/>
              </w:rPr>
              <w:br/>
              <w:t>Proponowane prowadzenie (i ponoszenie kosztów) „monitoringu migracji na danej budowli co najmniej raz na określony przedział czasowy” mieści się w kompetencji organu właściwego do wydania pozwolenia wodnoprawnego wynikającej z ww. art. 403 ust.6 pkt 5 ustawy Prawo wodne, jeżeli dotyczy obowiązku nakładanego na zakład. Brak jest podstawy prawnej dla narzucenia zakładowi obowiązku ponoszenia kosztów monitoringu wykonywanego przez Wody Polskie.</w:t>
            </w:r>
          </w:p>
        </w:tc>
      </w:tr>
      <w:tr w:rsidR="0085319C" w:rsidRPr="005E78BB" w14:paraId="248DA9C0" w14:textId="77777777" w:rsidTr="00E92AE6">
        <w:trPr>
          <w:trHeight w:val="454"/>
        </w:trPr>
        <w:tc>
          <w:tcPr>
            <w:tcW w:w="562" w:type="dxa"/>
            <w:shd w:val="clear" w:color="auto" w:fill="auto"/>
            <w:hideMark/>
          </w:tcPr>
          <w:p w14:paraId="6A2916E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231</w:t>
            </w:r>
          </w:p>
        </w:tc>
        <w:tc>
          <w:tcPr>
            <w:tcW w:w="1021" w:type="dxa"/>
          </w:tcPr>
          <w:p w14:paraId="702AC9B0" w14:textId="4FD0FD3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79C703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62F01F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krajowe-monitoring.</w:t>
            </w:r>
            <w:r w:rsidRPr="005E78BB">
              <w:rPr>
                <w:rFonts w:ascii="Calibri" w:eastAsia="Times New Roman" w:hAnsi="Calibri" w:cs="Calibri"/>
                <w:color w:val="000000"/>
                <w:sz w:val="18"/>
                <w:szCs w:val="18"/>
                <w:lang w:eastAsia="pl-PL"/>
              </w:rPr>
              <w:br/>
              <w:t>Obowiązek czyszczenia/napraw urządzeń do migracji i dbania o dobry stan techniczny przez właścicieli budowli.</w:t>
            </w:r>
          </w:p>
        </w:tc>
        <w:tc>
          <w:tcPr>
            <w:tcW w:w="3377" w:type="dxa"/>
            <w:shd w:val="clear" w:color="auto" w:fill="auto"/>
            <w:hideMark/>
          </w:tcPr>
          <w:p w14:paraId="3106AB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zmieniające obecne zapisy prawa ( Prawo Wodne ) które z których jednoznacznie wynika obowiązek bieżącego czyszczenia/napraw urządzeń do migracji i dbania o dobry stan techniczny przez właścicieli budowli.</w:t>
            </w:r>
          </w:p>
        </w:tc>
        <w:tc>
          <w:tcPr>
            <w:tcW w:w="3401" w:type="dxa"/>
            <w:shd w:val="clear" w:color="auto" w:fill="auto"/>
            <w:hideMark/>
          </w:tcPr>
          <w:p w14:paraId="68009B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Widocznym problemem podczas dokonywania modernizacji urządzeń do migracji czy tez budowie nowych obiektów jest późniejsze skuteczne prawne wyegzekwowanie na właścicielu obiektu obowiązku polegającym na bieżącego </w:t>
            </w:r>
            <w:r w:rsidRPr="005E78BB">
              <w:rPr>
                <w:rFonts w:ascii="Calibri" w:eastAsia="Times New Roman" w:hAnsi="Calibri" w:cs="Calibri"/>
                <w:color w:val="000000"/>
                <w:sz w:val="18"/>
                <w:szCs w:val="18"/>
                <w:lang w:eastAsia="pl-PL"/>
              </w:rPr>
              <w:lastRenderedPageBreak/>
              <w:t>czyszczenia/napraw urządzeń do migracji i dbania o dobry stan techniczny.</w:t>
            </w:r>
          </w:p>
        </w:tc>
        <w:tc>
          <w:tcPr>
            <w:tcW w:w="1918" w:type="dxa"/>
            <w:shd w:val="clear" w:color="auto" w:fill="auto"/>
            <w:hideMark/>
          </w:tcPr>
          <w:p w14:paraId="7A6B4B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014172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E399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Zaproponowane w uwadze działanie nie zostało uwzględnione w IIaPGW.</w:t>
            </w:r>
            <w:r w:rsidRPr="005E78BB">
              <w:rPr>
                <w:rFonts w:ascii="Calibri" w:eastAsia="Times New Roman" w:hAnsi="Calibri" w:cs="Calibri"/>
                <w:color w:val="000000"/>
                <w:sz w:val="18"/>
                <w:szCs w:val="18"/>
                <w:lang w:eastAsia="pl-PL"/>
              </w:rPr>
              <w:br/>
              <w:t xml:space="preserve">W konstrukcji prawnej planu gospodarowania wodami na obszarze dorzecza nie mieści się formułowanie postulatów zmiany prawa, wdrożenie tych postulatów nie warunkuje również przyjęcia planu. Postulaty takie mogą </w:t>
            </w:r>
            <w:r w:rsidRPr="005E78BB">
              <w:rPr>
                <w:rFonts w:ascii="Calibri" w:eastAsia="Times New Roman" w:hAnsi="Calibri" w:cs="Calibri"/>
                <w:color w:val="000000"/>
                <w:sz w:val="18"/>
                <w:szCs w:val="18"/>
                <w:lang w:eastAsia="pl-PL"/>
              </w:rPr>
              <w:lastRenderedPageBreak/>
              <w:t>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 W IIaPGW wskazywane działania mają charakter działań naprawczych.</w:t>
            </w:r>
          </w:p>
        </w:tc>
      </w:tr>
      <w:tr w:rsidR="0085319C" w:rsidRPr="005E78BB" w14:paraId="313F0613" w14:textId="77777777" w:rsidTr="00E92AE6">
        <w:trPr>
          <w:trHeight w:val="454"/>
        </w:trPr>
        <w:tc>
          <w:tcPr>
            <w:tcW w:w="562" w:type="dxa"/>
            <w:shd w:val="clear" w:color="auto" w:fill="auto"/>
            <w:hideMark/>
          </w:tcPr>
          <w:p w14:paraId="69B5F1A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232</w:t>
            </w:r>
          </w:p>
        </w:tc>
        <w:tc>
          <w:tcPr>
            <w:tcW w:w="1021" w:type="dxa"/>
          </w:tcPr>
          <w:p w14:paraId="6DB9FD8D" w14:textId="1F8F34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1B33FC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345B07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krajowe-monitoring.</w:t>
            </w:r>
            <w:r w:rsidRPr="005E78BB">
              <w:rPr>
                <w:rFonts w:ascii="Calibri" w:eastAsia="Times New Roman" w:hAnsi="Calibri" w:cs="Calibri"/>
                <w:color w:val="000000"/>
                <w:sz w:val="18"/>
                <w:szCs w:val="18"/>
                <w:lang w:eastAsia="pl-PL"/>
              </w:rPr>
              <w:br w:type="page"/>
              <w:t>Cykliczny przegląd pozwoleń wodno prawnych na piętrzenie wód pod względem migracji/ochrony ryb</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331F6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zmieniające obecne zapisy prawa ( Prawo Wodne ) wprowadzające cykliczny przeglądu pozwoleń wodnoprawnych na piętrzenie wód pod względem migracji/ochrony ryb</w:t>
            </w:r>
          </w:p>
        </w:tc>
        <w:tc>
          <w:tcPr>
            <w:tcW w:w="3401" w:type="dxa"/>
            <w:shd w:val="clear" w:color="auto" w:fill="auto"/>
            <w:hideMark/>
          </w:tcPr>
          <w:p w14:paraId="4ECEF9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 ma żadnego skutecznego aktu prawnego który w automacie nie pozwala na przedłużenie pozwolenia wodnoprawnego jeżeli np. przepławki na obiekcie są niesprawne.</w:t>
            </w:r>
          </w:p>
        </w:tc>
        <w:tc>
          <w:tcPr>
            <w:tcW w:w="1918" w:type="dxa"/>
            <w:shd w:val="clear" w:color="auto" w:fill="auto"/>
            <w:hideMark/>
          </w:tcPr>
          <w:p w14:paraId="754543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4B41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B12F4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Zaproponowane w uwadze działanie nie zostało uwzględnione w IIaPGW.</w:t>
            </w:r>
            <w:r w:rsidRPr="005E78BB">
              <w:rPr>
                <w:rFonts w:ascii="Calibri" w:eastAsia="Times New Roman" w:hAnsi="Calibri" w:cs="Calibri"/>
                <w:color w:val="000000"/>
                <w:sz w:val="18"/>
                <w:szCs w:val="18"/>
                <w:lang w:eastAsia="pl-PL"/>
              </w:rPr>
              <w:br w:type="page"/>
              <w:t>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ype="page"/>
              <w:t>Zgłoszone uwagi dotyczące zmiany prawa wychodzą w istocie od konkluzji co do nieprawidłowości stosowania obowiązujących przepisów, szczególnie w zakresie utrzymania urządzeń wodnych. Zmierzają też do podniesienia poziomu przestrzegania lub egzekucji prawa, co jest możliwe również przy zastosowaniu przepisów obecnie obowiązujących.</w:t>
            </w:r>
            <w:r w:rsidRPr="005E78BB">
              <w:rPr>
                <w:rFonts w:ascii="Calibri" w:eastAsia="Times New Roman" w:hAnsi="Calibri" w:cs="Calibri"/>
                <w:color w:val="000000"/>
                <w:sz w:val="18"/>
                <w:szCs w:val="18"/>
                <w:lang w:eastAsia="pl-PL"/>
              </w:rPr>
              <w:br w:type="page"/>
              <w:t>Zgodnie z art. 188 ust.1 i 2 Prawa wodnego:</w:t>
            </w:r>
            <w:r w:rsidRPr="005E78BB">
              <w:rPr>
                <w:rFonts w:ascii="Calibri" w:eastAsia="Times New Roman" w:hAnsi="Calibri" w:cs="Calibri"/>
                <w:color w:val="000000"/>
                <w:sz w:val="18"/>
                <w:szCs w:val="18"/>
                <w:lang w:eastAsia="pl-PL"/>
              </w:rPr>
              <w:br w:type="page"/>
              <w:t>- „Utrzymywanie urządzeń wodnych należy do ich właścicieli i polega na eksploatacji, konserwacji oraz remontach w celu zachowania ich funkcji.”</w:t>
            </w:r>
            <w:r w:rsidRPr="005E78BB">
              <w:rPr>
                <w:rFonts w:ascii="Calibri" w:eastAsia="Times New Roman" w:hAnsi="Calibri" w:cs="Calibri"/>
                <w:color w:val="000000"/>
                <w:sz w:val="18"/>
                <w:szCs w:val="18"/>
                <w:lang w:eastAsia="pl-PL"/>
              </w:rPr>
              <w:br w:type="page"/>
              <w:t xml:space="preserve">- „W kosztach utrzymywania urządzeń wodnych uczestniczy ten, kto odnosi z nich korzyści. Przepis stosuje się także w przypadku ochrony przed powodzią lub suszą, żeglugi, poboru wód, energetycznego wykorzystania urządzeń wodnych, wprowadzania ścieków lub odprowadzania wody do urządzeń wodnych oraz innych usług wodnych, a także działalności gospodarczej związanej z wykorzystaniem urządzeń wodnych do celów </w:t>
            </w:r>
            <w:r w:rsidRPr="005E78BB">
              <w:rPr>
                <w:rFonts w:ascii="Calibri" w:eastAsia="Times New Roman" w:hAnsi="Calibri" w:cs="Calibri"/>
                <w:color w:val="000000"/>
                <w:sz w:val="18"/>
                <w:szCs w:val="18"/>
                <w:lang w:eastAsia="pl-PL"/>
              </w:rPr>
              <w:lastRenderedPageBreak/>
              <w:t>rekreacyjnych, z wyłączeniem działalności wykonywanej przez uprawnionych do rybactwa.”</w:t>
            </w:r>
            <w:r w:rsidRPr="005E78BB">
              <w:rPr>
                <w:rFonts w:ascii="Calibri" w:eastAsia="Times New Roman" w:hAnsi="Calibri" w:cs="Calibri"/>
                <w:color w:val="000000"/>
                <w:sz w:val="18"/>
                <w:szCs w:val="18"/>
                <w:lang w:eastAsia="pl-PL"/>
              </w:rPr>
              <w:br w:type="page"/>
              <w:t>Zgodnie z art. 415 pkt 1, 2, 3 i 7 Prawa wodnego, „pozwolenie wodnoprawne można cofnąć lub ograniczyć bez odszkodowania, jeżeli:</w:t>
            </w:r>
            <w:r w:rsidRPr="005E78BB">
              <w:rPr>
                <w:rFonts w:ascii="Calibri" w:eastAsia="Times New Roman" w:hAnsi="Calibri" w:cs="Calibri"/>
                <w:color w:val="000000"/>
                <w:sz w:val="18"/>
                <w:szCs w:val="18"/>
                <w:lang w:eastAsia="pl-PL"/>
              </w:rPr>
              <w:br w:type="page"/>
              <w:t>1) zakład zmienia cel i zakres korzystania z wód lub warunki wykonywania uprawnień ustalonych w pozwoleniu wodnoprawnym;</w:t>
            </w:r>
            <w:r w:rsidRPr="005E78BB">
              <w:rPr>
                <w:rFonts w:ascii="Calibri" w:eastAsia="Times New Roman" w:hAnsi="Calibri" w:cs="Calibri"/>
                <w:color w:val="000000"/>
                <w:sz w:val="18"/>
                <w:szCs w:val="18"/>
                <w:lang w:eastAsia="pl-PL"/>
              </w:rPr>
              <w:br w:type="page"/>
              <w:t>2) urządzenia wodne wykonane zostały niezgodnie z warunkami ustalonymi w pozwoleniu wodnoprawnym lub nie są należycie utrzymywane;</w:t>
            </w:r>
            <w:r w:rsidRPr="005E78BB">
              <w:rPr>
                <w:rFonts w:ascii="Calibri" w:eastAsia="Times New Roman" w:hAnsi="Calibri" w:cs="Calibri"/>
                <w:color w:val="000000"/>
                <w:sz w:val="18"/>
                <w:szCs w:val="18"/>
                <w:lang w:eastAsia="pl-PL"/>
              </w:rPr>
              <w:br w:type="page"/>
              <w:t>3) zakład nie realizuje obowiązków wobec innych zakładów posiadających pozwolenie wodnoprawne, uprawnionych do rybactwa, oraz osób narażonych na szkody albo nie realizuje przedsięwzięć ograniczających negatywne oddziaływanie na środowisko, ustalonych w pozwoleniu wodnoprawnym; (...)</w:t>
            </w:r>
            <w:r w:rsidRPr="005E78BB">
              <w:rPr>
                <w:rFonts w:ascii="Calibri" w:eastAsia="Times New Roman" w:hAnsi="Calibri" w:cs="Calibri"/>
                <w:color w:val="000000"/>
                <w:sz w:val="18"/>
                <w:szCs w:val="18"/>
                <w:lang w:eastAsia="pl-PL"/>
              </w:rPr>
              <w:br w:type="page"/>
              <w:t>7) nastąpiło zagrożenie osiągnięcia celów środowiskowych i jest to uzasadnione danymi z monitoringu wód oraz wynikami dodatkowego przeglądu pozwoleń wodnoprawnych, o którym mowa w art. 325 ust. 1 pkt 2; (…)”</w:t>
            </w:r>
            <w:r w:rsidRPr="005E78BB">
              <w:rPr>
                <w:rFonts w:ascii="Calibri" w:eastAsia="Times New Roman" w:hAnsi="Calibri" w:cs="Calibri"/>
                <w:color w:val="000000"/>
                <w:sz w:val="18"/>
                <w:szCs w:val="18"/>
                <w:lang w:eastAsia="pl-PL"/>
              </w:rPr>
              <w:br w:type="page"/>
              <w:t>Należyte utrzymanie urządzeń wodnych, w tym przepławek, jak też należyte wykonywanie innych obowiązków w zakresie zapewnienia drożności cieku i migracji organizmów wodnych, wynikających ze zgody wodnoprawnej, może być również przedmiotem egzekucji administracyjnej.</w:t>
            </w:r>
          </w:p>
        </w:tc>
      </w:tr>
      <w:tr w:rsidR="0085319C" w:rsidRPr="005E78BB" w14:paraId="5C9ECB03" w14:textId="77777777" w:rsidTr="00E92AE6">
        <w:trPr>
          <w:trHeight w:val="454"/>
        </w:trPr>
        <w:tc>
          <w:tcPr>
            <w:tcW w:w="562" w:type="dxa"/>
            <w:shd w:val="clear" w:color="auto" w:fill="auto"/>
            <w:hideMark/>
          </w:tcPr>
          <w:p w14:paraId="59D8D4F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233</w:t>
            </w:r>
          </w:p>
        </w:tc>
        <w:tc>
          <w:tcPr>
            <w:tcW w:w="1021" w:type="dxa"/>
          </w:tcPr>
          <w:p w14:paraId="3CB91D48" w14:textId="53DEB0B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419C57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25CADF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krajowe-akty prawne.</w:t>
            </w:r>
            <w:r w:rsidRPr="005E78BB">
              <w:rPr>
                <w:rFonts w:ascii="Calibri" w:eastAsia="Times New Roman" w:hAnsi="Calibri" w:cs="Calibri"/>
                <w:color w:val="000000"/>
                <w:sz w:val="18"/>
                <w:szCs w:val="18"/>
                <w:lang w:eastAsia="pl-PL"/>
              </w:rPr>
              <w:br/>
              <w:t>Stworzenie w formie aktu prawnego zasad renaturyzacji/udrożnienia budowli na wodach oraz prac modernizacyjnych/utrzymaniowych</w:t>
            </w:r>
          </w:p>
        </w:tc>
        <w:tc>
          <w:tcPr>
            <w:tcW w:w="3377" w:type="dxa"/>
            <w:shd w:val="clear" w:color="auto" w:fill="auto"/>
            <w:hideMark/>
          </w:tcPr>
          <w:p w14:paraId="72EC26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o obowiązku stworzenia czytelnego jednolitego aktu prawnego dotyczącego renaturyzacji/udrożnienia budowli na wodach oraz prac modernizacyjnych/utrzymaniowych.</w:t>
            </w:r>
          </w:p>
        </w:tc>
        <w:tc>
          <w:tcPr>
            <w:tcW w:w="3401" w:type="dxa"/>
            <w:shd w:val="clear" w:color="auto" w:fill="auto"/>
            <w:hideMark/>
          </w:tcPr>
          <w:p w14:paraId="689C84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Chodzi o stworzenie jednolitego na wszystkich wodach aktu prawnego zobowiązującego prawnie na jakich zasadach ma być przeprowadzana modernizacja budowli, przedłużenie pozwolenia wodno prawnego czy tez budowa nowej budowli.</w:t>
            </w:r>
            <w:r w:rsidRPr="005E78BB">
              <w:rPr>
                <w:rFonts w:ascii="Calibri" w:eastAsia="Times New Roman" w:hAnsi="Calibri" w:cs="Calibri"/>
                <w:color w:val="000000"/>
                <w:sz w:val="18"/>
                <w:szCs w:val="18"/>
                <w:lang w:eastAsia="pl-PL"/>
              </w:rPr>
              <w:br/>
              <w:t>Chodzi o szczegółowe dane techniczne:</w:t>
            </w:r>
            <w:r w:rsidRPr="005E78BB">
              <w:rPr>
                <w:rFonts w:ascii="Calibri" w:eastAsia="Times New Roman" w:hAnsi="Calibri" w:cs="Calibri"/>
                <w:color w:val="000000"/>
                <w:sz w:val="18"/>
                <w:szCs w:val="18"/>
                <w:lang w:eastAsia="pl-PL"/>
              </w:rPr>
              <w:br/>
              <w:t>Jakie parametry minimalne powinna spełniać dane urządzenie do migracji ryb. Czy też jaka ilość powinna być przepławek, weryfikacja skuteczności urządzenia do migracji.</w:t>
            </w:r>
            <w:r w:rsidRPr="005E78BB">
              <w:rPr>
                <w:rFonts w:ascii="Calibri" w:eastAsia="Times New Roman" w:hAnsi="Calibri" w:cs="Calibri"/>
                <w:color w:val="000000"/>
                <w:sz w:val="18"/>
                <w:szCs w:val="18"/>
                <w:lang w:eastAsia="pl-PL"/>
              </w:rPr>
              <w:br/>
              <w:t>Przykładem jest rzeka Wisła gdzie oczywistym jest że budowle na tej rzece powinny mieć po kilka przepławek ( przykład planowanego Siarzewa ) a na Włocławku jest tylko jedna poprzez brak kompleksowego zakładanego udrożnienia.</w:t>
            </w:r>
            <w:r w:rsidRPr="005E78BB">
              <w:rPr>
                <w:rFonts w:ascii="Calibri" w:eastAsia="Times New Roman" w:hAnsi="Calibri" w:cs="Calibri"/>
                <w:color w:val="000000"/>
                <w:sz w:val="18"/>
                <w:szCs w:val="18"/>
                <w:lang w:eastAsia="pl-PL"/>
              </w:rPr>
              <w:br/>
              <w:t>Dodatkowo bardzo często używa się pojęcia przepławka dla troci, łososia, co jest błędem.</w:t>
            </w:r>
            <w:r w:rsidRPr="005E78BB">
              <w:rPr>
                <w:rFonts w:ascii="Calibri" w:eastAsia="Times New Roman" w:hAnsi="Calibri" w:cs="Calibri"/>
                <w:color w:val="000000"/>
                <w:sz w:val="18"/>
                <w:szCs w:val="18"/>
                <w:lang w:eastAsia="pl-PL"/>
              </w:rPr>
              <w:br/>
              <w:t xml:space="preserve">Przepławka powinna być dla wszystkich ryb dużych i małych, i powinna spełniać wymagania dla tych najsłabszych pod względem migracyjnym ( pływackim ), a </w:t>
            </w:r>
            <w:r w:rsidRPr="005E78BB">
              <w:rPr>
                <w:rFonts w:ascii="Calibri" w:eastAsia="Times New Roman" w:hAnsi="Calibri" w:cs="Calibri"/>
                <w:color w:val="000000"/>
                <w:sz w:val="18"/>
                <w:szCs w:val="18"/>
                <w:lang w:eastAsia="pl-PL"/>
              </w:rPr>
              <w:lastRenderedPageBreak/>
              <w:t>ewentualną wielkość dobierać się pod względem występujących ryb.</w:t>
            </w:r>
            <w:r w:rsidRPr="005E78BB">
              <w:rPr>
                <w:rFonts w:ascii="Calibri" w:eastAsia="Times New Roman" w:hAnsi="Calibri" w:cs="Calibri"/>
                <w:color w:val="000000"/>
                <w:sz w:val="18"/>
                <w:szCs w:val="18"/>
                <w:lang w:eastAsia="pl-PL"/>
              </w:rPr>
              <w:br/>
              <w:t>Jeżeli wybudujemy przepławki tylko dla troci to znaczy że już nie ma na danym cieku innych ryb i dla nich nie musimy zapewnić migracji? Czy powiemy wtedy że taka przepławka jest sprawna,  bo zapewnia migracje dla troci…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Odmienna kwestią poruszaną w danym akcie prawnym powinno być także badanie skuteczności urządzeń do migracji ryb, czy powinno opierać się tylko na badaniu prędkości przepływów czy też oraz na badaniu migracji oznaczonych ryb. I co najważniejsze kiedy możemy powiedzieć że dana przepławka jest sprawna.</w:t>
            </w:r>
            <w:r w:rsidRPr="005E78BB">
              <w:rPr>
                <w:rFonts w:ascii="Calibri" w:eastAsia="Times New Roman" w:hAnsi="Calibri" w:cs="Calibri"/>
                <w:color w:val="000000"/>
                <w:sz w:val="18"/>
                <w:szCs w:val="18"/>
                <w:lang w:eastAsia="pl-PL"/>
              </w:rPr>
              <w:br/>
              <w:t>Oczywiście jest dużo poradników/dobrych praktyk ale nie ma żadnego aktu prawnego który realnie, skutecznie i rzeczywiście zobowiązywał odgórnie w poruszanych kwestiach na wszystkich wodach,</w:t>
            </w:r>
            <w:r w:rsidRPr="005E78BB">
              <w:rPr>
                <w:rFonts w:ascii="Calibri" w:eastAsia="Times New Roman" w:hAnsi="Calibri" w:cs="Calibri"/>
                <w:color w:val="000000"/>
                <w:sz w:val="18"/>
                <w:szCs w:val="18"/>
                <w:lang w:eastAsia="pl-PL"/>
              </w:rPr>
              <w:br/>
              <w:t>Zapisy z poradników/dobryk praktych/instrukcji powinny być w formie jednolitego zobowiązującego aktu prawnego.</w:t>
            </w:r>
            <w:r w:rsidRPr="005E78BB">
              <w:rPr>
                <w:rFonts w:ascii="Calibri" w:eastAsia="Times New Roman" w:hAnsi="Calibri" w:cs="Calibri"/>
                <w:color w:val="000000"/>
                <w:sz w:val="18"/>
                <w:szCs w:val="18"/>
                <w:lang w:eastAsia="pl-PL"/>
              </w:rPr>
              <w:br/>
              <w:t>Widoczny jest brak odgórnie skoordynowania rdziałań udrożnieniowych rzek pod względem migracyjnym.</w:t>
            </w:r>
            <w:r w:rsidRPr="005E78BB">
              <w:rPr>
                <w:rFonts w:ascii="Calibri" w:eastAsia="Times New Roman" w:hAnsi="Calibri" w:cs="Calibri"/>
                <w:color w:val="000000"/>
                <w:sz w:val="18"/>
                <w:szCs w:val="18"/>
                <w:lang w:eastAsia="pl-PL"/>
              </w:rPr>
              <w:br/>
              <w:t>Raczej skuteczność migracyjna budowli i ich wykonanie na obiektach niestety zależy od społecznego zainteresowania.</w:t>
            </w:r>
          </w:p>
        </w:tc>
        <w:tc>
          <w:tcPr>
            <w:tcW w:w="1918" w:type="dxa"/>
            <w:shd w:val="clear" w:color="auto" w:fill="auto"/>
            <w:hideMark/>
          </w:tcPr>
          <w:p w14:paraId="579782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6A7B11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E6BE7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Obserwowane jest zapotrzebowanie na dostępność jednolitych wytycznych i sposobów udrażniania obiektów piętrzących, niemniej jednak na poziomie dokumentu strategicznego jakim jest IIaPGW nie ma możliwości wprowadzenia działania w proponowanym zakresie.</w:t>
            </w:r>
            <w:r w:rsidRPr="005E78BB">
              <w:rPr>
                <w:rFonts w:ascii="Calibri" w:eastAsia="Times New Roman" w:hAnsi="Calibri" w:cs="Calibri"/>
                <w:color w:val="000000"/>
                <w:sz w:val="18"/>
                <w:szCs w:val="18"/>
                <w:lang w:eastAsia="pl-PL"/>
              </w:rPr>
              <w:br/>
              <w:t>Opracowanie wytycznych i sposobów udrażniania obiektów piętrzących z uwagi na zróżnicowanie zagadnień i wymagane uwzględnienie uwarunkowań lokalnych stanowić powinno wynik analiz i prac podejmowanych na podstawie zaktualizowanych danych dot. potrzeb danego regionu. Tym samym wprowadzenie na poziomie krajowym takiego działania nie ma podstaw prawnych dla jego realizacji.</w:t>
            </w:r>
          </w:p>
        </w:tc>
      </w:tr>
      <w:tr w:rsidR="0085319C" w:rsidRPr="005E78BB" w14:paraId="69B80763" w14:textId="77777777" w:rsidTr="00E92AE6">
        <w:trPr>
          <w:trHeight w:val="454"/>
        </w:trPr>
        <w:tc>
          <w:tcPr>
            <w:tcW w:w="562" w:type="dxa"/>
            <w:shd w:val="clear" w:color="auto" w:fill="auto"/>
            <w:hideMark/>
          </w:tcPr>
          <w:p w14:paraId="52DF14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234</w:t>
            </w:r>
          </w:p>
        </w:tc>
        <w:tc>
          <w:tcPr>
            <w:tcW w:w="1021" w:type="dxa"/>
          </w:tcPr>
          <w:p w14:paraId="6C71CA33" w14:textId="212EA45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019720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DCEDD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krajowe-zmiana zapisów prawa</w:t>
            </w:r>
            <w:r w:rsidRPr="005E78BB">
              <w:rPr>
                <w:rFonts w:ascii="Calibri" w:eastAsia="Times New Roman" w:hAnsi="Calibri" w:cs="Calibri"/>
                <w:color w:val="000000"/>
                <w:sz w:val="18"/>
                <w:szCs w:val="18"/>
                <w:lang w:eastAsia="pl-PL"/>
              </w:rPr>
              <w:br/>
              <w:t>Utworzenie obowiązkowego działu który powinien znajdować się w pozwoleniu wodnoprawnym na piętrzenie wód a dotyczyłby tylko kwestii migracji ryb, ochrony ryb, urządzeń do migracji, retencjonowania wodą ( pod względem ochrony ryb ) i wynikających z tego obowiązków.</w:t>
            </w:r>
          </w:p>
        </w:tc>
        <w:tc>
          <w:tcPr>
            <w:tcW w:w="3377" w:type="dxa"/>
            <w:shd w:val="clear" w:color="auto" w:fill="auto"/>
            <w:hideMark/>
          </w:tcPr>
          <w:p w14:paraId="241658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zmieniające obecne zapisy prawa ( Prawo Wodne ) wprowadzające utworzenie obowiązkowego działu który powinien znajdować się w pozwoleniu wodnoprawnym na piętrzenie wód a dotyczyłby tylko kwestii migracji ryb, ochrony ryb, urządzeń do migracji, retencjonowania wodą ( pod względem ochrony ryb ) i wynikających z tego obowiązków.</w:t>
            </w:r>
          </w:p>
        </w:tc>
        <w:tc>
          <w:tcPr>
            <w:tcW w:w="3401" w:type="dxa"/>
            <w:shd w:val="clear" w:color="auto" w:fill="auto"/>
            <w:hideMark/>
          </w:tcPr>
          <w:p w14:paraId="085193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 w każdym pozwoleniu wodnoprawnym na piętrzenie wód jest w ogóle wzmianka w tej tematyce.</w:t>
            </w:r>
            <w:r w:rsidRPr="005E78BB">
              <w:rPr>
                <w:rFonts w:ascii="Calibri" w:eastAsia="Times New Roman" w:hAnsi="Calibri" w:cs="Calibri"/>
                <w:color w:val="000000"/>
                <w:sz w:val="18"/>
                <w:szCs w:val="18"/>
                <w:lang w:eastAsia="pl-PL"/>
              </w:rPr>
              <w:br/>
              <w:t>Jest opisane co powinno się znajdować, nie ma skutecznych i czytelnych zapisów że taka kwestia powinna być zapisana obowiązkowo w pozwoleniu wodnoprawnym na piętrzenie wód.</w:t>
            </w:r>
            <w:r w:rsidRPr="005E78BB">
              <w:rPr>
                <w:rFonts w:ascii="Calibri" w:eastAsia="Times New Roman" w:hAnsi="Calibri" w:cs="Calibri"/>
                <w:color w:val="000000"/>
                <w:sz w:val="18"/>
                <w:szCs w:val="18"/>
                <w:lang w:eastAsia="pl-PL"/>
              </w:rPr>
              <w:br/>
              <w:t>Zależy to w rzeczywistości od społecznego zainteresowania budowlą.</w:t>
            </w:r>
          </w:p>
        </w:tc>
        <w:tc>
          <w:tcPr>
            <w:tcW w:w="1918" w:type="dxa"/>
            <w:shd w:val="clear" w:color="auto" w:fill="auto"/>
            <w:hideMark/>
          </w:tcPr>
          <w:p w14:paraId="3C965F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DF65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84CE9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Zaproponowane w uwadze działanie nie zostało uwzględnione w IIaPGW.</w:t>
            </w:r>
            <w:r w:rsidRPr="005E78BB">
              <w:rPr>
                <w:rFonts w:ascii="Calibri" w:eastAsia="Times New Roman" w:hAnsi="Calibri" w:cs="Calibri"/>
                <w:color w:val="000000"/>
                <w:sz w:val="18"/>
                <w:szCs w:val="18"/>
                <w:lang w:eastAsia="pl-PL"/>
              </w:rPr>
              <w:br/>
              <w:t>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(szerzej: Memorandum Kancelarii z dnia 24.10.2021 r.).</w:t>
            </w:r>
            <w:r w:rsidRPr="005E78BB">
              <w:rPr>
                <w:rFonts w:ascii="Calibri" w:eastAsia="Times New Roman" w:hAnsi="Calibri" w:cs="Calibri"/>
                <w:color w:val="000000"/>
                <w:sz w:val="18"/>
                <w:szCs w:val="18"/>
                <w:lang w:eastAsia="pl-PL"/>
              </w:rPr>
              <w:b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 W IIaPGW wskazywane działania mają charakter działań naprawczych.</w:t>
            </w:r>
          </w:p>
        </w:tc>
      </w:tr>
      <w:tr w:rsidR="0085319C" w:rsidRPr="005E78BB" w14:paraId="0431D8A0" w14:textId="77777777" w:rsidTr="00E92AE6">
        <w:trPr>
          <w:trHeight w:val="454"/>
        </w:trPr>
        <w:tc>
          <w:tcPr>
            <w:tcW w:w="562" w:type="dxa"/>
            <w:shd w:val="clear" w:color="auto" w:fill="auto"/>
            <w:hideMark/>
          </w:tcPr>
          <w:p w14:paraId="5400415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235</w:t>
            </w:r>
          </w:p>
        </w:tc>
        <w:tc>
          <w:tcPr>
            <w:tcW w:w="1021" w:type="dxa"/>
          </w:tcPr>
          <w:p w14:paraId="5C63892B" w14:textId="15627B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550CCB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66D893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krajowe-zmiana zapisów prawa</w:t>
            </w:r>
            <w:r w:rsidRPr="005E78BB">
              <w:rPr>
                <w:rFonts w:ascii="Calibri" w:eastAsia="Times New Roman" w:hAnsi="Calibri" w:cs="Calibri"/>
                <w:color w:val="000000"/>
                <w:sz w:val="18"/>
                <w:szCs w:val="18"/>
                <w:lang w:eastAsia="pl-PL"/>
              </w:rPr>
              <w:br w:type="page"/>
              <w:t>Skuteczne przeciwdziałanie nielegalnemu poboru żwiru z rzek.</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D9663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IIaPGW działania których skutkiem byłyby zapisy prawne zmieniające </w:t>
            </w:r>
            <w:r w:rsidRPr="005E78BB">
              <w:rPr>
                <w:rFonts w:ascii="Calibri" w:eastAsia="Times New Roman" w:hAnsi="Calibri" w:cs="Calibri"/>
                <w:color w:val="000000"/>
                <w:sz w:val="18"/>
                <w:szCs w:val="18"/>
                <w:lang w:eastAsia="pl-PL"/>
              </w:rPr>
              <w:lastRenderedPageBreak/>
              <w:t>obecne zapisy prawa ( Prawo Wodne ) wprowadzające skuteczne rozwiązania z nielegalnym poborem żwiru</w:t>
            </w:r>
          </w:p>
        </w:tc>
        <w:tc>
          <w:tcPr>
            <w:tcW w:w="3401" w:type="dxa"/>
            <w:shd w:val="clear" w:color="auto" w:fill="auto"/>
            <w:hideMark/>
          </w:tcPr>
          <w:p w14:paraId="2D866A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Obecne rozwiązania są całkowicie nieskuteczne, powoduje to że nielegalny </w:t>
            </w:r>
            <w:r w:rsidRPr="005E78BB">
              <w:rPr>
                <w:rFonts w:ascii="Calibri" w:eastAsia="Times New Roman" w:hAnsi="Calibri" w:cs="Calibri"/>
                <w:color w:val="000000"/>
                <w:sz w:val="18"/>
                <w:szCs w:val="18"/>
                <w:lang w:eastAsia="pl-PL"/>
              </w:rPr>
              <w:lastRenderedPageBreak/>
              <w:t>pobór żwiru jest prowadzony w sprzyjających warunkach na skale przemysłową i w sposób zorganizowany. Dodatkowo za taki czyn grozi niewielka kara.</w:t>
            </w:r>
          </w:p>
        </w:tc>
        <w:tc>
          <w:tcPr>
            <w:tcW w:w="1918" w:type="dxa"/>
            <w:shd w:val="clear" w:color="auto" w:fill="auto"/>
            <w:hideMark/>
          </w:tcPr>
          <w:p w14:paraId="18B373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376E56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EFDA8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art. 315 ustawy z dnia 20 lipca 2017 r. Prawo wodne (t.j. Dz. U. z 2021 r. poz. 624, </w:t>
            </w:r>
            <w:r w:rsidRPr="005E78BB">
              <w:rPr>
                <w:rFonts w:ascii="Calibri" w:eastAsia="Times New Roman" w:hAnsi="Calibri" w:cs="Calibri"/>
                <w:color w:val="000000"/>
                <w:sz w:val="18"/>
                <w:szCs w:val="18"/>
                <w:lang w:eastAsia="pl-PL"/>
              </w:rPr>
              <w:lastRenderedPageBreak/>
              <w:t>z późn. zm.) plan gospodarowania wodami na obszarze dorzecza stanowi dokument planistyczny będący przedmiotem regulacji Dziale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t xml:space="preserve">Odnośnie do poruszonych w uwadze zagadnień prawnych podkreślenia wymaga, że Zgodnie z art. 34 pkt 8 ustawy pr.w. szczególnym korzystaniem z wód jest </w:t>
            </w:r>
            <w:r w:rsidRPr="005E78BB">
              <w:rPr>
                <w:rFonts w:ascii="Calibri" w:eastAsia="Times New Roman" w:hAnsi="Calibri" w:cs="Calibri"/>
                <w:color w:val="000000"/>
                <w:sz w:val="18"/>
                <w:szCs w:val="18"/>
                <w:lang w:eastAsia="pl-PL"/>
              </w:rPr>
              <w:lastRenderedPageBreak/>
              <w:t>korzystanie z wód wykraczające poza powszechne korzystanie z wód oraz zwykłe korzystanie z wód, obejmujące: wydobywanie z wód powierzchniowych, w tym z morskich wód wewnętrznych wraz z wodami wewnętrznymi Zatoki Gdańskiej oraz wód morza terytorialnego, kamienia, żwiru, piasku oraz innych materiałów, a także wycinanie roślin z wód lub brzegu. Tym samym zgodnie z art. 389 pkt 2 dla wydobywania żwiru z wód powierzchniowych, w tym z morskich wód wewnętrznych wraz z wodami wewnętrznymi Zatoki Gdańskiej oraz wód morza terytorialnego, wymagane jest uzyskanie pozwolenia wodnoprawnego.</w:t>
            </w:r>
            <w:r w:rsidRPr="005E78BB">
              <w:rPr>
                <w:rFonts w:ascii="Calibri" w:eastAsia="Times New Roman" w:hAnsi="Calibri" w:cs="Calibri"/>
                <w:color w:val="000000"/>
                <w:sz w:val="18"/>
                <w:szCs w:val="18"/>
                <w:lang w:eastAsia="pl-PL"/>
              </w:rPr>
              <w:br w:type="page"/>
              <w:t>Wydobywanie kamienia, żwiru, piasku, innych materiałów z wód w związku z utrzymywaniem wód, śródlądowych dróg wodnych oraz remontem urządzeń wodnych, wykonywane w ramach obowiązków właściciela wód wymaga zgłoszenia wodnoprawnego (art. 394 ust. 1 ustawy pr.w.).</w:t>
            </w:r>
            <w:r w:rsidRPr="005E78BB">
              <w:rPr>
                <w:rFonts w:ascii="Calibri" w:eastAsia="Times New Roman" w:hAnsi="Calibri" w:cs="Calibri"/>
                <w:color w:val="000000"/>
                <w:sz w:val="18"/>
                <w:szCs w:val="18"/>
                <w:lang w:eastAsia="pl-PL"/>
              </w:rPr>
              <w:br w:type="page"/>
              <w:t>Tym samym każde działanie bez wymaganego pozwolenia wodnoprawnego lub zgłoszenia wodnoprawnego jest niezgodne z przepisami.</w:t>
            </w:r>
          </w:p>
        </w:tc>
      </w:tr>
      <w:tr w:rsidR="0085319C" w:rsidRPr="005E78BB" w14:paraId="3CAA8105" w14:textId="77777777" w:rsidTr="00E92AE6">
        <w:trPr>
          <w:trHeight w:val="454"/>
        </w:trPr>
        <w:tc>
          <w:tcPr>
            <w:tcW w:w="562" w:type="dxa"/>
            <w:shd w:val="clear" w:color="auto" w:fill="auto"/>
            <w:hideMark/>
          </w:tcPr>
          <w:p w14:paraId="075032D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236</w:t>
            </w:r>
          </w:p>
        </w:tc>
        <w:tc>
          <w:tcPr>
            <w:tcW w:w="1021" w:type="dxa"/>
          </w:tcPr>
          <w:p w14:paraId="0E994D7F" w14:textId="7E2CF4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GŁÓWNY INSPEKTORAT OCHRONY ŚRODOWISKA </w:t>
            </w:r>
          </w:p>
        </w:tc>
        <w:tc>
          <w:tcPr>
            <w:tcW w:w="1630" w:type="dxa"/>
            <w:shd w:val="clear" w:color="auto" w:fill="auto"/>
            <w:hideMark/>
          </w:tcPr>
          <w:p w14:paraId="0E19FB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GRAFICZNE</w:t>
            </w:r>
          </w:p>
        </w:tc>
        <w:tc>
          <w:tcPr>
            <w:tcW w:w="5663" w:type="dxa"/>
            <w:shd w:val="clear" w:color="auto" w:fill="auto"/>
            <w:hideMark/>
          </w:tcPr>
          <w:p w14:paraId="15CFBB80" w14:textId="043C9DD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zmienić szrafury dla potencjału ekologicznego sztucznej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oraz potencjału ekologicznego silnie zmienionej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Według załącznika 17, tabeli nr 2 r.kl., maksymalny lub dobry potencjał ekologiczny dla sztucznej części wód powierzchniowych powinien zostać zaprezentowany poprzez zielono-jasnoszare pasy równej szerokości.</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Uwaga do załączników graficznych - mapy stanu/potencjału ekologicznego jednolitych części wód powierzchniowych rzecznych</w:t>
            </w:r>
          </w:p>
        </w:tc>
        <w:tc>
          <w:tcPr>
            <w:tcW w:w="3377" w:type="dxa"/>
            <w:shd w:val="clear" w:color="auto" w:fill="auto"/>
            <w:hideMark/>
          </w:tcPr>
          <w:p w14:paraId="5D58DFBC" w14:textId="37658C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Zmienić szrafury dla potencjału ekologicznego sztucznej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oraz potencjału ekologicznego silnie zmienionej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według schematu: w przypadku maksymalnego lub dobrego potencjału ekologicznego dla sztucznej części wód powierzchniowych trzeba zmienić szrafurę z jasnoszarych linii na zielonym tle na zielono-jasnoszare pasy równej szerokości. Analogicznie dla umiarkowanego, słabego, złego potencjału.</w:t>
            </w:r>
          </w:p>
        </w:tc>
        <w:tc>
          <w:tcPr>
            <w:tcW w:w="3401" w:type="dxa"/>
            <w:shd w:val="clear" w:color="auto" w:fill="auto"/>
            <w:hideMark/>
          </w:tcPr>
          <w:p w14:paraId="358C1F04" w14:textId="7E606E4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Sposób prezentacji wyników klasyfikacji stanu/potencjału ekologicznego nie jest zgodny z rozporządzeniem klasyfikacyjnym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MGMiŻŚ</w:t>
            </w:r>
          </w:p>
        </w:tc>
        <w:tc>
          <w:tcPr>
            <w:tcW w:w="1918" w:type="dxa"/>
            <w:shd w:val="clear" w:color="auto" w:fill="auto"/>
            <w:hideMark/>
          </w:tcPr>
          <w:p w14:paraId="5B8EAF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BF458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7F13C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Wprowadzono zmianę zgodnie ze zgłoszoną uwagą.</w:t>
            </w:r>
          </w:p>
        </w:tc>
      </w:tr>
      <w:tr w:rsidR="0085319C" w:rsidRPr="005E78BB" w14:paraId="121DB0EB" w14:textId="77777777" w:rsidTr="00E92AE6">
        <w:trPr>
          <w:trHeight w:val="454"/>
        </w:trPr>
        <w:tc>
          <w:tcPr>
            <w:tcW w:w="562" w:type="dxa"/>
            <w:shd w:val="clear" w:color="auto" w:fill="auto"/>
            <w:hideMark/>
          </w:tcPr>
          <w:p w14:paraId="74246F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237</w:t>
            </w:r>
          </w:p>
        </w:tc>
        <w:tc>
          <w:tcPr>
            <w:tcW w:w="1021" w:type="dxa"/>
          </w:tcPr>
          <w:p w14:paraId="41F184BA" w14:textId="1DB644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3F9FF7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6F60845" w14:textId="4FBC86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 xml:space="preserve">Niestety uważam, że warunki te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w:t>
            </w:r>
            <w:r w:rsidRPr="005E78BB">
              <w:rPr>
                <w:rFonts w:ascii="Calibri" w:eastAsia="Times New Roman" w:hAnsi="Calibri" w:cs="Calibri"/>
                <w:color w:val="000000"/>
                <w:sz w:val="18"/>
                <w:szCs w:val="18"/>
                <w:lang w:eastAsia="pl-PL"/>
              </w:rPr>
              <w:lastRenderedPageBreak/>
              <w:t>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Jako, że konstrukcja ankiety uniemożliwia zbiorcze złożenie większej ilości uwag w rozsądnym czasie i przy rozsądnym nakładzie pracy, kolejne szczegółowe uwagi zawierające odniesienia do ww. obszarów problemowych przedstawiam w załączeniu - w układzie jak w ankiecie. </w:t>
            </w:r>
          </w:p>
        </w:tc>
        <w:tc>
          <w:tcPr>
            <w:tcW w:w="3377" w:type="dxa"/>
            <w:shd w:val="clear" w:color="auto" w:fill="auto"/>
            <w:hideMark/>
          </w:tcPr>
          <w:p w14:paraId="57A837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Uwzględnienie zastrzeżeń i propozycji zmian przypisanych do sformułowanych dalej uwag szczegółowych.</w:t>
            </w:r>
          </w:p>
        </w:tc>
        <w:tc>
          <w:tcPr>
            <w:tcW w:w="3401" w:type="dxa"/>
            <w:shd w:val="clear" w:color="auto" w:fill="auto"/>
            <w:hideMark/>
          </w:tcPr>
          <w:p w14:paraId="6B6519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208706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237_OsFiz_Wisła</w:t>
            </w:r>
          </w:p>
        </w:tc>
        <w:tc>
          <w:tcPr>
            <w:tcW w:w="1276" w:type="dxa"/>
            <w:shd w:val="clear" w:color="auto" w:fill="auto"/>
            <w:hideMark/>
          </w:tcPr>
          <w:p w14:paraId="770934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3F4A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1C0FBF7D" w14:textId="77777777" w:rsidTr="00E92AE6">
        <w:trPr>
          <w:trHeight w:val="454"/>
        </w:trPr>
        <w:tc>
          <w:tcPr>
            <w:tcW w:w="562" w:type="dxa"/>
            <w:shd w:val="clear" w:color="auto" w:fill="auto"/>
            <w:hideMark/>
          </w:tcPr>
          <w:p w14:paraId="1818D8F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238</w:t>
            </w:r>
          </w:p>
        </w:tc>
        <w:tc>
          <w:tcPr>
            <w:tcW w:w="1021" w:type="dxa"/>
          </w:tcPr>
          <w:p w14:paraId="136CFE19" w14:textId="747CA75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Eko Thinktank - organizacja</w:t>
            </w:r>
          </w:p>
        </w:tc>
        <w:tc>
          <w:tcPr>
            <w:tcW w:w="1630" w:type="dxa"/>
            <w:shd w:val="clear" w:color="auto" w:fill="auto"/>
            <w:hideMark/>
          </w:tcPr>
          <w:p w14:paraId="5AF13E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40A34C4" w14:textId="79CE1C8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Zal nr 7 - zestaw działań. Oprócz krajowego działania na rzecz zastosowania dobrych praktyk w zakresie utrzymania wód proponuję uzupełnić zestaw działań rw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presją "hymo" o tzw. działania profilaktyczne, o którym mowa w katalogu dobrych praktyk (opracowanie Ministerstwa Środowiska). </w:t>
            </w:r>
          </w:p>
        </w:tc>
        <w:tc>
          <w:tcPr>
            <w:tcW w:w="3377" w:type="dxa"/>
            <w:shd w:val="clear" w:color="auto" w:fill="auto"/>
            <w:hideMark/>
          </w:tcPr>
          <w:p w14:paraId="469740A2" w14:textId="443D7D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zestaw działań rw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presją "hymo" o tzw. działania profilaktyczne, o którym mowa w katalogu dobrych praktyk (opracowanie Ministerstwa Środowiska). </w:t>
            </w:r>
          </w:p>
        </w:tc>
        <w:tc>
          <w:tcPr>
            <w:tcW w:w="3401" w:type="dxa"/>
            <w:shd w:val="clear" w:color="auto" w:fill="auto"/>
            <w:hideMark/>
          </w:tcPr>
          <w:p w14:paraId="33976364" w14:textId="0F1FE33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hydromofologiczne skupią się na migracji. Brakuje działania w zakresie renaturyzacji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zagrożone z uwagi na presję hymo.</w:t>
            </w:r>
          </w:p>
        </w:tc>
        <w:tc>
          <w:tcPr>
            <w:tcW w:w="1918" w:type="dxa"/>
            <w:shd w:val="clear" w:color="auto" w:fill="auto"/>
            <w:hideMark/>
          </w:tcPr>
          <w:p w14:paraId="51CCB3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50808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4AAE5C" w14:textId="528E8A8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w katalogu krajowym IIaPGW są obligatoryjne dla wszytskich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Prowadzenie prac utrzymaniowych zgodnie z Katalogiem dobrych praktyk prac utrzymaniowych i robót hydrotechnicznych, oznacza stosowanie zaleceń dobrych prakych w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niezależnie od presji hymo, co uwzględnia zasadę niepogarszania stanu wód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dobrym stanie wód. Dodatkowo, w katalogu krajowym IIaPGW jest wpisane działanie: Realizacja działań wynikających z planów ochrony i planów zadań ochronnych dla obszarów chronionych, dla których brak ustanowionego planu ochrony/planu zadań ochronnych na dzień sporządzenia IIaPGW, ale zostaną ustanowione w czasie jego obowiązywania. Plan ochrony/ plan zadań ochronnych w odniesieniu do działań związanych z utrzymaniem lub poprawą stanu wód jest integralną częścią planu gospodarowania wodami na obszarze dorzecza na lata 2022 - 2027. Taki zapis powoduje, że jeżeli w PZO/PO lub ZO wpisne zostały działania odnoszce się do prac utrzymaniowych, zmiany lub wskaznia ustalonego zakresu prac utrzymaniowych zostały one włączone do działań naprawczych IIaPGW.</w:t>
            </w:r>
          </w:p>
        </w:tc>
      </w:tr>
      <w:tr w:rsidR="0085319C" w:rsidRPr="005E78BB" w14:paraId="22266635" w14:textId="77777777" w:rsidTr="00E92AE6">
        <w:trPr>
          <w:trHeight w:val="454"/>
        </w:trPr>
        <w:tc>
          <w:tcPr>
            <w:tcW w:w="562" w:type="dxa"/>
            <w:shd w:val="clear" w:color="auto" w:fill="auto"/>
            <w:hideMark/>
          </w:tcPr>
          <w:p w14:paraId="2331DD8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239</w:t>
            </w:r>
          </w:p>
        </w:tc>
        <w:tc>
          <w:tcPr>
            <w:tcW w:w="1021" w:type="dxa"/>
          </w:tcPr>
          <w:p w14:paraId="1CFE4228" w14:textId="6D2C219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Nowym Sączu</w:t>
            </w:r>
          </w:p>
        </w:tc>
        <w:tc>
          <w:tcPr>
            <w:tcW w:w="1630" w:type="dxa"/>
            <w:shd w:val="clear" w:color="auto" w:fill="auto"/>
            <w:hideMark/>
          </w:tcPr>
          <w:p w14:paraId="0BE60C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36D3C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Inwestycja o nr N_2_W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 nie spełnia kryteriów odstępstwa, nie stanowi nadrzędnego interesu publicznego i jest prywatnym przedsięwzięciem, które powinno być wykreślone z Wykazu inwestycji i działań aPGW.</w:t>
            </w:r>
          </w:p>
        </w:tc>
        <w:tc>
          <w:tcPr>
            <w:tcW w:w="3377" w:type="dxa"/>
            <w:shd w:val="clear" w:color="auto" w:fill="auto"/>
            <w:hideMark/>
          </w:tcPr>
          <w:p w14:paraId="60B564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Usunięcie z załącznika nr 6 "Wykaz inwestycji i działań" inwestycji o nr N_2_W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9D27A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Budowa zbiornika wodnego w km 39+120 rzeki Dunajec wraz z zaporą powłokową nie stanowi nadrzędnego interesu publicznego. Jedynym celem tej inwestycji jest budowa małej elektrowni wodnej przez prywatną spółkę. Nie jest prawdziwe twierdzenie zawarte w opisie tej inwestycji w załączniku nr 6, że inwestycja ma jakiekolwiek inne cele publiczne (w szczegolności będzie zwiększać zagrożenia powodziowe w rejonie i zagrażać jakości wody na ujęciu wody pitnej). W szczególności inwestycja nie ma związku z innym, położonym ok. 2km wyżej progiem piętrzącym wodę dla wodociągu komunalnego. Właściciel ujęcia wody (komunalna spółka wodociągowa) stwierdził, że inwestycja MEW wręcz zagraża jakości wody ujmowanej dla tych wodociągów. Zasadność inwestycji kwestionują też Wody Polskie - RZGW w </w:t>
            </w:r>
            <w:r w:rsidRPr="005E78BB">
              <w:rPr>
                <w:rFonts w:ascii="Calibri" w:eastAsia="Times New Roman" w:hAnsi="Calibri" w:cs="Calibri"/>
                <w:color w:val="000000"/>
                <w:sz w:val="18"/>
                <w:szCs w:val="18"/>
                <w:lang w:eastAsia="pl-PL"/>
              </w:rPr>
              <w:lastRenderedPageBreak/>
              <w:t xml:space="preserve">Krakowie. Ponadto RDOŚ w Krakowie odmówił uzgodnienia inwestycji przed wydaniem decyzji środowiskowej, co będzie prowadzić do odmowy wydania decyzji środowiskowej dla tej inwestycji, z uwagi na znaczące negatywne oddziaływanie na obszar Natura 2000. Inwestycja będzie zagrażać ujęciu wody dla społeczności lokalnej, oraz użytkownikom rybackim w zlewni Dunajca. Umieszczenie tej inwestycji na liście aPGW nie ma żadnego uzasadnienia merytorycznego. </w:t>
            </w:r>
          </w:p>
        </w:tc>
        <w:tc>
          <w:tcPr>
            <w:tcW w:w="1918" w:type="dxa"/>
            <w:shd w:val="clear" w:color="auto" w:fill="auto"/>
            <w:hideMark/>
          </w:tcPr>
          <w:p w14:paraId="0AB84F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5BC925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A16ED9" w14:textId="4EE0D5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4FCD84B1" w14:textId="77777777" w:rsidTr="00E92AE6">
        <w:trPr>
          <w:trHeight w:val="454"/>
        </w:trPr>
        <w:tc>
          <w:tcPr>
            <w:tcW w:w="562" w:type="dxa"/>
            <w:shd w:val="clear" w:color="auto" w:fill="auto"/>
            <w:hideMark/>
          </w:tcPr>
          <w:p w14:paraId="362BBD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240</w:t>
            </w:r>
          </w:p>
        </w:tc>
        <w:tc>
          <w:tcPr>
            <w:tcW w:w="1021" w:type="dxa"/>
          </w:tcPr>
          <w:p w14:paraId="7085900D" w14:textId="5110D92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Nowym Sączu</w:t>
            </w:r>
          </w:p>
        </w:tc>
        <w:tc>
          <w:tcPr>
            <w:tcW w:w="1630" w:type="dxa"/>
            <w:shd w:val="clear" w:color="auto" w:fill="auto"/>
            <w:hideMark/>
          </w:tcPr>
          <w:p w14:paraId="509892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8357F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Nieuzasadnione złagodzenie celów środowiskowych dla RW200008214299 Poprad i RW200008214599 Dunajec od Obidzkiego Potoku do zb. Rożnów </w:t>
            </w:r>
          </w:p>
        </w:tc>
        <w:tc>
          <w:tcPr>
            <w:tcW w:w="3377" w:type="dxa"/>
            <w:shd w:val="clear" w:color="auto" w:fill="auto"/>
            <w:hideMark/>
          </w:tcPr>
          <w:p w14:paraId="0767D0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zał. nr 2 Cele środowiskowe do Erraty nr 1 do IIaPGW dla RW200008214299 Poprad i RW200008214599 Dunajec od Obidzkiego Potoku do zb. Rożnów:</w:t>
            </w:r>
            <w:r w:rsidRPr="005E78BB">
              <w:rPr>
                <w:rFonts w:ascii="Calibri" w:eastAsia="Times New Roman" w:hAnsi="Calibri" w:cs="Calibri"/>
                <w:color w:val="000000"/>
                <w:sz w:val="18"/>
                <w:szCs w:val="18"/>
                <w:lang w:eastAsia="pl-PL"/>
              </w:rPr>
              <w:br/>
              <w:t xml:space="preserve">- ustalenie, że celem środowiskowym jest dobry stan ekologiczny (oraz zapewnienie drożności cieku dla migracji), zamiast umiarkowanego stanu ekologicznego </w:t>
            </w:r>
          </w:p>
        </w:tc>
        <w:tc>
          <w:tcPr>
            <w:tcW w:w="3401" w:type="dxa"/>
            <w:shd w:val="clear" w:color="auto" w:fill="auto"/>
            <w:hideMark/>
          </w:tcPr>
          <w:p w14:paraId="34B0B130" w14:textId="662ED07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powinny mieć osiągnięty dobry stan ekologiczny. Dunajec i Poprad są jednymi z najważniejszych rzek podgórskich w Polsce wykorzystywanymi m. in. przez turystów, flisaków, wędkarzy, kajakarzy z całej Polski w celach rekreacyjnych. Na obszarze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RW200008214599 Dunajec znajduje się ujęcie wody pitnej dla Nowego Sącza i gmin ościennych. Brak jest uzasadnienia do łagodzenia celów środowiskowych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1918" w:type="dxa"/>
            <w:shd w:val="clear" w:color="auto" w:fill="auto"/>
            <w:hideMark/>
          </w:tcPr>
          <w:p w14:paraId="798A43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4D31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468B3FB" w14:textId="5F20E50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oceną stanu wód przedmiotowe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osiągnięły celów środowiskowych na koniec obowiazywania aPGW (2016 - 2021) - co automatycznie oznacza, że już nastąpiło odstępstwo od zamierzonego celu (tzn. nie udało się osiągnąć celów środowiskowych). To oznacza konieczność ustanowienia odstępstwa w trybie art. 4. ust. 4 lub ust. 5 Ramowej Dyrektywy Wodnej. Każde odstępstwo zostało poddane indywidualnej analizie, na podstawie której przedstawiono wyjaśnienie i uzasadnienie zastosowanego podejścia - uzasadnienie to przedstawiono w Wykazie Odstępstw.</w:t>
            </w:r>
          </w:p>
        </w:tc>
      </w:tr>
      <w:tr w:rsidR="0085319C" w:rsidRPr="005E78BB" w14:paraId="2997BBE7" w14:textId="77777777" w:rsidTr="00E92AE6">
        <w:trPr>
          <w:trHeight w:val="454"/>
        </w:trPr>
        <w:tc>
          <w:tcPr>
            <w:tcW w:w="562" w:type="dxa"/>
            <w:shd w:val="clear" w:color="auto" w:fill="auto"/>
            <w:hideMark/>
          </w:tcPr>
          <w:p w14:paraId="1A68525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241</w:t>
            </w:r>
          </w:p>
        </w:tc>
        <w:tc>
          <w:tcPr>
            <w:tcW w:w="1021" w:type="dxa"/>
          </w:tcPr>
          <w:p w14:paraId="083D37F0" w14:textId="0E674B1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Nowym Sączu</w:t>
            </w:r>
          </w:p>
        </w:tc>
        <w:tc>
          <w:tcPr>
            <w:tcW w:w="1630" w:type="dxa"/>
            <w:shd w:val="clear" w:color="auto" w:fill="auto"/>
            <w:hideMark/>
          </w:tcPr>
          <w:p w14:paraId="3C1F43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6777B71" w14:textId="62EF12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Niewystarczające działania przewidziane do realizacji w załączniku nr 3 do Erraty nr 1 do IIaPGW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RW200008214599 Dunajec od Obidzkiego Potoku do zb. Rożnów</w:t>
            </w:r>
          </w:p>
        </w:tc>
        <w:tc>
          <w:tcPr>
            <w:tcW w:w="3377" w:type="dxa"/>
            <w:shd w:val="clear" w:color="auto" w:fill="auto"/>
            <w:hideMark/>
          </w:tcPr>
          <w:p w14:paraId="00C74B3D" w14:textId="249A9AC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Aktualnie w załączniku nr 3 do Erraty nr 1 do IIaPGW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RW200008214599 przewidziane jest nietechniczne działanie: "Kontrola funkcjonowania urządzeń do migracji ryb." Wnosimy o zmianę zadania na techniczne: "Analiza możliwości przebudowy budowli piętrzących w zakresie zapewniającym ciągłość biologiczną i spełnienie celów środowiskowych." </w:t>
            </w:r>
          </w:p>
        </w:tc>
        <w:tc>
          <w:tcPr>
            <w:tcW w:w="3401" w:type="dxa"/>
            <w:shd w:val="clear" w:color="auto" w:fill="auto"/>
            <w:hideMark/>
          </w:tcPr>
          <w:p w14:paraId="789E0493" w14:textId="68C9BAE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omawianej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zlokalizowane jest piętrzenie na Dunajcu w m. Świniarsko dla celów ujęcia wody pitnej dla miasta Nowy Sącz oraz małej elektrowni wodnej. Próg jest niedrożny dla większości gatunków ryb z uwagi znaczną erozję dna poniżej progu. Końcowa (dolna część progu) posiada tak duży spadek, że tworzy coś na kształt wodospadu o wysokości ok. 2m. Prowadzenie monitoringu na obecnym etapie jest niecelowe, bowiem budowla jest niedrożna w oczywisty sposób. </w:t>
            </w:r>
            <w:r w:rsidRPr="005E78BB">
              <w:rPr>
                <w:rFonts w:ascii="Calibri" w:eastAsia="Times New Roman" w:hAnsi="Calibri" w:cs="Calibri"/>
                <w:color w:val="000000"/>
                <w:sz w:val="18"/>
                <w:szCs w:val="18"/>
                <w:lang w:eastAsia="pl-PL"/>
              </w:rPr>
              <w:br/>
              <w:t xml:space="preserve">Jednocześnie budowla ta jest zlokalizowana w niezwykle wrażliwym dla migracji ryb miejscu. Oddziela liczne zimowiska zlokalizowane w Nowym Sączu od tarlisk zlokalizowanych powyżej Nowego Sącza dla niemal wszystkich bytujących w Dunajcu ryb. Jej udrożnienie jest zatem kluczowe dla stanu ichtiofauny w Dunajcu. </w:t>
            </w:r>
          </w:p>
        </w:tc>
        <w:tc>
          <w:tcPr>
            <w:tcW w:w="1918" w:type="dxa"/>
            <w:shd w:val="clear" w:color="auto" w:fill="auto"/>
            <w:hideMark/>
          </w:tcPr>
          <w:p w14:paraId="61227C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2FE05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6320FDF" w14:textId="6C7A3E7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informacji pozyskanych w czasie konsultacji społecznych projektów IIaPGW zmieniono działania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RW200008214599 Dunajec od Obidzkiego Potoku do zb. Rożnów. Obecnie są to działania techniczne.</w:t>
            </w:r>
          </w:p>
        </w:tc>
      </w:tr>
      <w:tr w:rsidR="0085319C" w:rsidRPr="005E78BB" w14:paraId="343C9D89" w14:textId="77777777" w:rsidTr="00E92AE6">
        <w:trPr>
          <w:trHeight w:val="454"/>
        </w:trPr>
        <w:tc>
          <w:tcPr>
            <w:tcW w:w="562" w:type="dxa"/>
            <w:shd w:val="clear" w:color="auto" w:fill="auto"/>
            <w:hideMark/>
          </w:tcPr>
          <w:p w14:paraId="3D1047E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242</w:t>
            </w:r>
          </w:p>
        </w:tc>
        <w:tc>
          <w:tcPr>
            <w:tcW w:w="1021" w:type="dxa"/>
          </w:tcPr>
          <w:p w14:paraId="6A6FFD43" w14:textId="2BB790D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EFE0A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2DBB9D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zlewni rzeki Czarnej Malenieckiej. </w:t>
            </w:r>
            <w:r w:rsidRPr="005E78BB">
              <w:rPr>
                <w:rFonts w:ascii="Calibri" w:eastAsia="Times New Roman" w:hAnsi="Calibri" w:cs="Calibri"/>
                <w:color w:val="000000"/>
                <w:sz w:val="18"/>
                <w:szCs w:val="18"/>
                <w:lang w:eastAsia="pl-PL"/>
              </w:rPr>
              <w:br/>
              <w:t xml:space="preserve">1. Ujęcia wód dla celów gospodarczych (stawy hodowlane, MEW, zbiorniki retencyjne nie są opomiarowane, przez co niemożliwe jest śledzenie poboru wód ani stanu rzeki poniżej. Powoduje to w okresach niżówek bardzo duże zagrożenie dla fauny wodnej (przepływy są nierzadko 2-3 razy mniejsze od przepływu biologicznego). Zagrożone jest tym samym dalsze funkcjonowanie rzeki i ostoi Natura 2000 Dolina Czarnej.    </w:t>
            </w:r>
            <w:r w:rsidRPr="005E78BB">
              <w:rPr>
                <w:rFonts w:ascii="Calibri" w:eastAsia="Times New Roman" w:hAnsi="Calibri" w:cs="Calibri"/>
                <w:color w:val="000000"/>
                <w:sz w:val="18"/>
                <w:szCs w:val="18"/>
                <w:lang w:eastAsia="pl-PL"/>
              </w:rPr>
              <w:br/>
              <w:t xml:space="preserve">2. Większość piętrzeń na rzece Czarnej nie jest udrożniona. Żadna z istniejących przepławek nie spełnia norm dla przedmiotów ochrony w ostoi Natura 2000 Dolina Czarnej. Przedmiotami ochrony są m. in. minogi i głowacz białopłetwy. Tymczasem zgodnie z zapisami w "Warunki korzystania z wód zlewni rzeki Czarnej Malenieckiej" : " Dla wszystkich </w:t>
            </w:r>
            <w:r w:rsidRPr="005E78BB">
              <w:rPr>
                <w:rFonts w:ascii="Calibri" w:eastAsia="Times New Roman" w:hAnsi="Calibri" w:cs="Calibri"/>
                <w:color w:val="000000"/>
                <w:sz w:val="18"/>
                <w:szCs w:val="18"/>
                <w:lang w:eastAsia="pl-PL"/>
              </w:rPr>
              <w:lastRenderedPageBreak/>
              <w:t>jednolitych części wód powierzchniowych rzecznych w zlewni rzeki Czarnej Malenieckiej jako reprezentatywny gatunek ryb ustala się certę. Wymagania certy dotyczące minimalnych warunków technicznych dla urządzeń udrażniających przyjmuje się za wystarczające dla pozostałych gatunków ryb występujących w jednolitych częściach wód powierzchniowych zlewni." Oznacza to że progi przepławek mogą mieć wysokość 20-30 cm. Tymczasem dla występujących tu przedmiotów ochrony nie mogą być wyższe niż 10 cm.</w:t>
            </w:r>
          </w:p>
        </w:tc>
        <w:tc>
          <w:tcPr>
            <w:tcW w:w="3377" w:type="dxa"/>
            <w:shd w:val="clear" w:color="auto" w:fill="auto"/>
            <w:hideMark/>
          </w:tcPr>
          <w:p w14:paraId="5275A5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Zamontowanie urządzeń wskazujących poziom i przepływ wód poniżej każdego ujęcia/piętrzenia. Zmiana zapisów z analizy możliwości udrożnienia przegród poprzecznych na opracowanie sposobu udrożnienia. zmiana wymagań technicznych dla przepławek (wysokość progów do 10 cm). </w:t>
            </w:r>
          </w:p>
        </w:tc>
        <w:tc>
          <w:tcPr>
            <w:tcW w:w="3401" w:type="dxa"/>
            <w:shd w:val="clear" w:color="auto" w:fill="auto"/>
            <w:hideMark/>
          </w:tcPr>
          <w:p w14:paraId="0649E1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Zamontowanie urządzeń pomiarowych pozwoli na lepsza kontrole wykorzystania wód rzeki, zmniejszy możliwości nadmiernego jej wykorzystania i zagrożenie występowania przepływów poniżej biologicznego. Poprawi się tym samym stan rzeki i warunki siedliskowe przedmiotów ochrony. zmiana wymogów dla przepławek umożliwi ich wykorzystanie przez przedmioty ochrony.</w:t>
            </w:r>
          </w:p>
        </w:tc>
        <w:tc>
          <w:tcPr>
            <w:tcW w:w="1918" w:type="dxa"/>
            <w:shd w:val="clear" w:color="auto" w:fill="auto"/>
            <w:hideMark/>
          </w:tcPr>
          <w:p w14:paraId="5B4F71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C42D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FF3FBA" w14:textId="3C6F753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Aby nie dublować działań ujętych w Planie Przeciwdziałanie Skutkom Suszy (PPSS) w ramach IIaPGW przewidziano jedynie monitoring wód rzecznych zagrożonych zanikiem przepływu. Działanie przypisano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obserwowanym stałe lub okresowo brakiem przepływu oraz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którym grozi zanik przepływu na skutek zaprzestania wydobycia w kopalniach, a tym samym zaprzestania odwodnienia szybów wydobywczych.</w:t>
            </w:r>
            <w:r w:rsidRPr="005E78BB">
              <w:rPr>
                <w:rFonts w:ascii="Calibri" w:eastAsia="Times New Roman" w:hAnsi="Calibri" w:cs="Calibri"/>
                <w:color w:val="000000"/>
                <w:sz w:val="18"/>
                <w:szCs w:val="18"/>
                <w:lang w:eastAsia="pl-PL"/>
              </w:rPr>
              <w:br/>
              <w:t xml:space="preserve">Monitoring wód zagrożonych suszą jest </w:t>
            </w:r>
            <w:r w:rsidRPr="005E78BB">
              <w:rPr>
                <w:rFonts w:ascii="Calibri" w:eastAsia="Times New Roman" w:hAnsi="Calibri" w:cs="Calibri"/>
                <w:color w:val="000000"/>
                <w:sz w:val="18"/>
                <w:szCs w:val="18"/>
                <w:lang w:eastAsia="pl-PL"/>
              </w:rPr>
              <w:lastRenderedPageBreak/>
              <w:t xml:space="preserve">elementem PPSS i w ramach tego programu przewiduje się działanie obejmujące te przypadki. Dodatkowo w ramach PPSS przewidziano działanie odnoszące się do przeglądu instrukcji gospodarowania wodą, co również wpisuje się w troskę o rzeczoną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B515413" w14:textId="77777777" w:rsidTr="00E92AE6">
        <w:trPr>
          <w:trHeight w:val="454"/>
        </w:trPr>
        <w:tc>
          <w:tcPr>
            <w:tcW w:w="562" w:type="dxa"/>
            <w:shd w:val="clear" w:color="auto" w:fill="auto"/>
            <w:hideMark/>
          </w:tcPr>
          <w:p w14:paraId="147457E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243</w:t>
            </w:r>
          </w:p>
        </w:tc>
        <w:tc>
          <w:tcPr>
            <w:tcW w:w="1021" w:type="dxa"/>
          </w:tcPr>
          <w:p w14:paraId="5B85C8C9" w14:textId="3C3D1EE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3D9204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5CADD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Uwagi do inwestycji w „Zal_6_WykazInwDzialan_OD_Wisla” </w:t>
            </w:r>
          </w:p>
        </w:tc>
        <w:tc>
          <w:tcPr>
            <w:tcW w:w="3377" w:type="dxa"/>
            <w:shd w:val="clear" w:color="auto" w:fill="auto"/>
            <w:hideMark/>
          </w:tcPr>
          <w:p w14:paraId="72B1C9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Dogłębna analiza inwestycji z załącznika „Zal_6_WykazInwDzialan_OD_Wisla” pod względem spełnienia przesłanek z art. 68 Prawo Wodne</w:t>
            </w:r>
          </w:p>
        </w:tc>
        <w:tc>
          <w:tcPr>
            <w:tcW w:w="3401" w:type="dxa"/>
            <w:shd w:val="clear" w:color="auto" w:fill="auto"/>
            <w:hideMark/>
          </w:tcPr>
          <w:p w14:paraId="2997E0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załączniku tym powinny znajdować się tylko inwestycje które mają przeprowadzoną dogłębną analizę spełnienia przesłanek z art. 68 Prawo Wodne.</w:t>
            </w:r>
            <w:r w:rsidRPr="005E78BB">
              <w:rPr>
                <w:rFonts w:ascii="Calibri" w:eastAsia="Times New Roman" w:hAnsi="Calibri" w:cs="Calibri"/>
                <w:color w:val="000000"/>
                <w:sz w:val="18"/>
                <w:szCs w:val="18"/>
                <w:lang w:eastAsia="pl-PL"/>
              </w:rPr>
              <w:br/>
              <w:t xml:space="preserve">Całkowicie niedopuszczalne jest że znajdują się tam inwestycje bez przeprowadzonej dogłębnej oceny czy też/lub na podstawie deklaracji inwestora lub co gorsza analiza opierała się tylko na wariantach przedstawionych przez inwestora bez dogłębnej weryfikacji stanu faktycznego. </w:t>
            </w:r>
          </w:p>
        </w:tc>
        <w:tc>
          <w:tcPr>
            <w:tcW w:w="1918" w:type="dxa"/>
            <w:shd w:val="clear" w:color="auto" w:fill="auto"/>
            <w:hideMark/>
          </w:tcPr>
          <w:p w14:paraId="42988A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1431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B90714" w14:textId="7ACA220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3E72E3E0" w14:textId="77777777" w:rsidTr="00E92AE6">
        <w:trPr>
          <w:trHeight w:val="454"/>
        </w:trPr>
        <w:tc>
          <w:tcPr>
            <w:tcW w:w="562" w:type="dxa"/>
            <w:shd w:val="clear" w:color="auto" w:fill="auto"/>
            <w:hideMark/>
          </w:tcPr>
          <w:p w14:paraId="4A130D2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244</w:t>
            </w:r>
          </w:p>
        </w:tc>
        <w:tc>
          <w:tcPr>
            <w:tcW w:w="1021" w:type="dxa"/>
          </w:tcPr>
          <w:p w14:paraId="363A27D7" w14:textId="0FD7CC6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296F3C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B79DC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Uwagi do</w:t>
            </w:r>
            <w:r w:rsidRPr="005E78BB">
              <w:rPr>
                <w:rFonts w:ascii="Calibri" w:eastAsia="Times New Roman" w:hAnsi="Calibri" w:cs="Calibri"/>
                <w:color w:val="000000"/>
                <w:sz w:val="18"/>
                <w:szCs w:val="18"/>
                <w:lang w:eastAsia="pl-PL"/>
              </w:rPr>
              <w:br/>
              <w:t>„Zal_4_WykazBudowli_ZD_Mod_Wisla_Errata”</w:t>
            </w:r>
          </w:p>
        </w:tc>
        <w:tc>
          <w:tcPr>
            <w:tcW w:w="3377" w:type="dxa"/>
            <w:shd w:val="clear" w:color="auto" w:fill="auto"/>
            <w:hideMark/>
          </w:tcPr>
          <w:p w14:paraId="7D1788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Dodanie zapory Włoclawek, udrożnienie stopnia.</w:t>
            </w:r>
          </w:p>
        </w:tc>
        <w:tc>
          <w:tcPr>
            <w:tcW w:w="3401" w:type="dxa"/>
            <w:shd w:val="clear" w:color="auto" w:fill="auto"/>
            <w:hideMark/>
          </w:tcPr>
          <w:p w14:paraId="0ACA1D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Zapora wodna Włoclawek nie została w pełni udrożnionia według zakładanych planów.</w:t>
            </w:r>
          </w:p>
        </w:tc>
        <w:tc>
          <w:tcPr>
            <w:tcW w:w="1918" w:type="dxa"/>
            <w:shd w:val="clear" w:color="auto" w:fill="auto"/>
            <w:hideMark/>
          </w:tcPr>
          <w:p w14:paraId="06E72B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D6F48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13EBA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Przeprowadzono ponowną weryfikację działań dotyczących zapory we Włocławku. Dla stopnia wodnego Włocławek zaplanowano dwa działania techniczne, będące prolongacją działań z aPWŚK. Pierwsze działanie obejmuje adaptację śluzy żeglownej Stopnia Wodnego Włocławek dla potrzeb migracji ryb, szczególnie gatunku jesiotra, drugie natomiast - budowę nowej przepławki dla ryb na kanale A przy Stopniu Wodnym. Kody działań: RW200012275999__RWHM_02.04__BI__00144 oraz RW200012275999__RWHM_02.04__BI__00145.</w:t>
            </w:r>
          </w:p>
        </w:tc>
      </w:tr>
      <w:tr w:rsidR="0085319C" w:rsidRPr="005E78BB" w14:paraId="1DE996DD" w14:textId="77777777" w:rsidTr="00E92AE6">
        <w:trPr>
          <w:trHeight w:val="454"/>
        </w:trPr>
        <w:tc>
          <w:tcPr>
            <w:tcW w:w="562" w:type="dxa"/>
            <w:shd w:val="clear" w:color="auto" w:fill="auto"/>
            <w:hideMark/>
          </w:tcPr>
          <w:p w14:paraId="589CD99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245</w:t>
            </w:r>
          </w:p>
        </w:tc>
        <w:tc>
          <w:tcPr>
            <w:tcW w:w="1021" w:type="dxa"/>
          </w:tcPr>
          <w:p w14:paraId="464204D2" w14:textId="64CA4E2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0C6C33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E0597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Uwagi do</w:t>
            </w:r>
            <w:r w:rsidRPr="005E78BB">
              <w:rPr>
                <w:rFonts w:ascii="Calibri" w:eastAsia="Times New Roman" w:hAnsi="Calibri" w:cs="Calibri"/>
                <w:color w:val="000000"/>
                <w:sz w:val="18"/>
                <w:szCs w:val="18"/>
                <w:lang w:eastAsia="pl-PL"/>
              </w:rPr>
              <w:br/>
              <w:t>„Zal_4_WykazBudowli_ZD_Mod_Wisla_Errata”</w:t>
            </w:r>
          </w:p>
        </w:tc>
        <w:tc>
          <w:tcPr>
            <w:tcW w:w="3377" w:type="dxa"/>
            <w:shd w:val="clear" w:color="auto" w:fill="auto"/>
            <w:hideMark/>
          </w:tcPr>
          <w:p w14:paraId="278C5F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Udrożnienie barier migracyjnych na rzece Dunajec od progu w Świniarsku do progu w Ostrowie włącznie -działania inwestycyjne</w:t>
            </w:r>
          </w:p>
        </w:tc>
        <w:tc>
          <w:tcPr>
            <w:tcW w:w="3401" w:type="dxa"/>
            <w:shd w:val="clear" w:color="auto" w:fill="auto"/>
            <w:hideMark/>
          </w:tcPr>
          <w:p w14:paraId="4F2BB7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Długo oczekiwana inwestycja ze względu na skumulowane negatywne oddziaływanie budowli na migracje ryb.</w:t>
            </w:r>
          </w:p>
        </w:tc>
        <w:tc>
          <w:tcPr>
            <w:tcW w:w="1918" w:type="dxa"/>
            <w:shd w:val="clear" w:color="auto" w:fill="auto"/>
            <w:hideMark/>
          </w:tcPr>
          <w:p w14:paraId="5B327D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1306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3F736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podstawie informacji pozyskanych podczas konsultacji społecznych zmieniono działania dla rzeki Dunajec. Wykorzystano zgłoszone dane na temat występowania i funkcjonowania obiektów służących do migracji ryb, a także informacje o statusie realizacji działań z aPWŚK. W związku z tym część działań RWHM_02.06, RWHM_02.07 i RWHM_02.08 (działania obejmujące ocenę wpływu budowli poprzecznych na ciągłość biologiczną oraz monitoring i kontrolę urządzeń do migracji ryb) zmieniono na działania techniczne ukierunkowane na przebudowę budowli poprzecznych (RWHM_02.01 Analiza możliwości przebudowy budowli piętrzących w zakresie zapewniającym ciągłość biologiczną i spełnienie celów środowiskowych). </w:t>
            </w:r>
            <w:r w:rsidRPr="005E78BB">
              <w:rPr>
                <w:rFonts w:ascii="Calibri" w:eastAsia="Times New Roman" w:hAnsi="Calibri" w:cs="Calibri"/>
                <w:color w:val="000000"/>
                <w:sz w:val="18"/>
                <w:szCs w:val="18"/>
                <w:lang w:eastAsia="pl-PL"/>
              </w:rPr>
              <w:lastRenderedPageBreak/>
              <w:t>Dodatkowo prolongowano działania z aPWŚK - Opracowanie wariantowej analizy sposobu udrożnienia budowli piętrzących na cieku Dunajec wraz ze wskazaniem wariantu do realizacji oraz opracowaniem dokumentacji projektowej (RWHM_02.02), oraz Realizacja wybranego wariantu udrożnienia odcinka istotnego cieku Dunajec - działanie inwestycyjne (RWHM_02.03)</w:t>
            </w:r>
          </w:p>
        </w:tc>
      </w:tr>
      <w:tr w:rsidR="0085319C" w:rsidRPr="005E78BB" w14:paraId="38A74F66" w14:textId="77777777" w:rsidTr="00E92AE6">
        <w:trPr>
          <w:trHeight w:val="454"/>
        </w:trPr>
        <w:tc>
          <w:tcPr>
            <w:tcW w:w="562" w:type="dxa"/>
            <w:shd w:val="clear" w:color="auto" w:fill="auto"/>
            <w:hideMark/>
          </w:tcPr>
          <w:p w14:paraId="254D4CB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246</w:t>
            </w:r>
          </w:p>
        </w:tc>
        <w:tc>
          <w:tcPr>
            <w:tcW w:w="1021" w:type="dxa"/>
          </w:tcPr>
          <w:p w14:paraId="6F438720" w14:textId="402454B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Dawid Błoniarczyk</w:t>
            </w:r>
          </w:p>
        </w:tc>
        <w:tc>
          <w:tcPr>
            <w:tcW w:w="1630" w:type="dxa"/>
            <w:shd w:val="clear" w:color="auto" w:fill="auto"/>
            <w:hideMark/>
          </w:tcPr>
          <w:p w14:paraId="5BA12E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 działań krajowych</w:t>
            </w:r>
          </w:p>
        </w:tc>
        <w:tc>
          <w:tcPr>
            <w:tcW w:w="5663" w:type="dxa"/>
            <w:shd w:val="clear" w:color="auto" w:fill="auto"/>
            <w:hideMark/>
          </w:tcPr>
          <w:p w14:paraId="51804A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Stworzenie zapisów prawa w kwestii ponoszenia kosztów/części kosztów odróżnienia budowli/obiektów przez ich wlascieli takze w przypadku wadliwej budowli do migracji.</w:t>
            </w:r>
          </w:p>
        </w:tc>
        <w:tc>
          <w:tcPr>
            <w:tcW w:w="3377" w:type="dxa"/>
            <w:shd w:val="clear" w:color="auto" w:fill="auto"/>
            <w:hideMark/>
          </w:tcPr>
          <w:p w14:paraId="41A763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IIaPGW działania których skutkiem byłyby zapisy prawne tworzące zapisy prawa w kwestii ponoszenia kosztów/części kosztów odróżnienia budowli/obiektów przez ich wlascieli takze w przypadku wadliwej budowli do migracji.</w:t>
            </w:r>
          </w:p>
        </w:tc>
        <w:tc>
          <w:tcPr>
            <w:tcW w:w="3401" w:type="dxa"/>
            <w:shd w:val="clear" w:color="auto" w:fill="auto"/>
            <w:hideMark/>
          </w:tcPr>
          <w:p w14:paraId="4DAB49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Wlasciele obiektów / budowli  nie traktowaliby migracji jako zbędną rzecz i zalezaroby im zeby obiekty spelnialy swoja funkcje.</w:t>
            </w:r>
          </w:p>
        </w:tc>
        <w:tc>
          <w:tcPr>
            <w:tcW w:w="1918" w:type="dxa"/>
            <w:shd w:val="clear" w:color="auto" w:fill="auto"/>
            <w:hideMark/>
          </w:tcPr>
          <w:p w14:paraId="3F2A7B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BE233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E0A8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Zaproponowane w uwadze działanie nie zostało uwzględnione w IIaPGW.</w:t>
            </w:r>
            <w:r w:rsidRPr="005E78BB">
              <w:rPr>
                <w:rFonts w:ascii="Calibri" w:eastAsia="Times New Roman" w:hAnsi="Calibri" w:cs="Calibri"/>
                <w:color w:val="000000"/>
                <w:sz w:val="18"/>
                <w:szCs w:val="18"/>
                <w:lang w:eastAsia="pl-PL"/>
              </w:rPr>
              <w:br w:type="page"/>
              <w:t>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r w:rsidRPr="005E78BB">
              <w:rPr>
                <w:rFonts w:ascii="Calibri" w:eastAsia="Times New Roman" w:hAnsi="Calibri" w:cs="Calibri"/>
                <w:color w:val="000000"/>
                <w:sz w:val="18"/>
                <w:szCs w:val="18"/>
                <w:lang w:eastAsia="pl-PL"/>
              </w:rPr>
              <w:br w:type="page"/>
              <w:t>Proponowane prowadzenie (i ponoszenie kosztów) „monitoringu migracji na danej budowli co najmniej raz na określony przedział czasowy” mieści się w kompetencji organu właściwego do wydania pozwolenia wodnoprawnego wynikającej z ww. art. 403 ust.6 pkt 5 ustawy Prawo wodne, jeżeli dotyczy obowiązku nakładanego na zakład. Brak jest podstawy prawnej dla narzucenia zakładowi obowiązku ponoszenia kosztów monitoringu wykonywanego przez Wody Polskie.</w:t>
            </w:r>
            <w:r w:rsidRPr="005E78BB">
              <w:rPr>
                <w:rFonts w:ascii="Calibri" w:eastAsia="Times New Roman" w:hAnsi="Calibri" w:cs="Calibri"/>
                <w:color w:val="000000"/>
                <w:sz w:val="18"/>
                <w:szCs w:val="18"/>
                <w:lang w:eastAsia="pl-PL"/>
              </w:rPr>
              <w:br w:type="page"/>
              <w:t>Obowiązek „ponoszenia kosztów/części kosztów odróżnienia [prawdopodobnie chodzi o: „udrożnienia”] budowli/obiektów przez ich właścicieli także w przypadku wadliwej budowli do migracji” mieści się w kompetencji organu właściwego do wydania pozwolenia wodnoprawnego wynikającej z ww. art. 403 ust.6 pkt 5 ustawy Prawo wodne.</w:t>
            </w:r>
          </w:p>
        </w:tc>
      </w:tr>
      <w:tr w:rsidR="0085319C" w:rsidRPr="005E78BB" w14:paraId="623F23B1" w14:textId="77777777" w:rsidTr="00E92AE6">
        <w:trPr>
          <w:trHeight w:val="454"/>
        </w:trPr>
        <w:tc>
          <w:tcPr>
            <w:tcW w:w="562" w:type="dxa"/>
            <w:shd w:val="clear" w:color="auto" w:fill="auto"/>
            <w:hideMark/>
          </w:tcPr>
          <w:p w14:paraId="059DD99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247</w:t>
            </w:r>
          </w:p>
        </w:tc>
        <w:tc>
          <w:tcPr>
            <w:tcW w:w="1021" w:type="dxa"/>
          </w:tcPr>
          <w:p w14:paraId="036CE0AA" w14:textId="4CD25B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Zimorodek</w:t>
            </w:r>
          </w:p>
        </w:tc>
        <w:tc>
          <w:tcPr>
            <w:tcW w:w="1630" w:type="dxa"/>
            <w:shd w:val="clear" w:color="auto" w:fill="auto"/>
            <w:hideMark/>
          </w:tcPr>
          <w:p w14:paraId="7000D3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AB7AB02" w14:textId="4C9FD3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RW20001126714899 Liwiec,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RW20001026714889 Osownica. W projekcie aktualizacji gospodarowania wodami na obszarze Wisły nie została ujęta rzeka Bełcząc odnoga Liwca od Paplina do Wólki Paplińskiej. Proszę o uwzględnienie rzeki pozbawionej przepływu przez człowieka do renaturalizacji. Rzeka jest zasypana na początkowym fragmencie ok. 100 m od rozwidlenia. Rzeka Bełcząc była naturalną przepławką dla ryb, alternatywą dla jazu z MEW w Kalinowcu. Została przegrodzona groblą w latach ok. 1980/90 XX wieku.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zał.1 do Wisły</w:t>
            </w:r>
          </w:p>
        </w:tc>
        <w:tc>
          <w:tcPr>
            <w:tcW w:w="3377" w:type="dxa"/>
            <w:shd w:val="clear" w:color="auto" w:fill="auto"/>
            <w:hideMark/>
          </w:tcPr>
          <w:p w14:paraId="23284A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Proponuję zmianę klasyfikacji cieku Liwiec na istotną od ujścia do Bugu do Węgrowa, co umożliwi odbycie tarła przez gatunek ryby reprezentatywnej Certę.</w:t>
            </w:r>
          </w:p>
        </w:tc>
        <w:tc>
          <w:tcPr>
            <w:tcW w:w="3401" w:type="dxa"/>
            <w:shd w:val="clear" w:color="auto" w:fill="auto"/>
            <w:hideMark/>
          </w:tcPr>
          <w:p w14:paraId="5BCAD4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Jako uzasadnienie posłużę się dowodem, że w rzece Liwiec występuje minóg ukuziński oraz ryba certa. Jaz na rzece w miejscowości Kalinowiec stanowi barierę migracyjną, nie jest otwierany. Brak przepławki dla ryb uniemożliwia migrację ryb na tarło, a naturalna przepławka " Bajpas" rzeka Bełcząc  jest pozbawiona funkcji, którą od lat spełniała. Dodatkowo brak przepływu i ogromne przyspieszenie nadane wodzie </w:t>
            </w:r>
            <w:r w:rsidRPr="005E78BB">
              <w:rPr>
                <w:rFonts w:ascii="Calibri" w:eastAsia="Times New Roman" w:hAnsi="Calibri" w:cs="Calibri"/>
                <w:color w:val="000000"/>
                <w:sz w:val="18"/>
                <w:szCs w:val="18"/>
                <w:lang w:eastAsia="pl-PL"/>
              </w:rPr>
              <w:lastRenderedPageBreak/>
              <w:t>poniżej jazu spowodowało opuszczenie dna w korycie rzeki Liwiec i obniżenie poziomu wód gruntowych, co negatywnie wpływa na obszar Natura 2000. Dolina Liwca PLB 140002 oraz Ostoja Nadliwiecka PLH 140032 stanowi szlak migracyjny oraz jest siedliskiem alcedo atthis - zimorodka, który został wykreślony z planu zadań ochronnych bez naukowego uzasadnienia. Dodatkowo udrożnienie rzeki Bełcząc ułatwi spływ wód powodziowych oraz przyczyni się do poprawy sytuacji związanej z suszą rolniczą oraz podniesie poziom wód gruntowych i przyczyni się do wzrostu bioróżnorodności.</w:t>
            </w:r>
          </w:p>
        </w:tc>
        <w:tc>
          <w:tcPr>
            <w:tcW w:w="1918" w:type="dxa"/>
            <w:shd w:val="clear" w:color="auto" w:fill="auto"/>
            <w:hideMark/>
          </w:tcPr>
          <w:p w14:paraId="0F3F2D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05B0CD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ACD54E7" w14:textId="4FC01A8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Rzeka Bełcząc nie została wyznaczona jako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Niemniej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Liwiec od Dopływu z Zalesia do ujścia (RW20001126714899) oraz Korycianka (RW200010267148749) wskazane zostały działania związane z realizacji działań ochronnych dla obszarów chronionych (działania z PZO i PO).</w:t>
            </w:r>
          </w:p>
        </w:tc>
      </w:tr>
      <w:tr w:rsidR="0085319C" w:rsidRPr="005E78BB" w14:paraId="2D0E31EE" w14:textId="77777777" w:rsidTr="00CD6FBC">
        <w:trPr>
          <w:trHeight w:val="454"/>
        </w:trPr>
        <w:tc>
          <w:tcPr>
            <w:tcW w:w="562" w:type="dxa"/>
            <w:shd w:val="clear" w:color="auto" w:fill="auto"/>
            <w:hideMark/>
          </w:tcPr>
          <w:p w14:paraId="2B492E38"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248</w:t>
            </w:r>
          </w:p>
        </w:tc>
        <w:tc>
          <w:tcPr>
            <w:tcW w:w="1021" w:type="dxa"/>
            <w:shd w:val="clear" w:color="auto" w:fill="auto"/>
          </w:tcPr>
          <w:p w14:paraId="54CBA4FA" w14:textId="3D1B7C1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Solvay Poland</w:t>
            </w:r>
          </w:p>
        </w:tc>
        <w:tc>
          <w:tcPr>
            <w:tcW w:w="1630" w:type="dxa"/>
            <w:shd w:val="clear" w:color="auto" w:fill="auto"/>
            <w:hideMark/>
          </w:tcPr>
          <w:p w14:paraId="6CE0B276"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ZAŁĄCZNIKI IIaPGW</w:t>
            </w:r>
          </w:p>
        </w:tc>
        <w:tc>
          <w:tcPr>
            <w:tcW w:w="5663" w:type="dxa"/>
            <w:shd w:val="clear" w:color="auto" w:fill="auto"/>
            <w:hideMark/>
          </w:tcPr>
          <w:p w14:paraId="032B4DC2" w14:textId="5AD7B7A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 Załączniku 3.1 do Projektu dla silnie zmienionych jednolitych części wód powierzchniowych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nie określono wartości granicznych wskaźników fizykochemicznych, w tym wskaźnika, jakim jest przewodność. Wartości te dla silnie zmienionych części wód (SZCW) nie pojawiają się także w innych miejscach Projektu. W Załączniku 3.1 dla SZCW określono wartości wyłącznie dla zbiorników zaporowych, i to tylko przez odesłanie do wartości klas dla jezior i rzek. </w:t>
            </w:r>
            <w:r w:rsidRPr="00CD6FBC">
              <w:rPr>
                <w:rFonts w:ascii="Calibri" w:eastAsia="Times New Roman" w:hAnsi="Calibri" w:cs="Calibri"/>
                <w:color w:val="000000"/>
                <w:sz w:val="18"/>
                <w:szCs w:val="18"/>
                <w:lang w:eastAsia="pl-PL"/>
              </w:rPr>
              <w:br/>
              <w:t>Część projektu planu, do którego zgłaszana jest uwaga (numer rozdziału, strona dokumentu, nr załącznika): Załącznik 3.1 do Projektu</w:t>
            </w:r>
          </w:p>
        </w:tc>
        <w:tc>
          <w:tcPr>
            <w:tcW w:w="3377" w:type="dxa"/>
            <w:shd w:val="clear" w:color="auto" w:fill="auto"/>
            <w:hideMark/>
          </w:tcPr>
          <w:p w14:paraId="2F52CCB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Proponujemy podanie wartości granicznych wskaźników fizykochemicznych, w tym wskaźnika jakim jest przewodność w Załączniku 3.1 do Projektu. </w:t>
            </w:r>
            <w:r w:rsidRPr="00CD6FBC">
              <w:rPr>
                <w:rFonts w:ascii="Calibri" w:eastAsia="Times New Roman" w:hAnsi="Calibri" w:cs="Calibri"/>
                <w:color w:val="000000"/>
                <w:sz w:val="18"/>
                <w:szCs w:val="18"/>
                <w:lang w:eastAsia="pl-PL"/>
              </w:rPr>
              <w:br/>
              <w:t>Postulujemy przyjęcie wartości granicznej dobrego potencjału wskaźnika przewodności elektrolitycznej dla silnie zmienionych części wód na realnym zarówno pod kątem faktycznego zasolenia wód (uwzględniającego wpływ kopalnictwa węgla kamiennego w górnym biegu Wisły) oraz realnego do uzyskania poziomie - 1500 µS/cm.</w:t>
            </w:r>
            <w:r w:rsidRPr="00CD6FBC">
              <w:rPr>
                <w:rFonts w:ascii="Calibri" w:eastAsia="Times New Roman" w:hAnsi="Calibri" w:cs="Calibri"/>
                <w:color w:val="000000"/>
                <w:sz w:val="18"/>
                <w:szCs w:val="18"/>
                <w:lang w:eastAsia="pl-PL"/>
              </w:rPr>
              <w:br/>
              <w:t>Ewentualnie, wnosimy o odstąpienie od wyznaczania wskaźników zasolenia dla silnie zmienionych części wód na podstawie przepisów załącznika V Ramowej Dyrektywy Wodnej.</w:t>
            </w:r>
          </w:p>
        </w:tc>
        <w:tc>
          <w:tcPr>
            <w:tcW w:w="3401" w:type="dxa"/>
            <w:shd w:val="clear" w:color="auto" w:fill="auto"/>
            <w:hideMark/>
          </w:tcPr>
          <w:p w14:paraId="16855086" w14:textId="77777777"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Jest to niezgodne z przepisami obowiązującego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poz.1475). </w:t>
            </w:r>
          </w:p>
        </w:tc>
        <w:tc>
          <w:tcPr>
            <w:tcW w:w="1918" w:type="dxa"/>
            <w:shd w:val="clear" w:color="auto" w:fill="auto"/>
            <w:hideMark/>
          </w:tcPr>
          <w:p w14:paraId="136ED15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1D61B3F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uwzględniono</w:t>
            </w:r>
          </w:p>
        </w:tc>
        <w:tc>
          <w:tcPr>
            <w:tcW w:w="3513" w:type="dxa"/>
            <w:shd w:val="clear" w:color="auto" w:fill="auto"/>
            <w:hideMark/>
          </w:tcPr>
          <w:p w14:paraId="514C39BC" w14:textId="3897566E" w:rsidR="00C065C8" w:rsidRPr="00F57DBC" w:rsidRDefault="0085319C" w:rsidP="00C065C8">
            <w:pPr>
              <w:ind w:firstLine="0"/>
              <w:jc w:val="left"/>
              <w:rPr>
                <w:rFonts w:ascii="Calibri" w:eastAsia="Times New Roman" w:hAnsi="Calibri" w:cs="Calibri"/>
                <w:sz w:val="18"/>
                <w:szCs w:val="18"/>
                <w:lang w:eastAsia="pl-PL"/>
              </w:rPr>
            </w:pPr>
            <w:r w:rsidRPr="00CD6FBC">
              <w:rPr>
                <w:rFonts w:ascii="Calibri" w:eastAsia="Times New Roman" w:hAnsi="Calibri" w:cs="Calibri"/>
                <w:color w:val="000000"/>
                <w:sz w:val="18"/>
                <w:szCs w:val="18"/>
                <w:lang w:eastAsia="pl-PL"/>
              </w:rPr>
              <w:t xml:space="preserve">Wartości graniczne dla potencjału ekologicznego prezentowane są w załączniku nr </w:t>
            </w:r>
            <w:r w:rsidR="00707C14">
              <w:rPr>
                <w:rFonts w:ascii="Calibri" w:eastAsia="Times New Roman" w:hAnsi="Calibri" w:cs="Calibri"/>
                <w:color w:val="000000"/>
                <w:sz w:val="18"/>
                <w:szCs w:val="18"/>
                <w:lang w:eastAsia="pl-PL"/>
              </w:rPr>
              <w:t>Wartości graniczne SCW i SZCW</w:t>
            </w:r>
            <w:r w:rsidRPr="00CD6FBC">
              <w:rPr>
                <w:rFonts w:ascii="Calibri" w:eastAsia="Times New Roman" w:hAnsi="Calibri" w:cs="Calibri"/>
                <w:color w:val="000000"/>
                <w:sz w:val="18"/>
                <w:szCs w:val="18"/>
                <w:lang w:eastAsia="pl-PL"/>
              </w:rPr>
              <w:t xml:space="preserve"> do planów. Głównym dokumentem wskazującym sposoby klasyfikacji potencjału ekologicznego jest rozporządzenie w sprawie klasyfikacji stanu ekologicznego, potencjału ekologicznego i stanu chemicznego oraz sposobu klasyfikacji stanu jednolitych części wód powierzchniowych, a także środowiskowych norm jakości dla substancji priorytetowyche. To ono odnosi, jeżeli chodzi o silnie zmienione i sztuczne części wód i wartości graniczne do tego, że są one wskazywane w Planie gospodarowania wodami. Poszczególne zakładki załącznika </w:t>
            </w:r>
            <w:r w:rsidR="00707C14">
              <w:rPr>
                <w:rFonts w:ascii="Calibri" w:eastAsia="Times New Roman" w:hAnsi="Calibri" w:cs="Calibri"/>
                <w:color w:val="000000"/>
                <w:sz w:val="18"/>
                <w:szCs w:val="18"/>
                <w:lang w:eastAsia="pl-PL"/>
              </w:rPr>
              <w:t xml:space="preserve">IIaPGW </w:t>
            </w:r>
            <w:r w:rsidRPr="00707C14">
              <w:rPr>
                <w:rFonts w:ascii="Calibri" w:eastAsia="Times New Roman" w:hAnsi="Calibri" w:cs="Calibri"/>
                <w:color w:val="000000"/>
                <w:sz w:val="18"/>
                <w:szCs w:val="18"/>
                <w:lang w:eastAsia="pl-PL"/>
              </w:rPr>
              <w:t xml:space="preserve">są dedykowane kategoriom wód: rzecznym, zbiornikowym i jeziornym oddzielnie, wskazane są w nich, w poszczególnych kolumnach, konkretne wartości, jeżeli chodzi o elementy biologiczne i hydromorfologiczne. </w:t>
            </w:r>
            <w:r w:rsidR="00C065C8" w:rsidRPr="00F57DBC">
              <w:rPr>
                <w:rFonts w:ascii="Calibri" w:eastAsia="Times New Roman" w:hAnsi="Calibri" w:cs="Calibri"/>
                <w:sz w:val="18"/>
                <w:szCs w:val="18"/>
                <w:lang w:eastAsia="pl-PL"/>
              </w:rPr>
              <w:t>W przypadku wartości granicznych dot. wskaźników fizykochemicznych zastosowano dwa rodzaje podejścia:</w:t>
            </w:r>
          </w:p>
          <w:p w14:paraId="744FCDF1" w14:textId="37B303D8" w:rsidR="00C065C8" w:rsidRPr="00F57DBC" w:rsidRDefault="00C065C8" w:rsidP="00C065C8">
            <w:pPr>
              <w:pStyle w:val="Akapitzlist"/>
              <w:numPr>
                <w:ilvl w:val="0"/>
                <w:numId w:val="1"/>
              </w:numPr>
              <w:ind w:left="354" w:hanging="283"/>
              <w:jc w:val="left"/>
              <w:rPr>
                <w:rFonts w:eastAsia="Times New Roman" w:cstheme="minorHAnsi"/>
                <w:sz w:val="18"/>
                <w:szCs w:val="18"/>
                <w:lang w:eastAsia="pl-PL"/>
              </w:rPr>
            </w:pPr>
            <w:r w:rsidRPr="00F57DBC">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F57DBC">
              <w:rPr>
                <w:rFonts w:cstheme="minorHAnsi"/>
                <w:sz w:val="18"/>
                <w:szCs w:val="18"/>
                <w:shd w:val="clear" w:color="auto" w:fill="FFFFFF"/>
              </w:rPr>
              <w:t xml:space="preserve"> RW określonego typu”</w:t>
            </w:r>
          </w:p>
          <w:p w14:paraId="349C7EED" w14:textId="52A5DADA" w:rsidR="00C065C8" w:rsidRPr="00F57DBC" w:rsidRDefault="00C065C8" w:rsidP="00C065C8">
            <w:pPr>
              <w:pStyle w:val="Akapitzlist"/>
              <w:numPr>
                <w:ilvl w:val="0"/>
                <w:numId w:val="1"/>
              </w:numPr>
              <w:ind w:left="354" w:hanging="283"/>
              <w:jc w:val="left"/>
              <w:rPr>
                <w:rFonts w:ascii="Calibri" w:eastAsia="Times New Roman" w:hAnsi="Calibri" w:cs="Calibri"/>
                <w:sz w:val="18"/>
                <w:szCs w:val="18"/>
                <w:lang w:eastAsia="pl-PL"/>
              </w:rPr>
            </w:pPr>
            <w:r w:rsidRPr="00F57DBC">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F57DBC">
              <w:rPr>
                <w:rFonts w:eastAsia="Times New Roman" w:cstheme="minorHAnsi"/>
                <w:sz w:val="18"/>
                <w:szCs w:val="18"/>
                <w:lang w:eastAsia="pl-PL"/>
              </w:rPr>
              <w:t xml:space="preserve"> RW</w:t>
            </w:r>
            <w:r w:rsidRPr="00F57DBC">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w:t>
            </w:r>
            <w:r w:rsidRPr="00F57DBC">
              <w:rPr>
                <w:rFonts w:ascii="Calibri" w:eastAsia="Times New Roman" w:hAnsi="Calibri" w:cs="Calibri"/>
                <w:sz w:val="18"/>
                <w:szCs w:val="18"/>
                <w:lang w:eastAsia="pl-PL"/>
              </w:rPr>
              <w:lastRenderedPageBreak/>
              <w:t xml:space="preserve">substancji priorytetowych (Dz.U. 2021 poz. 1475). </w:t>
            </w:r>
          </w:p>
          <w:p w14:paraId="4842283B" w14:textId="53B69526" w:rsidR="0085319C" w:rsidRPr="00707C14" w:rsidRDefault="00C065C8" w:rsidP="00C065C8">
            <w:pPr>
              <w:ind w:firstLine="0"/>
              <w:jc w:val="left"/>
              <w:rPr>
                <w:rFonts w:ascii="Calibri" w:eastAsia="Times New Roman" w:hAnsi="Calibri" w:cs="Calibri"/>
                <w:color w:val="000000"/>
                <w:sz w:val="18"/>
                <w:szCs w:val="18"/>
                <w:lang w:eastAsia="pl-PL"/>
              </w:rPr>
            </w:pPr>
            <w:r w:rsidRPr="00F57DBC">
              <w:rPr>
                <w:rFonts w:ascii="Calibri" w:eastAsia="Times New Roman" w:hAnsi="Calibri" w:cs="Calibri"/>
                <w:sz w:val="18"/>
                <w:szCs w:val="18"/>
                <w:lang w:eastAsia="pl-PL"/>
              </w:rPr>
              <w:t>IIaPGW został odpowiednio uzupełniony w tym zakresie dla wyeliminowania wątpliwości czytelnika</w:t>
            </w:r>
            <w:r w:rsidR="0085319C" w:rsidRPr="00707C14">
              <w:rPr>
                <w:rFonts w:ascii="Calibri" w:eastAsia="Times New Roman" w:hAnsi="Calibri" w:cs="Calibri"/>
                <w:color w:val="000000"/>
                <w:sz w:val="18"/>
                <w:szCs w:val="18"/>
                <w:lang w:eastAsia="pl-PL"/>
              </w:rPr>
              <w:t xml:space="preserve">. Generalnie załącznik </w:t>
            </w:r>
            <w:r>
              <w:rPr>
                <w:rFonts w:ascii="Calibri" w:eastAsia="Times New Roman" w:hAnsi="Calibri" w:cs="Calibri"/>
                <w:color w:val="000000"/>
                <w:sz w:val="18"/>
                <w:szCs w:val="18"/>
                <w:lang w:eastAsia="pl-PL"/>
              </w:rPr>
              <w:t>Wartości graniczne SCW i SZCW</w:t>
            </w:r>
            <w:r w:rsidR="0085319C" w:rsidRPr="00707C14">
              <w:rPr>
                <w:rFonts w:ascii="Calibri" w:eastAsia="Times New Roman" w:hAnsi="Calibri" w:cs="Calibri"/>
                <w:color w:val="000000"/>
                <w:sz w:val="18"/>
                <w:szCs w:val="18"/>
                <w:lang w:eastAsia="pl-PL"/>
              </w:rPr>
              <w:t xml:space="preserve"> to jest załącznik,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p>
        </w:tc>
      </w:tr>
      <w:tr w:rsidR="0085319C" w:rsidRPr="005E78BB" w14:paraId="12665728" w14:textId="77777777" w:rsidTr="00E92AE6">
        <w:trPr>
          <w:trHeight w:val="454"/>
        </w:trPr>
        <w:tc>
          <w:tcPr>
            <w:tcW w:w="562" w:type="dxa"/>
            <w:shd w:val="clear" w:color="auto" w:fill="auto"/>
            <w:hideMark/>
          </w:tcPr>
          <w:p w14:paraId="149E50C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249</w:t>
            </w:r>
          </w:p>
        </w:tc>
        <w:tc>
          <w:tcPr>
            <w:tcW w:w="1021" w:type="dxa"/>
          </w:tcPr>
          <w:p w14:paraId="3CC66A40" w14:textId="62743E6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0DAE56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429C8AF" w14:textId="23C970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Niemiarodajne dane stanowią podstawę opracowania Projektu. Wnioski w dokumencie projektowym oparte są na niepełnych, częściowo nieaktualnych i niemiarodajnych danych pomiarowych dotyczących dobrostanu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na błędnym założeniu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Zgodnie z historycznymi wynikami badań pomiarowych za lata 1997-2009 uzyskanych przez Spółkę w ramach dostępu do informacji o środowisku oraz z wynikami wewnętrznie zleconych badań pomiarowych przeprowadzonych za okres czerwiec-sierpień 2021 na odcinku Wisły w punkcie pomiarowym Łęgnowo (769,1 km) dopuszczalne granice parametrów fizykochemicznych zostały przekroczone. Tym samym cele środowiskowe nie zostały osiągnięte wbrew zapewnieniom w Projekcie.</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Uwaga ogólna</w:t>
            </w:r>
          </w:p>
        </w:tc>
        <w:tc>
          <w:tcPr>
            <w:tcW w:w="3377" w:type="dxa"/>
            <w:shd w:val="clear" w:color="auto" w:fill="auto"/>
            <w:hideMark/>
          </w:tcPr>
          <w:p w14:paraId="0204C5FB" w14:textId="25FB3F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Proponowanym rozwiązaniem byłoby ponowne przeprowadzenie badań pomiarowych w dotychczasowych punktach kontrolnych stosując jednolitą metodologię badań celem dokonania analizy porównawczej z danymi historycznymi i ponowna ocena dobrostanu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obszarze.</w:t>
            </w:r>
          </w:p>
        </w:tc>
        <w:tc>
          <w:tcPr>
            <w:tcW w:w="3401" w:type="dxa"/>
            <w:shd w:val="clear" w:color="auto" w:fill="auto"/>
            <w:hideMark/>
          </w:tcPr>
          <w:p w14:paraId="0C2BF0F3" w14:textId="5BB60A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Oparcie się na niemiarodajnych danych stwarza istotne ryzyko nieprawidłowej oceny dobrostanu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nieosiągnięcia celów środowiskowych. Ocena ta stwarza również pośrednio zagrożenie dla działalności przemysłowej Spółki oraz innych podmiotów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albowiem byłaby ona uwzględniania przy wydawaniu i okresowych przeglądach pozwoleń administracyjnoprawnych, na podstawie których operują w tym obszarze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Spółka oraz inne podmioty. W przypadku bowiem, gdy zostanie przyjęte błędne założenie, że cele środowiskowe zostaną, czy też zostały osiągnięte, Spółki lub inne podmioty zostaną m.in. pozbawieni możliwości wystąpienia o stosowne derogacje, konieczne dla prowadzenia przez nich działalności gospodarczej.</w:t>
            </w:r>
          </w:p>
        </w:tc>
        <w:tc>
          <w:tcPr>
            <w:tcW w:w="1918" w:type="dxa"/>
            <w:shd w:val="clear" w:color="auto" w:fill="auto"/>
            <w:hideMark/>
          </w:tcPr>
          <w:p w14:paraId="0CC747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5415F8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9E1B193" w14:textId="693C4D6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5E78BB">
              <w:rPr>
                <w:rFonts w:ascii="Calibri" w:eastAsia="Times New Roman" w:hAnsi="Calibri" w:cs="Calibri"/>
                <w:color w:val="000000"/>
                <w:sz w:val="18"/>
                <w:szCs w:val="18"/>
                <w:lang w:eastAsia="pl-PL"/>
              </w:rPr>
              <w:br/>
              <w:t xml:space="preserve">Udokumentowane w badaniach monitoringowych i ocenach stanu Głównego Inspektoratu Ochrony Środowiska (w ramach Państwowego Monitoringu Środowiska) przekroczenie dopuszczalnych poziomów przewodności elektrolitycznej właściwej PEW w ppk. Przechowo w 2019 r. zlokalizowanym </w:t>
            </w:r>
            <w:r w:rsidRPr="005E78BB">
              <w:rPr>
                <w:rFonts w:ascii="Calibri" w:eastAsia="Times New Roman" w:hAnsi="Calibri" w:cs="Calibri"/>
                <w:color w:val="000000"/>
                <w:sz w:val="18"/>
                <w:szCs w:val="18"/>
                <w:lang w:eastAsia="pl-PL"/>
              </w:rPr>
              <w:lastRenderedPageBreak/>
              <w:t xml:space="preserve">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5E78BB">
              <w:rPr>
                <w:rFonts w:ascii="Calibri" w:eastAsia="Times New Roman" w:hAnsi="Calibri" w:cs="Calibri"/>
                <w:color w:val="000000"/>
                <w:sz w:val="18"/>
                <w:szCs w:val="18"/>
                <w:lang w:eastAsia="pl-PL"/>
              </w:rPr>
              <w:br/>
              <w:t xml:space="preserve">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Wisła od Zgłowiączki do Brdy (RW20001229199) oraz Wisła od Brdy do Wdy (RW2000122939) (vide pkt 1), na które w świetle powyższych analiz, zasadnym jest przeniesienie przedmiotowej derogacji przy uwzględnieniu PEW, co wynika ze sposobu oceny potencjału ekologicznego po 2022 r.</w:t>
            </w:r>
          </w:p>
        </w:tc>
      </w:tr>
      <w:tr w:rsidR="0085319C" w:rsidRPr="005E78BB" w14:paraId="021B0870" w14:textId="77777777" w:rsidTr="00E92AE6">
        <w:trPr>
          <w:trHeight w:val="454"/>
        </w:trPr>
        <w:tc>
          <w:tcPr>
            <w:tcW w:w="562" w:type="dxa"/>
            <w:shd w:val="clear" w:color="auto" w:fill="auto"/>
            <w:hideMark/>
          </w:tcPr>
          <w:p w14:paraId="7B2A4B9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250</w:t>
            </w:r>
          </w:p>
        </w:tc>
        <w:tc>
          <w:tcPr>
            <w:tcW w:w="1021" w:type="dxa"/>
          </w:tcPr>
          <w:p w14:paraId="108FD076" w14:textId="208B74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 ul. Leszczyńskiej 7, 32-600 Oświęcim</w:t>
            </w:r>
          </w:p>
        </w:tc>
        <w:tc>
          <w:tcPr>
            <w:tcW w:w="1630" w:type="dxa"/>
            <w:shd w:val="clear" w:color="auto" w:fill="auto"/>
            <w:hideMark/>
          </w:tcPr>
          <w:p w14:paraId="1429A1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C2938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 xml:space="preserve">Rozdział 12 oraz Załącznik nr 7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Treść uwagi: </w:t>
            </w:r>
            <w:r w:rsidRPr="005E78BB">
              <w:rPr>
                <w:rFonts w:ascii="Calibri" w:eastAsia="Times New Roman" w:hAnsi="Calibri" w:cs="Calibri"/>
                <w:color w:val="000000"/>
                <w:sz w:val="18"/>
                <w:szCs w:val="18"/>
                <w:lang w:eastAsia="pl-PL"/>
              </w:rPr>
              <w:br w:type="page"/>
              <w:t>Katalog działań powinien być rozszerzony o działania zapobiegające negatywnym skutkom odprowadzania do wód zanieczyszczeń termicznych oraz zapobiegające pozostałym problemom związanym z funkcjonowaniem układów chłodzenia bloków energetycznych.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46F6935" w14:textId="53EEBAE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Propozycje zmiany:</w:t>
            </w:r>
            <w:r w:rsidRPr="005E78BB">
              <w:rPr>
                <w:rFonts w:ascii="Calibri" w:eastAsia="Times New Roman" w:hAnsi="Calibri" w:cs="Calibri"/>
                <w:color w:val="000000"/>
                <w:sz w:val="18"/>
                <w:szCs w:val="18"/>
                <w:lang w:eastAsia="pl-PL"/>
              </w:rPr>
              <w:br w:type="page"/>
              <w:t>Rozszerzenie katalogu działań o:</w:t>
            </w:r>
            <w:r w:rsidRPr="005E78BB">
              <w:rPr>
                <w:rFonts w:ascii="Calibri" w:eastAsia="Times New Roman" w:hAnsi="Calibri" w:cs="Calibri"/>
                <w:color w:val="000000"/>
                <w:sz w:val="18"/>
                <w:szCs w:val="18"/>
                <w:lang w:eastAsia="pl-PL"/>
              </w:rPr>
              <w:br w:type="page"/>
              <w:t xml:space="preserve">1. ciągły (stały) monitoring wód płynących w zakresie wskaźnika: temperatury wody, oraz dodanie tego działania do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w:t>
            </w:r>
            <w:r w:rsidRPr="005E78BB">
              <w:rPr>
                <w:rFonts w:ascii="Calibri" w:eastAsia="Times New Roman" w:hAnsi="Calibri" w:cs="Calibri"/>
                <w:color w:val="000000"/>
                <w:sz w:val="18"/>
                <w:szCs w:val="18"/>
                <w:lang w:eastAsia="pl-PL"/>
              </w:rPr>
              <w:br w:type="page"/>
              <w:t xml:space="preserve">2. ciągły (stały) monitoring temperatury odprowadzanych wód chłodniczych przez podmioty wprowadzające wody chłodnicze do środowiska, oraz ciągły pomiar temperatury wód odbiornika przez te podmioty: w miejscu poboru wód, oraz poniżej zrzutu ścieków termicznych na granicy strefy mieszania, a także dodanie tego działania do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do których odprowadzane są wody chłodnicze;</w:t>
            </w:r>
            <w:r w:rsidRPr="005E78BB">
              <w:rPr>
                <w:rFonts w:ascii="Calibri" w:eastAsia="Times New Roman" w:hAnsi="Calibri" w:cs="Calibri"/>
                <w:color w:val="000000"/>
                <w:sz w:val="18"/>
                <w:szCs w:val="18"/>
                <w:lang w:eastAsia="pl-PL"/>
              </w:rPr>
              <w:br w:type="page"/>
              <w:t>3. działania zapobiegające negatywnemu oddziaływaniu na wody i osiągnięciu celów środowiskowych w zakresie braków właściwych norm dotyczących kwestii:</w:t>
            </w:r>
            <w:r w:rsidRPr="005E78BB">
              <w:rPr>
                <w:rFonts w:ascii="Calibri" w:eastAsia="Times New Roman" w:hAnsi="Calibri" w:cs="Calibri"/>
                <w:color w:val="000000"/>
                <w:sz w:val="18"/>
                <w:szCs w:val="18"/>
                <w:lang w:eastAsia="pl-PL"/>
              </w:rPr>
              <w:br w:type="page"/>
              <w:t xml:space="preserve">termicznych zrzutu do środowiska wód chłodniczych, </w:t>
            </w:r>
            <w:r w:rsidRPr="005E78BB">
              <w:rPr>
                <w:rFonts w:ascii="Calibri" w:eastAsia="Times New Roman" w:hAnsi="Calibri" w:cs="Calibri"/>
                <w:color w:val="000000"/>
                <w:sz w:val="18"/>
                <w:szCs w:val="18"/>
                <w:lang w:eastAsia="pl-PL"/>
              </w:rPr>
              <w:br w:type="page"/>
              <w:t>bardzo dużych strat w ichtiofaunie wywołanych zasysaniem (wciąganiem) larw ryb (ichtioplanktonu) do systemów chłodzenia bloków energetycznych,</w:t>
            </w:r>
            <w:r w:rsidRPr="005E78BB">
              <w:rPr>
                <w:rFonts w:ascii="Calibri" w:eastAsia="Times New Roman" w:hAnsi="Calibri" w:cs="Calibri"/>
                <w:color w:val="000000"/>
                <w:sz w:val="18"/>
                <w:szCs w:val="18"/>
                <w:lang w:eastAsia="pl-PL"/>
              </w:rPr>
              <w:br w:type="page"/>
              <w:t>zanieczyszczenia wód biocydami pochodzącymi z układów chłodzenia bloków energetycznych,</w:t>
            </w:r>
            <w:r w:rsidRPr="005E78BB">
              <w:rPr>
                <w:rFonts w:ascii="Calibri" w:eastAsia="Times New Roman" w:hAnsi="Calibri" w:cs="Calibri"/>
                <w:color w:val="000000"/>
                <w:sz w:val="18"/>
                <w:szCs w:val="18"/>
                <w:lang w:eastAsia="pl-PL"/>
              </w:rPr>
              <w:br w:type="page"/>
              <w:t>niewłaściwych kryteriów sposobu klasyfikacji stanu/potencjału ekologicznego wód w zakresie zasolenia wód;</w:t>
            </w:r>
            <w:r w:rsidRPr="005E78BB">
              <w:rPr>
                <w:rFonts w:ascii="Calibri" w:eastAsia="Times New Roman" w:hAnsi="Calibri" w:cs="Calibri"/>
                <w:color w:val="000000"/>
                <w:sz w:val="18"/>
                <w:szCs w:val="18"/>
                <w:lang w:eastAsia="pl-PL"/>
              </w:rPr>
              <w:br w:type="page"/>
              <w:t>4. działania kompensujące luki w systemie opłat za wykorzystanie wód do celów chłodzenia bloków energetycznych, które naruszają zasadę „zanieczyszczający płaci”;</w:t>
            </w:r>
            <w:r w:rsidRPr="005E78BB">
              <w:rPr>
                <w:rFonts w:ascii="Calibri" w:eastAsia="Times New Roman" w:hAnsi="Calibri" w:cs="Calibri"/>
                <w:color w:val="000000"/>
                <w:sz w:val="18"/>
                <w:szCs w:val="18"/>
                <w:lang w:eastAsia="pl-PL"/>
              </w:rPr>
              <w:br w:type="page"/>
              <w:t>5. działania zapobiegające nielimitowanym poborom wody z rzek przez zakłady nieposiadające wyznaczonych przepływów nienaruszalnych.</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12410D5" w14:textId="20C1ED9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Temperatura wód powierzchniowych to jeden z podstawowych pa</w:t>
            </w:r>
            <w:r w:rsidRPr="005E78BB">
              <w:rPr>
                <w:rFonts w:ascii="Calibri" w:eastAsia="Times New Roman" w:hAnsi="Calibri" w:cs="Calibri"/>
                <w:color w:val="000000"/>
                <w:sz w:val="18"/>
                <w:szCs w:val="18"/>
                <w:lang w:eastAsia="pl-PL"/>
              </w:rPr>
              <w:softHyphen/>
              <w:t xml:space="preserve">rametrów wpływających na możliwość przetrwania organizmów wodnych. Jej regularny pomiar pozwala określić trendy w zmianach klimatycznych, oraz skalę zanieczyszczeń termicznych wód otwartych. Z tych przyczyn aPGW powinna wśród zestawu działań przewidywać automatyczny, ciągły system monitoringu temperatury wód powierzchniowych na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okresie przejściowym pomiary mogłyby być dokonywane jak dotychczas przez obserwa</w:t>
            </w:r>
            <w:r w:rsidRPr="005E78BB">
              <w:rPr>
                <w:rFonts w:ascii="Calibri" w:eastAsia="Times New Roman" w:hAnsi="Calibri" w:cs="Calibri"/>
                <w:color w:val="000000"/>
                <w:sz w:val="18"/>
                <w:szCs w:val="18"/>
                <w:lang w:eastAsia="pl-PL"/>
              </w:rPr>
              <w:softHyphen/>
              <w:t>torów IMGW na wybranych istniejących posterunkach. Niestety w ostat</w:t>
            </w:r>
            <w:r w:rsidRPr="005E78BB">
              <w:rPr>
                <w:rFonts w:ascii="Calibri" w:eastAsia="Times New Roman" w:hAnsi="Calibri" w:cs="Calibri"/>
                <w:color w:val="000000"/>
                <w:sz w:val="18"/>
                <w:szCs w:val="18"/>
                <w:lang w:eastAsia="pl-PL"/>
              </w:rPr>
              <w:softHyphen/>
              <w:t xml:space="preserve">nich latach IMGW znacząco ograniczyło liczbę punktów, w których prowadzi się pomiary temperatury. Dotychczasowy system nie był idealny, gdyż ograniczał się głównie do jednego pomiaru w ciągu dnia, jednak pozwalał na określenie trendów zmian temperatury polskich rzek. Zestaw działań powinien przewidywać budowę sieci monitoringu temperatury wód w oparciu o istniejącą sieć posterunków wodowskazowych IMGW. Dane te powinny być powszechnie dostępne i udostępniane w portalu internetowym IMGW.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2. Otwarte systemy chłodzenia bloków energetycznych powodują zanieczyszczenie termiczne wód wskutek odprowadzenia podgrzanych wód chłodniczych. Całkowite wymieszanie wód chłodniczych z wodami rzeki następuje w odległości 8-15 km od miejsca ich zrzutu. Rzeka uzyskuje zbliżoną do naturalnej temperaturę przeciętnie po kilkudziesięciu do kilkuset kilometrach o ile po drodze nie ma kolejnych punktów zrzutu ciepłych wód. Skutkami odprowadzenia ciepłych wód są: </w:t>
            </w:r>
            <w:r w:rsidRPr="005E78BB">
              <w:rPr>
                <w:rFonts w:ascii="Calibri" w:eastAsia="Times New Roman" w:hAnsi="Calibri" w:cs="Calibri"/>
                <w:color w:val="000000"/>
                <w:sz w:val="18"/>
                <w:szCs w:val="18"/>
                <w:lang w:eastAsia="pl-PL"/>
              </w:rPr>
              <w:lastRenderedPageBreak/>
              <w:br w:type="page"/>
              <w:t xml:space="preserve">Zmniejszenie ilości tlenu w wodzie. </w:t>
            </w:r>
            <w:r w:rsidRPr="005E78BB">
              <w:rPr>
                <w:rFonts w:ascii="Calibri" w:eastAsia="Times New Roman" w:hAnsi="Calibri" w:cs="Calibri"/>
                <w:color w:val="000000"/>
                <w:sz w:val="18"/>
                <w:szCs w:val="18"/>
                <w:lang w:eastAsia="pl-PL"/>
              </w:rPr>
              <w:br w:type="page"/>
              <w:t>Zwiększenie  prawdopodobieństwa zakwitów glonów i sinic.</w:t>
            </w:r>
            <w:r w:rsidRPr="005E78BB">
              <w:rPr>
                <w:rFonts w:ascii="Calibri" w:eastAsia="Times New Roman" w:hAnsi="Calibri" w:cs="Calibri"/>
                <w:color w:val="000000"/>
                <w:sz w:val="18"/>
                <w:szCs w:val="18"/>
                <w:lang w:eastAsia="pl-PL"/>
              </w:rPr>
              <w:br w:type="page"/>
              <w:t>W podgrzanych wodach ryby nie przechodzą okresu zimowania, co w rezultacie zmienia ich cykl płciowy i termin rozrodu ze wszystkimi tego dalszymi konsekwencjami.</w:t>
            </w:r>
            <w:r w:rsidRPr="005E78BB">
              <w:rPr>
                <w:rFonts w:ascii="Calibri" w:eastAsia="Times New Roman" w:hAnsi="Calibri" w:cs="Calibri"/>
                <w:color w:val="000000"/>
                <w:sz w:val="18"/>
                <w:szCs w:val="18"/>
                <w:lang w:eastAsia="pl-PL"/>
              </w:rPr>
              <w:br w:type="page"/>
              <w:t>Podwyższona temperatura sprzyja inwazjom i adaptacji gatunków inwazyjnych, zarówno ryb jak i bezkręgowców, w tym i pasożytów.</w:t>
            </w:r>
            <w:r w:rsidRPr="005E78BB">
              <w:rPr>
                <w:rFonts w:ascii="Calibri" w:eastAsia="Times New Roman" w:hAnsi="Calibri" w:cs="Calibri"/>
                <w:color w:val="000000"/>
                <w:sz w:val="18"/>
                <w:szCs w:val="18"/>
                <w:lang w:eastAsia="pl-PL"/>
              </w:rPr>
              <w:br w:type="page"/>
              <w:t xml:space="preserve">Badania telemetryczne wykazały, że migrujące  łososie trafiając na pióropusz termiczny na całej szerokości rzeki zawracały i spływały w dół rzeki, często z powrotem do morza.  Pióropusz termiczny należy zatem traktować jako kolejną, obok przegród poprzecznych, barierę migracyjną dla ryb. </w:t>
            </w:r>
            <w:r w:rsidRPr="005E78BB">
              <w:rPr>
                <w:rFonts w:ascii="Calibri" w:eastAsia="Times New Roman" w:hAnsi="Calibri" w:cs="Calibri"/>
                <w:color w:val="000000"/>
                <w:sz w:val="18"/>
                <w:szCs w:val="18"/>
                <w:lang w:eastAsia="pl-PL"/>
              </w:rPr>
              <w:br w:type="page"/>
              <w:t>Straty energetyczne u gatunków dwuśrodowiskowych, które ostatecznie mogą nie przystąpić do tarła.</w:t>
            </w:r>
            <w:r w:rsidRPr="005E78BB">
              <w:rPr>
                <w:rFonts w:ascii="Calibri" w:eastAsia="Times New Roman" w:hAnsi="Calibri" w:cs="Calibri"/>
                <w:color w:val="000000"/>
                <w:sz w:val="18"/>
                <w:szCs w:val="18"/>
                <w:lang w:eastAsia="pl-PL"/>
              </w:rPr>
              <w:br w:type="page"/>
              <w:t>Tarło naturalne, które miało miejsce w strefie przybrzeżnej powyżej zrzutu gorących wód jest skazane na niepowodzenie.</w:t>
            </w:r>
            <w:r w:rsidRPr="005E78BB">
              <w:rPr>
                <w:rFonts w:ascii="Calibri" w:eastAsia="Times New Roman" w:hAnsi="Calibri" w:cs="Calibri"/>
                <w:color w:val="000000"/>
                <w:sz w:val="18"/>
                <w:szCs w:val="18"/>
                <w:lang w:eastAsia="pl-PL"/>
              </w:rPr>
              <w:br w:type="page"/>
              <w:t>Rezultaty zdecydowanej większości prac naukowych dowodzą, że podgrzane fragmenty rzek  charakteryzują się zwiększoną biomasą i liczebnością ryb, przy jednoczesnym drastycznym obniżeniu bioróżnorodności.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powyższym kontekście niezwykle istotne jest zobowiązanie zakładów wprowadzających do środowiska wody chłodnicze do ciągłego (stałego) monitoringu temperatury odprowadzanych wód chłodniczych, oraz ciągłego pomiaru temperatury wód odbiornika przez te podmioty: w miejscu poboru wód, oraz poniżej zrzutu ścieków termicznych na granicy strefy mieszania. Aktualne przepisy nie wymagają prowadzenia takich pomiarów, chyba że dany zakład zostanie do tego zobowiązany w pozwoleniu wodnoprawnym/zintegrowanym. </w:t>
            </w:r>
            <w:r w:rsidRPr="005E78BB">
              <w:rPr>
                <w:rFonts w:ascii="Calibri" w:eastAsia="Times New Roman" w:hAnsi="Calibri" w:cs="Calibri"/>
                <w:color w:val="000000"/>
                <w:sz w:val="18"/>
                <w:szCs w:val="18"/>
                <w:lang w:eastAsia="pl-PL"/>
              </w:rPr>
              <w:br w:type="page"/>
              <w:t xml:space="preserve">Obecna aPGW powinna więc przewidywać działania obligujące zakłady do monitoringu w/w kryteriów termicznych co najmniej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Takie zapisy wymuszą na organach ochrony środowiska wprowadzenie stosownych warunków do pozwoleń zintegrowanych, które to decyzje muszą być zgodne z planami gospodarowania wodami.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3. a) Aktualnie jedynym kryterium odprowadzania wód </w:t>
            </w:r>
            <w:r w:rsidRPr="005E78BB">
              <w:rPr>
                <w:rFonts w:ascii="Calibri" w:eastAsia="Times New Roman" w:hAnsi="Calibri" w:cs="Calibri"/>
                <w:color w:val="000000"/>
                <w:sz w:val="18"/>
                <w:szCs w:val="18"/>
                <w:lang w:eastAsia="pl-PL"/>
              </w:rPr>
              <w:lastRenderedPageBreak/>
              <w:t>chłodniczych do wód otwartych jest nieprzekraczanie progu temperatury tych wód: 35 st. C. Kryterium to jest dalece niewystarczające. Aspekt zmian temperatury wód został dawno zauważony przez  Unię Europejską, która wprowadziła dyrektywę Parlamentu Europejskiego i Rady 2006/44/EC w sprawie w sprawie jakości słodkich wód wymagających ochrony lub poprawy w celu zachowania życia ryb. Przepisy te znalazły swoje odzwierciedlenie w jednym z krajowych, już nieobowiązujących rozporządzeń: rozporządzenie Ministra Środowiska z dn. 4.10.2002 r. w sprawie wymagań, jakim powinny odpowiadać wody śródlądowe będące środowiskiem życia ryb w warunkach naturalnych (Dz.U. z 2002 r. nr 176, poz. 1455). Zgodnie z powyższymi przepisami maksymalną dopuszczalną temperaturę wody w odbiorniku na granicy strefy mieszania ustalono na następujących poziomach:</w:t>
            </w:r>
            <w:r w:rsidRPr="005E78BB">
              <w:rPr>
                <w:rFonts w:ascii="Calibri" w:eastAsia="Times New Roman" w:hAnsi="Calibri" w:cs="Calibri"/>
                <w:color w:val="000000"/>
                <w:sz w:val="18"/>
                <w:szCs w:val="18"/>
                <w:lang w:eastAsia="pl-PL"/>
              </w:rPr>
              <w:br w:type="page"/>
              <w:t>- 21,5 stopni C – dla ryb łososiowatych,</w:t>
            </w:r>
            <w:r w:rsidRPr="005E78BB">
              <w:rPr>
                <w:rFonts w:ascii="Calibri" w:eastAsia="Times New Roman" w:hAnsi="Calibri" w:cs="Calibri"/>
                <w:color w:val="000000"/>
                <w:sz w:val="18"/>
                <w:szCs w:val="18"/>
                <w:lang w:eastAsia="pl-PL"/>
              </w:rPr>
              <w:br w:type="page"/>
              <w:t>- 28 stopni C – dla ryb karpiowatych.</w:t>
            </w:r>
            <w:r w:rsidRPr="005E78BB">
              <w:rPr>
                <w:rFonts w:ascii="Calibri" w:eastAsia="Times New Roman" w:hAnsi="Calibri" w:cs="Calibri"/>
                <w:color w:val="000000"/>
                <w:sz w:val="18"/>
                <w:szCs w:val="18"/>
                <w:lang w:eastAsia="pl-PL"/>
              </w:rPr>
              <w:br w:type="page"/>
              <w:t>Równocześnie ustalono dopuszczalne, maksymalne różnice temperatur (między wodą w rzece powyżej i poniżej zanieczyszczenia termicznego), które wyniosły:</w:t>
            </w:r>
            <w:r w:rsidRPr="005E78BB">
              <w:rPr>
                <w:rFonts w:ascii="Calibri" w:eastAsia="Times New Roman" w:hAnsi="Calibri" w:cs="Calibri"/>
                <w:color w:val="000000"/>
                <w:sz w:val="18"/>
                <w:szCs w:val="18"/>
                <w:lang w:eastAsia="pl-PL"/>
              </w:rPr>
              <w:br w:type="page"/>
              <w:t>- 1,5 stopnia C – dla ryb łososiowatych,</w:t>
            </w:r>
            <w:r w:rsidRPr="005E78BB">
              <w:rPr>
                <w:rFonts w:ascii="Calibri" w:eastAsia="Times New Roman" w:hAnsi="Calibri" w:cs="Calibri"/>
                <w:color w:val="000000"/>
                <w:sz w:val="18"/>
                <w:szCs w:val="18"/>
                <w:lang w:eastAsia="pl-PL"/>
              </w:rPr>
              <w:br w:type="page"/>
              <w:t xml:space="preserve">- 3 stopnie C - dla ryb karpiowatych. </w:t>
            </w:r>
            <w:r w:rsidRPr="005E78BB">
              <w:rPr>
                <w:rFonts w:ascii="Calibri" w:eastAsia="Times New Roman" w:hAnsi="Calibri" w:cs="Calibri"/>
                <w:color w:val="000000"/>
                <w:sz w:val="18"/>
                <w:szCs w:val="18"/>
                <w:lang w:eastAsia="pl-PL"/>
              </w:rPr>
              <w:br w:type="page"/>
              <w:t xml:space="preserve">Przyjęto także, że temperatura wód w okresie tarła dla ryb łososiowatych nie może być wyższa niż 10 stopni C. </w:t>
            </w:r>
            <w:r w:rsidRPr="005E78BB">
              <w:rPr>
                <w:rFonts w:ascii="Calibri" w:eastAsia="Times New Roman" w:hAnsi="Calibri" w:cs="Calibri"/>
                <w:color w:val="000000"/>
                <w:sz w:val="18"/>
                <w:szCs w:val="18"/>
                <w:lang w:eastAsia="pl-PL"/>
              </w:rPr>
              <w:br w:type="page"/>
              <w:t>Powyższe rozwiązania pozwalały na bezpieczne dla ichtiofauny odprowadzenie ścieków termicznych. W zasadzie brakowało wśród nich jedynie normy ustalającej maksymalną dopuszczal</w:t>
            </w:r>
            <w:r w:rsidRPr="005E78BB">
              <w:rPr>
                <w:rFonts w:ascii="Calibri" w:eastAsia="Times New Roman" w:hAnsi="Calibri" w:cs="Calibri"/>
                <w:color w:val="000000"/>
                <w:sz w:val="18"/>
                <w:szCs w:val="18"/>
                <w:lang w:eastAsia="pl-PL"/>
              </w:rPr>
              <w:softHyphen/>
              <w:t xml:space="preserve">ną różnicę pomiędzy temperaturą wody ujmowanej i zrzucanej do odbiornika. Z uwagi na fakt, że przepisy te zostały uchylone aktualnie prawo wodne przewiduje, że można zrzucać wody chłodnicze o temp. do 35 st. C niezależnie od wpływu tego zrzutu na środowisko wodne. Taka sytuacja powoduje, że co jakiś czas dochodzi do masowych śnięć ryb na skutek wystąpienia zjawiska szoku termicznego (np. gdy pobierana jest woda o temp. kilku stopni C, a zrzucana o temp. ok. 35st. C). Obecna aPGW powinna więc przewidywać działania zapobiegające stratom w ichtiofaunie na tych JCPW, na których zlokalizowane są zakłady wprowadzające wody chłodnicze,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t>
            </w:r>
            <w:r w:rsidRPr="005E78BB">
              <w:rPr>
                <w:rFonts w:ascii="Calibri" w:eastAsia="Times New Roman" w:hAnsi="Calibri" w:cs="Calibri"/>
                <w:color w:val="000000"/>
                <w:sz w:val="18"/>
                <w:szCs w:val="18"/>
                <w:lang w:eastAsia="pl-PL"/>
              </w:rPr>
              <w:lastRenderedPageBreak/>
              <w:t>Wisła od Dunajca do Wisłoki (Elektrownia Połaniec). W aPGW brak jakichkolwiek działań, które chroniłyby wody przed szkodliwym wpływem ścieków termicznych.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3. b) Problem zasysania ryb przez elektrownie jest szeroko znany w literaturze zagranicznej. W warunkach polskich próby oszacowania ginących organizmów wodnych (ichtioplanktonu: larwy , narybek 0+) w dwóch elektrowniach z otwartym obiegiem chłodzenia wód (Kozienice bloki 1-10 oraz Ostrołęka B) podjął się zespół kierowany przez prof. Tomasza Mikołajczyka. Z przeprowadzonych badań wynika, że w Kozienicach w latach 2018 – 2019 zginęło blisko 300 mln larw i wczesnych form narybkowych, z kolei w elektrowni Ostrołęka B w roku 2019 – 37 mln. Organizmy wodne są zasysane wraz z pobieraną wodą do systemów chłodzenia, gdzie giną na skutek obrażeń mechanicznych, różnicy ciśnień  i szoku termicznego. Nie dotyczy to tylko wspomnianej grupy organizmów, ale również skorupiaków, mięczaków, etc. Na 34 elektrownie i elektrociepłownie o mocy powyżej 100 MW pozostające w Krajowym Systemie Energetycznym wchodzące w skład systemu 11 z nich posiada otwarty obieg chłodzenia. 7 z nich jest zlokalizowanych w dorzeczu Wisły. </w:t>
            </w:r>
            <w:r w:rsidRPr="005E78BB">
              <w:rPr>
                <w:rFonts w:ascii="Calibri" w:eastAsia="Times New Roman" w:hAnsi="Calibri" w:cs="Calibri"/>
                <w:color w:val="000000"/>
                <w:sz w:val="18"/>
                <w:szCs w:val="18"/>
                <w:lang w:eastAsia="pl-PL"/>
              </w:rPr>
              <w:br w:type="page"/>
              <w:t xml:space="preserve">Prawo nie odnosi się w żaden szczególny sposób do tego problemu. Art. 403 ustawy Prawo wodne przewiduje co prawda teoretyczną możliwość nakładania na właściciela instalacji w pozwoleniach wodnoprawnych obowiązku wykonania urządzeń zapobiegających szkodom lub zmniejszających negatywne skutki wykonywania tego pozwolenia wodnoprawnego, jak też podjęcia działań służących poprawie stanu zasobów ryb lub uczestniczenia w kosztach zarybiania wód powierzchniowych, jeżeli w związku z wykonywaniem pozwolenia wodnoprawnego nastąpi zmniejszenie populacji ryb, jednakże są to rozwiązania czysto teoretyczne, które jak dotąd nie zostały zastosowane przy żadnym pozwoleniu dla elektrowni. Wynika to z faktu, że pobór wody dla elektrowni jest zasadniczo regulowany przez pozwolenie zintegrowane, a nie pozwolenie wodnoprawne. </w:t>
            </w:r>
            <w:r w:rsidRPr="005E78BB">
              <w:rPr>
                <w:rFonts w:ascii="Calibri" w:eastAsia="Times New Roman" w:hAnsi="Calibri" w:cs="Calibri"/>
                <w:color w:val="000000"/>
                <w:sz w:val="18"/>
                <w:szCs w:val="18"/>
                <w:lang w:eastAsia="pl-PL"/>
              </w:rPr>
              <w:br w:type="page"/>
              <w:t xml:space="preserve">Obecna aPGW powinna więc przewidywać działania zapobiegające stratom w ichtiofaunie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lastRenderedPageBreak/>
              <w:t xml:space="preserve">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ekosystem wodny przed zasysaniem ryb do systemów chłodzących, a tak duże straty w ichtiofaunie wpływają na realizację celów środowiskowych.</w:t>
            </w:r>
            <w:r w:rsidRPr="005E78BB">
              <w:rPr>
                <w:rFonts w:ascii="Calibri" w:eastAsia="Times New Roman" w:hAnsi="Calibri" w:cs="Calibri"/>
                <w:color w:val="000000"/>
                <w:sz w:val="18"/>
                <w:szCs w:val="18"/>
                <w:lang w:eastAsia="pl-PL"/>
              </w:rPr>
              <w:br w:type="page"/>
              <w:t>3. c) Kolejny pominięty w dokumencie aPGW istotny problem dotyczy stosowanych w instalacjach chłodzenia elektrowni biocydów (substancji biobójczych). Są one używane zarówno w  zamkniętych jak i otwartych obiegach chłodzenia w celu ochrony instalacji przed mikroorganizmami i/lub makroorganizmami. Powszechnie stosowaną substancją jest podchloryn sodu – bardzo toksyczny dla organizmów wodnych. Na 36 przeanalizowanych przez Towarzystwo pozwoleń zintegrowanych wydanych dla instalacji energetycznych w całej Polsce tylko w 9 przypadkach odnotowano fakt, że tego typu substancje są używane. Wśród nich najwięcej biocydów zużywa m. in. nowy blok 11 elektrowni Kozienice (7,5 tony/rok). Brak informacji o ilości i rodzajach oraz częstotliwości (nawet jeśli jest podana ilość) ich stosowania skutkuje brakiem możliwości ich monitoringu, a co za tym idzie możliwości pełnej oceny wpływu na środowisko, a także błędnego uznania przez krajowe prawo wód chłodniczych za wody o niezmienionym składzie chemicznym.</w:t>
            </w:r>
            <w:r w:rsidRPr="005E78BB">
              <w:rPr>
                <w:rFonts w:ascii="Calibri" w:eastAsia="Times New Roman" w:hAnsi="Calibri" w:cs="Calibri"/>
                <w:color w:val="000000"/>
                <w:sz w:val="18"/>
                <w:szCs w:val="18"/>
                <w:lang w:eastAsia="pl-PL"/>
              </w:rPr>
              <w:br w:type="page"/>
              <w:t xml:space="preserve">Zgodnie z art. 188 ust. 3 pkt 4 ustawy z dn. 27.04.2001 r. Prawo ochrony środowiska pozwolenie zintegrowane określa rodzaj i ilość wykorzystywanych w elektrowni surowców tylko wtedy, gdy przemawiają za tym szczególne względy ochrony środowiska. Problemem jest więc okoliczność, że wskazanie czy biocydy są używane nie jest obowiązkowym elementem pozwolenia zintegrowanego, co powinno ulec zmianie w stosunku do istniejących jak i planowanych instalacji Ponadto zgodnie z § 13 rozporządzenia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(Dz.U. z 2019 r. poz. 1311) wody chłodnicze z otwartych układów chłodzenia oraz z zamkniętych </w:t>
            </w:r>
            <w:r w:rsidRPr="005E78BB">
              <w:rPr>
                <w:rFonts w:ascii="Calibri" w:eastAsia="Times New Roman" w:hAnsi="Calibri" w:cs="Calibri"/>
                <w:color w:val="000000"/>
                <w:sz w:val="18"/>
                <w:szCs w:val="18"/>
                <w:lang w:eastAsia="pl-PL"/>
              </w:rPr>
              <w:lastRenderedPageBreak/>
              <w:t xml:space="preserve">obiegów chłodzących mogą być wprowadzane do wód lub do ziemi pod warunkiem, że ich temperatura nie jest wyższa niż 35°C. Przepisy nie biorą więc pod uwagę obecności biocydów w ściekach chłodniczych, co prowadzi w praktyce do zrzutu takich zanieczyszczonych wód chłodniczych do odbiornika bez ich oczyszczenia. </w:t>
            </w:r>
            <w:r w:rsidRPr="005E78BB">
              <w:rPr>
                <w:rFonts w:ascii="Calibri" w:eastAsia="Times New Roman" w:hAnsi="Calibri" w:cs="Calibri"/>
                <w:color w:val="000000"/>
                <w:sz w:val="18"/>
                <w:szCs w:val="18"/>
                <w:lang w:eastAsia="pl-PL"/>
              </w:rPr>
              <w:br w:type="page"/>
              <w:t xml:space="preserve">Obecna aPGW powinna więc przewidywać działania monitorujące i redukujące obecność biocydów na tych JCPW, na których zlokalizowane są zakłady wprowadzające wody chłodnicze,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wody przed szkodliwym wpływem biocydów.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3. d) Stan lub potencjał ekologiczny wód klasyfikuje się wg elementów biologicznych, hydromorfologicznych i fizykochemicznych. Wśród tych ostatnich jednym z elementów jakości dla klasyfikacji stanu/potencjału ekologicznego jest zasolenie wód. Aktualnie – do końca 2021 r. na większości typów wód powierzchniowych zasolenie jest klasyfikowane wg stężenia niektórych soli – w szczególności chlorków i siarczanów, a także przewodności elektrolitycznej (§ 19 oraz załącznik nr 21 do rozporządzenia Ministra Gospodarki Morskiej i Żeglugi Śródlądowej z dn. 11.10.2019 r. w sprawie klasyfikacji stanu ekologicznego, potencjału ekologicznego i stanu chemicznego oraz sposobu klasyfikacji stanu jednolitych części wód powierzchniowych, a także środowiskowych norm jakości dla substancji priorytetowych Dz.U. z 2019 r. poz. 2149). Od 2022 r. zasolenie wód będzie badane wyłącznie w oparciu o kryterium przewodności elektrolitycznej, bez badania rzeczywistego stężenia chlorków i siarczanów (§ 8 i załącznik nr 7 do w/w rozporządzenia). Pojawia się wiec problem polegający na tym, że substancje te nie będą już charakteryzowały klasy stanu/potencjału ekologicznego wód. Nie będą też charakteryzować stanu chemicznego wód. Tymczasem silne zasolenie chlorkami i siarczanami ma istotny wpływ na życie biologiczne w cieku, co znalazło odzwierciedlenie w zapisach rozporządzenia Ministra Gospodarki Morskiej i Żeglugi Śródlądowej z dn. 12.07.2019 r. w sprawie substancji szczególnie szkodliwych dla środowiska wodnego oraz warunków, jakie </w:t>
            </w:r>
            <w:r w:rsidRPr="005E78BB">
              <w:rPr>
                <w:rFonts w:ascii="Calibri" w:eastAsia="Times New Roman" w:hAnsi="Calibri" w:cs="Calibri"/>
                <w:color w:val="000000"/>
                <w:sz w:val="18"/>
                <w:szCs w:val="18"/>
                <w:lang w:eastAsia="pl-PL"/>
              </w:rPr>
              <w:lastRenderedPageBreak/>
              <w:t xml:space="preserve">należy spełnić przy wprowadzaniu do wód lub do ziemi ścieków, a także przy odprowadzaniu wód opadowych lub roztopowych do wód lub do urządzeń wodnych (Dz.U. z 2019 r. poz. 1311). Zgodnie z § 12 tego rozporządzenia ścieki przemysłowe o sumarycznym stężeniu chlorków i siarczanów powyżej 1500 mg/l, oraz wody pochodzące z odwodnienia zakładów górniczych niezależnie od sumy stężeń chlorków i siarczanów, mogą być wprowadzane do (…) śródlądowych wód powierzchniowych płynących - jeżeli sumaryczna zawartość stężeń chlorków i siarczanów w tych wodach, wyliczona przy założeniu pełnego wymieszania, nie przekroczy 1000 mg/l. Tym samym przepisy dostrzegają pierwszorzędne zagrożenie związane z obecnością chlorków i siarczanów w wodach płynących, więc usunięcie tych substancji z elementów jakości wpływających na określenie stanu wód (np. pogorszenie stanu w razie emisji dużego stężenia chlorków lub siarczanów) jest nieuzasadnione i nie powinno mieć miejsca. </w:t>
            </w:r>
            <w:r w:rsidRPr="005E78BB">
              <w:rPr>
                <w:rFonts w:ascii="Calibri" w:eastAsia="Times New Roman" w:hAnsi="Calibri" w:cs="Calibri"/>
                <w:color w:val="000000"/>
                <w:sz w:val="18"/>
                <w:szCs w:val="18"/>
                <w:lang w:eastAsia="pl-PL"/>
              </w:rPr>
              <w:br w:type="page"/>
              <w:t xml:space="preserve">Ponadto, w związku z faktem, że od 2022 r. jedynym parametrem charakteryzującym zasolenie wód stanie się przewodność elektrolityczna, wystąpią problemy z jej obliczaniem i klasyfikacją wód. Przewodność  wprawdzie jest bardzo łatwa do zmierzenia (za pomocą konduktometru), ale relatywnie trudna do teoretycznego obliczenia (konieczna byłaby znajomość dokładnego składu chemicznego wody, z uwzględnieniem wszystkich możliwych kationów i anionów, w tym takich jak Na+, K+ i HCO3-, które z racji swojej nieszkodliwości na ogół nie są monitorowane przez organy inspekcji ochrony środowiska). W konsekwencji, przykładowo w sytuacji mieszania ścieków przemysłowych (których skład również nie jest zwykle znany w odniesieniu do wszystkich możliwych jonów) z wodą rzeczną nie będzie możliwe określenie z góry, o ile wzrośnie przewodność elektrolityczna danego cieku i czy dla tego wskaźnika jakości wód nie przekroczy odpowiednich wartości granicznych, np. dla klasy II. Uniemożliwi to, w ramach procedury oceny oddziaływania na środowisko lub wydawania pozwolenia zintegrowanego bądź wodnoprawnego, stwierdzenie czy dana inwestycja przemysłowa nie spowoduje pogorszenia stanu ekologicznego lub potencjału ekologicznego, a tym samym stanu </w:t>
            </w:r>
            <w:r w:rsidRPr="005E78BB">
              <w:rPr>
                <w:rFonts w:ascii="Calibri" w:eastAsia="Times New Roman" w:hAnsi="Calibri" w:cs="Calibri"/>
                <w:color w:val="000000"/>
                <w:sz w:val="18"/>
                <w:szCs w:val="18"/>
                <w:lang w:eastAsia="pl-PL"/>
              </w:rPr>
              <w:lastRenderedPageBreak/>
              <w:t>jednolitej części wód powierzchniowych pełniącej rolę odbiornika.</w:t>
            </w:r>
            <w:r w:rsidRPr="005E78BB">
              <w:rPr>
                <w:rFonts w:ascii="Calibri" w:eastAsia="Times New Roman" w:hAnsi="Calibri" w:cs="Calibri"/>
                <w:color w:val="000000"/>
                <w:sz w:val="18"/>
                <w:szCs w:val="18"/>
                <w:lang w:eastAsia="pl-PL"/>
              </w:rPr>
              <w:br w:type="page"/>
              <w:t xml:space="preserve">Obecna aPGW powinna więc przewidywać działania monitorujące i redukujące obecność chlorków i siarczanów na wszystkich JCPW. W aPGW brak jakichkolwiek działań, które chroniłyby wody przed szkodliwym wpływem zasolenia wód, co wpływa m. in. na skład i ilość ichtiofauny – elementu biologicznego w ocenie stanu/potencjału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4. Ustawa Prawo wodne przewiduje szereg zwolnień z opłat przy poborze i odprowadzaniu wód chłodniczych przez zakłady korzystające w tym zakresie ze środowiska. Zgodnie z art. 270 ust. 5 opłatę zmienną za pobór wód do celów zapewnienia funkcjonowania systemów chłodzenia elektrowni lub elektrociepłowni ponosi się wyłącznie za różnicę między ilością wód pobranych do tych celów a ilością wód z obiegów chłodzących elektrowni lub elektrociepłowni wprowadzanych do wód lub do ziemi. W przeciwieństwie więc do innych zakładów nie pobiera się opłaty za całość pobranej wody – pomimo, że odprowadzane ścieki zawierają zanieczyszczenie termiczne, są pozbawione życia biologicznego, zaś olbrzymi pobór wody drastycznie obniża poziom wody w korycie rzeki na odcinku derywacji – ale jedynie za różnice pomiędzy wodą pobraną, a odprowadzonym ściekiem. Ponadto odprowadzanie do wód ścieków z obiegów chłodzących elektrowni lub elektrociepłowni jest zwolnione z:</w:t>
            </w:r>
            <w:r w:rsidRPr="005E78BB">
              <w:rPr>
                <w:rFonts w:ascii="Calibri" w:eastAsia="Times New Roman" w:hAnsi="Calibri" w:cs="Calibri"/>
                <w:color w:val="000000"/>
                <w:sz w:val="18"/>
                <w:szCs w:val="18"/>
                <w:lang w:eastAsia="pl-PL"/>
              </w:rPr>
              <w:br w:type="page"/>
              <w:t>opłaty stałej (art. 270 ust. 12 Prawa wodnego),</w:t>
            </w:r>
            <w:r w:rsidRPr="005E78BB">
              <w:rPr>
                <w:rFonts w:ascii="Calibri" w:eastAsia="Times New Roman" w:hAnsi="Calibri" w:cs="Calibri"/>
                <w:color w:val="000000"/>
                <w:sz w:val="18"/>
                <w:szCs w:val="18"/>
                <w:lang w:eastAsia="pl-PL"/>
              </w:rPr>
              <w:br w:type="page"/>
              <w:t>opłaty zmiennej jeżeli ich temperatura nie przekracza +26°C albo różnica między temperaturą wód pobranych i wprowadzanych do wód lub do ziemi pochodzących z obiegów chłodzących elektrowni lub elektrociepłowni jest mniejsza niż 11°C (art. 279 pkt 2 Prawa wodnego).</w:t>
            </w:r>
            <w:r w:rsidRPr="005E78BB">
              <w:rPr>
                <w:rFonts w:ascii="Calibri" w:eastAsia="Times New Roman" w:hAnsi="Calibri" w:cs="Calibri"/>
                <w:color w:val="000000"/>
                <w:sz w:val="18"/>
                <w:szCs w:val="18"/>
                <w:lang w:eastAsia="pl-PL"/>
              </w:rPr>
              <w:br w:type="page"/>
              <w:t xml:space="preserve">Zwolnienia powyższe, w kontekście opisanej wyżej szkodliwości ścieków termicznych, są nieuzasadnione i nie odzwierciedlają zasady „zanieczyszczający płaci”. W szczególności sytuacja, w której elektrownia nie płaci za ścieki termiczne z uwagi na wskazane wyżej progi temperatury (przykładowo zrzut wody o temp. 35 st. C, gdy woda pobrana ma 24,1 st. C powoduje zwolnienie z opłaty za zrzut ścieków chłodniczych) jest nieakceptowalna. Jak to zostało wyżej wyjaśnione takie zrzuty mogą doprowadzić do przegrzania wód w odbiorniku ze skutkiem dla życia biologicznego w rzece. </w:t>
            </w:r>
            <w:r w:rsidRPr="005E78BB">
              <w:rPr>
                <w:rFonts w:ascii="Calibri" w:eastAsia="Times New Roman" w:hAnsi="Calibri" w:cs="Calibri"/>
                <w:color w:val="000000"/>
                <w:sz w:val="18"/>
                <w:szCs w:val="18"/>
                <w:lang w:eastAsia="pl-PL"/>
              </w:rPr>
              <w:br w:type="page"/>
              <w:t xml:space="preserve">Obecna aPGW </w:t>
            </w:r>
            <w:r w:rsidRPr="005E78BB">
              <w:rPr>
                <w:rFonts w:ascii="Calibri" w:eastAsia="Times New Roman" w:hAnsi="Calibri" w:cs="Calibri"/>
                <w:color w:val="000000"/>
                <w:sz w:val="18"/>
                <w:szCs w:val="18"/>
                <w:lang w:eastAsia="pl-PL"/>
              </w:rPr>
              <w:lastRenderedPageBreak/>
              <w:t xml:space="preserve">powinna więc przewidywać działania kompensujące wpływ ścieków termicznych na zasoby ichtiofauny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ekosystem wodny przed szkodliwym wpływem zrzutu wód termicznych do rzek.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5.Kwestia zachowania przepływów nienaruszalnych dotyczy poborów wód na wszystkich instalacjach, choć w przypadku poboru wód chłodniczych nabiera szczególnego znaczenia z uwagi na wielkość tego poboru. Rekordzistami w tym zakresie w Polsce są:</w:t>
            </w:r>
            <w:r w:rsidRPr="005E78BB">
              <w:rPr>
                <w:rFonts w:ascii="Calibri" w:eastAsia="Times New Roman" w:hAnsi="Calibri" w:cs="Calibri"/>
                <w:color w:val="000000"/>
                <w:sz w:val="18"/>
                <w:szCs w:val="18"/>
                <w:lang w:eastAsia="pl-PL"/>
              </w:rPr>
              <w:br w:type="page"/>
              <w:t>Elektrownia Kozienice bloki 1-10 z dopuszczalnym poborem w ilości 100 m3/s,</w:t>
            </w:r>
            <w:r w:rsidRPr="005E78BB">
              <w:rPr>
                <w:rFonts w:ascii="Calibri" w:eastAsia="Times New Roman" w:hAnsi="Calibri" w:cs="Calibri"/>
                <w:color w:val="000000"/>
                <w:sz w:val="18"/>
                <w:szCs w:val="18"/>
                <w:lang w:eastAsia="pl-PL"/>
              </w:rPr>
              <w:br w:type="page"/>
              <w:t>Elektrownia Połaniec - pobór 66 m3/s,</w:t>
            </w:r>
            <w:r w:rsidRPr="005E78BB">
              <w:rPr>
                <w:rFonts w:ascii="Calibri" w:eastAsia="Times New Roman" w:hAnsi="Calibri" w:cs="Calibri"/>
                <w:color w:val="000000"/>
                <w:sz w:val="18"/>
                <w:szCs w:val="18"/>
                <w:lang w:eastAsia="pl-PL"/>
              </w:rPr>
              <w:br w:type="page"/>
              <w:t>Pierwsza z nich w latach 2018 do 2019 pobrała z Wisły 3 mld m sześciennych wody.</w:t>
            </w:r>
            <w:r w:rsidRPr="005E78BB">
              <w:rPr>
                <w:rFonts w:ascii="Calibri" w:eastAsia="Times New Roman" w:hAnsi="Calibri" w:cs="Calibri"/>
                <w:color w:val="000000"/>
                <w:sz w:val="18"/>
                <w:szCs w:val="18"/>
                <w:lang w:eastAsia="pl-PL"/>
              </w:rPr>
              <w:br w:type="page"/>
              <w:t xml:space="preserve">Niezachowanie przepływu nienaruszalnego stwarza poważne zagrożenie dla ekosystemu wodnego rzeki poniżej ujęcia wody w wyniku niezapewnienia biologicznego minimum wody dla przetrwania zdrowej i silnej populacji organizmów wodnych, a tym samym zagraża realizacji celów środowiskowych dla wód. Aktualnie przepisy Prawa wodnego (art. 403 ust. 2 pkt 11) nakładają obowiązek ustalenia w pozwoleniu wodnoprawnym/zintegrowanym wielkości przepływu nienaruszalnego, ograniczeń wynikających z konieczności jego zachowania oraz sposobu odczytywania jego wartości w miejscu korzystania z wód. Jednakże starsze pozwolenia często nie zawierają takich warunków poboru wody. Jest to szczególnie niebezpieczne przy pozwoleniach zintegrowanych dla istniejących elektrowni, które pobierają znaczne ilości wody. Sytuacja taka utrzymuje się przez wiele lat pomimo dokonywanych przez właściwe organy analiz pozwoleń zintegrowanych na podst. art. 216 Prawa ochrony środowiska, co wskazuje, że przepis ten nie spełnia do końca swojej roli. </w:t>
            </w:r>
            <w:r w:rsidRPr="005E78BB">
              <w:rPr>
                <w:rFonts w:ascii="Calibri" w:eastAsia="Times New Roman" w:hAnsi="Calibri" w:cs="Calibri"/>
                <w:color w:val="000000"/>
                <w:sz w:val="18"/>
                <w:szCs w:val="18"/>
                <w:lang w:eastAsia="pl-PL"/>
              </w:rPr>
              <w:br w:type="page"/>
              <w:t xml:space="preserve">Ponadto osobnym problemem jest nagminne nieprzestrzeganie przepływów nienaruszalnych przez zakłady pobierające wodę, które mają w pozwoleniach określoną jego wielkość. Zjawisko to jest powszechne, a skutki w postaci śladowych przepływów </w:t>
            </w:r>
            <w:r w:rsidRPr="005E78BB">
              <w:rPr>
                <w:rFonts w:ascii="Calibri" w:eastAsia="Times New Roman" w:hAnsi="Calibri" w:cs="Calibri"/>
                <w:color w:val="000000"/>
                <w:sz w:val="18"/>
                <w:szCs w:val="18"/>
                <w:lang w:eastAsia="pl-PL"/>
              </w:rPr>
              <w:lastRenderedPageBreak/>
              <w:t xml:space="preserve">poniżej miejsca ujęcia są dramatyczne dla ekosystemów wodnych. </w:t>
            </w:r>
            <w:r w:rsidRPr="005E78BB">
              <w:rPr>
                <w:rFonts w:ascii="Calibri" w:eastAsia="Times New Roman" w:hAnsi="Calibri" w:cs="Calibri"/>
                <w:color w:val="000000"/>
                <w:sz w:val="18"/>
                <w:szCs w:val="18"/>
                <w:lang w:eastAsia="pl-PL"/>
              </w:rPr>
              <w:br w:type="page"/>
              <w:t>Obecna aPGW powinna więc przewidywać działania monitorujące zachowanie przepływów nienaruszalnych i zapobiegające skutkom naruszeń w tej materii na wszystkich JCPW. W aPGW brak jakichkolwiek działań, które chroniłyby wody przed szkodliwym wpływem niezachowywania przepływów nienaruszalnych.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0FA6C1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 - </w:t>
            </w:r>
          </w:p>
        </w:tc>
        <w:tc>
          <w:tcPr>
            <w:tcW w:w="1276" w:type="dxa"/>
            <w:shd w:val="clear" w:color="auto" w:fill="auto"/>
            <w:hideMark/>
          </w:tcPr>
          <w:p w14:paraId="0B688A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483748C" w14:textId="1EC60DD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Zestawy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wskazują działań ukierunkowanych bezpośrednio na zanieczyszczenie termiczne, gdyż zgodnie z obowiązującymi przepisami temperatura nie jest elementem oceny stanu wód.</w:t>
            </w:r>
            <w:r w:rsidRPr="005E78BB">
              <w:rPr>
                <w:rFonts w:ascii="Calibri" w:eastAsia="Times New Roman" w:hAnsi="Calibri" w:cs="Calibri"/>
                <w:color w:val="000000"/>
                <w:sz w:val="18"/>
                <w:szCs w:val="18"/>
                <w:lang w:eastAsia="pl-PL"/>
              </w:rPr>
              <w:br w:type="page"/>
              <w:t xml:space="preserve">Zgodnie z przyjętą metodyką działania w zestawach działań przypisywane są do zidentyfikowanych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które powodują przekroczenie wskaźników oceny stanu wód.</w:t>
            </w:r>
            <w:r w:rsidRPr="005E78BB">
              <w:rPr>
                <w:rFonts w:ascii="Calibri" w:eastAsia="Times New Roman" w:hAnsi="Calibri" w:cs="Calibri"/>
                <w:color w:val="000000"/>
                <w:sz w:val="18"/>
                <w:szCs w:val="18"/>
                <w:lang w:eastAsia="pl-PL"/>
              </w:rPr>
              <w:br w:type="page"/>
              <w:t>Zgodnie z opracowaniem IMGW-PIB i IOŚ-PIB pt. Aktualizacja metod oceny stanu ekologicznego wód powierzchniowych na podstawie elementów fizykochemicznych, Zadanie 2.2., Opracowanie nowych wartości granicznych dla wskaźników fizykochemicznych elementów oceny jakości wód powierzchniowych "temperatura i odczyn powinny być kontrolowane, ale bez wpływu na klasyfikację stanu rzek". Szersze wyjaśnienie można znaleźć w opracowaniu Wskaźniki fizykochemiczne w ocenie stanu ekologicznego wód powierzchniowych – weryfikacja standardów środowiskowych będącego podstawą do wyznaczenia wskaźników monitoringowych dobrego stanu wód obowiązujących od 2022 r.</w:t>
            </w:r>
            <w:r w:rsidRPr="005E78BB">
              <w:rPr>
                <w:rFonts w:ascii="Calibri" w:eastAsia="Times New Roman" w:hAnsi="Calibri" w:cs="Calibri"/>
                <w:color w:val="000000"/>
                <w:sz w:val="18"/>
                <w:szCs w:val="18"/>
                <w:lang w:eastAsia="pl-PL"/>
              </w:rPr>
              <w:br w:type="page"/>
              <w:t xml:space="preserve">Monitoring temperatury będzie realizowany we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jednak nie będzie uwzględniany w ocenie stanu/potencjału: "monitoring temperatury wody należy kontynuować w całej Polsce, przy czym należałoby rozważyć odstąpienie od klasyfikacji tego parametru przy ocenie stanu rzek. Parametr ten może mieć wprawdzie istotne znaczenie dla niektórych elementów biologicznych, np. ryb, jednak powiązania takie wymagają dalszych analiz.".</w:t>
            </w:r>
            <w:r w:rsidRPr="005E78BB">
              <w:rPr>
                <w:rFonts w:ascii="Calibri" w:eastAsia="Times New Roman" w:hAnsi="Calibri" w:cs="Calibri"/>
                <w:color w:val="000000"/>
                <w:sz w:val="18"/>
                <w:szCs w:val="18"/>
                <w:lang w:eastAsia="pl-PL"/>
              </w:rPr>
              <w:br w:type="page"/>
              <w:t xml:space="preserve">IIaPGW dotyczy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które wyznaczane są w oparciu o wyniki </w:t>
            </w:r>
            <w:r w:rsidRPr="005E78BB">
              <w:rPr>
                <w:rFonts w:ascii="Calibri" w:eastAsia="Times New Roman" w:hAnsi="Calibri" w:cs="Calibri"/>
                <w:color w:val="000000"/>
                <w:sz w:val="18"/>
                <w:szCs w:val="18"/>
                <w:lang w:eastAsia="pl-PL"/>
              </w:rPr>
              <w:lastRenderedPageBreak/>
              <w:t xml:space="preserve">monitoringu w punkcie pomiarowo-kontrolnym (ppk) zamykającym daną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Kwestie dodatkowego monitoringu powyżej/poniżej zrzutu oraz opłat za usługi wodne regulują odrębne przepisy prawne.</w:t>
            </w:r>
          </w:p>
        </w:tc>
      </w:tr>
      <w:tr w:rsidR="0085319C" w:rsidRPr="005E78BB" w14:paraId="1EF89804" w14:textId="77777777" w:rsidTr="00E92AE6">
        <w:trPr>
          <w:trHeight w:val="454"/>
        </w:trPr>
        <w:tc>
          <w:tcPr>
            <w:tcW w:w="562" w:type="dxa"/>
            <w:shd w:val="clear" w:color="auto" w:fill="auto"/>
            <w:hideMark/>
          </w:tcPr>
          <w:p w14:paraId="621F618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251</w:t>
            </w:r>
          </w:p>
        </w:tc>
        <w:tc>
          <w:tcPr>
            <w:tcW w:w="1021" w:type="dxa"/>
          </w:tcPr>
          <w:p w14:paraId="5809CA88" w14:textId="20FA6B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0722D0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DAC819E" w14:textId="5CCB828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Zestaw działań, plik 7.3_Zestaw działań_RW_ODWisła, Plik 7.4_Zestaw_działań_RWr_ODWisła,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działaniu Analiza możliwości przebudowy budowli piętrzących w zakresie zapewniającym ciągłość biologiczną i spełnienie celów środowiskowych / RWHM_02.01 nie zostały ujęte wszystkie budowle (4 obiekty), które również mają wpływ na migrację ichtiofauny lub na ograniczenie dynamicznych procesów w korycie oraz brak ciągłości biologicznej rzeki Białka. Działania podejmowane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Białka powinny być kompleksowe. Przebudowa tylko części nie pozwoli na zapewnienie ciągłości biologicznej a co za tym idzie osiągnięcie efektu ekologicznego projektu. </w:t>
            </w:r>
            <w:r w:rsidRPr="005E78BB">
              <w:rPr>
                <w:rFonts w:ascii="Calibri" w:eastAsia="Times New Roman" w:hAnsi="Calibri" w:cs="Calibri"/>
                <w:color w:val="000000"/>
                <w:sz w:val="18"/>
                <w:szCs w:val="18"/>
                <w:lang w:eastAsia="pl-PL"/>
              </w:rPr>
              <w:br/>
              <w:t>W Zał. 1 Wykaz działań dla budowli zostały jedynie ujęte tylko 3 istotne do przebudowy budowle (Identyfikator budowli w IIaPGW: 2953 współrzędne: X 548065,957043862, Y 318280,301460196 oraz  Identyfikator budowli w IIaPGW: 2930 współrzędne: X 546913,580078125, Y 314416,50012207, a także Identyfikator budowli w IIaPGW: 2928 współrzędne: X 547541,330078125, Y 315220,050109863). Natomiast dla osiągnięcia stanu optymalnej drożności rzeki potrzebna jest przebudowa jeszcze 4 obiektów. Ponadto budowla (Identyfikator budowli w IIaPGW: 2934 współrzędne: X 546155,280090332, Y 313747,450073242) jest ruinami dawnego obiektu i nie wymagającego przebudowy.</w:t>
            </w:r>
            <w:r w:rsidRPr="005E78BB">
              <w:rPr>
                <w:rFonts w:ascii="Calibri" w:eastAsia="Times New Roman" w:hAnsi="Calibri" w:cs="Calibri"/>
                <w:color w:val="000000"/>
                <w:sz w:val="18"/>
                <w:szCs w:val="18"/>
                <w:lang w:eastAsia="pl-PL"/>
              </w:rPr>
              <w:br/>
              <w:t>Potrzeba przebudowy 4 dodatkowych obiektów wynika z ekspertyzy pn.: Rozpoznanie możliwości, metod i kosztów zachowania/przywrócenia właściwego stanu ochrony przedmiotów ochrony obszaru Natura 2000 Białka Lelowska PLH240031 Wąsek S., Wąsek J., Jelonek M., Zygmunt G. 2020 Przedsiębiorstwo Usługowo – Projektowe „ALGEBAR”, Kraków wykonanej na potrzeby sporządzenia planu zadań ochronnych.</w:t>
            </w:r>
            <w:r w:rsidRPr="005E78BB">
              <w:rPr>
                <w:rFonts w:ascii="Calibri" w:eastAsia="Times New Roman" w:hAnsi="Calibri" w:cs="Calibri"/>
                <w:color w:val="000000"/>
                <w:sz w:val="18"/>
                <w:szCs w:val="18"/>
                <w:lang w:eastAsia="pl-PL"/>
              </w:rPr>
              <w:br/>
              <w:t>Do obiektów mających negatywny wpływ na możliwość migracji ichtiofauny lub wprowadzających fragmentację siedlisk, w tym brak integralności lub spójności obszarów Natura 2000 zaliczono:</w:t>
            </w:r>
            <w:r w:rsidRPr="005E78BB">
              <w:rPr>
                <w:rFonts w:ascii="Calibri" w:eastAsia="Times New Roman" w:hAnsi="Calibri" w:cs="Calibri"/>
                <w:color w:val="000000"/>
                <w:sz w:val="18"/>
                <w:szCs w:val="18"/>
                <w:lang w:eastAsia="pl-PL"/>
              </w:rPr>
              <w:br/>
              <w:t>jaz piętrzący w km 0+403 Młynówki w m. Bogumiłek (ze względu na brak możliwości migracji ichtiofauny i doprowadzenie do trwałej fragmentacji siedlisk w obrębie obszaru Natura 2000);</w:t>
            </w:r>
          </w:p>
        </w:tc>
        <w:tc>
          <w:tcPr>
            <w:tcW w:w="3377" w:type="dxa"/>
            <w:shd w:val="clear" w:color="auto" w:fill="auto"/>
            <w:hideMark/>
          </w:tcPr>
          <w:p w14:paraId="3DF585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Ujęcie w działaniu Analiza możliwości przebudowy budowli piętrzących w zakresie zapewniającym ciągłość biologiczną i spełnienie celów środowiskowych / RWHM_02.01 poniższych budowli:</w:t>
            </w:r>
            <w:r w:rsidRPr="005E78BB">
              <w:rPr>
                <w:rFonts w:ascii="Calibri" w:eastAsia="Times New Roman" w:hAnsi="Calibri" w:cs="Calibri"/>
                <w:color w:val="000000"/>
                <w:sz w:val="18"/>
                <w:szCs w:val="18"/>
                <w:lang w:eastAsia="pl-PL"/>
              </w:rPr>
              <w:br/>
              <w:t>1) X=547496, Y=315255 jaz wymaga udrożnienia –</w:t>
            </w:r>
            <w:r w:rsidRPr="005E78BB">
              <w:rPr>
                <w:rFonts w:ascii="Calibri" w:eastAsia="Times New Roman" w:hAnsi="Calibri" w:cs="Calibri"/>
                <w:color w:val="000000"/>
                <w:sz w:val="18"/>
                <w:szCs w:val="18"/>
                <w:lang w:eastAsia="pl-PL"/>
              </w:rPr>
              <w:br/>
              <w:t xml:space="preserve">budowa przepławki, gdyż powoduje brak migracji ichtiofauny oraz istotnie ograniczenie dynamicznych procesów w korycie </w:t>
            </w:r>
            <w:r w:rsidRPr="005E78BB">
              <w:rPr>
                <w:rFonts w:ascii="Calibri" w:eastAsia="Times New Roman" w:hAnsi="Calibri" w:cs="Calibri"/>
                <w:color w:val="000000"/>
                <w:sz w:val="18"/>
                <w:szCs w:val="18"/>
                <w:lang w:eastAsia="pl-PL"/>
              </w:rPr>
              <w:br/>
              <w:t xml:space="preserve">2) X=548139, Y=322760 próg wymaga udrożnienia dla ichtiofauny poprzez wykonanie bystrotoku, gdyż migracji ichtiofauny jest umiarkowana (ograniczona przy przepływach niskich) </w:t>
            </w:r>
            <w:r w:rsidRPr="005E78BB">
              <w:rPr>
                <w:rFonts w:ascii="Calibri" w:eastAsia="Times New Roman" w:hAnsi="Calibri" w:cs="Calibri"/>
                <w:color w:val="000000"/>
                <w:sz w:val="18"/>
                <w:szCs w:val="18"/>
                <w:lang w:eastAsia="pl-PL"/>
              </w:rPr>
              <w:br/>
              <w:t>3) X=548018, Y=319450 przepust wymaga przebudowy polegającej na rozbiórce i budowie mostu jednoprzęsłowego, gdyż możliwość migracji ichtiofauny jest umiarkowana (zwiększona prędkość przepływu), zaburzenia przepływu w obrębie przepustu, wprowadza piętrzenie przy przepływach około Q50%</w:t>
            </w:r>
            <w:r w:rsidRPr="005E78BB">
              <w:rPr>
                <w:rFonts w:ascii="Calibri" w:eastAsia="Times New Roman" w:hAnsi="Calibri" w:cs="Calibri"/>
                <w:color w:val="000000"/>
                <w:sz w:val="18"/>
                <w:szCs w:val="18"/>
                <w:lang w:eastAsia="pl-PL"/>
              </w:rPr>
              <w:br/>
              <w:t>4) X=548033, Y=318276 przepust - wymagana jest przebudowa węzła wodnego, gdyż możliwość migracji ichtiofauny jest umiarkowana (zwiększona</w:t>
            </w:r>
            <w:r w:rsidRPr="005E78BB">
              <w:rPr>
                <w:rFonts w:ascii="Calibri" w:eastAsia="Times New Roman" w:hAnsi="Calibri" w:cs="Calibri"/>
                <w:color w:val="000000"/>
                <w:sz w:val="18"/>
                <w:szCs w:val="18"/>
                <w:lang w:eastAsia="pl-PL"/>
              </w:rPr>
              <w:br/>
              <w:t xml:space="preserve">prędkość przepływu) i ma miejsce ograniczenie przepływów w korycie </w:t>
            </w:r>
          </w:p>
        </w:tc>
        <w:tc>
          <w:tcPr>
            <w:tcW w:w="3401" w:type="dxa"/>
            <w:shd w:val="clear" w:color="auto" w:fill="auto"/>
            <w:hideMark/>
          </w:tcPr>
          <w:p w14:paraId="0F0F906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6323F1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E9F2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E1537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Uzupełniono i skorygowano działania dla wskazanych obiektów zgodnie z przesłanymi uwagami.</w:t>
            </w:r>
          </w:p>
        </w:tc>
      </w:tr>
      <w:tr w:rsidR="0085319C" w:rsidRPr="005E78BB" w14:paraId="3C0BE5F8" w14:textId="77777777" w:rsidTr="00E92AE6">
        <w:trPr>
          <w:trHeight w:val="454"/>
        </w:trPr>
        <w:tc>
          <w:tcPr>
            <w:tcW w:w="562" w:type="dxa"/>
            <w:shd w:val="clear" w:color="auto" w:fill="auto"/>
            <w:hideMark/>
          </w:tcPr>
          <w:p w14:paraId="41EC86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252</w:t>
            </w:r>
          </w:p>
        </w:tc>
        <w:tc>
          <w:tcPr>
            <w:tcW w:w="1021" w:type="dxa"/>
          </w:tcPr>
          <w:p w14:paraId="7790AAF7" w14:textId="42043ED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729225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BAAF8E9" w14:textId="1E8B690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Budowla (wg Zał. 1 Wykaz działań dla budowli Identyfikator budowli w IIaPGW: 2953 współrzędne: X 548065,957043862, Y 318280,301460196) dla której przewidziano do realizacji działanie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RWHM_02.06 wymaga przebudowy w celu przywrócenia ciągłości biologicznej rzeki Białka. Jest to jaz, który powoduje brak możliwość migracji ichtiofauny i powoduje ograniczenie przepływów w korycie Białki. Jaz wymaga udrożnienia dla ichtiofauny, poprzez wykonanie bystrotoku a doraźnie montując na jazie kanału ulgi koryto migracyjne umożliwiające </w:t>
            </w:r>
            <w:r w:rsidRPr="005E78BB">
              <w:rPr>
                <w:rFonts w:ascii="Calibri" w:eastAsia="Times New Roman" w:hAnsi="Calibri" w:cs="Calibri"/>
                <w:color w:val="000000"/>
                <w:sz w:val="18"/>
                <w:szCs w:val="18"/>
                <w:lang w:eastAsia="pl-PL"/>
              </w:rPr>
              <w:lastRenderedPageBreak/>
              <w:t>migracje ryb z Pilicy do dolnej części Białki Lelowskiej. Migracje te pozwolą na odtworzenie naturalnego licznego składu gatunkowego ryb w tej części rzeki i zmniejszą presje drapieżniczą pstrąga potokowego na przedmioty ochrony obszaru Natura 2000 Białka Lelowska.Potrzeba jego przebudowy wynika z ekspertyzy pn.: Rozpoznanie możliwości, metod i kosztów zachowania/przywrócenia właściwego stanu ochrony przedmiotów ochrony obszaru Natura 2000 Białka Lelowska PLH240031 Wąsek S., Wąsek J., Jelonek M., Zygmunt G. 2020 Przedsiębiorstwo Usługowo – Projektowe „ALGEBAR”, Kraków na potrzeby sporządzenia planu zadań ochronnych.</w:t>
            </w:r>
          </w:p>
        </w:tc>
        <w:tc>
          <w:tcPr>
            <w:tcW w:w="3377" w:type="dxa"/>
            <w:shd w:val="clear" w:color="auto" w:fill="auto"/>
            <w:hideMark/>
          </w:tcPr>
          <w:p w14:paraId="191BF0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Ujęcie budowli (wg Zał. 1 Wykaz działań dla budowli Identyfikator budowli w IIaPGW: 2953 współrzędne: X 548065,957043862, Y318280,301460196) w działaniu Analiza możliwości przebudowy budowli piętrzących w zakresie zapewniającym ciągłość biologiczną i spełnienie celów środowiskowych / RWHM_02.01</w:t>
            </w:r>
          </w:p>
        </w:tc>
        <w:tc>
          <w:tcPr>
            <w:tcW w:w="3401" w:type="dxa"/>
            <w:shd w:val="clear" w:color="auto" w:fill="auto"/>
            <w:hideMark/>
          </w:tcPr>
          <w:p w14:paraId="5FE8B02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7CB9F0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57CA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6F6FB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Uwzględnionio informacje przekazane w uwadze, zmodyfikowano działanie dla obiektu wskzazanego w uwadze.</w:t>
            </w:r>
          </w:p>
        </w:tc>
      </w:tr>
      <w:tr w:rsidR="0085319C" w:rsidRPr="005E78BB" w14:paraId="7BCBBA18" w14:textId="77777777" w:rsidTr="00E92AE6">
        <w:trPr>
          <w:trHeight w:val="454"/>
        </w:trPr>
        <w:tc>
          <w:tcPr>
            <w:tcW w:w="562" w:type="dxa"/>
            <w:shd w:val="clear" w:color="auto" w:fill="auto"/>
            <w:hideMark/>
          </w:tcPr>
          <w:p w14:paraId="2F82268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253</w:t>
            </w:r>
          </w:p>
        </w:tc>
        <w:tc>
          <w:tcPr>
            <w:tcW w:w="1021" w:type="dxa"/>
          </w:tcPr>
          <w:p w14:paraId="6C6C7900" w14:textId="37EB069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38A624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8D3D556" w14:textId="3605BF5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 RW200006254169: Białka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kategorii Działania renaturyzacyjne / RWHM_04.01</w:t>
            </w:r>
            <w:r w:rsidRPr="005E78BB">
              <w:rPr>
                <w:rFonts w:ascii="Calibri" w:eastAsia="Times New Roman" w:hAnsi="Calibri" w:cs="Calibri"/>
                <w:color w:val="000000"/>
                <w:sz w:val="18"/>
                <w:szCs w:val="18"/>
                <w:lang w:eastAsia="pl-PL"/>
              </w:rPr>
              <w:br w:type="page"/>
              <w:t xml:space="preserve">Rzeka Białka wymaga przeprowadzenia działań renaturyzacyjnych. </w:t>
            </w:r>
            <w:r w:rsidRPr="005E78BB">
              <w:rPr>
                <w:rFonts w:ascii="Calibri" w:eastAsia="Times New Roman" w:hAnsi="Calibri" w:cs="Calibri"/>
                <w:color w:val="000000"/>
                <w:sz w:val="18"/>
                <w:szCs w:val="18"/>
                <w:lang w:eastAsia="pl-PL"/>
              </w:rPr>
              <w:br w:type="page"/>
              <w:t xml:space="preserve">Renaturyzacja odcinka Białki Lelowskiej od m. Bogumiłek do węzła wodnego w m. Aleksandrów k. Wąsosza tj. od km 6 + 000 do km 9+200. </w:t>
            </w:r>
            <w:r w:rsidRPr="005E78BB">
              <w:rPr>
                <w:rFonts w:ascii="Calibri" w:eastAsia="Times New Roman" w:hAnsi="Calibri" w:cs="Calibri"/>
                <w:color w:val="000000"/>
                <w:sz w:val="18"/>
                <w:szCs w:val="18"/>
                <w:lang w:eastAsia="pl-PL"/>
              </w:rPr>
              <w:br w:type="page"/>
              <w:t>Podany zakres kilometraża należy traktować jako wstępną propozycję, a dokładne wyznaczenie renaturyzowanego odcinka należy poprzedzić szczegółowymi analizami hydrologiczno – hydraulicznymi na etapie koncepcji projektowej, sporządzonymi w oparciu o zagęszczoną sieć przekrojów poprzecznych pozyskanych w drodze bezpośredniego pomiaru w terenie z wyłączeniem końcowego (dolnego) odcinka o odpowiedniej długości – dla bezpieczeństwa budowli wchodzących w skład węzła wodnego w Aleksandrowie k. Wąsosza.</w:t>
            </w:r>
            <w:r w:rsidRPr="005E78BB">
              <w:rPr>
                <w:rFonts w:ascii="Calibri" w:eastAsia="Times New Roman" w:hAnsi="Calibri" w:cs="Calibri"/>
                <w:color w:val="000000"/>
                <w:sz w:val="18"/>
                <w:szCs w:val="18"/>
                <w:lang w:eastAsia="pl-PL"/>
              </w:rPr>
              <w:br w:type="page"/>
              <w:t>Oprócz powyższego siedliska tworzone i utrzymywane przez działalność „starej” Białki (tj. odcinka równoległego do Młynówki) prawdopodobnie będą stopniowo na tym odcinku Białki zanikać – odcinek ten mógłby być wykorzystany jako kanał tarłowy i miejsce podchowu stadiów młodocianych dla pokarmowych  gatunków ryb pstrąga potokowego takich jak: płoć (Rutilus rutilus), okoń (Perca fluviatilis), kiełb (Gobio gobio), słonecznica (Leucaspius delineatus) pochodząca ze stawów karpiowych. W tym celu na odcinku Białki Lelowskiej równoległym do Młynówki tj. od km 8+850 do km 9 + 200 wystarczy zapewnienie stałego przepływu wody na poziomie ok. 50 l/s oraz obsadzenie brzegów  drzewami i krzewami dla uzyskania zacienienia 80%.</w:t>
            </w:r>
            <w:r w:rsidRPr="005E78BB">
              <w:rPr>
                <w:rFonts w:ascii="Calibri" w:eastAsia="Times New Roman" w:hAnsi="Calibri" w:cs="Calibri"/>
                <w:color w:val="000000"/>
                <w:sz w:val="18"/>
                <w:szCs w:val="18"/>
                <w:lang w:eastAsia="pl-PL"/>
              </w:rPr>
              <w:br w:type="page"/>
              <w:t xml:space="preserve">Wskazano trzy rodzaje działań renaturyzacyjnych: </w:t>
            </w:r>
            <w:r w:rsidRPr="005E78BB">
              <w:rPr>
                <w:rFonts w:ascii="Calibri" w:eastAsia="Times New Roman" w:hAnsi="Calibri" w:cs="Calibri"/>
                <w:color w:val="000000"/>
                <w:sz w:val="18"/>
                <w:szCs w:val="18"/>
                <w:lang w:eastAsia="pl-PL"/>
              </w:rPr>
              <w:br w:type="page"/>
              <w:t>przywrócenie działalności korytotwórczej rzeki Białki Lelowskiej (w tym zwiększenie krętości koryta rzeki);</w:t>
            </w:r>
            <w:r w:rsidRPr="005E78BB">
              <w:rPr>
                <w:rFonts w:ascii="Calibri" w:eastAsia="Times New Roman" w:hAnsi="Calibri" w:cs="Calibri"/>
                <w:color w:val="000000"/>
                <w:sz w:val="18"/>
                <w:szCs w:val="18"/>
                <w:lang w:eastAsia="pl-PL"/>
              </w:rPr>
              <w:br w:type="page"/>
              <w:t>rewitalizację końcowych odcinków rowów melioracyjnych i połączenie ich z korytem rzeki tak, żeby odcinki te stanowiły schronienia i miejsca odchowu młodocianych stadiów wiekowych ryb</w:t>
            </w:r>
          </w:p>
        </w:tc>
        <w:tc>
          <w:tcPr>
            <w:tcW w:w="3377" w:type="dxa"/>
            <w:shd w:val="clear" w:color="auto" w:fill="auto"/>
            <w:hideMark/>
          </w:tcPr>
          <w:p w14:paraId="51AC27F9" w14:textId="632ABF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Wprowadzenie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kategorii Działania renaturyzacyjne / RWHM_04.01 (Analiza sposobu prowadzenia działań restytucyjnych z uwzględnieniem zachowania funkcji cieku oraz realizacja działań restytucyjnych na podstawie przeprowadzonej analizy) i ujęcie proponowanego odcinka rzeki Białka oraz miejsc budowy tarlisk.</w:t>
            </w:r>
          </w:p>
        </w:tc>
        <w:tc>
          <w:tcPr>
            <w:tcW w:w="3401" w:type="dxa"/>
            <w:shd w:val="clear" w:color="auto" w:fill="auto"/>
            <w:hideMark/>
          </w:tcPr>
          <w:p w14:paraId="54864C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F2745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0B294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E025D8D" w14:textId="024128C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 potrzeby IIaPGW uwzględniono najnowsze dane opracowane w ramach projektu Analiza znaczących oddziaływań antropogenicznych wraz z oceną ich wpływu na stan wód oraz ryzykiem nieosiągnięcia celów środowiskowych, aktualne wyniki z monitoringu GIOŚ z 2020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t>
            </w:r>
            <w:r w:rsidRPr="005E78BB">
              <w:rPr>
                <w:rFonts w:ascii="Calibri" w:eastAsia="Times New Roman" w:hAnsi="Calibri" w:cs="Calibri"/>
                <w:color w:val="000000"/>
                <w:sz w:val="18"/>
                <w:szCs w:val="18"/>
                <w:lang w:eastAsia="pl-PL"/>
              </w:rPr>
              <w:lastRenderedPageBreak/>
              <w:t xml:space="preserve">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5E78BB">
              <w:rPr>
                <w:rFonts w:ascii="Calibri" w:eastAsia="Times New Roman" w:hAnsi="Calibri" w:cs="Calibri"/>
                <w:color w:val="000000"/>
                <w:sz w:val="18"/>
                <w:szCs w:val="18"/>
                <w:lang w:eastAsia="pl-PL"/>
              </w:rPr>
              <w:br w:type="page"/>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oceny możliwości wdrożenia działania,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w:t>
            </w:r>
            <w:r w:rsidRPr="005E78BB">
              <w:rPr>
                <w:rFonts w:ascii="Calibri" w:eastAsia="Times New Roman" w:hAnsi="Calibri" w:cs="Calibri"/>
                <w:color w:val="000000"/>
                <w:sz w:val="18"/>
                <w:szCs w:val="18"/>
                <w:lang w:eastAsia="pl-PL"/>
              </w:rPr>
              <w:lastRenderedPageBreak/>
              <w:t xml:space="preserve">celów środowiskowych, w tym dla obszarów chronionych, dla których wskazano cele środowiskowe w zakresie wymogów rzek włosinicznikowych i wylewów, bez działań wynikających z testu restytucji. 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w:t>
            </w:r>
            <w:r w:rsidRPr="005E78BB">
              <w:rPr>
                <w:rFonts w:ascii="Calibri" w:eastAsia="Times New Roman" w:hAnsi="Calibri" w:cs="Calibri"/>
                <w:color w:val="000000"/>
                <w:sz w:val="18"/>
                <w:szCs w:val="18"/>
                <w:lang w:eastAsia="pl-PL"/>
              </w:rPr>
              <w:br w:type="page"/>
              <w:t>Analiza sposobu przeprowadzenia renaturyzacji koryta cieku oraz realizacja działań na podstawie przeprowadzonej analizy (do 2027 r.).</w:t>
            </w:r>
          </w:p>
        </w:tc>
      </w:tr>
      <w:tr w:rsidR="0085319C" w:rsidRPr="005E78BB" w14:paraId="25F405AE" w14:textId="77777777" w:rsidTr="00E92AE6">
        <w:trPr>
          <w:trHeight w:val="454"/>
        </w:trPr>
        <w:tc>
          <w:tcPr>
            <w:tcW w:w="562" w:type="dxa"/>
            <w:shd w:val="clear" w:color="auto" w:fill="auto"/>
            <w:hideMark/>
          </w:tcPr>
          <w:p w14:paraId="51AF1CA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254</w:t>
            </w:r>
          </w:p>
        </w:tc>
        <w:tc>
          <w:tcPr>
            <w:tcW w:w="1021" w:type="dxa"/>
          </w:tcPr>
          <w:p w14:paraId="587912A4" w14:textId="4E686B7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14E1C4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4855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Nazwa działania Realizacja działań naprawczych dla obszarów chronionych w zakresie utrzymania naturalnego charakteru koryta / RWHM_03.01 jest nieadekwatna do opisu.</w:t>
            </w:r>
            <w:r w:rsidRPr="005E78BB">
              <w:rPr>
                <w:rFonts w:ascii="Calibri" w:eastAsia="Times New Roman" w:hAnsi="Calibri" w:cs="Calibri"/>
                <w:color w:val="000000"/>
                <w:sz w:val="18"/>
                <w:szCs w:val="18"/>
                <w:lang w:eastAsia="pl-PL"/>
              </w:rPr>
              <w:br/>
              <w:t>W sytuacji gdy celem tego działania miałoby być jedynie rozpoznanie zasadności a w przypadku jej stwierdzenia wprowadzenie odpowiednich zapisów do pzo/po należy jedynie zmienić nazwę tego działania. Natomiast jeśli celem miałaby być również realizacja działań jako odpowiedzialnych za realizację/sprawozdawczość obok RDOŚ powinni zostać wpisani zarządcy ze strony Wód Polskich. W działaniu tym dla obszaru Natura 2000 Białka Lelowska, Dolina Górnej Pilicy wskazano jedynie RDOŚ jako odpowiedzialnych za realizację. Bez porozumienia Wód Polskich i RDOŚ nie jest możliwym wykonanie działań. Ponadto warto podkreślić, że plan zadań ochronnych lub plan ochrony dla obszarów Natura 20000 lub zadania ochronne dla rezerwatów przyrody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5607C576" w14:textId="677CB69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nazwy działania na Rozpoznanie zasadności realizacji działań naprawczych dla obszarów chronionych w zakresie utrzymania naturalnego charakteru koryta / RWHM_03.01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032F30A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44699E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2FFEF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F9519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działanie RWHM_03.01 ma na celu, zgodnie z opisem zawartym w zestawie działań, dokonanie rozpoznania zasadności realizacji działań naprawczych dla obszarów chronionych w zakresie utrzymania naturalnego charakteru koryta,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dokonano modyfikacji nazwy działania zgodnie z sugestią zawartą w uwadze. Obecna nazwa działania RWHM_03.01 Rozpoznanie zasadności realizacji działań naprawczych dla obszarów chronionych w zakresie utrzymania naturalnego charakteru koryta.</w:t>
            </w:r>
          </w:p>
        </w:tc>
      </w:tr>
      <w:tr w:rsidR="0085319C" w:rsidRPr="005E78BB" w14:paraId="3DFC5726" w14:textId="77777777" w:rsidTr="00E92AE6">
        <w:trPr>
          <w:trHeight w:val="454"/>
        </w:trPr>
        <w:tc>
          <w:tcPr>
            <w:tcW w:w="562" w:type="dxa"/>
            <w:shd w:val="clear" w:color="auto" w:fill="auto"/>
            <w:hideMark/>
          </w:tcPr>
          <w:p w14:paraId="1D8AA36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255</w:t>
            </w:r>
          </w:p>
        </w:tc>
        <w:tc>
          <w:tcPr>
            <w:tcW w:w="1021" w:type="dxa"/>
          </w:tcPr>
          <w:p w14:paraId="50199490" w14:textId="16F00FF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28DB1D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8F491AB" w14:textId="5325D33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Budowle (wg Zał. 1 Wykaz działań dla budowli Identyfikator budowli w IIaPGW: 1776 współrzędne: X 549353,9, Y 318273,62 oraz 1885 współrzędne: X 548561,52, Y 318803,9) dla której przewidziano do realizacji działanie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RWHM_02.06 wymaga przebudowy w celu przywrócenia ciągłości biologicznej rzeki a nie tylko oceny wpływu.</w:t>
            </w:r>
            <w:r w:rsidRPr="005E78BB">
              <w:rPr>
                <w:rFonts w:ascii="Calibri" w:eastAsia="Times New Roman" w:hAnsi="Calibri" w:cs="Calibri"/>
                <w:color w:val="000000"/>
                <w:sz w:val="18"/>
                <w:szCs w:val="18"/>
                <w:lang w:eastAsia="pl-PL"/>
              </w:rPr>
              <w:br/>
              <w:t>W celu poprawy warunków migracji ryb w Pilicy istotna jest przebudowa istniejących dwóch stopni wodnych na bystrotoki ryglowe, które umożliwią migracje ryb w górę rzeki (górna przepławka N50° 43.767' E19° 41.966', dolna przepławka N50° 44.078' E19° 41.280'). Jeden ze stopni znajduje się w obszarze Natura 2000 Dolinie Górnej Pilicy natomiast drugi w obszarze Natura 2000 Suchy Młyn.</w:t>
            </w:r>
            <w:r w:rsidRPr="005E78BB">
              <w:rPr>
                <w:rFonts w:ascii="Calibri" w:eastAsia="Times New Roman" w:hAnsi="Calibri" w:cs="Calibri"/>
                <w:color w:val="000000"/>
                <w:sz w:val="18"/>
                <w:szCs w:val="18"/>
                <w:lang w:eastAsia="pl-PL"/>
              </w:rPr>
              <w:br/>
              <w:t xml:space="preserve">Potrzeba ich przebudowy wynika z ekspertyzy pn.: „Weryfikacja występowania gatunków: minóg strumieniowy i głowacz białopłetwy w obszarze Natura 2000 Suchy Młyn mająca na celu rozpoznanie </w:t>
            </w:r>
            <w:r w:rsidRPr="005E78BB">
              <w:rPr>
                <w:rFonts w:ascii="Calibri" w:eastAsia="Times New Roman" w:hAnsi="Calibri" w:cs="Calibri"/>
                <w:color w:val="000000"/>
                <w:sz w:val="18"/>
                <w:szCs w:val="18"/>
                <w:lang w:eastAsia="pl-PL"/>
              </w:rPr>
              <w:lastRenderedPageBreak/>
              <w:t>faktycznego stanu populacji i ich siedlisk, zagrożeń, zaleceń odnośnie do działań ochronnych, zakresu monitoringu”. Bogdan Wziątek B. 2015. Minóg Pracownia ekspertyz rybackich i przyrodniczych.</w:t>
            </w:r>
          </w:p>
        </w:tc>
        <w:tc>
          <w:tcPr>
            <w:tcW w:w="3377" w:type="dxa"/>
            <w:shd w:val="clear" w:color="auto" w:fill="auto"/>
            <w:hideMark/>
          </w:tcPr>
          <w:p w14:paraId="598532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Ujęcie obu budowli (wg Zał. 1 Wykaz działań dla budowli Identyfikator budowli w IIaPGW: 1776 współrzędne: X 549353,9, Y 318273,62 oraz 1885 współrzędne: X 548</w:t>
            </w:r>
            <w:r w:rsidRPr="005E78BB">
              <w:rPr>
                <w:rFonts w:ascii="Calibri" w:eastAsia="Times New Roman" w:hAnsi="Calibri" w:cs="Calibri"/>
                <w:color w:val="000000"/>
                <w:sz w:val="18"/>
                <w:szCs w:val="18"/>
                <w:lang w:eastAsia="pl-PL"/>
              </w:rPr>
              <w:br/>
              <w:t>561,52, Y 318803,9) w działaniu Analiza możliwości przebudowy budowli piętrzących w zakresie zapewniającym ciągłość biologiczną i spełnienie celów środowiskowych / RWHM_02.01</w:t>
            </w:r>
          </w:p>
        </w:tc>
        <w:tc>
          <w:tcPr>
            <w:tcW w:w="3401" w:type="dxa"/>
            <w:shd w:val="clear" w:color="auto" w:fill="auto"/>
            <w:hideMark/>
          </w:tcPr>
          <w:p w14:paraId="6600686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38B2D0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EF1B8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A4902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informacją przekazaną w uwadze zmieniono działania dla wskazanych obiektów.</w:t>
            </w:r>
          </w:p>
        </w:tc>
      </w:tr>
      <w:tr w:rsidR="0085319C" w:rsidRPr="005E78BB" w14:paraId="78942E88" w14:textId="77777777" w:rsidTr="00E92AE6">
        <w:trPr>
          <w:trHeight w:val="454"/>
        </w:trPr>
        <w:tc>
          <w:tcPr>
            <w:tcW w:w="562" w:type="dxa"/>
            <w:shd w:val="clear" w:color="auto" w:fill="auto"/>
            <w:hideMark/>
          </w:tcPr>
          <w:p w14:paraId="14A811E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256</w:t>
            </w:r>
          </w:p>
        </w:tc>
        <w:tc>
          <w:tcPr>
            <w:tcW w:w="1021" w:type="dxa"/>
          </w:tcPr>
          <w:p w14:paraId="48AE8C65" w14:textId="12A279F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6E4D21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0131C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 RW200006254169: Białka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Nazwa działań: Realizacja działań naprawczych dla obszarów chronionych zależnych od hydromorfologii (wg celów środowiskowych: wymogów rzek włosienicznikowych, wylewy Q50) /RWHM_01.03 oraz Realizacja działań naprawczych dla obszarów chronionych w zakresie utrzymania naturalnego charakteru koryta / RWHM_03.01 są nieadekwatne do opisu.</w:t>
            </w:r>
            <w:r w:rsidRPr="005E78BB">
              <w:rPr>
                <w:rFonts w:ascii="Calibri" w:eastAsia="Times New Roman" w:hAnsi="Calibri" w:cs="Calibri"/>
                <w:color w:val="000000"/>
                <w:sz w:val="18"/>
                <w:szCs w:val="18"/>
                <w:lang w:eastAsia="pl-PL"/>
              </w:rPr>
              <w:br w:type="page"/>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obszarów Natura 2000 Suchy Młyn, Dolina Górnej Pilicy, Ostoja Środkowojurajska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ype="page"/>
              <w:t>Ponadto warto podkreślić, że plan zadań ochronnych lub plan ochrony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r w:rsidRPr="005E78BB">
              <w:rPr>
                <w:rFonts w:ascii="Calibri" w:eastAsia="Times New Roman" w:hAnsi="Calibri" w:cs="Calibri"/>
                <w:color w:val="000000"/>
                <w:sz w:val="18"/>
                <w:szCs w:val="18"/>
                <w:lang w:eastAsia="pl-PL"/>
              </w:rPr>
              <w:br w:type="page"/>
              <w:t xml:space="preserve">Ponadto warto zaznaczyć, że wynikające z pzo dziania odnośnie od głowacza i minoga strumieniowego zostały już wykonane (Realizacja działań wynikających z planów ochrony i planów zadań ochronnych dla obszarów chronionych / RWC_02.01 Wykonanie odłowów oceniających faktyczny stan populacji gatunku oraz ocena stanu siedliska gatunku [głowacz białopłetwy]. Zlecenie wykonania ekspertyzy. Ocena wskaźników parametru populacji i siedliska. Wskaźniki parametru </w:t>
            </w:r>
          </w:p>
        </w:tc>
        <w:tc>
          <w:tcPr>
            <w:tcW w:w="3377" w:type="dxa"/>
            <w:shd w:val="clear" w:color="auto" w:fill="auto"/>
            <w:hideMark/>
          </w:tcPr>
          <w:p w14:paraId="183F3545" w14:textId="6712B79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Rozpoznanie zasadności realizacji działań naprawczych dla obszarów chronionych w zakresie utrzymania naturalnego charakteru koryta / RWHM_03.01 oraz Rozpoznanie zasadności realizacji działań naprawczych dla obszarów chronionych zależnych od hydromorfologii (wg celów środowiskowych: wymogów rzek włosienicznikowych, wylewy Q50) /RWHM_01.03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4BEB62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0305D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7E78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0DF7B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działanie RWHM_03.01 ma na celu, zgodnie z opisem zawartym w zestawie działań, dokonanie rozpoznania zasadności realizacji działań naprawczych dla obszarów chronionych w zakresie utrzymania naturalnego charakteru koryta, a w przypadku jej stwierdzenia wprowadzenie do PZO/PO odpowiednich zapisów.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powyższym dokonano modyfikacji nazwy działania zgodnie z sugestią zawartą w uwadze. Obecna nazwa działania RWHM_03.01 Rozpoznanie zasadności realizacji działań naprawczych dla obszarów chronionych w zakresie utrzymania naturalnego charakteru koryta.</w:t>
            </w:r>
          </w:p>
        </w:tc>
      </w:tr>
      <w:tr w:rsidR="0085319C" w:rsidRPr="005E78BB" w14:paraId="5079B9DA" w14:textId="77777777" w:rsidTr="00E92AE6">
        <w:trPr>
          <w:trHeight w:val="454"/>
        </w:trPr>
        <w:tc>
          <w:tcPr>
            <w:tcW w:w="562" w:type="dxa"/>
            <w:shd w:val="clear" w:color="auto" w:fill="auto"/>
            <w:hideMark/>
          </w:tcPr>
          <w:p w14:paraId="67CA14D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257</w:t>
            </w:r>
          </w:p>
        </w:tc>
        <w:tc>
          <w:tcPr>
            <w:tcW w:w="1021" w:type="dxa"/>
          </w:tcPr>
          <w:p w14:paraId="7F664A97" w14:textId="7E2DA16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402BB4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7AACD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Nazwa działania Realizacja działań naprawczych dla obszarów chronionych w zakresie utrzymania naturalnego charakteru koryta / RWHM_03.01 jest nieadekwatna do opisu.</w:t>
            </w:r>
            <w:r w:rsidRPr="005E78BB">
              <w:rPr>
                <w:rFonts w:ascii="Calibri" w:eastAsia="Times New Roman" w:hAnsi="Calibri" w:cs="Calibri"/>
                <w:color w:val="000000"/>
                <w:sz w:val="18"/>
                <w:szCs w:val="18"/>
                <w:lang w:eastAsia="pl-PL"/>
              </w:rPr>
              <w:br/>
              <w:t xml:space="preserve">W sytuacji gdy celem tego działania miałoby być jedynie rozpoznanie zasadności a w przypadku jej stwierdzenia wprowadzenie odpowiednich zapisów do pzo/po lub zadań ochronnych należy jedynie zmienić nazwę tego działania. Natomiast jeśli celem miałaby być również realizacja działań jako odpowiedzialnych za realizację/sprawozdawczość obok RDOŚ/Regionalnego Konserwatora Przyrody powinni zostać wpisani zarządcy ze strony Wód Polskich. </w:t>
            </w:r>
            <w:r w:rsidRPr="005E78BB">
              <w:rPr>
                <w:rFonts w:ascii="Calibri" w:eastAsia="Times New Roman" w:hAnsi="Calibri" w:cs="Calibri"/>
                <w:color w:val="000000"/>
                <w:sz w:val="18"/>
                <w:szCs w:val="18"/>
                <w:lang w:eastAsia="pl-PL"/>
              </w:rPr>
              <w:br/>
              <w:t>W działaniu tym dla obszaru Natura 2000 Źródła Rajecznicy oraz rez. Kępina wskazano jedynie RDOŚ Katowice lub Regionalnego Konserwatora Przyrody w Katowicach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 xml:space="preserve">Ponadto warto podkreślić, ze pzo lub po dla obszarów Natura 20000 lub zadania ochronne dla rezerwatów przyrody nie są dokumentami w którym powtarzane są zapisy innych ustaw (np. prace utrzymaniowe z prawa </w:t>
            </w:r>
            <w:r w:rsidRPr="005E78BB">
              <w:rPr>
                <w:rFonts w:ascii="Calibri" w:eastAsia="Times New Roman" w:hAnsi="Calibri" w:cs="Calibri"/>
                <w:color w:val="000000"/>
                <w:sz w:val="18"/>
                <w:szCs w:val="18"/>
                <w:lang w:eastAsia="pl-PL"/>
              </w:rPr>
              <w:lastRenderedPageBreak/>
              <w:t>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1EAAD8D0" w14:textId="6B36D0B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nazwy działania na Rozpoznanie zasadności realizacji działań naprawczych dla obszarów chronionych w zakresie utrzymania naturalnego charakteru koryta / RWHM_03.01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1B4C63A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5C96D6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B2C3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1FD60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działanie RWHM_03.01 ma na celu, zgodnie z opisem zawartym w zestawie działań, dokonanie rozpoznania zasadności realizacji działań naprawczych dla obszarów chronionych w zakresie utrzymania naturalnego charakteru koryta,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dokonano modyfikacji nazwy działania zgodnie z sugestią zawartą w uwadze. Obecna nazwa działania RWHM_03.01 Rozpoznanie zasadności realizacji działań naprawczych dla obszarów chronionych w zakresie utrzymania naturalnego charakteru koryta.</w:t>
            </w:r>
          </w:p>
        </w:tc>
      </w:tr>
      <w:tr w:rsidR="0085319C" w:rsidRPr="005E78BB" w14:paraId="69FC8837" w14:textId="77777777" w:rsidTr="00E92AE6">
        <w:trPr>
          <w:trHeight w:val="454"/>
        </w:trPr>
        <w:tc>
          <w:tcPr>
            <w:tcW w:w="562" w:type="dxa"/>
            <w:shd w:val="clear" w:color="auto" w:fill="auto"/>
            <w:hideMark/>
          </w:tcPr>
          <w:p w14:paraId="68DBC98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258</w:t>
            </w:r>
          </w:p>
        </w:tc>
        <w:tc>
          <w:tcPr>
            <w:tcW w:w="1021" w:type="dxa"/>
          </w:tcPr>
          <w:p w14:paraId="000A0888" w14:textId="3796518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0758E2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7EEBF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RW200006254169: Białka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dopływu zanieczyszczeń / RWC_02.02</w:t>
            </w:r>
            <w:r w:rsidRPr="005E78BB">
              <w:rPr>
                <w:rFonts w:ascii="Calibri" w:eastAsia="Times New Roman" w:hAnsi="Calibri" w:cs="Calibri"/>
                <w:color w:val="000000"/>
                <w:sz w:val="18"/>
                <w:szCs w:val="18"/>
                <w:lang w:eastAsia="pl-PL"/>
              </w:rPr>
              <w:br/>
              <w:t>oraz Realizacja działań naprawczych dla obszarów chronionych w zakresie utrzymania naturalnego charakteru koryta / RWHM_03.01 są nieadekwatne do opisu.</w:t>
            </w:r>
            <w:r w:rsidRPr="005E78BB">
              <w:rPr>
                <w:rFonts w:ascii="Calibri" w:eastAsia="Times New Roman" w:hAnsi="Calibri" w:cs="Calibri"/>
                <w:color w:val="000000"/>
                <w:sz w:val="18"/>
                <w:szCs w:val="18"/>
                <w:lang w:eastAsia="pl-PL"/>
              </w:rPr>
              <w:br/>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1D3EF46E" w14:textId="6029CB8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 Rozpoznanie zasadności działań naprawczych dla obszarów chronionych w zakresie dopływu zanieczyszczeń / RWC_02.02 oraz Rozpoznanie zasadności realizacji działań naprawczych dla obszarów chronionych w zakresie utrzymania naturalnego charakteru koryta / RWHM_03.01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1333E51F"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48E9A2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618DE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309CC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oraz RWHM_03.01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Obecna nazwa działania RWHM_03.01: Rozpoznanie zasadności realizacji działań naprawczych dla obszarów chronionych w zakresie utrzymania naturalnego charakteru koryta, natomiast działania RWC_02.02: Rozpoznanie zasadności realizacji działań naprawczych dla obszarów chronionych w zakresie dopływu zanieczyszczeń.</w:t>
            </w:r>
          </w:p>
        </w:tc>
      </w:tr>
      <w:tr w:rsidR="0085319C" w:rsidRPr="005E78BB" w14:paraId="3046F8D4" w14:textId="77777777" w:rsidTr="00E92AE6">
        <w:trPr>
          <w:trHeight w:val="454"/>
        </w:trPr>
        <w:tc>
          <w:tcPr>
            <w:tcW w:w="562" w:type="dxa"/>
            <w:shd w:val="clear" w:color="auto" w:fill="auto"/>
            <w:hideMark/>
          </w:tcPr>
          <w:p w14:paraId="1802A19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259</w:t>
            </w:r>
          </w:p>
        </w:tc>
        <w:tc>
          <w:tcPr>
            <w:tcW w:w="1021" w:type="dxa"/>
          </w:tcPr>
          <w:p w14:paraId="47189A18" w14:textId="1CC3536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45E37F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39D16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 RW200006254178: Załężówka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Nazwy działań: Realizacja działań naprawczych dla obszarów chronionych w zakresie dopływu zanieczyszczeń / RWC_02.02</w:t>
            </w:r>
            <w:r w:rsidRPr="005E78BB">
              <w:rPr>
                <w:rFonts w:ascii="Calibri" w:eastAsia="Times New Roman" w:hAnsi="Calibri" w:cs="Calibri"/>
                <w:color w:val="000000"/>
                <w:sz w:val="18"/>
                <w:szCs w:val="18"/>
                <w:lang w:eastAsia="pl-PL"/>
              </w:rPr>
              <w:br w:type="page"/>
              <w:t>oraz Realizacja działań naprawczych dla obszarów chronionych w zakresie utrzymania naturalnego charakteru koryta / RWHM_03.01, a także Realizacja działań naprawczych dla obszarów chronionych w zakresie realizacji wymogów dla rzek włosienicznikowych / RWHM_04.02</w:t>
            </w:r>
            <w:r w:rsidRPr="005E78BB">
              <w:rPr>
                <w:rFonts w:ascii="Calibri" w:eastAsia="Times New Roman" w:hAnsi="Calibri" w:cs="Calibri"/>
                <w:color w:val="000000"/>
                <w:sz w:val="18"/>
                <w:szCs w:val="18"/>
                <w:lang w:eastAsia="pl-PL"/>
              </w:rPr>
              <w:br w:type="page"/>
              <w:t>są nieadekwatne do opisu.</w:t>
            </w:r>
            <w:r w:rsidRPr="005E78BB">
              <w:rPr>
                <w:rFonts w:ascii="Calibri" w:eastAsia="Times New Roman" w:hAnsi="Calibri" w:cs="Calibri"/>
                <w:color w:val="000000"/>
                <w:sz w:val="18"/>
                <w:szCs w:val="18"/>
                <w:lang w:eastAsia="pl-PL"/>
              </w:rPr>
              <w:br w:type="page"/>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ype="page"/>
              <w:t xml:space="preserve">Ponadto warto podkreślić, że pzo lub po dla obszarów Natura 20000 nie są dokumentami w którym powtarzane są zapisy innych ustaw (np. prace utrzymaniowe z Prawa Wodnego) i nie zastępują procedury w trybie art. 118 ustawy o ochronie przyrody. W dokumentach tych </w:t>
            </w:r>
            <w:r w:rsidRPr="005E78BB">
              <w:rPr>
                <w:rFonts w:ascii="Calibri" w:eastAsia="Times New Roman" w:hAnsi="Calibri" w:cs="Calibri"/>
                <w:color w:val="000000"/>
                <w:sz w:val="18"/>
                <w:szCs w:val="18"/>
                <w:lang w:eastAsia="pl-PL"/>
              </w:rPr>
              <w:lastRenderedPageBreak/>
              <w:t>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7C67928F" w14:textId="0CA10C7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 działań na : Rozpoznanie zasadności realizacji działań naprawczych dla obszarów chronionych w zakresie dopływu zanieczyszczeń / RWC_02.02 oraz Rozpoznanie zasadności realizacji działań naprawczych dla obszarów chronionych w zakresie utrzymania naturalnego charakteru koryta / RWHM_03.01, a także Rozpoznanie zasadności realizacji działań naprawczych dla obszarów chronionych w zakresie realizacji wymogów dla rzek włosienicznikowych / RWHM_04.02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2C6E61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194A9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F36FB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B6798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RWHM_03.01 RWHM_04.02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ype="page"/>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ype="page"/>
              <w:t xml:space="preserve">RWC_02.02 Rozpoznanie zasadności realizacji działań </w:t>
            </w:r>
            <w:r w:rsidRPr="005E78BB">
              <w:rPr>
                <w:rFonts w:ascii="Calibri" w:eastAsia="Times New Roman" w:hAnsi="Calibri" w:cs="Calibri"/>
                <w:color w:val="000000"/>
                <w:sz w:val="18"/>
                <w:szCs w:val="18"/>
                <w:lang w:eastAsia="pl-PL"/>
              </w:rPr>
              <w:lastRenderedPageBreak/>
              <w:t>naprawczych dla obszarów chronionych w zakresie dopływu zanieczyszczeń.</w:t>
            </w:r>
          </w:p>
        </w:tc>
      </w:tr>
      <w:tr w:rsidR="0085319C" w:rsidRPr="005E78BB" w14:paraId="109055DE" w14:textId="77777777" w:rsidTr="00E92AE6">
        <w:trPr>
          <w:trHeight w:val="454"/>
        </w:trPr>
        <w:tc>
          <w:tcPr>
            <w:tcW w:w="562" w:type="dxa"/>
            <w:shd w:val="clear" w:color="auto" w:fill="auto"/>
            <w:hideMark/>
          </w:tcPr>
          <w:p w14:paraId="2DC4B3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260</w:t>
            </w:r>
          </w:p>
        </w:tc>
        <w:tc>
          <w:tcPr>
            <w:tcW w:w="1021" w:type="dxa"/>
          </w:tcPr>
          <w:p w14:paraId="42BCF71D" w14:textId="0C62A32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2AEC1F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F793B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RW200006254189: Zwlecza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dopływu zanieczyszczeń / RWC_02.02</w:t>
            </w:r>
            <w:r w:rsidRPr="005E78BB">
              <w:rPr>
                <w:rFonts w:ascii="Calibri" w:eastAsia="Times New Roman" w:hAnsi="Calibri" w:cs="Calibri"/>
                <w:color w:val="000000"/>
                <w:sz w:val="18"/>
                <w:szCs w:val="18"/>
                <w:lang w:eastAsia="pl-PL"/>
              </w:rPr>
              <w:br/>
              <w:t>oraz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w:t>
            </w:r>
            <w:r w:rsidRPr="005E78BB">
              <w:rPr>
                <w:rFonts w:ascii="Calibri" w:eastAsia="Times New Roman" w:hAnsi="Calibri" w:cs="Calibri"/>
                <w:color w:val="000000"/>
                <w:sz w:val="18"/>
                <w:szCs w:val="18"/>
                <w:lang w:eastAsia="pl-PL"/>
              </w:rPr>
              <w:br/>
              <w:t>RWHM_01.03 są nieadekwatne do opisu.</w:t>
            </w:r>
            <w:r w:rsidRPr="005E78BB">
              <w:rPr>
                <w:rFonts w:ascii="Calibri" w:eastAsia="Times New Roman" w:hAnsi="Calibri" w:cs="Calibri"/>
                <w:color w:val="000000"/>
                <w:sz w:val="18"/>
                <w:szCs w:val="18"/>
                <w:lang w:eastAsia="pl-PL"/>
              </w:rPr>
              <w:br/>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28F883EA" w14:textId="4D1222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 Rozpoznanie zasadności realizacji działań naprawczych dla obszarów chronionych w zakresie dopływu zanieczyszczeń / RWC_02.02 oraz Rozpoznanie zasadności realizacji działań naprawczych dla obszarów chronionych w zakresie utrzymania naturalnego charakteru koryta / RWHM_03.01, a także Rozpoznanie zasadności realizacji działań naprawczych dla obszarów chronionych zależnych od hydromorfologii (wg celów środowiskowych: wymogów rzek włosienicznikowych, wylewy Q50) /RWHM_01.03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60E96A5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75A09C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D91D3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E6EED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RWHM_03.01 oraz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RWC_02.02 Rozpoznanie zasadności realizacji działań naprawczych dla obszarów chronionych w zakresie dopływu zanieczyszczeń.</w:t>
            </w:r>
            <w:r w:rsidRPr="005E78BB">
              <w:rPr>
                <w:rFonts w:ascii="Calibri" w:eastAsia="Times New Roman" w:hAnsi="Calibri" w:cs="Calibri"/>
                <w:color w:val="000000"/>
                <w:sz w:val="18"/>
                <w:szCs w:val="18"/>
                <w:lang w:eastAsia="pl-PL"/>
              </w:rPr>
              <w:br/>
              <w:t>RWHM_01.03 Rozpoznanie zasadności realizacji działań naprawczych dla obszarów chronionych zależnych od hydromorfologii (wg celów środowiskowych: wymogów rzek włosienicznikowych, wylewy Q50).</w:t>
            </w:r>
          </w:p>
        </w:tc>
      </w:tr>
      <w:tr w:rsidR="0085319C" w:rsidRPr="005E78BB" w14:paraId="263F9436" w14:textId="77777777" w:rsidTr="00E92AE6">
        <w:trPr>
          <w:trHeight w:val="454"/>
        </w:trPr>
        <w:tc>
          <w:tcPr>
            <w:tcW w:w="562" w:type="dxa"/>
            <w:shd w:val="clear" w:color="auto" w:fill="auto"/>
            <w:hideMark/>
          </w:tcPr>
          <w:p w14:paraId="0C3AE0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261</w:t>
            </w:r>
          </w:p>
        </w:tc>
        <w:tc>
          <w:tcPr>
            <w:tcW w:w="1021" w:type="dxa"/>
          </w:tcPr>
          <w:p w14:paraId="2EDB74EB" w14:textId="3F1AE7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7F1088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859EC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RW200006254192: Kurzelówka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realizacji wymogów dla rzek włosienicznikowych / RWHM_04.02 oraz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/RWHM_01.03 są nieadekwatne do opisu.</w:t>
            </w:r>
            <w:r w:rsidRPr="005E78BB">
              <w:rPr>
                <w:rFonts w:ascii="Calibri" w:eastAsia="Times New Roman" w:hAnsi="Calibri" w:cs="Calibri"/>
                <w:color w:val="000000"/>
                <w:sz w:val="18"/>
                <w:szCs w:val="18"/>
                <w:lang w:eastAsia="pl-PL"/>
              </w:rPr>
              <w:br/>
              <w:t xml:space="preserve">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w:t>
            </w:r>
            <w:r w:rsidRPr="005E78BB">
              <w:rPr>
                <w:rFonts w:ascii="Calibri" w:eastAsia="Times New Roman" w:hAnsi="Calibri" w:cs="Calibri"/>
                <w:color w:val="000000"/>
                <w:sz w:val="18"/>
                <w:szCs w:val="18"/>
                <w:lang w:eastAsia="pl-PL"/>
              </w:rPr>
              <w:lastRenderedPageBreak/>
              <w:t>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6CCA86A8" w14:textId="7CD937B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 działań na : Rozpoznanie zasadności realizacji działań naprawczych dla obszarów chronionych w zakresie realizacji wymogów dla rzek włosienicznikowych / RWHM_04.02 oraz Rozpoznanie zasadności realizacji działań naprawczych dla obszarów chronionych w zakresie utrzymania naturalnego charakteru koryta / RWHM_03.01, a także Rozpoznanie zasadności realizacji działań naprawczych dla obszarów chronionych zależnych od hydromorfologii (wg celów środowiskowych: wymogów rzek włosienicznikowych, wylewy Q50) /RWHM_01.03 i/lub wymienienie również zarządców ze strony Wód Polskich w polu Jednostka odpowiedzialna za realizację wskazana ze szczegółowym odniesieniem </w:t>
            </w:r>
            <w:r w:rsidRPr="005E78BB">
              <w:rPr>
                <w:rFonts w:ascii="Calibri" w:eastAsia="Times New Roman" w:hAnsi="Calibri" w:cs="Calibri"/>
                <w:color w:val="000000"/>
                <w:sz w:val="18"/>
                <w:szCs w:val="18"/>
                <w:lang w:eastAsia="pl-PL"/>
              </w:rPr>
              <w:lastRenderedPageBreak/>
              <w:t xml:space="preserve">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309CC89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W treści uwagi </w:t>
            </w:r>
          </w:p>
        </w:tc>
        <w:tc>
          <w:tcPr>
            <w:tcW w:w="1918" w:type="dxa"/>
            <w:shd w:val="clear" w:color="auto" w:fill="auto"/>
            <w:hideMark/>
          </w:tcPr>
          <w:p w14:paraId="09C79E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24BB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E4B35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RWHM_04_02, RWHM_03.01 oraz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RWHM_04.02 Rozpoznanie zasadności realizacji działań naprawczych dla obszarów chronionych w zakresie realizacji wymogów dla rzek włosienicznikowych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RWHM_01.03 Rozpoznanie zasadności realizacji działań naprawczych dla obszarów chronionych zależnych od hydromorfologii (wg celów środowiskowych: wymogów rzek włosienicznikowych, wylewy Q50).</w:t>
            </w:r>
          </w:p>
        </w:tc>
      </w:tr>
      <w:tr w:rsidR="0085319C" w:rsidRPr="005E78BB" w14:paraId="6F825052" w14:textId="77777777" w:rsidTr="00E92AE6">
        <w:trPr>
          <w:trHeight w:val="454"/>
        </w:trPr>
        <w:tc>
          <w:tcPr>
            <w:tcW w:w="562" w:type="dxa"/>
            <w:shd w:val="clear" w:color="auto" w:fill="auto"/>
            <w:hideMark/>
          </w:tcPr>
          <w:p w14:paraId="7025969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262</w:t>
            </w:r>
          </w:p>
        </w:tc>
        <w:tc>
          <w:tcPr>
            <w:tcW w:w="1021" w:type="dxa"/>
          </w:tcPr>
          <w:p w14:paraId="79A702EA" w14:textId="06344BF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6C5FFB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950DB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 RW200006254269: Czarna Struga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Nazwy działań: Realizacja działań naprawczych dla obszarów chronionych w zakresie dopływu zanieczyszczeń /RWC_02.02, </w:t>
            </w:r>
            <w:r w:rsidRPr="005E78BB">
              <w:rPr>
                <w:rFonts w:ascii="Calibri" w:eastAsia="Times New Roman" w:hAnsi="Calibri" w:cs="Calibri"/>
                <w:color w:val="000000"/>
                <w:sz w:val="18"/>
                <w:szCs w:val="18"/>
                <w:lang w:eastAsia="pl-PL"/>
              </w:rPr>
              <w:br w:type="page"/>
              <w:t>Realizacja działań naprawczych dla obszarów chronionych w zakresie realizacji wymogów dla rzek włosienicznikowych / RWHM_04.02 oraz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/RWHM_01.03 są nieadekwatne do opisu.</w:t>
            </w:r>
            <w:r w:rsidRPr="005E78BB">
              <w:rPr>
                <w:rFonts w:ascii="Calibri" w:eastAsia="Times New Roman" w:hAnsi="Calibri" w:cs="Calibri"/>
                <w:color w:val="000000"/>
                <w:sz w:val="18"/>
                <w:szCs w:val="18"/>
                <w:lang w:eastAsia="pl-PL"/>
              </w:rPr>
              <w:br w:type="page"/>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ype="page"/>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6DF49DEA" w14:textId="719351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Rozpoznanie zasadności realizacji działań naprawczych dla obszarów chronionych w zakresie dopływu zanieczyszczeń /RWC_02.02, Rozpoznanie zasadności realizacji działań naprawczych dla obszarów chronionych w zakresie realizacji wymogów dla rzek włosienicznikowych / RWHM_04.02 oraz Rozpoznanie zasadności realizacji działań naprawczych dla obszarów chronionych w zakresie utrzymania naturalnego charakteru koryta / RWHM_03.01, a także Rozpoznanie zasadności realizacji działań naprawczych dla obszarów chronionych zależnych od hydromorfologii (wg celów środowiskowych: wymogów rzek włosienicznikowych, wylewy Q50) /RWHM_01.03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5C5B1B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E28FA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50C4B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3C534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RWHM_03.01 oraz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ype="page"/>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ype="page"/>
              <w:t>RWC_02.02 Rozpoznanie zasadności realizacji działań naprawczych dla obszarów chronionych w zakresie dopływu zanieczyszczeń.</w:t>
            </w:r>
            <w:r w:rsidRPr="005E78BB">
              <w:rPr>
                <w:rFonts w:ascii="Calibri" w:eastAsia="Times New Roman" w:hAnsi="Calibri" w:cs="Calibri"/>
                <w:color w:val="000000"/>
                <w:sz w:val="18"/>
                <w:szCs w:val="18"/>
                <w:lang w:eastAsia="pl-PL"/>
              </w:rPr>
              <w:br w:type="page"/>
              <w:t>RWHM_01.03 Rozpoznanie zasadności realizacji działań naprawczych dla obszarów chronionych zależnych od hydromorfologii (wg celów środowiskowych: wymogów rzek włosienicznikowych, wylewy Q50).</w:t>
            </w:r>
          </w:p>
        </w:tc>
      </w:tr>
      <w:tr w:rsidR="0085319C" w:rsidRPr="005E78BB" w14:paraId="25236ED1" w14:textId="77777777" w:rsidTr="00E92AE6">
        <w:trPr>
          <w:trHeight w:val="454"/>
        </w:trPr>
        <w:tc>
          <w:tcPr>
            <w:tcW w:w="562" w:type="dxa"/>
            <w:shd w:val="clear" w:color="auto" w:fill="auto"/>
            <w:hideMark/>
          </w:tcPr>
          <w:p w14:paraId="75504FA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263</w:t>
            </w:r>
          </w:p>
        </w:tc>
        <w:tc>
          <w:tcPr>
            <w:tcW w:w="1021" w:type="dxa"/>
          </w:tcPr>
          <w:p w14:paraId="6BE5515C" w14:textId="1F5281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6CEB86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28D7B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RW20000625429: Czarna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dopływu zanieczyszczeń /RWC_02.02, oraz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/RWHM_01.03 są nieadekwatne do opisu.</w:t>
            </w:r>
            <w:r w:rsidRPr="005E78BB">
              <w:rPr>
                <w:rFonts w:ascii="Calibri" w:eastAsia="Times New Roman" w:hAnsi="Calibri" w:cs="Calibri"/>
                <w:color w:val="000000"/>
                <w:sz w:val="18"/>
                <w:szCs w:val="18"/>
                <w:lang w:eastAsia="pl-PL"/>
              </w:rPr>
              <w:br/>
              <w:t xml:space="preserve">W sytuacji gdy celem tych działań miałoby być jedynie rozpoznanie zasadności a w przypadku jej stwierdzenia wprowadzenie do pzo/po odpowiednich zapisów należy jedynie zmienić nazwę tego działania. Natomiast jeśli celem miałaby być również realizacja działań jako </w:t>
            </w:r>
            <w:r w:rsidRPr="005E78BB">
              <w:rPr>
                <w:rFonts w:ascii="Calibri" w:eastAsia="Times New Roman" w:hAnsi="Calibri" w:cs="Calibri"/>
                <w:color w:val="000000"/>
                <w:sz w:val="18"/>
                <w:szCs w:val="18"/>
                <w:lang w:eastAsia="pl-PL"/>
              </w:rPr>
              <w:lastRenderedPageBreak/>
              <w:t>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28C19A3D" w14:textId="2F525AD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 działań na Rozpoznanie zasadności realizacji działań naprawczych dla obszarów chronionych w zakresie dopływu zanieczyszczeń /RWC_02.02 oraz Rozpoznanie zasadności realizacji działań naprawczych dla obszarów chronionych w zakresie utrzymania naturalnego charakteru koryta / RWHM_03.01, a także Rozpoznanie zasadności realizacji działań naprawczych dla obszarów chronionych zależnych od hydromorfologii (wg celów środowiskowych: wymogów rzek włosienicznikowych, wylewy Q50) /RWHM_01.03 i/lub wymienienie również zarządców ze strony Wód Polskich w polu </w:t>
            </w:r>
            <w:r w:rsidRPr="005E78BB">
              <w:rPr>
                <w:rFonts w:ascii="Calibri" w:eastAsia="Times New Roman" w:hAnsi="Calibri" w:cs="Calibri"/>
                <w:color w:val="000000"/>
                <w:sz w:val="18"/>
                <w:szCs w:val="18"/>
                <w:lang w:eastAsia="pl-PL"/>
              </w:rPr>
              <w:lastRenderedPageBreak/>
              <w:t xml:space="preserve">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2646E3A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W treści uwagi </w:t>
            </w:r>
          </w:p>
        </w:tc>
        <w:tc>
          <w:tcPr>
            <w:tcW w:w="1918" w:type="dxa"/>
            <w:shd w:val="clear" w:color="auto" w:fill="auto"/>
            <w:hideMark/>
          </w:tcPr>
          <w:p w14:paraId="0897B7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F54BC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0E03A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RWHM_03.01 oraz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RWC_02.02 Rozpoznanie zasadności realizacji działań naprawczych dla obszarów chronionych w zakresie dopływu zanieczyszczeń.</w:t>
            </w:r>
            <w:r w:rsidRPr="005E78BB">
              <w:rPr>
                <w:rFonts w:ascii="Calibri" w:eastAsia="Times New Roman" w:hAnsi="Calibri" w:cs="Calibri"/>
                <w:color w:val="000000"/>
                <w:sz w:val="18"/>
                <w:szCs w:val="18"/>
                <w:lang w:eastAsia="pl-PL"/>
              </w:rPr>
              <w:br/>
              <w:t>RWHM_01.03 Rozpoznanie zasadności realizacji działań naprawczych dla obszarów chronionych zależnych od hydromorfologii (wg celów środowiskowych: wymogów rzek włosienicznikowych, wylewy Q50).</w:t>
            </w:r>
          </w:p>
        </w:tc>
      </w:tr>
      <w:tr w:rsidR="0085319C" w:rsidRPr="005E78BB" w14:paraId="38EDF8E1" w14:textId="77777777" w:rsidTr="00E92AE6">
        <w:trPr>
          <w:trHeight w:val="454"/>
        </w:trPr>
        <w:tc>
          <w:tcPr>
            <w:tcW w:w="562" w:type="dxa"/>
            <w:shd w:val="clear" w:color="auto" w:fill="auto"/>
            <w:hideMark/>
          </w:tcPr>
          <w:p w14:paraId="5B5F057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264</w:t>
            </w:r>
          </w:p>
        </w:tc>
        <w:tc>
          <w:tcPr>
            <w:tcW w:w="1021" w:type="dxa"/>
          </w:tcPr>
          <w:p w14:paraId="5F339998" w14:textId="3B4EE9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00B769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74797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RW200006254329: Silniczka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/RWHM_01.03 są nieadekwatne do opisu.</w:t>
            </w:r>
            <w:r w:rsidRPr="005E78BB">
              <w:rPr>
                <w:rFonts w:ascii="Calibri" w:eastAsia="Times New Roman" w:hAnsi="Calibri" w:cs="Calibri"/>
                <w:color w:val="000000"/>
                <w:sz w:val="18"/>
                <w:szCs w:val="18"/>
                <w:lang w:eastAsia="pl-PL"/>
              </w:rPr>
              <w:br/>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3096BA3C" w14:textId="2009388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Rozpoznanie zasadności realizacji działań naprawczych dla obszarów chronionych w zakresie utrzymania naturalnego charakteru koryta / RWHM_03.01, a także Rozpoznanie zasadności realizacji działań naprawczych dla obszarów chronionych zależnych od hydromorfologii (wg celów środowiskowych: wymogów rzek włosienicznikowych, wylewy Q50) /RWHM_01.03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2173685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637616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3C97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39728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RWHM_03.01 oraz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RWHM_01.03 Rozpoznanie zasadności realizacji działań naprawczych dla obszarów chronionych zależnych od hydromorfologii (wg celów środowiskowych: wymogów rzek włosienicznikowych, wylewy Q50).</w:t>
            </w:r>
          </w:p>
        </w:tc>
      </w:tr>
      <w:tr w:rsidR="0085319C" w:rsidRPr="005E78BB" w14:paraId="13292E36" w14:textId="77777777" w:rsidTr="00E92AE6">
        <w:trPr>
          <w:trHeight w:val="454"/>
        </w:trPr>
        <w:tc>
          <w:tcPr>
            <w:tcW w:w="562" w:type="dxa"/>
            <w:shd w:val="clear" w:color="auto" w:fill="auto"/>
            <w:hideMark/>
          </w:tcPr>
          <w:p w14:paraId="1C71AD1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265</w:t>
            </w:r>
          </w:p>
        </w:tc>
        <w:tc>
          <w:tcPr>
            <w:tcW w:w="1021" w:type="dxa"/>
          </w:tcPr>
          <w:p w14:paraId="416137F9" w14:textId="5D66072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3D9E66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0DFE5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 RW200006254332: Dopływ ze Stanowisk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Nazwy działań: Realizacja działań naprawczych dla obszarów chronionych w zakresie realizacji wymogów dla rzek włosienicznikowych / RWHM_04.02 oraz Realizacja działań naprawczych dla obszarów chronionych w zakresie utrzymania naturalnego charakteru koryta / RWHM_03.01, a także Realizacja działań naprawczych dla obszarów chronionych zależnych od hydromorfologii (wg celów środowiskowych: wymogów rzek włosienicznikowych, wylewy Q50) /RWHM_01.03 są nieadekwatne do opisu.</w:t>
            </w:r>
            <w:r w:rsidRPr="005E78BB">
              <w:rPr>
                <w:rFonts w:ascii="Calibri" w:eastAsia="Times New Roman" w:hAnsi="Calibri" w:cs="Calibri"/>
                <w:color w:val="000000"/>
                <w:sz w:val="18"/>
                <w:szCs w:val="18"/>
                <w:lang w:eastAsia="pl-PL"/>
              </w:rPr>
              <w:br w:type="page"/>
              <w:t xml:space="preserve">W sytuacji gdy celem tych działań miałoby być jedynie rozpoznanie zasadności a w przypadku jej stwierdzenia wprowadzenie do pzo/po odpowiednich zapisów należy jedynie zmienić nazwę tego działania. </w:t>
            </w:r>
            <w:r w:rsidRPr="005E78BB">
              <w:rPr>
                <w:rFonts w:ascii="Calibri" w:eastAsia="Times New Roman" w:hAnsi="Calibri" w:cs="Calibri"/>
                <w:color w:val="000000"/>
                <w:sz w:val="18"/>
                <w:szCs w:val="18"/>
                <w:lang w:eastAsia="pl-PL"/>
              </w:rPr>
              <w:lastRenderedPageBreak/>
              <w:t>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ype="page"/>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2861D6DF" w14:textId="199270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nazwy działań na Rozpoznanie zasadności realizacji działań naprawczych dla obszarów chronionych w zakresie realizacji wymogów dla rzek włosienicznikowych / RWHM_04.02 oraz Rozpoznanie zasadności realizacji działań naprawczych dla obszarów chronionych w zakresie utrzymania naturalnego charakteru koryta / RWHM_03.01, a także Rozpoznanie zasadności realizacji działań naprawczych dla obszarów chronionych zależnych od hydromorfologii (wg celów </w:t>
            </w:r>
            <w:r w:rsidRPr="005E78BB">
              <w:rPr>
                <w:rFonts w:ascii="Calibri" w:eastAsia="Times New Roman" w:hAnsi="Calibri" w:cs="Calibri"/>
                <w:color w:val="000000"/>
                <w:sz w:val="18"/>
                <w:szCs w:val="18"/>
                <w:lang w:eastAsia="pl-PL"/>
              </w:rPr>
              <w:lastRenderedPageBreak/>
              <w:t xml:space="preserve">środowiskowych: wymogów rzek włosienicznikowych, wylewy Q50) /RWHM_01.03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4C7CEB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F682A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A31BE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15489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RWHM_04_02, RWHM_03.01, RWHM_01.03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związku z powyższym nie uzupełniano informacji dot. jednostek odpowiedzialnych za realizację/ sprawozdawczość ze strony PGW WP, a jedynie dokonano modyfikacji nazwy </w:t>
            </w:r>
            <w:r w:rsidRPr="005E78BB">
              <w:rPr>
                <w:rFonts w:ascii="Calibri" w:eastAsia="Times New Roman" w:hAnsi="Calibri" w:cs="Calibri"/>
                <w:color w:val="000000"/>
                <w:sz w:val="18"/>
                <w:szCs w:val="18"/>
                <w:lang w:eastAsia="pl-PL"/>
              </w:rPr>
              <w:lastRenderedPageBreak/>
              <w:t>działania zgodnie z sugestią zawartą w uwadze. Obecne nazwy działań:</w:t>
            </w:r>
            <w:r w:rsidRPr="005E78BB">
              <w:rPr>
                <w:rFonts w:ascii="Calibri" w:eastAsia="Times New Roman" w:hAnsi="Calibri" w:cs="Calibri"/>
                <w:color w:val="000000"/>
                <w:sz w:val="18"/>
                <w:szCs w:val="18"/>
                <w:lang w:eastAsia="pl-PL"/>
              </w:rPr>
              <w:br w:type="page"/>
              <w:t>RWHM_04.02 Rozpoznanie zasadności realizacji działań naprawczych dla obszarów chronionych w zakresie realizacji wymogów dla rzek włosienicznikowych</w:t>
            </w:r>
            <w:r w:rsidRPr="005E78BB">
              <w:rPr>
                <w:rFonts w:ascii="Calibri" w:eastAsia="Times New Roman" w:hAnsi="Calibri" w:cs="Calibri"/>
                <w:color w:val="000000"/>
                <w:sz w:val="18"/>
                <w:szCs w:val="18"/>
                <w:lang w:eastAsia="pl-PL"/>
              </w:rPr>
              <w:br w:type="page"/>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ype="page"/>
              <w:t>RWHM_01.03 Rozpoznanie zasadności realizacji działań naprawczych dla obszarów chronionych zależnych od hydromorfologii (wg celów środowiskowych: wymogów rzek włosienicznikowych, wylewy Q50).</w:t>
            </w:r>
          </w:p>
        </w:tc>
      </w:tr>
      <w:tr w:rsidR="0085319C" w:rsidRPr="005E78BB" w14:paraId="613BC3E0" w14:textId="77777777" w:rsidTr="00E92AE6">
        <w:trPr>
          <w:trHeight w:val="454"/>
        </w:trPr>
        <w:tc>
          <w:tcPr>
            <w:tcW w:w="562" w:type="dxa"/>
            <w:shd w:val="clear" w:color="auto" w:fill="auto"/>
            <w:hideMark/>
          </w:tcPr>
          <w:p w14:paraId="2DDE7A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266</w:t>
            </w:r>
          </w:p>
        </w:tc>
        <w:tc>
          <w:tcPr>
            <w:tcW w:w="1021" w:type="dxa"/>
          </w:tcPr>
          <w:p w14:paraId="111B1631" w14:textId="2E2E37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5C170E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858F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RW2000062543529: Struga Strzelecka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dopływu zanieczyszczeń /RWC_02.02 oraz Realizacja działań naprawczych dla obszarów chronionych w zakresie utrzymania naturalnego charakteru koryta / RWHM_03.01, są nieadekwatne do opisu.</w:t>
            </w:r>
            <w:r w:rsidRPr="005E78BB">
              <w:rPr>
                <w:rFonts w:ascii="Calibri" w:eastAsia="Times New Roman" w:hAnsi="Calibri" w:cs="Calibri"/>
                <w:color w:val="000000"/>
                <w:sz w:val="18"/>
                <w:szCs w:val="18"/>
                <w:lang w:eastAsia="pl-PL"/>
              </w:rPr>
              <w:br/>
              <w:t>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4DE4018F" w14:textId="3C1B42A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Zmiana nazw działań na Rozpoznanie zasadności realizacji działań naprawczych dla obszarów chronionych w zakresie dopływu zanieczyszczeń /RWC_02.02 oraz Rozpoznanie zasadności realizacji działań naprawczych dla obszarów chronionych w zakresie utrzymania naturalnego charakteru koryta / RWHM_03.01,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3F1C9E58"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47F376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2097E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15552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oraz RWHM_03.01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powyższym nie uzupełniano informacji dot. jednostek odpowiedzialnych za realizację/ sprawozdawczość ze strony PGW WP, a jedynie dokonano modyfikacji nazwy działania zgodnie z sugestią zawartą w uwadze. Obecne nazwy działań:</w:t>
            </w:r>
            <w:r w:rsidRPr="005E78BB">
              <w:rPr>
                <w:rFonts w:ascii="Calibri" w:eastAsia="Times New Roman" w:hAnsi="Calibri" w:cs="Calibri"/>
                <w:color w:val="000000"/>
                <w:sz w:val="18"/>
                <w:szCs w:val="18"/>
                <w:lang w:eastAsia="pl-PL"/>
              </w:rPr>
              <w:br/>
              <w:t>RWHM_03.01: Rozpoznanie zasadności realizacji działań naprawczych dla obszarów chronionych w zakresie utrzymania naturalnego charakteru koryta,</w:t>
            </w:r>
            <w:r w:rsidRPr="005E78BB">
              <w:rPr>
                <w:rFonts w:ascii="Calibri" w:eastAsia="Times New Roman" w:hAnsi="Calibri" w:cs="Calibri"/>
                <w:color w:val="000000"/>
                <w:sz w:val="18"/>
                <w:szCs w:val="18"/>
                <w:lang w:eastAsia="pl-PL"/>
              </w:rPr>
              <w:br/>
              <w:t>RWC_02.02 Rozpoznanie zasadności realizacji działań naprawczych dla obszarów chronionych w zakresie dopływu zanieczyszczeń.</w:t>
            </w:r>
          </w:p>
        </w:tc>
      </w:tr>
      <w:tr w:rsidR="0085319C" w:rsidRPr="005E78BB" w14:paraId="36033FE1" w14:textId="77777777" w:rsidTr="00E92AE6">
        <w:trPr>
          <w:trHeight w:val="454"/>
        </w:trPr>
        <w:tc>
          <w:tcPr>
            <w:tcW w:w="562" w:type="dxa"/>
            <w:shd w:val="clear" w:color="auto" w:fill="auto"/>
            <w:hideMark/>
          </w:tcPr>
          <w:p w14:paraId="4CD6620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267</w:t>
            </w:r>
          </w:p>
        </w:tc>
        <w:tc>
          <w:tcPr>
            <w:tcW w:w="1021" w:type="dxa"/>
          </w:tcPr>
          <w:p w14:paraId="43ABCD25" w14:textId="3E24F64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Katowicach</w:t>
            </w:r>
          </w:p>
        </w:tc>
        <w:tc>
          <w:tcPr>
            <w:tcW w:w="1630" w:type="dxa"/>
            <w:shd w:val="clear" w:color="auto" w:fill="auto"/>
            <w:hideMark/>
          </w:tcPr>
          <w:p w14:paraId="65DFF0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B1DA4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 RW200015254136: Dopływ spod Raszkowa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Nazwy działań: Realizacja działań naprawczych dla obszarów chronionych w zakresie dopływu zanieczyszczeń /RWC_02.02 oraz Realizacja działań naprawczych dla obszarów chronionych w zakresie realizacji wymogów dla rzek włosienicznikowych / RWHM_04.02, są nieadekwatne do opisu.</w:t>
            </w:r>
            <w:r w:rsidRPr="005E78BB">
              <w:rPr>
                <w:rFonts w:ascii="Calibri" w:eastAsia="Times New Roman" w:hAnsi="Calibri" w:cs="Calibri"/>
                <w:color w:val="000000"/>
                <w:sz w:val="18"/>
                <w:szCs w:val="18"/>
                <w:lang w:eastAsia="pl-PL"/>
              </w:rPr>
              <w:br/>
              <w:t xml:space="preserve">W sytuacji gdy celem tych działań miałoby być jedynie rozpoznanie zasadności a w przypadku jej stwierdzenia wprowadzenie do pzo/po odpowiednich zapisów należy jedynie zmienić nazwę tego działania. Natomiast jeśli celem miałaby być również realizacja działań jako odpowiedzialnych za realizację/sprawozdawczość obok RDOŚ powinni </w:t>
            </w:r>
            <w:r w:rsidRPr="005E78BB">
              <w:rPr>
                <w:rFonts w:ascii="Calibri" w:eastAsia="Times New Roman" w:hAnsi="Calibri" w:cs="Calibri"/>
                <w:color w:val="000000"/>
                <w:sz w:val="18"/>
                <w:szCs w:val="18"/>
                <w:lang w:eastAsia="pl-PL"/>
              </w:rPr>
              <w:lastRenderedPageBreak/>
              <w:t>zostać wpisani zarządcy ze strony Wód Polskich. W działaniach tych dla obszaru Natura 2000 Dolina Górnej Pilicy, wskazano jedynie RDOŚ jako odpowiedzialnych za realizację. Bez porozumienia Wód Polskich i RDOŚ nie jest możliwym wykonanie działań.</w:t>
            </w:r>
            <w:r w:rsidRPr="005E78BB">
              <w:rPr>
                <w:rFonts w:ascii="Calibri" w:eastAsia="Times New Roman" w:hAnsi="Calibri" w:cs="Calibri"/>
                <w:color w:val="000000"/>
                <w:sz w:val="18"/>
                <w:szCs w:val="18"/>
                <w:lang w:eastAsia="pl-PL"/>
              </w:rPr>
              <w:br/>
              <w:t>Ponadto warto podkreślić, że pzo lub po dla obszarów Natura 20000 nie są dokumentami w którym powtarzane są zapisy innych ustaw (np. prace utrzymaniowe z Prawa Wodnego) i nie zastępują procedury w trybie art. 118 ustawy o ochronie przyrody. W dokumentach tych wpisywane są działania niezbędna dla utrzymania lub przywrócenia właściwego stanu ochrony przedmiotów ochrony danego obszaru Natura 2000, które pośrednio są związane z katalogiem dobrych praktyk prac utrzymaniowych, katalogiem KPRWP, celami środowiskowymi. Konsultacje społeczne a wcześniej spotkania członków ZLW są dają możliwość ustalić które działanie w danym obszarze Natura 2000ewentualnie może się wiązać z ww. katalogami, celami środowiskowymi.</w:t>
            </w:r>
          </w:p>
        </w:tc>
        <w:tc>
          <w:tcPr>
            <w:tcW w:w="3377" w:type="dxa"/>
            <w:shd w:val="clear" w:color="auto" w:fill="auto"/>
            <w:hideMark/>
          </w:tcPr>
          <w:p w14:paraId="1B4A0A6D" w14:textId="0748C3B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Zmiana nazw działań na Rozpoznanie zasadności realizacji działań naprawczych dla obszarów chronionych w zakresie dopływu zanieczyszczeń /RWC_02.02 oraz Rozpoznanie zasadności realizacji działań naprawczych dla obszarów chronionych w zakresie realizacji wymogów dla rzek włosienicznikowych / RWHM_04.02, i/lub wymienienie również zarządców ze strony Wód Polskich w polu Jednostka odpowiedzialna za realizację wskazana ze szczegółowym odniesieniem do danej </w:t>
            </w:r>
            <w:r w:rsidR="00513278">
              <w:rPr>
                <w:rFonts w:ascii="Calibri" w:eastAsia="Times New Roman" w:hAnsi="Calibri" w:cs="Calibri"/>
                <w:color w:val="000000"/>
                <w:sz w:val="18"/>
                <w:szCs w:val="18"/>
                <w:lang w:eastAsia="pl-PL"/>
              </w:rPr>
              <w:lastRenderedPageBreak/>
              <w:t>JCWP</w:t>
            </w:r>
            <w:r w:rsidRPr="005E78BB">
              <w:rPr>
                <w:rFonts w:ascii="Calibri" w:eastAsia="Times New Roman" w:hAnsi="Calibri" w:cs="Calibri"/>
                <w:color w:val="000000"/>
                <w:sz w:val="18"/>
                <w:szCs w:val="18"/>
                <w:lang w:eastAsia="pl-PL"/>
              </w:rPr>
              <w:t>/ Jednostka odpowiedzialna za sprawozdawczość.</w:t>
            </w:r>
          </w:p>
        </w:tc>
        <w:tc>
          <w:tcPr>
            <w:tcW w:w="3401" w:type="dxa"/>
            <w:shd w:val="clear" w:color="auto" w:fill="auto"/>
            <w:hideMark/>
          </w:tcPr>
          <w:p w14:paraId="027EB92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 xml:space="preserve">W treści uwagi </w:t>
            </w:r>
          </w:p>
        </w:tc>
        <w:tc>
          <w:tcPr>
            <w:tcW w:w="1918" w:type="dxa"/>
            <w:shd w:val="clear" w:color="auto" w:fill="auto"/>
            <w:hideMark/>
          </w:tcPr>
          <w:p w14:paraId="529231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78A9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90168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Wskazane w uwadze działania RWC_02.02 oraz RWHM_04.02 mają na celu, zgodnie z opisem zawartym w zestawie działań, dokonanie rozpoznania zasadności realizacji działań naprawczych dla obszarów chronionych, a w przypadku jej stwierdzenia wprowadzenie do PZO/PO odpowiednich zapisów.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związku z powyższym nie uzupełniano informacji dot. jednostek odpowiedzialnych za realizację/ sprawozdawczość ze strony PGW WP, a jedynie dokonano modyfikacji </w:t>
            </w:r>
            <w:r w:rsidRPr="005E78BB">
              <w:rPr>
                <w:rFonts w:ascii="Calibri" w:eastAsia="Times New Roman" w:hAnsi="Calibri" w:cs="Calibri"/>
                <w:color w:val="000000"/>
                <w:sz w:val="18"/>
                <w:szCs w:val="18"/>
                <w:lang w:eastAsia="pl-PL"/>
              </w:rPr>
              <w:lastRenderedPageBreak/>
              <w:t>nazwy działania zgodnie z sugestią zawartą w uwadze. Obecne nazwy działań:</w:t>
            </w:r>
            <w:r w:rsidRPr="005E78BB">
              <w:rPr>
                <w:rFonts w:ascii="Calibri" w:eastAsia="Times New Roman" w:hAnsi="Calibri" w:cs="Calibri"/>
                <w:color w:val="000000"/>
                <w:sz w:val="18"/>
                <w:szCs w:val="18"/>
                <w:lang w:eastAsia="pl-PL"/>
              </w:rPr>
              <w:br/>
              <w:t>RWHM_04.02 Rozpoznanie zasadności realizacji działań naprawczych dla obszarów chronionych w zakresie realizacji wymogów dla rzek włosienicznikowych</w:t>
            </w:r>
            <w:r w:rsidRPr="005E78BB">
              <w:rPr>
                <w:rFonts w:ascii="Calibri" w:eastAsia="Times New Roman" w:hAnsi="Calibri" w:cs="Calibri"/>
                <w:color w:val="000000"/>
                <w:sz w:val="18"/>
                <w:szCs w:val="18"/>
                <w:lang w:eastAsia="pl-PL"/>
              </w:rPr>
              <w:br/>
              <w:t>RWC_02.02 Rozpoznanie zasadności realizacji działań naprawczych dla obszarów chronionych w zakresie dopływu zanieczyszczeń.</w:t>
            </w:r>
          </w:p>
        </w:tc>
      </w:tr>
      <w:tr w:rsidR="0085319C" w:rsidRPr="005E78BB" w14:paraId="71B1BBEC" w14:textId="77777777" w:rsidTr="00E92AE6">
        <w:trPr>
          <w:trHeight w:val="454"/>
        </w:trPr>
        <w:tc>
          <w:tcPr>
            <w:tcW w:w="562" w:type="dxa"/>
            <w:shd w:val="clear" w:color="auto" w:fill="auto"/>
            <w:hideMark/>
          </w:tcPr>
          <w:p w14:paraId="35B6687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268</w:t>
            </w:r>
          </w:p>
        </w:tc>
        <w:tc>
          <w:tcPr>
            <w:tcW w:w="1021" w:type="dxa"/>
          </w:tcPr>
          <w:p w14:paraId="169126E0" w14:textId="2B09314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Instytut Meteorologii i Gospodarki Wodnej - Państwowy Instytut Badawczy</w:t>
            </w:r>
          </w:p>
        </w:tc>
        <w:tc>
          <w:tcPr>
            <w:tcW w:w="1630" w:type="dxa"/>
            <w:shd w:val="clear" w:color="auto" w:fill="auto"/>
            <w:hideMark/>
          </w:tcPr>
          <w:p w14:paraId="4C0456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D8261A4" w14:textId="689DD4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w:t>
            </w:r>
            <w:r w:rsidRPr="005E78BB">
              <w:rPr>
                <w:rFonts w:ascii="Calibri" w:eastAsia="Times New Roman" w:hAnsi="Calibri" w:cs="Calibri"/>
                <w:color w:val="000000"/>
                <w:sz w:val="18"/>
                <w:szCs w:val="18"/>
                <w:lang w:eastAsia="pl-PL"/>
              </w:rPr>
              <w:br w:type="page"/>
              <w:t xml:space="preserve">RW20000625429: Czarna </w:t>
            </w:r>
            <w:r w:rsidRPr="005E78BB">
              <w:rPr>
                <w:rFonts w:ascii="Calibri" w:eastAsia="Times New Roman" w:hAnsi="Calibri" w:cs="Calibri"/>
                <w:color w:val="000000"/>
                <w:sz w:val="18"/>
                <w:szCs w:val="18"/>
                <w:lang w:eastAsia="pl-PL"/>
              </w:rPr>
              <w:br w:type="page"/>
              <w:t xml:space="preserve">RW2000062543569: Jaworka </w:t>
            </w:r>
            <w:r w:rsidRPr="005E78BB">
              <w:rPr>
                <w:rFonts w:ascii="Calibri" w:eastAsia="Times New Roman" w:hAnsi="Calibri" w:cs="Calibri"/>
                <w:color w:val="000000"/>
                <w:sz w:val="18"/>
                <w:szCs w:val="18"/>
                <w:lang w:eastAsia="pl-PL"/>
              </w:rPr>
              <w:br w:type="page"/>
              <w:t xml:space="preserve">RW2000062544799: Czarna od Plebanki do Barbarki </w:t>
            </w:r>
            <w:r w:rsidRPr="005E78BB">
              <w:rPr>
                <w:rFonts w:ascii="Calibri" w:eastAsia="Times New Roman" w:hAnsi="Calibri" w:cs="Calibri"/>
                <w:color w:val="000000"/>
                <w:sz w:val="18"/>
                <w:szCs w:val="18"/>
                <w:lang w:eastAsia="pl-PL"/>
              </w:rPr>
              <w:br w:type="page"/>
              <w:t xml:space="preserve">RW200010254532: Radońka </w:t>
            </w:r>
            <w:r w:rsidRPr="005E78BB">
              <w:rPr>
                <w:rFonts w:ascii="Calibri" w:eastAsia="Times New Roman" w:hAnsi="Calibri" w:cs="Calibri"/>
                <w:color w:val="000000"/>
                <w:sz w:val="18"/>
                <w:szCs w:val="18"/>
                <w:lang w:eastAsia="pl-PL"/>
              </w:rPr>
              <w:br w:type="page"/>
              <w:t xml:space="preserve">RW200010254534529: Rajska </w:t>
            </w:r>
            <w:r w:rsidRPr="005E78BB">
              <w:rPr>
                <w:rFonts w:ascii="Calibri" w:eastAsia="Times New Roman" w:hAnsi="Calibri" w:cs="Calibri"/>
                <w:color w:val="000000"/>
                <w:sz w:val="18"/>
                <w:szCs w:val="18"/>
                <w:lang w:eastAsia="pl-PL"/>
              </w:rPr>
              <w:br w:type="page"/>
              <w:t xml:space="preserve">RW2000102547529: Dopływ spod Cetnia </w:t>
            </w:r>
            <w:r w:rsidRPr="005E78BB">
              <w:rPr>
                <w:rFonts w:ascii="Calibri" w:eastAsia="Times New Roman" w:hAnsi="Calibri" w:cs="Calibri"/>
                <w:color w:val="000000"/>
                <w:sz w:val="18"/>
                <w:szCs w:val="18"/>
                <w:lang w:eastAsia="pl-PL"/>
              </w:rPr>
              <w:br w:type="page"/>
              <w:t xml:space="preserve">RW200010254912: Dopływ z Głuszyny </w:t>
            </w:r>
            <w:r w:rsidRPr="005E78BB">
              <w:rPr>
                <w:rFonts w:ascii="Calibri" w:eastAsia="Times New Roman" w:hAnsi="Calibri" w:cs="Calibri"/>
                <w:color w:val="000000"/>
                <w:sz w:val="18"/>
                <w:szCs w:val="18"/>
                <w:lang w:eastAsia="pl-PL"/>
              </w:rPr>
              <w:br w:type="page"/>
              <w:t xml:space="preserve">RW200015254136: Dopływ spod Raszkowa </w:t>
            </w:r>
            <w:r w:rsidRPr="005E78BB">
              <w:rPr>
                <w:rFonts w:ascii="Calibri" w:eastAsia="Times New Roman" w:hAnsi="Calibri" w:cs="Calibri"/>
                <w:color w:val="000000"/>
                <w:sz w:val="18"/>
                <w:szCs w:val="18"/>
                <w:lang w:eastAsia="pl-PL"/>
              </w:rPr>
              <w:br w:type="page"/>
              <w:t>RW200015254916: Dopływ z Ulasek Grzmiąckich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Dla działania Rozbudowa sieci monitoringu przepływu w rzekach zagrożonych znaczącym zmniejszeniem przepływów / RWH_03.02 jako jednostka odpowiedzialna za realizację wskazany został IMGW-PIB. W opisie działania zapisano: Rozbudowa sieci monitoringu przepływu w celu prowadzenia obserwacji natężenia przepływu w rzekach zagrożonych znaczącym zmniejszeniem przepływów.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określone jako objęte zmianami hydrologii o wysokim i bardzo wysokim stopniu istotności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zagrożone okresowym lub trwałym zanikiem przepływu. Obserwacje pozwolą na uzależnienie zrzutów ścieków od wielkości przepływu w cieku (szczególnie dla użytkowników korzystających z usług wodnych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określonych jako wrażliwe) co pozwoli na ograniczenie występowania wysokich stężeń zanieczyszczeń oraz ich dużych wahań, które są szczególnie szkodliwe dla środowiska wodnego oraz jego ekosystemu. Wskazana weryfikacja zasadności wprowadzenia ww. działania a także uzgodnienie go ze wskazaną jednostką odpowiedzialną (IMGW-PIB) pod kątem możliwości rozbudowy sieci pomiarowej. </w:t>
            </w:r>
            <w:r w:rsidRPr="005E78BB">
              <w:rPr>
                <w:rFonts w:ascii="Calibri" w:eastAsia="Times New Roman" w:hAnsi="Calibri" w:cs="Calibri"/>
                <w:color w:val="000000"/>
                <w:sz w:val="18"/>
                <w:szCs w:val="18"/>
                <w:lang w:eastAsia="pl-PL"/>
              </w:rPr>
              <w:br w:type="page"/>
              <w:t xml:space="preserve">IMGW-PIB posiada rozbudowaną sieć stacji pomiarowo-obserwacyjnych w całej Polsce, w skład której wchodzi 856 stacji hydrologicznych gdzie wykonywane są między innymi pomiary i obserwacje stanów wody, pomiary natężenia przepływu oraz obserwacje zarastania koryt rzecznych oraz zlodzenia w okresie zimy. </w:t>
            </w:r>
            <w:r w:rsidRPr="005E78BB">
              <w:rPr>
                <w:rFonts w:ascii="Calibri" w:eastAsia="Times New Roman" w:hAnsi="Calibri" w:cs="Calibri"/>
                <w:color w:val="000000"/>
                <w:sz w:val="18"/>
                <w:szCs w:val="18"/>
                <w:lang w:eastAsia="pl-PL"/>
              </w:rPr>
              <w:br w:type="page"/>
              <w:t xml:space="preserve">Obecnie Instytut realizuje Projekt ochrony przeciwpowodziowej w dorzeczu Odry i Wisły (POPDOW) finansowany z funduszy Banku Światowego. W ramach Projektu do obecnie funkcjonującej sieci stacji wodowskazowych PSHM (856 stacji w całej Polsce) dołączonych zostanie około 100 nowych stacji hydrologicznych, a 168 dotychczasowych stacji zostanie zautomatyzowanych. Lokalizacje stacji hydrologicznych uwzględnionych w POPDOW wybrane zostały we współpracy z PGW WP przy założeniu maksymalnego zoptymalizowania lokalizacji punktów pomiarowych PSHM pod względem wypełniania zapisów i postanowień zawartych w Ustawie Prawo Wodne art. 367 pkt.1 oraz zapewnienia osłony hydrologicznej zgodnie z zapotrzebowaniem. Zakończenie ww. Projektu w całej Polsce wg harmonogramu planowane jest na I kwartał 2024 roku. </w:t>
            </w:r>
            <w:r w:rsidRPr="005E78BB">
              <w:rPr>
                <w:rFonts w:ascii="Calibri" w:eastAsia="Times New Roman" w:hAnsi="Calibri" w:cs="Calibri"/>
                <w:color w:val="000000"/>
                <w:sz w:val="18"/>
                <w:szCs w:val="18"/>
                <w:lang w:eastAsia="pl-PL"/>
              </w:rPr>
              <w:br w:type="page"/>
              <w:t xml:space="preserve">W przedstawionej do konsultacji społecznych aktualizacji Projektu Gospodarki Wodnej IMGW-PIB został wskazany jako realizator działań w zakresie działań RWH 03.02 dotyczących stworzenia zintegrowanego systemu monitoringu stanów wód (suszy) w zakresie rozbudowy sieci monitoringu przepływu w rzekach zagrożonych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DE8BD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4C43B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71F11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DF5FC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0D18A41" w14:textId="605199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Uwzględniając wskazane w uwadze uwarunkowania dokonano zmiany działania. Obecne działanie uwzględnione w IIaPGW to: „Przekazanie informacji do PGW WP o braku przepływu lub braku wody w korycie cieku przy przeprowadzeniu badań monitoringowych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strategicznego programu PMŚ”. Jednostka odpowiedzialna za realizację działania: GIOŚ.</w:t>
            </w:r>
          </w:p>
        </w:tc>
      </w:tr>
      <w:tr w:rsidR="0085319C" w:rsidRPr="005E78BB" w14:paraId="63B9269E" w14:textId="77777777" w:rsidTr="00E92AE6">
        <w:trPr>
          <w:trHeight w:val="454"/>
        </w:trPr>
        <w:tc>
          <w:tcPr>
            <w:tcW w:w="562" w:type="dxa"/>
            <w:shd w:val="clear" w:color="auto" w:fill="auto"/>
            <w:hideMark/>
          </w:tcPr>
          <w:p w14:paraId="4A83448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269</w:t>
            </w:r>
          </w:p>
        </w:tc>
        <w:tc>
          <w:tcPr>
            <w:tcW w:w="1021" w:type="dxa"/>
          </w:tcPr>
          <w:p w14:paraId="151E9B1A" w14:textId="1AB433B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Mazowiecki Urząd Wojewódzki w Warszawie</w:t>
            </w:r>
          </w:p>
        </w:tc>
        <w:tc>
          <w:tcPr>
            <w:tcW w:w="1630" w:type="dxa"/>
            <w:shd w:val="clear" w:color="auto" w:fill="auto"/>
            <w:hideMark/>
          </w:tcPr>
          <w:p w14:paraId="1EFDB1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58C8F79" w14:textId="583B24F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RW2000102548749: Dopływ spod Rusinowa,</w:t>
            </w:r>
            <w:r w:rsidRPr="005E78BB">
              <w:rPr>
                <w:rFonts w:ascii="Calibri" w:eastAsia="Times New Roman" w:hAnsi="Calibri" w:cs="Calibri"/>
                <w:color w:val="000000"/>
                <w:sz w:val="18"/>
                <w:szCs w:val="18"/>
                <w:lang w:eastAsia="pl-PL"/>
              </w:rPr>
              <w:br/>
              <w:t>RW200010254878: Dopływ z Ossy,</w:t>
            </w:r>
            <w:r w:rsidRPr="005E78BB">
              <w:rPr>
                <w:rFonts w:ascii="Calibri" w:eastAsia="Times New Roman" w:hAnsi="Calibri" w:cs="Calibri"/>
                <w:color w:val="000000"/>
                <w:sz w:val="18"/>
                <w:szCs w:val="18"/>
                <w:lang w:eastAsia="pl-PL"/>
              </w:rPr>
              <w:br/>
              <w:t>RW200010254889: Dopływ spod Kozieńca,</w:t>
            </w:r>
            <w:r w:rsidRPr="005E78BB">
              <w:rPr>
                <w:rFonts w:ascii="Calibri" w:eastAsia="Times New Roman" w:hAnsi="Calibri" w:cs="Calibri"/>
                <w:color w:val="000000"/>
                <w:sz w:val="18"/>
                <w:szCs w:val="18"/>
                <w:lang w:eastAsia="pl-PL"/>
              </w:rPr>
              <w:br/>
              <w:t>RW2000102549549: Dopływ spod Brzeskiej Woli,</w:t>
            </w:r>
            <w:r w:rsidRPr="005E78BB">
              <w:rPr>
                <w:rFonts w:ascii="Calibri" w:eastAsia="Times New Roman" w:hAnsi="Calibri" w:cs="Calibri"/>
                <w:color w:val="000000"/>
                <w:sz w:val="18"/>
                <w:szCs w:val="18"/>
                <w:lang w:eastAsia="pl-PL"/>
              </w:rPr>
              <w:br/>
              <w:t>RW2000102549729: Struga,</w:t>
            </w:r>
            <w:r w:rsidRPr="005E78BB">
              <w:rPr>
                <w:rFonts w:ascii="Calibri" w:eastAsia="Times New Roman" w:hAnsi="Calibri" w:cs="Calibri"/>
                <w:color w:val="000000"/>
                <w:sz w:val="18"/>
                <w:szCs w:val="18"/>
                <w:lang w:eastAsia="pl-PL"/>
              </w:rPr>
              <w:br/>
              <w:t>RW2000102549789: Dopływ z Gąsek,</w:t>
            </w:r>
            <w:r w:rsidRPr="005E78BB">
              <w:rPr>
                <w:rFonts w:ascii="Calibri" w:eastAsia="Times New Roman" w:hAnsi="Calibri" w:cs="Calibri"/>
                <w:color w:val="000000"/>
                <w:sz w:val="18"/>
                <w:szCs w:val="18"/>
                <w:lang w:eastAsia="pl-PL"/>
              </w:rPr>
              <w:br/>
              <w:t>RW200010254992: Dopływ spod Starej Warki,</w:t>
            </w:r>
            <w:r w:rsidRPr="005E78BB">
              <w:rPr>
                <w:rFonts w:ascii="Calibri" w:eastAsia="Times New Roman" w:hAnsi="Calibri" w:cs="Calibri"/>
                <w:color w:val="000000"/>
                <w:sz w:val="18"/>
                <w:szCs w:val="18"/>
                <w:lang w:eastAsia="pl-PL"/>
              </w:rPr>
              <w:br/>
              <w:t>RW200015254892: Dopływ spod Gilówki,</w:t>
            </w:r>
            <w:r w:rsidRPr="005E78BB">
              <w:rPr>
                <w:rFonts w:ascii="Calibri" w:eastAsia="Times New Roman" w:hAnsi="Calibri" w:cs="Calibri"/>
                <w:color w:val="000000"/>
                <w:sz w:val="18"/>
                <w:szCs w:val="18"/>
                <w:lang w:eastAsia="pl-PL"/>
              </w:rPr>
              <w:br/>
              <w:t>RW2000152549769: Dopływ ze Zwierzyńca.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Dla wskazanych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terenie województwa mazowieckiego nie wskazano aktualnej oceny stanu/potencjału ekologicznego oraz oceny stanu wód. Obowiązek badania i oceny jakości wód powierzchniowych w ramach Państwowego Monitoringu Środowiska wynika z art. 349 ust. ustawy z dnia 20 lipca 2017 r. - Prawo wodne (Dz.U. 2021 poz. 624), gdzie ust. 5 i 6 wskazuje, że właściwy organ Inspekcji Ochrony Środowiska prowadzi obserwacje na potrzeby oceny stanu ekologicznego i potencjału ekologicznego oraz wykonuje badania na potrzeby klasyfikacji stanu chemicznego wód powierzchniowych.</w:t>
            </w:r>
            <w:r w:rsidRPr="005E78BB">
              <w:rPr>
                <w:rFonts w:ascii="Calibri" w:eastAsia="Times New Roman" w:hAnsi="Calibri" w:cs="Calibri"/>
                <w:color w:val="000000"/>
                <w:sz w:val="18"/>
                <w:szCs w:val="18"/>
                <w:lang w:eastAsia="pl-PL"/>
              </w:rPr>
              <w:br/>
              <w:t xml:space="preserve">Ponadto w latach 2010-2012 wskazano oceny stanu wyżej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podstawie podobnych monitorowanych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co zawarte zostało w karcie charakterystyki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platformie Hydroportal (wody.isok.gov.pl). Stan/potencjał ekologiczny powyższych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oceniono wtedy na poniżej dobrego, stan chemiczny oceniono na dobry, a stan (ogólny) oceniono na zły.</w:t>
            </w:r>
            <w:r w:rsidRPr="005E78BB">
              <w:rPr>
                <w:rFonts w:ascii="Calibri" w:eastAsia="Times New Roman" w:hAnsi="Calibri" w:cs="Calibri"/>
                <w:color w:val="000000"/>
                <w:sz w:val="18"/>
                <w:szCs w:val="18"/>
                <w:lang w:eastAsia="pl-PL"/>
              </w:rPr>
              <w:br/>
              <w:t>Na podstawie § 3 Rozporządzenia Ministra Infrastruktury z dnia 13 lipca 2021 r. w sprawie form i sposobu prowadzenia monitoringu jednolitych części wód powierzchniowych i jednolitych części wód podziemnych (Dz.U. 2021 poz. 1576), monitoring jednolitych części wód powierzchniowych prowadzi się w formie badań grup wskaźników lub poszczególnych wskaźników jakości wód na potrzeby klasyfikacji stanu ekologicznego i chemicznego jednolitych części wód powierzchniowych i trendów jego zmian.</w:t>
            </w:r>
            <w:r w:rsidRPr="005E78BB">
              <w:rPr>
                <w:rFonts w:ascii="Calibri" w:eastAsia="Times New Roman" w:hAnsi="Calibri" w:cs="Calibri"/>
                <w:color w:val="000000"/>
                <w:sz w:val="18"/>
                <w:szCs w:val="18"/>
                <w:lang w:eastAsia="pl-PL"/>
              </w:rPr>
              <w:br/>
              <w:t xml:space="preserve">Jednocześnie pragnę zwrócić uwagę, iż utrudnionym zadaniem jest ustanawianie rzetelnych celów środowiskowych i planowanie konkretnych działań dla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mających na celu ograniczenie ich zanieczyszczenia, jeśli nie posiada się kompletnych informacji o ich aktualnym stanie i klasyfikacji. Dlatego też uważam, że zasadne jest przeprowadzenie odpowiednich badań i obserwacji przedmiotowych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p>
        </w:tc>
        <w:tc>
          <w:tcPr>
            <w:tcW w:w="3377" w:type="dxa"/>
            <w:shd w:val="clear" w:color="auto" w:fill="auto"/>
            <w:hideMark/>
          </w:tcPr>
          <w:p w14:paraId="7C68C5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A6E010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492ABD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7AF85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3AA34D1" w14:textId="30BACE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ze szczegółowymi informacjami w zakresie uwarunkowań dotyczących prezentowanych w IIaPGW wyników monitoringu (rozdział 5 IIaPGW) na podstawie oceny stanu 2014-2019 (GIOŚ)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układzie planistycznym obowiązującym dla cyklu planistycznego aPGW (2016–2021) oceny stanu dokonano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na obszarze dorzecza Wisły.</w:t>
            </w:r>
            <w:r w:rsidRPr="005E78BB">
              <w:rPr>
                <w:rFonts w:ascii="Calibri" w:eastAsia="Times New Roman" w:hAnsi="Calibri" w:cs="Calibri"/>
                <w:color w:val="000000"/>
                <w:sz w:val="18"/>
                <w:szCs w:val="18"/>
                <w:lang w:eastAsia="pl-PL"/>
              </w:rPr>
              <w:br/>
              <w:t xml:space="preserve">Z uwagi na dokonane zmiany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prezentowane w IIaPGW dane dotyczące nowego układu jednostek planistycznych, w przypadku wskazywania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bez oceny stanu, interpretowane powinny być, jako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bez oceny stanu przeniesionej na nowy układ planistyczny. W przypadku wskazanych w uwadze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było możliwości przeniesienia oceny stanu ze względu na brak reprezentatywnego punktu pomiarowo-kontrolnego (zgodnie z nowym układem planistycznym).</w:t>
            </w:r>
          </w:p>
        </w:tc>
      </w:tr>
      <w:tr w:rsidR="0085319C" w:rsidRPr="005E78BB" w14:paraId="1A0ED91A" w14:textId="77777777" w:rsidTr="00E92AE6">
        <w:trPr>
          <w:trHeight w:val="454"/>
        </w:trPr>
        <w:tc>
          <w:tcPr>
            <w:tcW w:w="562" w:type="dxa"/>
            <w:shd w:val="clear" w:color="auto" w:fill="auto"/>
            <w:hideMark/>
          </w:tcPr>
          <w:p w14:paraId="510B5C6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270</w:t>
            </w:r>
          </w:p>
        </w:tc>
        <w:tc>
          <w:tcPr>
            <w:tcW w:w="1021" w:type="dxa"/>
          </w:tcPr>
          <w:p w14:paraId="3A776C4F" w14:textId="0E30621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Łódzki Urząd Wojewódzki</w:t>
            </w:r>
          </w:p>
        </w:tc>
        <w:tc>
          <w:tcPr>
            <w:tcW w:w="1630" w:type="dxa"/>
            <w:shd w:val="clear" w:color="auto" w:fill="auto"/>
            <w:hideMark/>
          </w:tcPr>
          <w:p w14:paraId="799338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FE2A142" w14:textId="44DC381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Wśród wskazanych działań uzupełniających przypisanych do poszczególnych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pod nazwą „Realizacja działań wynikających z planów ochrony i planów zadań ochronnych dla obszarów chronionych” w wielu przypadkach jako jednostkę odpowiedzialną za realizację wskazaną ze szczegółowym odniesieniem do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jednostkę odpowiedzialną za sprawozdawczość wskazuje się Łódzki Urząd Wojewódzki. Z uwagi na fakt, że wszystkie te zadanie dotyczą parków krajobrazowych na terenie województwa łódzkiego zasadnym wydaje się jako jednostkę odpowiedzialną za realizację i sprawozdawczość wskazać jednak Samorząd Województwa Łódzkiego (Zespół Parków Krajobrazowych Województwa </w:t>
            </w:r>
            <w:r w:rsidRPr="005E78BB">
              <w:rPr>
                <w:rFonts w:ascii="Calibri" w:eastAsia="Times New Roman" w:hAnsi="Calibri" w:cs="Calibri"/>
                <w:color w:val="000000"/>
                <w:sz w:val="18"/>
                <w:szCs w:val="18"/>
                <w:lang w:eastAsia="pl-PL"/>
              </w:rPr>
              <w:lastRenderedPageBreak/>
              <w:t>Łódzkiego).</w:t>
            </w:r>
            <w:r w:rsidRPr="005E78BB">
              <w:rPr>
                <w:rFonts w:ascii="Calibri" w:eastAsia="Times New Roman" w:hAnsi="Calibri" w:cs="Calibri"/>
                <w:color w:val="000000"/>
                <w:sz w:val="18"/>
                <w:szCs w:val="18"/>
                <w:lang w:eastAsia="pl-PL"/>
              </w:rPr>
              <w:br/>
              <w:t>Istotnie w ustawie z dnia 16 kwietnia 2004 r. o ochronie przyrody według stanu prawnego na dzień 15 listopada 2008 r. (Dz.U. z 2008 r., Nr 201, poz. 1237) utworzenie parku krajobrazowego następowało w drodze rozporządzenia wojewody. Także wojewoda ustanawiał wówczas, w drodze rozporządzenia, plan ochrony dla parku krajobrazowego. Z uwagi na 20-letni okres obowiązywania planów ochronnych dla części parków krajobrazowych wciąż obowiązują plany ustanawiane przez wojewodę. Niemniej w obecnym porządku prawnym utworzenie oraz nadanie statutu parku krajobrazowego następuje w drodze uchwały sejmiku województwa. Zgodnie z § 2 statutu Zespołu Parków Krajobrazowych Województwa Łódzkiego stanowiącego Załącznik Nr 1 do uchwały Nr XXVIII/545/12 Sejmiku Województwa Łódzkiego z dnia 25 września 2012 r. zespół ten jest jednostką organizacyjną Województwa Łódzkiego, a bezpośredni nadzór nad Zespołem sprawuje Zarząd Województwa Łódzkiego. W zestawie działań w zakresie wskazań ogólnych dotyczących jednostki odpowiedzialnej za realizację ww. działań wymieniony jest „Sprawujący zarząd i sprawujący nadzór nad obszarami chronionymi”. Niewątpliwie w przypadku parków krajobrazowych jest nim Samorząd Województwa Łódzkiego. Zaznaczyć można, że uwaga ta odnosi się także do innych województw.</w:t>
            </w:r>
          </w:p>
        </w:tc>
        <w:tc>
          <w:tcPr>
            <w:tcW w:w="3377" w:type="dxa"/>
            <w:shd w:val="clear" w:color="auto" w:fill="auto"/>
            <w:hideMark/>
          </w:tcPr>
          <w:p w14:paraId="545133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4A41C17F"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57A8FA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88CD7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E2204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zgodnie z wnioskiem. Korekty dokonano również dla pozostałych województw.</w:t>
            </w:r>
          </w:p>
        </w:tc>
      </w:tr>
      <w:tr w:rsidR="0085319C" w:rsidRPr="005E78BB" w14:paraId="443ED0E9" w14:textId="77777777" w:rsidTr="00E92AE6">
        <w:trPr>
          <w:trHeight w:val="454"/>
        </w:trPr>
        <w:tc>
          <w:tcPr>
            <w:tcW w:w="562" w:type="dxa"/>
            <w:shd w:val="clear" w:color="auto" w:fill="auto"/>
            <w:hideMark/>
          </w:tcPr>
          <w:p w14:paraId="46AB887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271</w:t>
            </w:r>
          </w:p>
        </w:tc>
        <w:tc>
          <w:tcPr>
            <w:tcW w:w="1021" w:type="dxa"/>
          </w:tcPr>
          <w:p w14:paraId="45544950" w14:textId="71302D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Gmina Nowe Miasto nad Pilicą</w:t>
            </w:r>
          </w:p>
        </w:tc>
        <w:tc>
          <w:tcPr>
            <w:tcW w:w="1630" w:type="dxa"/>
            <w:shd w:val="clear" w:color="auto" w:fill="auto"/>
            <w:hideMark/>
          </w:tcPr>
          <w:p w14:paraId="7F0784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E71A8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w:t>
            </w:r>
            <w:r w:rsidRPr="005E78BB">
              <w:rPr>
                <w:rFonts w:ascii="Calibri" w:eastAsia="Times New Roman" w:hAnsi="Calibri" w:cs="Calibri"/>
                <w:color w:val="000000"/>
                <w:sz w:val="18"/>
                <w:szCs w:val="18"/>
                <w:lang w:eastAsia="pl-PL"/>
              </w:rPr>
              <w:br w:type="page"/>
              <w:t xml:space="preserve">RW200011254999: Pilica od zb. Sulejów do ujścia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Nazwa działania: Realizacja Krajowego  Programu Oczyszczania Ścieków  Komunalnych/ RWP_01.00 </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budowa  kanalizacji sanitarnej ul. Bielińskiego, Browarna, Piliczna,  Mostowa, Podgórna</w:t>
            </w:r>
            <w:r w:rsidRPr="005E78BB">
              <w:rPr>
                <w:rFonts w:ascii="Calibri" w:eastAsia="Times New Roman" w:hAnsi="Calibri" w:cs="Calibri"/>
                <w:color w:val="000000"/>
                <w:sz w:val="18"/>
                <w:szCs w:val="18"/>
                <w:lang w:eastAsia="pl-PL"/>
              </w:rPr>
              <w:br w:type="page"/>
              <w:t>Wykreślić ul. Mostowa i ul. Podgórna</w:t>
            </w:r>
            <w:r w:rsidRPr="005E78BB">
              <w:rPr>
                <w:rFonts w:ascii="Calibri" w:eastAsia="Times New Roman" w:hAnsi="Calibri" w:cs="Calibri"/>
                <w:color w:val="000000"/>
                <w:sz w:val="18"/>
                <w:szCs w:val="18"/>
                <w:lang w:eastAsia="pl-PL"/>
              </w:rPr>
              <w:br w:type="page"/>
              <w:t>Dodać  budowa kanalizacji sanitarnej  - Osiedle Sady</w:t>
            </w:r>
            <w:r w:rsidRPr="005E78BB">
              <w:rPr>
                <w:rFonts w:ascii="Calibri" w:eastAsia="Times New Roman" w:hAnsi="Calibri" w:cs="Calibri"/>
                <w:color w:val="000000"/>
                <w:sz w:val="18"/>
                <w:szCs w:val="18"/>
                <w:lang w:eastAsia="pl-PL"/>
              </w:rPr>
              <w:br w:type="page"/>
              <w:t>Uzasadnienie:</w:t>
            </w:r>
            <w:r w:rsidRPr="005E78BB">
              <w:rPr>
                <w:rFonts w:ascii="Calibri" w:eastAsia="Times New Roman" w:hAnsi="Calibri" w:cs="Calibri"/>
                <w:color w:val="000000"/>
                <w:sz w:val="18"/>
                <w:szCs w:val="18"/>
                <w:lang w:eastAsia="pl-PL"/>
              </w:rPr>
              <w:br w:type="page"/>
              <w:t>Wskazane ulice zostały  wyłączone  z obszaru  i granic aglomeracji.</w:t>
            </w:r>
            <w:r w:rsidRPr="005E78BB">
              <w:rPr>
                <w:rFonts w:ascii="Calibri" w:eastAsia="Times New Roman" w:hAnsi="Calibri" w:cs="Calibri"/>
                <w:color w:val="000000"/>
                <w:sz w:val="18"/>
                <w:szCs w:val="18"/>
                <w:lang w:eastAsia="pl-PL"/>
              </w:rPr>
              <w:br w:type="page"/>
              <w:t>Planowana  do budowy  kanalizacja sanitarna – Osiedle Sady jako zadania wskazane w IV akpośk.</w:t>
            </w:r>
            <w:r w:rsidRPr="005E78BB">
              <w:rPr>
                <w:rFonts w:ascii="Calibri" w:eastAsia="Times New Roman" w:hAnsi="Calibri" w:cs="Calibri"/>
                <w:color w:val="000000"/>
                <w:sz w:val="18"/>
                <w:szCs w:val="18"/>
                <w:lang w:eastAsia="pl-PL"/>
              </w:rPr>
              <w:br w:type="page"/>
              <w:t xml:space="preserve">Uwzględnienie powyższych zmian zapewni spójność pomiędzy dokumentami. </w:t>
            </w:r>
          </w:p>
        </w:tc>
        <w:tc>
          <w:tcPr>
            <w:tcW w:w="3377" w:type="dxa"/>
            <w:shd w:val="clear" w:color="auto" w:fill="auto"/>
            <w:hideMark/>
          </w:tcPr>
          <w:p w14:paraId="496CD1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Budowa kanalizacji sanitarnej ul. Bielińskiego, Browarna, Piliczna</w:t>
            </w:r>
            <w:r w:rsidRPr="005E78BB">
              <w:rPr>
                <w:rFonts w:ascii="Calibri" w:eastAsia="Times New Roman" w:hAnsi="Calibri" w:cs="Calibri"/>
                <w:color w:val="000000"/>
                <w:sz w:val="18"/>
                <w:szCs w:val="18"/>
                <w:lang w:eastAsia="pl-PL"/>
              </w:rPr>
              <w:br w:type="page"/>
              <w:t>Budowa kanalizacji sanitarnej – Osiedle Sady</w:t>
            </w:r>
          </w:p>
        </w:tc>
        <w:tc>
          <w:tcPr>
            <w:tcW w:w="3401" w:type="dxa"/>
            <w:shd w:val="clear" w:color="auto" w:fill="auto"/>
            <w:hideMark/>
          </w:tcPr>
          <w:p w14:paraId="6EA04D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16BB0E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31C5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D6058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zmianę w opisie działania.</w:t>
            </w:r>
          </w:p>
        </w:tc>
      </w:tr>
      <w:tr w:rsidR="0085319C" w:rsidRPr="005E78BB" w14:paraId="79B43288" w14:textId="77777777" w:rsidTr="00E92AE6">
        <w:trPr>
          <w:trHeight w:val="454"/>
        </w:trPr>
        <w:tc>
          <w:tcPr>
            <w:tcW w:w="562" w:type="dxa"/>
            <w:shd w:val="clear" w:color="auto" w:fill="auto"/>
            <w:hideMark/>
          </w:tcPr>
          <w:p w14:paraId="38E1495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272</w:t>
            </w:r>
          </w:p>
        </w:tc>
        <w:tc>
          <w:tcPr>
            <w:tcW w:w="1021" w:type="dxa"/>
          </w:tcPr>
          <w:p w14:paraId="40E6774B" w14:textId="604F62B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Łodzi</w:t>
            </w:r>
          </w:p>
        </w:tc>
        <w:tc>
          <w:tcPr>
            <w:tcW w:w="1630" w:type="dxa"/>
            <w:shd w:val="clear" w:color="auto" w:fill="auto"/>
            <w:hideMark/>
          </w:tcPr>
          <w:p w14:paraId="1FA7CC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35E13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 xml:space="preserve">RW2000062544799: Czarna od Plebanki do Barbarki </w:t>
            </w:r>
            <w:r w:rsidRPr="005E78BB">
              <w:rPr>
                <w:rFonts w:ascii="Calibri" w:eastAsia="Times New Roman" w:hAnsi="Calibri" w:cs="Calibri"/>
                <w:color w:val="000000"/>
                <w:sz w:val="18"/>
                <w:szCs w:val="18"/>
                <w:lang w:eastAsia="pl-PL"/>
              </w:rPr>
              <w:br/>
              <w:t xml:space="preserve">RW200006254459: Czarna od Krasnej do Plebanki </w:t>
            </w:r>
            <w:r w:rsidRPr="005E78BB">
              <w:rPr>
                <w:rFonts w:ascii="Calibri" w:eastAsia="Times New Roman" w:hAnsi="Calibri" w:cs="Calibri"/>
                <w:color w:val="000000"/>
                <w:sz w:val="18"/>
                <w:szCs w:val="18"/>
                <w:lang w:eastAsia="pl-PL"/>
              </w:rPr>
              <w:br/>
              <w:t xml:space="preserve">RW200011254499: Czarna od Barbarki do ujścia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Realizacja działań wynikających z planów ochrony i planów zadań ochronnych dla obszarów chronionych / RWC_02.01</w:t>
            </w:r>
            <w:r w:rsidRPr="005E78BB">
              <w:rPr>
                <w:rFonts w:ascii="Calibri" w:eastAsia="Times New Roman" w:hAnsi="Calibri" w:cs="Calibri"/>
                <w:color w:val="000000"/>
                <w:sz w:val="18"/>
                <w:szCs w:val="18"/>
                <w:lang w:eastAsia="pl-PL"/>
              </w:rPr>
              <w:br/>
              <w:t>1. Opis działania - odmulanie zbiornika [1166 traszka grzebieniasta]. Zbiornik należy pogłębić średnio o około 30 cm. Sukcesywnie po około 1/3 powierzchni rocznie. Wykonywać w okresie pomiędzy 1 sierpnia a 30 września. Obręb Jacentów: 404; 406; 408; 410; 412; 414; 416; 418; 420; 422; 426/1; 428. (Obszar Natura 2000 Dolina Czarnej</w:t>
            </w:r>
            <w:r w:rsidRPr="005E78BB">
              <w:rPr>
                <w:rFonts w:ascii="Calibri" w:eastAsia="Times New Roman" w:hAnsi="Calibri" w:cs="Calibri"/>
                <w:color w:val="000000"/>
                <w:sz w:val="18"/>
                <w:szCs w:val="18"/>
                <w:lang w:eastAsia="pl-PL"/>
              </w:rPr>
              <w:br/>
              <w:t>Wg pzo dla obszaru N2000 Dolina Czarnej PLH260015 zbiornik znajduje się w gminie Radoszyce, woj. świętokrzyskie – wykreślić jednostkę odpowiedzialność za sprawozdawczość RDOŚ Łódź i RDOŚ Warszawa, a pozostawić RDOŚ Kielce.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2. Opis działania - zachowanie siedliska przyrodniczego stanowiącego przedmiot ochrony [3260]. Powadzenie prac w sposób uwzględniający charakter siedliska. Przeciwdziałanie utracie ciągłości roślinności w siedlisku. (Obszar Natura 2000 Dolina Czarnej)</w:t>
            </w:r>
            <w:r w:rsidRPr="005E78BB">
              <w:rPr>
                <w:rFonts w:ascii="Calibri" w:eastAsia="Times New Roman" w:hAnsi="Calibri" w:cs="Calibri"/>
                <w:color w:val="000000"/>
                <w:sz w:val="18"/>
                <w:szCs w:val="18"/>
                <w:lang w:eastAsia="pl-PL"/>
              </w:rPr>
              <w:br/>
              <w:t>Jest „Jednostka odpowiedzialna za sprawozdawczość RDOŚ Poznań”. RDOŚ w Poznaniu nie jest organem sprawującym nadzór na obszarem Natura 2000 Dolina Czarnej PLH260015. Obszar ten znajduje się na terenie województwa świętokrzyskiego, łódzkiego i mazowieckiego.</w:t>
            </w:r>
          </w:p>
        </w:tc>
        <w:tc>
          <w:tcPr>
            <w:tcW w:w="3377" w:type="dxa"/>
            <w:shd w:val="clear" w:color="auto" w:fill="auto"/>
            <w:hideMark/>
          </w:tcPr>
          <w:p w14:paraId="4B2AD1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44C54AB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5FD131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75EBA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813C6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 faktem, iż jednostką planistyczną działań implementowanych z planów ochrony i planów zadań ochronnych są formy ochrony przyrody, a jednostki odpowiedzialne za realizację działań wymienione są w akcie prawnym je ustanawiającym, w IIaPGW nie stosowano wybiórczego stosowania jednostek, ani ze względu na lokalizację, ani ze względu na charakter działania (niekóre działania implementowano tylko w zakresie dot. zagadnień związanych z wodami). Wynika to również z faktu, iż realizacja większości działań wymaga porozumienia miedzy poszczególnymi jednostkami w zakresie parametrów realizacji działań. W związku z powyższym usuwanie jednostek ze względu na lokalizację nie jest zasadne.</w:t>
            </w:r>
          </w:p>
        </w:tc>
      </w:tr>
      <w:tr w:rsidR="0085319C" w:rsidRPr="005E78BB" w14:paraId="782AD1CB" w14:textId="77777777" w:rsidTr="00E92AE6">
        <w:trPr>
          <w:trHeight w:val="454"/>
        </w:trPr>
        <w:tc>
          <w:tcPr>
            <w:tcW w:w="562" w:type="dxa"/>
            <w:shd w:val="clear" w:color="auto" w:fill="auto"/>
            <w:hideMark/>
          </w:tcPr>
          <w:p w14:paraId="1103978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273</w:t>
            </w:r>
          </w:p>
        </w:tc>
        <w:tc>
          <w:tcPr>
            <w:tcW w:w="1021" w:type="dxa"/>
          </w:tcPr>
          <w:p w14:paraId="6731A862" w14:textId="608AFC3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Łodzi</w:t>
            </w:r>
          </w:p>
        </w:tc>
        <w:tc>
          <w:tcPr>
            <w:tcW w:w="1630" w:type="dxa"/>
            <w:shd w:val="clear" w:color="auto" w:fill="auto"/>
            <w:hideMark/>
          </w:tcPr>
          <w:p w14:paraId="02D4DA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AD779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 xml:space="preserve">RW20000625453417: Luciąża do zb. Cieszanowice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Realizacja działań naprawczych dla obszarów chronionych zależnych od hydromorfologii (wg celów środowiskowych: wymogów rzek włosienicznikowych, wylewy Q50) /RWHM_01.03</w:t>
            </w:r>
            <w:r w:rsidRPr="005E78BB">
              <w:rPr>
                <w:rFonts w:ascii="Calibri" w:eastAsia="Times New Roman" w:hAnsi="Calibri" w:cs="Calibri"/>
                <w:color w:val="000000"/>
                <w:sz w:val="18"/>
                <w:szCs w:val="18"/>
                <w:lang w:eastAsia="pl-PL"/>
              </w:rPr>
              <w:br/>
              <w:t>Realizacja działań naprawczych dla obszarów chronionych w zakresie realizacji wymogów dla rzek włosienicznikowych / RWHM_04.02</w:t>
            </w:r>
            <w:r w:rsidRPr="005E78BB">
              <w:rPr>
                <w:rFonts w:ascii="Calibri" w:eastAsia="Times New Roman" w:hAnsi="Calibri" w:cs="Calibri"/>
                <w:color w:val="000000"/>
                <w:sz w:val="18"/>
                <w:szCs w:val="18"/>
                <w:lang w:eastAsia="pl-PL"/>
              </w:rPr>
              <w:br/>
              <w:t>Przy tych działaniach wpisano RDOŚ Gorzów Wielkopolski.</w:t>
            </w:r>
            <w:r w:rsidRPr="005E78BB">
              <w:rPr>
                <w:rFonts w:ascii="Calibri" w:eastAsia="Times New Roman" w:hAnsi="Calibri" w:cs="Calibri"/>
                <w:color w:val="000000"/>
                <w:sz w:val="18"/>
                <w:szCs w:val="18"/>
                <w:lang w:eastAsia="pl-PL"/>
              </w:rPr>
              <w:br/>
              <w:t>Obszar Natura 2000 Łąka w Bęczkowicach PLH100004 w całości znajduje się w województwie łódzkim. Organem sprawującym nadzór nad tym obszarem jest Regionalny Dyrektor Ochrony Środowiska w Łodzi.</w:t>
            </w:r>
            <w:r w:rsidRPr="005E78BB">
              <w:rPr>
                <w:rFonts w:ascii="Calibri" w:eastAsia="Times New Roman" w:hAnsi="Calibri" w:cs="Calibri"/>
                <w:color w:val="000000"/>
                <w:sz w:val="18"/>
                <w:szCs w:val="18"/>
                <w:lang w:eastAsia="pl-PL"/>
              </w:rPr>
              <w:br/>
              <w:t>Jednocześnie informuję, że wg obowiązującego standardowego formularza danych (SDF) w obszarze Natura 2000 Łąka w Bęczkowicach nie ma siedliska przyrodniczego 3260 Nizinne i podgórskie rzeki ze zbiorowiskami włosieniczników (Ranunculion fluitantis).</w:t>
            </w:r>
          </w:p>
        </w:tc>
        <w:tc>
          <w:tcPr>
            <w:tcW w:w="3377" w:type="dxa"/>
            <w:shd w:val="clear" w:color="auto" w:fill="auto"/>
            <w:hideMark/>
          </w:tcPr>
          <w:p w14:paraId="776371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CF8184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14C8C1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AC68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53047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jednostki odpowiedzialne za realizację i sprawozdawczość.</w:t>
            </w:r>
            <w:r w:rsidRPr="005E78BB">
              <w:rPr>
                <w:rFonts w:ascii="Calibri" w:eastAsia="Times New Roman" w:hAnsi="Calibri" w:cs="Calibri"/>
                <w:color w:val="000000"/>
                <w:sz w:val="18"/>
                <w:szCs w:val="18"/>
                <w:lang w:eastAsia="pl-PL"/>
              </w:rPr>
              <w:br/>
              <w:t>Określenie celów oraz działań, jakie zostały zaprojektowane dla "rzek włosienicznikowych" miało za zadanie umieszczenie ich w kontekście hydromorfologicznym. Określenie to nie jest w tym przypadku równoznaczne z wyszczególnieniem siedlisk 3260 w SDF, ani z występowaniem tego siedliska przyrodniczego w ogóle. Druga, integralna część działania, czyli "wylewy Q50" określają natomiast występowanie przepływów pozakorytowych, będącym istotnym czynnkiem występowania i rozwoju szeregu siedlisk przyrodniczych, takich jak lasy łęgowe (91F0, 91E0), czy ziołorośla nadrzeczne (6430).</w:t>
            </w:r>
          </w:p>
        </w:tc>
      </w:tr>
      <w:tr w:rsidR="0085319C" w:rsidRPr="005E78BB" w14:paraId="4E686F8A" w14:textId="77777777" w:rsidTr="00E92AE6">
        <w:trPr>
          <w:trHeight w:val="454"/>
        </w:trPr>
        <w:tc>
          <w:tcPr>
            <w:tcW w:w="562" w:type="dxa"/>
            <w:shd w:val="clear" w:color="auto" w:fill="auto"/>
            <w:hideMark/>
          </w:tcPr>
          <w:p w14:paraId="1DBF4DA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274</w:t>
            </w:r>
          </w:p>
        </w:tc>
        <w:tc>
          <w:tcPr>
            <w:tcW w:w="1021" w:type="dxa"/>
          </w:tcPr>
          <w:p w14:paraId="126DC2BC" w14:textId="4EF9CB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Łodzi</w:t>
            </w:r>
          </w:p>
        </w:tc>
        <w:tc>
          <w:tcPr>
            <w:tcW w:w="1630" w:type="dxa"/>
            <w:shd w:val="clear" w:color="auto" w:fill="auto"/>
            <w:hideMark/>
          </w:tcPr>
          <w:p w14:paraId="068155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AAD81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 xml:space="preserve">RW20000625453429: Prudka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Realizacja działań naprawczych dla obszarów chronionych zależnych od hydromorfologii (wg celów środowiskowych: wymogów rzek włosienicznikowych, wylewy Q50) /RWHM_01.03</w:t>
            </w:r>
            <w:r w:rsidRPr="005E78BB">
              <w:rPr>
                <w:rFonts w:ascii="Calibri" w:eastAsia="Times New Roman" w:hAnsi="Calibri" w:cs="Calibri"/>
                <w:color w:val="000000"/>
                <w:sz w:val="18"/>
                <w:szCs w:val="18"/>
                <w:lang w:eastAsia="pl-PL"/>
              </w:rPr>
              <w:br/>
              <w:t>Opis działania - rozpoznanie zasadności, a w przypadku jej stwierdzenia wprowadzenie w PZO/PO działań ograniczających negatywny wpływ obiektów piętrzących na cele środowiskowe wynikające z wymagań dla obszarów chronionych w zakresie dobrego stanu hydromorfologii (wg celów środowiskowych: wymogów rzek włosienicznikowych, wylewy Q50). (Obszar Natura 2000 Lasy Gorzkowickie).</w:t>
            </w:r>
            <w:r w:rsidRPr="005E78BB">
              <w:rPr>
                <w:rFonts w:ascii="Calibri" w:eastAsia="Times New Roman" w:hAnsi="Calibri" w:cs="Calibri"/>
                <w:color w:val="000000"/>
                <w:sz w:val="18"/>
                <w:szCs w:val="18"/>
                <w:lang w:eastAsia="pl-PL"/>
              </w:rPr>
              <w:br/>
              <w:t>Informuję, że wg obowiązującego standardowego formularza danych (SDF) w obszarze Natura 2000 Lasy Gorzkowickie PLH100020 nie ma siedliska przyrodniczego 3260 Nizinne i podgórskie rzeki ze zbiorowiskami włosieniczników (Ranunculion fluitantis).</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Realizacja działań naprawczych dla obszarów chronionych w zakresie utrzymania naturalnego charakteru koryta / RWHM_03.01</w:t>
            </w:r>
            <w:r w:rsidRPr="005E78BB">
              <w:rPr>
                <w:rFonts w:ascii="Calibri" w:eastAsia="Times New Roman" w:hAnsi="Calibri" w:cs="Calibri"/>
                <w:color w:val="000000"/>
                <w:sz w:val="18"/>
                <w:szCs w:val="18"/>
                <w:lang w:eastAsia="pl-PL"/>
              </w:rPr>
              <w:br/>
              <w:t>Opis działania -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(Obszar Natura 2000 Lasy Gorzkowickie)</w:t>
            </w:r>
            <w:r w:rsidRPr="005E78BB">
              <w:rPr>
                <w:rFonts w:ascii="Calibri" w:eastAsia="Times New Roman" w:hAnsi="Calibri" w:cs="Calibri"/>
                <w:color w:val="000000"/>
                <w:sz w:val="18"/>
                <w:szCs w:val="18"/>
                <w:lang w:eastAsia="pl-PL"/>
              </w:rPr>
              <w:br/>
              <w:t xml:space="preserve">Obszar Natura 2000 Lasy Gorzkowickie PLH100020 w całości znajduje się na terenie woj. łódzkiego, a organem sprawującym nad nim nadzór jest Regionalny Dyrektor Ochrony Środowiska w Łodzi. Należy usunąć zapis RDOŚ Warszawa. </w:t>
            </w:r>
          </w:p>
        </w:tc>
        <w:tc>
          <w:tcPr>
            <w:tcW w:w="3377" w:type="dxa"/>
            <w:shd w:val="clear" w:color="auto" w:fill="auto"/>
            <w:hideMark/>
          </w:tcPr>
          <w:p w14:paraId="5D56A9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60AC4B18"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4CC9D0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55676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11E31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zwrócić uwagę na drugą, integralną część działania, czyli "wylewy Q50", które określają występowanie przepływów pozakorytowych, będących istotnych w kontekście szeregu przedmiotów ochrony, takich jak np. lasy łęgowe (91E0), które są wymienione w sdf obszaru Natura 2000 Lasy Gorzkowickie PLH100020.</w:t>
            </w:r>
            <w:r w:rsidRPr="005E78BB">
              <w:rPr>
                <w:rFonts w:ascii="Calibri" w:eastAsia="Times New Roman" w:hAnsi="Calibri" w:cs="Calibri"/>
                <w:color w:val="000000"/>
                <w:sz w:val="18"/>
                <w:szCs w:val="18"/>
                <w:lang w:eastAsia="pl-PL"/>
              </w:rPr>
              <w:br/>
              <w:t>Określenie celów oraz działań, jakie zostały zaprojektowane dla "rzek włosienicznikowych" miało za zadanie umieszczenie ich także w kontekście hydromorfologicznym. Określenie to nie jest w tym przypadku równoznaczne z wyszczególnieniem siedlisk 3260 w SDF.</w:t>
            </w:r>
          </w:p>
        </w:tc>
      </w:tr>
      <w:tr w:rsidR="0085319C" w:rsidRPr="005E78BB" w14:paraId="54481AD0" w14:textId="77777777" w:rsidTr="00E92AE6">
        <w:trPr>
          <w:trHeight w:val="454"/>
        </w:trPr>
        <w:tc>
          <w:tcPr>
            <w:tcW w:w="562" w:type="dxa"/>
            <w:shd w:val="clear" w:color="auto" w:fill="auto"/>
            <w:hideMark/>
          </w:tcPr>
          <w:p w14:paraId="178BEF9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275</w:t>
            </w:r>
          </w:p>
        </w:tc>
        <w:tc>
          <w:tcPr>
            <w:tcW w:w="1021" w:type="dxa"/>
          </w:tcPr>
          <w:p w14:paraId="47B5DBEA" w14:textId="5FFB169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Ochrony Środowiska w Łodzi</w:t>
            </w:r>
          </w:p>
        </w:tc>
        <w:tc>
          <w:tcPr>
            <w:tcW w:w="1630" w:type="dxa"/>
            <w:shd w:val="clear" w:color="auto" w:fill="auto"/>
            <w:hideMark/>
          </w:tcPr>
          <w:p w14:paraId="45B80F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13032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ype="page"/>
              <w:t>Dotyczy:</w:t>
            </w:r>
            <w:r w:rsidRPr="005E78BB">
              <w:rPr>
                <w:rFonts w:ascii="Calibri" w:eastAsia="Times New Roman" w:hAnsi="Calibri" w:cs="Calibri"/>
                <w:color w:val="000000"/>
                <w:sz w:val="18"/>
                <w:szCs w:val="18"/>
                <w:lang w:eastAsia="pl-PL"/>
              </w:rPr>
              <w:br w:type="page"/>
              <w:t xml:space="preserve">RW2000112545399: Pilica od Zwleczy do zb. Sulejów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Realizacja działań wynikających z planów ochrony i planów zadań ochronnych dla obszarów chronionych / RWC_02.01</w:t>
            </w:r>
            <w:r w:rsidRPr="005E78BB">
              <w:rPr>
                <w:rFonts w:ascii="Calibri" w:eastAsia="Times New Roman" w:hAnsi="Calibri" w:cs="Calibri"/>
                <w:color w:val="000000"/>
                <w:sz w:val="18"/>
                <w:szCs w:val="18"/>
                <w:lang w:eastAsia="pl-PL"/>
              </w:rPr>
              <w:br w:type="page"/>
              <w:t xml:space="preserve">Opis działania - zaniechanie zabudowy mulistych brzegów rzek [3270], ich zasypywania, modyfikacji, zaśmiecania oraz użyźniania - cały okres obowiązywania planu </w:t>
            </w:r>
            <w:r w:rsidRPr="005E78BB">
              <w:rPr>
                <w:rFonts w:ascii="Calibri" w:eastAsia="Times New Roman" w:hAnsi="Calibri" w:cs="Calibri"/>
                <w:color w:val="000000"/>
                <w:sz w:val="18"/>
                <w:szCs w:val="18"/>
                <w:lang w:eastAsia="pl-PL"/>
              </w:rPr>
              <w:lastRenderedPageBreak/>
              <w:t>zadań ochronnych. Wszystkie płaty przedmiotowego siedliska przyrodniczego. (Obszar Natura 2000 Dolina Środkowej Pilicy).</w:t>
            </w:r>
            <w:r w:rsidRPr="005E78BB">
              <w:rPr>
                <w:rFonts w:ascii="Calibri" w:eastAsia="Times New Roman" w:hAnsi="Calibri" w:cs="Calibri"/>
                <w:color w:val="000000"/>
                <w:sz w:val="18"/>
                <w:szCs w:val="18"/>
                <w:lang w:eastAsia="pl-PL"/>
              </w:rPr>
              <w:br w:type="page"/>
              <w:t>Zapis dotyczący tego działania zawarty w załączniku nr 5 Lp. 4 zarządzeniem Regionalnego Dyrektora Ochrony Środowiska w Łodzi z dnia 7 marca 2014 r. w sprawie ustanowienia planu zadań ochronnych dla obszaru Natura 2000 Dolina Środkowej Pilicy PLH100008 (Dz. Urz. Woj. Łódzkiego poz. 1235) został uchylony – zarządzenie Regionalnego Dyrektora Ochrony Środowiska w Łodzi z dnia 19 lutego 2016 r. (Dz. Urz. Woj. Łódzkiego poz. 925).</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dokumencie nie uwzględniono obszaru Natura 2000 Dolina Pilicy PLB140003, dla którego został ustanowiony plan zadań ochronnych zarządzeniem Regionalnego Dyrektora Ochrony Środowiska w Warszawie i Regionalnego Dyrektora Ochrony Środowiska w Łodzi z dnia 31 marca 2014 r. (D. Urz. Woj. Mazowieckiego poz. 3720 i 12076, z 2016 r. poz. 5082 oraz Dz. Urz. Woj. Łódzkiego poz. 1660 i 4775, z 2016 r. poz. 2418), a także rezerwatów przyrody np. „Wolbórka”, „Czarna Rózga”, „Spała”.</w:t>
            </w:r>
          </w:p>
        </w:tc>
        <w:tc>
          <w:tcPr>
            <w:tcW w:w="3377" w:type="dxa"/>
            <w:shd w:val="clear" w:color="auto" w:fill="auto"/>
            <w:hideMark/>
          </w:tcPr>
          <w:p w14:paraId="71039D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w:t>
            </w:r>
          </w:p>
        </w:tc>
        <w:tc>
          <w:tcPr>
            <w:tcW w:w="3401" w:type="dxa"/>
            <w:shd w:val="clear" w:color="auto" w:fill="auto"/>
            <w:hideMark/>
          </w:tcPr>
          <w:p w14:paraId="32BC68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010D25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0559C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F63D752" w14:textId="7258ADB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Skorygowano informacje w kolumnie "Nazwa dokumentu/planu/programu z jakiego działanie pochodzi lub określenie innego źródła" dla obszaru Natura 2000 Dolina Środkowej Pilicy PLH100008. Dokonano analizy planu zadań ochronnych Dolina Pilicy </w:t>
            </w:r>
            <w:r w:rsidRPr="005E78BB">
              <w:rPr>
                <w:rFonts w:ascii="Calibri" w:eastAsia="Times New Roman" w:hAnsi="Calibri" w:cs="Calibri"/>
                <w:color w:val="000000"/>
                <w:sz w:val="18"/>
                <w:szCs w:val="18"/>
                <w:lang w:eastAsia="pl-PL"/>
              </w:rPr>
              <w:lastRenderedPageBreak/>
              <w:t xml:space="preserve">PLB140003 oraz rezerwatów przyrody „Wolbórka”, „Czarna Rózga”, „Spała”. Dodano działania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w:t>
            </w:r>
          </w:p>
        </w:tc>
      </w:tr>
      <w:tr w:rsidR="0085319C" w:rsidRPr="005E78BB" w14:paraId="724BCFBF" w14:textId="77777777" w:rsidTr="00E92AE6">
        <w:trPr>
          <w:trHeight w:val="454"/>
        </w:trPr>
        <w:tc>
          <w:tcPr>
            <w:tcW w:w="562" w:type="dxa"/>
            <w:shd w:val="clear" w:color="auto" w:fill="auto"/>
            <w:hideMark/>
          </w:tcPr>
          <w:p w14:paraId="6D3975F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276</w:t>
            </w:r>
          </w:p>
        </w:tc>
        <w:tc>
          <w:tcPr>
            <w:tcW w:w="1021" w:type="dxa"/>
          </w:tcPr>
          <w:p w14:paraId="0C311DDF" w14:textId="3E9E38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Zespół Parków Krajobrazowych Województwa Łódzkiego</w:t>
            </w:r>
          </w:p>
        </w:tc>
        <w:tc>
          <w:tcPr>
            <w:tcW w:w="1630" w:type="dxa"/>
            <w:shd w:val="clear" w:color="auto" w:fill="auto"/>
            <w:hideMark/>
          </w:tcPr>
          <w:p w14:paraId="6EB97B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CD2F4A1" w14:textId="652451A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zgłoszona za pośrednictwem  Europejskiego Regionalnego Centrum Ekohydrologii PAN</w:t>
            </w:r>
            <w:r w:rsidRPr="005E78BB">
              <w:rPr>
                <w:rFonts w:ascii="Calibri" w:eastAsia="Times New Roman" w:hAnsi="Calibri" w:cs="Calibri"/>
                <w:color w:val="000000"/>
                <w:sz w:val="18"/>
                <w:szCs w:val="18"/>
                <w:lang w:eastAsia="pl-PL"/>
              </w:rPr>
              <w:br/>
              <w:t>Dotyczy:</w:t>
            </w:r>
            <w:r w:rsidRPr="005E78BB">
              <w:rPr>
                <w:rFonts w:ascii="Calibri" w:eastAsia="Times New Roman" w:hAnsi="Calibri" w:cs="Calibri"/>
                <w:color w:val="000000"/>
                <w:sz w:val="18"/>
                <w:szCs w:val="18"/>
                <w:lang w:eastAsia="pl-PL"/>
              </w:rPr>
              <w:br/>
              <w:t xml:space="preserve">RW2000112545399: Pilica od Zwleczy do zb. Sulejów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1.Dokument jest niezwykle obszerny, a co za tym idzie trudny do analizy. Z tego powodu część zapisów może zostać niezauważona przez jednostki, które zostały (często błędnie) w nim wskazane do realizacji zadań. Dokumenty powinny zostać poddane konsultacjom dla poszczególnych zlewni np.: zlewnia Pilicy.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2. Pominięto w dokumencie część rzek należących do danych zlewni lub dodano cieki nie będące w zlewniach (szczegóły w załączonych ankietach).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3. Poddając analizie szczegółowe zapisy w tabeli „Konsultacje społeczne II aktualizacji planów gospodarowania wodami na obszarach dorzeczy” (Uwagi do aktualizacji Planu gospodarowania wodami w dorzeczu Wisły (IIaPGW) Zestaw działań _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RW_ver06 na podstawie tabeli exel.) konieczne są poniższe zmiany/poprawki: </w:t>
            </w:r>
            <w:r w:rsidRPr="005E78BB">
              <w:rPr>
                <w:rFonts w:ascii="Calibri" w:eastAsia="Times New Roman" w:hAnsi="Calibri" w:cs="Calibri"/>
                <w:color w:val="000000"/>
                <w:sz w:val="18"/>
                <w:szCs w:val="18"/>
                <w:lang w:eastAsia="pl-PL"/>
              </w:rPr>
              <w:br/>
              <w:t xml:space="preserve">- W dokumencie w niektórych miejscach podano błędne informacje na temat występujących na danym terenie zbiorowisk leśnych, np.: Lp 3919 Rakówka, Lp 3927 Strawa  - Poprawa warunków dla obszarów chronionych, Działania wynikające z planów ochrony/planów zadań ochronnych ustanowionych dla obszarów przeznaczonych do ochrony siedlisk lub gatunków, dla których utrzymanie lub poprawa stanu wód jest ważnym czynnikiem w ich ochronie. Opis działania Zachowanie przykorytowych lasów łęgowych. (Sulejowski Park Krajobrazowy) </w:t>
            </w:r>
            <w:r w:rsidRPr="005E78BB">
              <w:rPr>
                <w:rFonts w:ascii="Calibri" w:eastAsia="Times New Roman" w:hAnsi="Calibri" w:cs="Calibri"/>
                <w:color w:val="000000"/>
                <w:sz w:val="18"/>
                <w:szCs w:val="18"/>
                <w:lang w:eastAsia="pl-PL"/>
              </w:rPr>
              <w:br/>
              <w:t>Uwaga: Rzeki Rakówka,  Strawa  znajdują się poza Sulejowskim Parkiem Krajobrazowym, nie mają planów ochrony, na Strawie nie występują przykorytowe lasy łęgowe.</w:t>
            </w:r>
            <w:r w:rsidRPr="005E78BB">
              <w:rPr>
                <w:rFonts w:ascii="Calibri" w:eastAsia="Times New Roman" w:hAnsi="Calibri" w:cs="Calibri"/>
                <w:color w:val="000000"/>
                <w:sz w:val="18"/>
                <w:szCs w:val="18"/>
                <w:lang w:eastAsia="pl-PL"/>
              </w:rPr>
              <w:br/>
              <w:t>- Lp 6994 Pilica od Zwleczy do zb. Sulejów. Poprawa warunków dla obszarów chronionych. Realizacja działań wynikających z planów ochrony i planów zadań ochronnych dla obszarów chronionych,  Ochrona zasobów hydrogeologicznych, poprawa bilansu wodnego. (Sulejowski Park Krajobrazowy) Sprawujący zarząd i sprawujący nadzór nad obszarami chronionymi, w tym PGWWP: RZGW- art. 240 ust.3 pkt 15 i 17 pr.w., zarządy zlewni - art. 240 ust.4 pkt 12; PGL PL - nadleśniczy - art. 35 ust.1 pkt 2a ustawy o lasach. Jednostka odpowiedzialna za realizację Łódzki Urząd Wojewódzki.</w:t>
            </w:r>
            <w:r w:rsidRPr="005E78BB">
              <w:rPr>
                <w:rFonts w:ascii="Calibri" w:eastAsia="Times New Roman" w:hAnsi="Calibri" w:cs="Calibri"/>
                <w:color w:val="000000"/>
                <w:sz w:val="18"/>
                <w:szCs w:val="18"/>
                <w:lang w:eastAsia="pl-PL"/>
              </w:rPr>
              <w:br/>
              <w:t>Uwaga: Lp 6994 Pilica od Zwlecz</w:t>
            </w:r>
          </w:p>
        </w:tc>
        <w:tc>
          <w:tcPr>
            <w:tcW w:w="3377" w:type="dxa"/>
            <w:shd w:val="clear" w:color="auto" w:fill="auto"/>
            <w:hideMark/>
          </w:tcPr>
          <w:p w14:paraId="23FFA8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21FC3C1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6499C9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D4CF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12E24EF" w14:textId="7F1782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Specyfika planów gospodarowania wodami które przygotowywane są dla obszarów dorzeczy, przy jednostce planistycznej jaka stanowi poziom wszystkich analiz tj.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jednoczesnej konieczności uwzględnienia wymaganego zakresu dla IIaPGW, determinuje obszerność dokumentu wynikającą również z poziomu szczegółowości prezentowanych informacji.</w:t>
            </w:r>
            <w:r w:rsidRPr="005E78BB">
              <w:rPr>
                <w:rFonts w:ascii="Calibri" w:eastAsia="Times New Roman" w:hAnsi="Calibri" w:cs="Calibri"/>
                <w:color w:val="000000"/>
                <w:sz w:val="18"/>
                <w:szCs w:val="18"/>
                <w:lang w:eastAsia="pl-PL"/>
              </w:rPr>
              <w:br/>
              <w:t>Tak duży zakres prezentowanych danych możliwy jest do przeanalizowania przez czytelnika wyłącznie w formie zestawień tabelarycznych umożliwiających filtrowanie, sortowanie, przy jednoczesnym opisaniu każdej z kolumn poprzez wartości słownikowe, oraz omówienie prezentowanych zagadnień w części głównej dokumentu.</w:t>
            </w:r>
            <w:r w:rsidRPr="005E78BB">
              <w:rPr>
                <w:rFonts w:ascii="Calibri" w:eastAsia="Times New Roman" w:hAnsi="Calibri" w:cs="Calibri"/>
                <w:color w:val="000000"/>
                <w:sz w:val="18"/>
                <w:szCs w:val="18"/>
                <w:lang w:eastAsia="pl-PL"/>
              </w:rPr>
              <w:br/>
              <w:t xml:space="preserve">Sposób prezentacji oraz prowadzenia konsultacji społecznych dostosowany został do podziału obszarów dorzeczy na poszczególne regiony wodne, co stanowi poziomy analizowane i prezentowane w IIaPGW ponad poziomem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Jednostką planistyczną IIaPGW są jednolite części wód. Proces aktualizacji wykazu jednolitych części wód, w tym ustalania ich granic, stanowił element całego procesu aktualizacji planów gospodarowania wodami. Wykaz jcw stanowi zatem materiały źródłowe dla wypracowania IIaPGW, które podlegały odrębnym konsultacjom społecznym.</w:t>
            </w:r>
            <w:r w:rsidRPr="005E78BB">
              <w:rPr>
                <w:rFonts w:ascii="Calibri" w:eastAsia="Times New Roman" w:hAnsi="Calibri" w:cs="Calibri"/>
                <w:color w:val="000000"/>
                <w:sz w:val="18"/>
                <w:szCs w:val="18"/>
                <w:lang w:eastAsia="pl-PL"/>
              </w:rPr>
              <w:br/>
              <w:t xml:space="preserve">W nawiązaniu do zagadnienia wskazanego w pkt 3 uwagi. Wschodnia część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Rakówka RW200010254534829 oraz północno-zachodnia część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Strawa RW20001025453489 znajduje się w zasięgu Sulejowskiego Parku Narodowego. Przypisanie działania poddano weryfikacji. W związku z faktem, iż w części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Rakówka znajdującej się w obrębie SPK nie ma koryt rzecznych, usunięto działania im dedykowane.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lastRenderedPageBreak/>
              <w:t xml:space="preserve">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Strawa w obrębie SPK znajduje się ciek o nazwie Dopływ spod Nowej Wsi, który przepływa przez tereny leśne, w związku z czym usuwanie działania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Strawa w zakresie zachowania przykorytowych łęgów oraz innych działań związanych z korytem rzecznym nie jest zasadne.</w:t>
            </w:r>
            <w:r w:rsidRPr="005E78BB">
              <w:rPr>
                <w:rFonts w:ascii="Calibri" w:eastAsia="Times New Roman" w:hAnsi="Calibri" w:cs="Calibri"/>
                <w:color w:val="000000"/>
                <w:sz w:val="18"/>
                <w:szCs w:val="18"/>
                <w:lang w:eastAsia="pl-PL"/>
              </w:rPr>
              <w:br/>
              <w:t>Skorygowano jednostki odpowiedzialne za realizację i sprawozdawczość.</w:t>
            </w:r>
          </w:p>
        </w:tc>
      </w:tr>
      <w:tr w:rsidR="0085319C" w:rsidRPr="005E78BB" w14:paraId="7914ED8E" w14:textId="77777777" w:rsidTr="00E92AE6">
        <w:trPr>
          <w:trHeight w:val="454"/>
        </w:trPr>
        <w:tc>
          <w:tcPr>
            <w:tcW w:w="562" w:type="dxa"/>
            <w:shd w:val="clear" w:color="auto" w:fill="auto"/>
            <w:hideMark/>
          </w:tcPr>
          <w:p w14:paraId="616DB3F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277</w:t>
            </w:r>
          </w:p>
        </w:tc>
        <w:tc>
          <w:tcPr>
            <w:tcW w:w="1021" w:type="dxa"/>
          </w:tcPr>
          <w:p w14:paraId="4CB1A80C" w14:textId="56EF64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Europejskie Regionalne Centrum Ekohydrologii  Polskiej Akademii Nauk   ul. Tylna 3, 90-364 Łódź</w:t>
            </w:r>
          </w:p>
        </w:tc>
        <w:tc>
          <w:tcPr>
            <w:tcW w:w="1630" w:type="dxa"/>
            <w:shd w:val="clear" w:color="auto" w:fill="auto"/>
            <w:hideMark/>
          </w:tcPr>
          <w:p w14:paraId="4CB7F2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EE0166" w14:textId="7F612D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RW2000112545399: Pilica od Zwleczy do zb. Sulejów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UWAGA ZGŁOSZONA PRZEZ: Europejskie Regionalne Centrum Ekohydrologii  PAN na podstawie rozmów telefonicznych</w:t>
            </w:r>
            <w:r w:rsidRPr="005E78BB">
              <w:rPr>
                <w:rFonts w:ascii="Calibri" w:eastAsia="Times New Roman" w:hAnsi="Calibri" w:cs="Calibri"/>
                <w:color w:val="000000"/>
                <w:sz w:val="18"/>
                <w:szCs w:val="18"/>
                <w:lang w:eastAsia="pl-PL"/>
              </w:rPr>
              <w:br/>
              <w:t xml:space="preserve">Nazwa działania: Weryfikacja i aktualizacja programu ochrony środowiska pod kątem poprawy efektywności dotyczącej ograniczania dopływu zanieczyszczeń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 xml:space="preserve">Opis działania: Weryfikacja programu ochrony środowiska w celu ograniczenia emisji zanieczyszczeń do wody i powietrza, substancji będących czynnikami stwierdzonej presji chemicznej w wodzie oraz redukcji dopływu substancji priorytetowych ze zlewni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Uwaga: Niejasne sformułowanie zadania dotyczącego weryfikacji planów ochrony środowiska; brak uszczegółowienia czy działanie dotyczy planów wojeódzkich, powiatowych czy gminnych</w:t>
            </w:r>
          </w:p>
        </w:tc>
        <w:tc>
          <w:tcPr>
            <w:tcW w:w="3377" w:type="dxa"/>
            <w:shd w:val="clear" w:color="auto" w:fill="auto"/>
            <w:hideMark/>
          </w:tcPr>
          <w:p w14:paraId="10B887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23198C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13BFCF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08D47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6FED3ED" w14:textId="764E6ED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Poziom realizacji działania, zgodnie z jednostką odpowiedzialną za realizację, wskazaną w katalogu działań, dotyczy organów wykonawczych województwa, powiatu i gminy - właściwych w sprawach programów ochrony środowiska (art. 17 ustawy - Prawo ochrony środowiska).</w:t>
            </w:r>
            <w:r w:rsidRPr="005E78BB">
              <w:rPr>
                <w:rFonts w:ascii="Calibri" w:eastAsia="Times New Roman" w:hAnsi="Calibri" w:cs="Calibri"/>
                <w:color w:val="000000"/>
                <w:sz w:val="18"/>
                <w:szCs w:val="18"/>
                <w:lang w:eastAsia="pl-PL"/>
              </w:rPr>
              <w:br/>
              <w:t xml:space="preserve">Działanie dotyczy programów w obszarze jednostek samorządów na poziomie województwa, powiatu i gminy, dla których stwierdzono występowanie presji chemicznych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Zaproponowano zmianę nazwy i uszczegółowienie opisu działania:</w:t>
            </w:r>
            <w:r w:rsidRPr="005E78BB">
              <w:rPr>
                <w:rFonts w:ascii="Calibri" w:eastAsia="Times New Roman" w:hAnsi="Calibri" w:cs="Calibri"/>
                <w:color w:val="000000"/>
                <w:sz w:val="18"/>
                <w:szCs w:val="18"/>
                <w:lang w:eastAsia="pl-PL"/>
              </w:rPr>
              <w:br/>
              <w:t xml:space="preserve">"Aktualizacja programu ochrony środowiska w celu ograniczenia emisji zanieczyszczeń do wody i powietrza, substancji będących czynnikami stwierdzonej presji chemicznej w wodzie oraz redukcji dopływu substancji priorytetowych ze zlewni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Obejmuje uwzględnienie w opracowywanych i aktualizowanych planach (na wszystkich poziomach JST) zagadnień związanych z identyfikacją zagrożeń i problemów oraz wdrażaniem lokalnych działań mających na celu ograniczenie stwierdzonych presji chemicznych i poprawę stanu wód. Planowanie specyficznych działań na szczeblu samorządowym ma przyczyniać się do osiągnięcia celów zapisanych w krajowych dokumentach strategicznych i programowych".</w:t>
            </w:r>
          </w:p>
        </w:tc>
      </w:tr>
      <w:tr w:rsidR="0085319C" w:rsidRPr="005E78BB" w14:paraId="19441FC1" w14:textId="77777777" w:rsidTr="00E92AE6">
        <w:trPr>
          <w:trHeight w:val="454"/>
        </w:trPr>
        <w:tc>
          <w:tcPr>
            <w:tcW w:w="562" w:type="dxa"/>
            <w:shd w:val="clear" w:color="auto" w:fill="auto"/>
            <w:hideMark/>
          </w:tcPr>
          <w:p w14:paraId="32EA653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278</w:t>
            </w:r>
          </w:p>
        </w:tc>
        <w:tc>
          <w:tcPr>
            <w:tcW w:w="1021" w:type="dxa"/>
          </w:tcPr>
          <w:p w14:paraId="52A7022F" w14:textId="38FF121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Europejskie Regionalne Centrum Ekohydrologii  Polskiej Akademii Nauk   ul. Tylna 3, 90-364 Łódź</w:t>
            </w:r>
          </w:p>
        </w:tc>
        <w:tc>
          <w:tcPr>
            <w:tcW w:w="1630" w:type="dxa"/>
            <w:shd w:val="clear" w:color="auto" w:fill="auto"/>
            <w:hideMark/>
          </w:tcPr>
          <w:p w14:paraId="6C45D4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003F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RW2000112545399: Pilica od Zwleczy do zb. Sulejów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UWAGA ZGŁOSZONA PRZEZ:  Europejskie Regionalne Centrum Ekohydrologii  PAN </w:t>
            </w:r>
            <w:r w:rsidRPr="005E78BB">
              <w:rPr>
                <w:rFonts w:ascii="Calibri" w:eastAsia="Times New Roman" w:hAnsi="Calibri" w:cs="Calibri"/>
                <w:color w:val="000000"/>
                <w:sz w:val="18"/>
                <w:szCs w:val="18"/>
                <w:lang w:eastAsia="pl-PL"/>
              </w:rPr>
              <w:br/>
              <w:t>Nazwa działania: Ograniczenie zanieczyszczenia wód związkami biogennymi pochodzącymi z rolnictwa oraz ograniczenie zanieczyszczenia pestycydami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błąd / literówka w nazwie miejscowości, w której mieści się Łódzki Ośrodek Doradztwa Rolniczego </w:t>
            </w:r>
            <w:r w:rsidRPr="005E78BB">
              <w:rPr>
                <w:rFonts w:ascii="Calibri" w:eastAsia="Times New Roman" w:hAnsi="Calibri" w:cs="Calibri"/>
                <w:color w:val="000000"/>
                <w:sz w:val="18"/>
                <w:szCs w:val="18"/>
                <w:lang w:eastAsia="pl-PL"/>
              </w:rPr>
              <w:br/>
              <w:t>jest:</w:t>
            </w:r>
            <w:r w:rsidRPr="005E78BB">
              <w:rPr>
                <w:rFonts w:ascii="Calibri" w:eastAsia="Times New Roman" w:hAnsi="Calibri" w:cs="Calibri"/>
                <w:color w:val="000000"/>
                <w:sz w:val="18"/>
                <w:szCs w:val="18"/>
                <w:lang w:eastAsia="pl-PL"/>
              </w:rPr>
              <w:br/>
              <w:t>Łódzki ODR w Bartoszewicach</w:t>
            </w:r>
            <w:r w:rsidRPr="005E78BB">
              <w:rPr>
                <w:rFonts w:ascii="Calibri" w:eastAsia="Times New Roman" w:hAnsi="Calibri" w:cs="Calibri"/>
                <w:color w:val="000000"/>
                <w:sz w:val="18"/>
                <w:szCs w:val="18"/>
                <w:lang w:eastAsia="pl-PL"/>
              </w:rPr>
              <w:br/>
              <w:t>Powinno być:</w:t>
            </w:r>
            <w:r w:rsidRPr="005E78BB">
              <w:rPr>
                <w:rFonts w:ascii="Calibri" w:eastAsia="Times New Roman" w:hAnsi="Calibri" w:cs="Calibri"/>
                <w:color w:val="000000"/>
                <w:sz w:val="18"/>
                <w:szCs w:val="18"/>
                <w:lang w:eastAsia="pl-PL"/>
              </w:rPr>
              <w:br/>
              <w:t>Łódzki ODR w Bratoszewicach</w:t>
            </w:r>
          </w:p>
        </w:tc>
        <w:tc>
          <w:tcPr>
            <w:tcW w:w="3377" w:type="dxa"/>
            <w:shd w:val="clear" w:color="auto" w:fill="auto"/>
            <w:hideMark/>
          </w:tcPr>
          <w:p w14:paraId="7A88DC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6F8DE21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3127D4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01B1F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B821A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załącznikach została wprowadzona zmiana zgodnie ze zgłoszoną uwagą.</w:t>
            </w:r>
          </w:p>
        </w:tc>
      </w:tr>
      <w:tr w:rsidR="0085319C" w:rsidRPr="005E78BB" w14:paraId="0EBC30F6" w14:textId="77777777" w:rsidTr="00E92AE6">
        <w:trPr>
          <w:trHeight w:val="454"/>
        </w:trPr>
        <w:tc>
          <w:tcPr>
            <w:tcW w:w="562" w:type="dxa"/>
            <w:shd w:val="clear" w:color="auto" w:fill="auto"/>
            <w:hideMark/>
          </w:tcPr>
          <w:p w14:paraId="6582E85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279</w:t>
            </w:r>
          </w:p>
        </w:tc>
        <w:tc>
          <w:tcPr>
            <w:tcW w:w="1021" w:type="dxa"/>
          </w:tcPr>
          <w:p w14:paraId="164C3821" w14:textId="2C66C9B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Europejskie Regionalne Centrum Ekohydrologii  Polskiej Akademii Nauk   ul. Tylna 3, 90-364 Łódź</w:t>
            </w:r>
          </w:p>
        </w:tc>
        <w:tc>
          <w:tcPr>
            <w:tcW w:w="1630" w:type="dxa"/>
            <w:shd w:val="clear" w:color="auto" w:fill="auto"/>
            <w:hideMark/>
          </w:tcPr>
          <w:p w14:paraId="57B8CA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72AC029" w14:textId="3C3C224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 xml:space="preserve">RW2000112545399: Pilica od Zwleczy do zb. Sulejów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Treść uwagi: </w:t>
            </w:r>
            <w:r w:rsidRPr="005E78BB">
              <w:rPr>
                <w:rFonts w:ascii="Calibri" w:eastAsia="Times New Roman" w:hAnsi="Calibri" w:cs="Calibri"/>
                <w:color w:val="000000"/>
                <w:sz w:val="18"/>
                <w:szCs w:val="18"/>
                <w:lang w:eastAsia="pl-PL"/>
              </w:rPr>
              <w:br w:type="page"/>
              <w:t>UWAGA ZGŁOSZONA PRZEZ: Europejskie Regionalne Centrum Ekohydrologii  PAN w ramach realizacji projektu LIFE PILICA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ramach realizacji projektu LIFE Pilica zostaną opracowane Miejskie Plany Adaptacji do zmian klimatu obejmujące m.in. retencję i zagospodarowanie wód opadowych. MPA zostaną opracowane dla 5 miast ze zlewni Pilicy: Sulejów, Piotrków Trybunalski, Koniecpol, Włoszczowa, Opoczno.</w:t>
            </w:r>
            <w:r w:rsidRPr="005E78BB">
              <w:rPr>
                <w:rFonts w:ascii="Calibri" w:eastAsia="Times New Roman" w:hAnsi="Calibri" w:cs="Calibri"/>
                <w:color w:val="000000"/>
                <w:sz w:val="18"/>
                <w:szCs w:val="18"/>
                <w:lang w:eastAsia="pl-PL"/>
              </w:rPr>
              <w:br w:type="page"/>
              <w:t xml:space="preserve">Wnosimy o uwzględnienie w.w. działań w IIaPGW w ramach działania Opracowanie programu poprawy retencji na terenach zurbanizowanych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Grupa działań: Retencja i zagospodarowanie wód opadowych i roztopowych na terenach zurbanizowanych w odpowiednich </w:t>
            </w:r>
            <w:r w:rsidR="00513278">
              <w:rPr>
                <w:rFonts w:ascii="Calibri" w:eastAsia="Times New Roman" w:hAnsi="Calibri" w:cs="Calibri"/>
                <w:color w:val="000000"/>
                <w:sz w:val="18"/>
                <w:szCs w:val="18"/>
                <w:lang w:eastAsia="pl-PL"/>
              </w:rPr>
              <w:t>JCWP</w:t>
            </w:r>
          </w:p>
        </w:tc>
        <w:tc>
          <w:tcPr>
            <w:tcW w:w="3377" w:type="dxa"/>
            <w:shd w:val="clear" w:color="auto" w:fill="auto"/>
            <w:hideMark/>
          </w:tcPr>
          <w:p w14:paraId="6E1AD4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652BE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F66A4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D33F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64135DE" w14:textId="43EDACC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uwzględniona. Działanie zostaje włączone do zestawu działań.</w:t>
            </w:r>
            <w:r w:rsidRPr="005E78BB">
              <w:rPr>
                <w:rFonts w:ascii="Calibri" w:eastAsia="Times New Roman" w:hAnsi="Calibri" w:cs="Calibri"/>
                <w:color w:val="000000"/>
                <w:sz w:val="18"/>
                <w:szCs w:val="18"/>
                <w:lang w:eastAsia="pl-PL"/>
              </w:rPr>
              <w:br w:type="page"/>
              <w:t xml:space="preserve">Generalnie działanie: Opracowanie programu poprawy retencji na terenach zurbanizowanych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Grupa działań: Retencja i zagospodarowanie wód opadowych i roztopowych na terenach zurbanizowanych w odpowiednich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ma służyć zatrzymaniu wód opadowych i roztopowych na terenie zurbanizowanym w celu ograniczenia dostaw zawiesiny oraz zanieczyszczeń do wód powierzchniowych i poprawę stanu jakościowego wód powierzchniowych oraz poprawę stanu ilościowego wód podziemnych.</w:t>
            </w:r>
          </w:p>
        </w:tc>
      </w:tr>
      <w:tr w:rsidR="0085319C" w:rsidRPr="005E78BB" w14:paraId="2C33334B" w14:textId="77777777" w:rsidTr="00E92AE6">
        <w:trPr>
          <w:trHeight w:val="454"/>
        </w:trPr>
        <w:tc>
          <w:tcPr>
            <w:tcW w:w="562" w:type="dxa"/>
            <w:shd w:val="clear" w:color="auto" w:fill="auto"/>
            <w:hideMark/>
          </w:tcPr>
          <w:p w14:paraId="64AF006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280</w:t>
            </w:r>
          </w:p>
        </w:tc>
        <w:tc>
          <w:tcPr>
            <w:tcW w:w="1021" w:type="dxa"/>
          </w:tcPr>
          <w:p w14:paraId="1F99FFDE" w14:textId="7E5529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Europejskie Regionalne Centrum Ekohydrologii  Polskiej Akademii Nauk   ul. Tylna 3, 90-364 Łódź</w:t>
            </w:r>
          </w:p>
        </w:tc>
        <w:tc>
          <w:tcPr>
            <w:tcW w:w="1630" w:type="dxa"/>
            <w:shd w:val="clear" w:color="auto" w:fill="auto"/>
            <w:hideMark/>
          </w:tcPr>
          <w:p w14:paraId="5A5D33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47F1E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RW2000222545399: Zb. Sulejów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UWAGA ZGŁOSZONA PRZEZ: Europejskie Regionalne Centrum Ekohydrologii  PAN w ramach realizacji projektu LIFE PILICA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ramach realizacji projektu LIFE Pilica zostaną opracowane dokumenty planistyczne i/lub analizy w zakresie rozwiązań dla gospodarki wodno-kanalizacyjnej dla wybranych sołectw położonych w linii brzegowej ZW Sulejów.</w:t>
            </w:r>
            <w:r w:rsidRPr="005E78BB">
              <w:rPr>
                <w:rFonts w:ascii="Calibri" w:eastAsia="Times New Roman" w:hAnsi="Calibri" w:cs="Calibri"/>
                <w:color w:val="000000"/>
                <w:sz w:val="18"/>
                <w:szCs w:val="18"/>
                <w:lang w:eastAsia="pl-PL"/>
              </w:rPr>
              <w:br/>
              <w:t>Wnosimy o uwzględnienie w.w. działań w IIaPGW w ramach działania Analizy techniczno-ekonomiczne gospodarowania ściekami w obszarze gminy poza aglomeracjami / Grupa działań: Gospodarka ściekowa w obszarach niezurbanizowanych</w:t>
            </w:r>
          </w:p>
        </w:tc>
        <w:tc>
          <w:tcPr>
            <w:tcW w:w="3377" w:type="dxa"/>
            <w:shd w:val="clear" w:color="auto" w:fill="auto"/>
            <w:hideMark/>
          </w:tcPr>
          <w:p w14:paraId="5BC5DA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068CB8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treści uwagi </w:t>
            </w:r>
          </w:p>
        </w:tc>
        <w:tc>
          <w:tcPr>
            <w:tcW w:w="1918" w:type="dxa"/>
            <w:shd w:val="clear" w:color="auto" w:fill="auto"/>
            <w:hideMark/>
          </w:tcPr>
          <w:p w14:paraId="5F551C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F2FD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9BB297B" w14:textId="1EC75F4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informacjami wskazanymi przez podmiot zgłaszający uwagę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RW2000222545399: Zb. Sulejów dodano działanie RWr_01.05. Przygotowanie analizy techniczno-ekonomicznej gospodarowania ściekami w obszarze niezurbanizowanym na obszarze sołectw: Tresta/Karolinów (gmina Tomaszów Mazowiecki), Zarzecin (gmina Mniszków), Barkowice (Gmina Sulejow) w celu ograniczenia dopływu zanieczyszczeń komunalnych do wód w zlewni bezpośredniej zbiornika Sulejowskiego - działanie realizowane w ramach projektu LIFE „Wdrażanie Planu gospodarowania wodami w dorzeczu Wisły na przykładzie zlewni Pilicy” jako podmioty odpowiedzialny za realizację wskazano RZGW Warszawa zgodnie z informacją od podmiotu zgłaszającego uwagę. W działaniu uzupełniono także koszty realizacji - ok. 500 tys. oraz harmonogram 2022-23 zgodnie z informacjami od podmiotu zgłaszającego uwagę.</w:t>
            </w:r>
          </w:p>
        </w:tc>
      </w:tr>
      <w:tr w:rsidR="0085319C" w:rsidRPr="005E78BB" w14:paraId="2DD8EE46" w14:textId="77777777" w:rsidTr="00E92AE6">
        <w:trPr>
          <w:trHeight w:val="454"/>
        </w:trPr>
        <w:tc>
          <w:tcPr>
            <w:tcW w:w="562" w:type="dxa"/>
            <w:shd w:val="clear" w:color="auto" w:fill="auto"/>
            <w:hideMark/>
          </w:tcPr>
          <w:p w14:paraId="4343956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281</w:t>
            </w:r>
          </w:p>
        </w:tc>
        <w:tc>
          <w:tcPr>
            <w:tcW w:w="1021" w:type="dxa"/>
          </w:tcPr>
          <w:p w14:paraId="13980012" w14:textId="2426F4C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Natura International Polska</w:t>
            </w:r>
          </w:p>
        </w:tc>
        <w:tc>
          <w:tcPr>
            <w:tcW w:w="1630" w:type="dxa"/>
            <w:shd w:val="clear" w:color="auto" w:fill="auto"/>
            <w:hideMark/>
          </w:tcPr>
          <w:p w14:paraId="7A23EE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F8E2A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załączniki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Załącznik 7.1 – Działanie “Prowadzenie prac utrzymaniowych zgodnie z Katalogiem dobrych praktyk prac utrzymaniowych i robót hydrotechnicznych” należy rozszerzyć o możliwość zaniechania lub ograniczenia realizacji prac utrzymaniowych (m.in. koszenia/usuwania roślinności z dna i skarp, usuwania roślinności pływającej, usuwania krzewów oraz drzew ze skarp i dna cieku, odmulania, usuwania zatorów/tam bobrowych).</w:t>
            </w:r>
          </w:p>
        </w:tc>
        <w:tc>
          <w:tcPr>
            <w:tcW w:w="3377" w:type="dxa"/>
            <w:shd w:val="clear" w:color="auto" w:fill="auto"/>
            <w:hideMark/>
          </w:tcPr>
          <w:p w14:paraId="1C01A1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5AB263B" w14:textId="2126546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Wiele cieków przepływających przez obszary rolnicze albo leśne (szczególnie te o małych spadkach) nie powinny być poddawane pracom utrzymaniowym, lub prace powinny być ograniczone w znacznym stopniu ponieważ maja małe znaczenie w ochronie rolniczych gruntów przyległych przed podtopieniami, a powodują istotne ryzyko nieosiągnięcia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Prace te często mają istotnie niekorzystny wpływ na gatunki (głównie ptaki uzależnione od siedlisk wilgotnych) i siedliska objęte ochroną w ramach obszarów Natura 2000. Modyfikacje oraz zaniechanie prac utrzymaniowych mogą inicjować naturalne procesy renaturyzacyjne na ciekach przekształconych (sztucznie uformowane koryto).</w:t>
            </w:r>
          </w:p>
        </w:tc>
        <w:tc>
          <w:tcPr>
            <w:tcW w:w="1918" w:type="dxa"/>
            <w:shd w:val="clear" w:color="auto" w:fill="auto"/>
            <w:hideMark/>
          </w:tcPr>
          <w:p w14:paraId="11E646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2A94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819F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wskazane w uwadze znajduje się w katalogu działań krajowych:</w:t>
            </w:r>
            <w:r w:rsidRPr="005E78BB">
              <w:rPr>
                <w:rFonts w:ascii="Calibri" w:eastAsia="Times New Roman" w:hAnsi="Calibri" w:cs="Calibri"/>
                <w:color w:val="000000"/>
                <w:sz w:val="18"/>
                <w:szCs w:val="18"/>
                <w:lang w:eastAsia="pl-PL"/>
              </w:rPr>
              <w:br/>
              <w:t>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W odniesieniu do działań związanych z utrzymaniem lub poprawą stanu wód plan ochrony/ plan zadań ochronnych dla obszarów chronionych jest integralną częścią planu gospodarowania wodami na obszarze dorzecza na lata 2022 - 2027.</w:t>
            </w:r>
            <w:r w:rsidRPr="005E78BB">
              <w:rPr>
                <w:rFonts w:ascii="Calibri" w:eastAsia="Times New Roman" w:hAnsi="Calibri" w:cs="Calibri"/>
                <w:color w:val="000000"/>
                <w:sz w:val="18"/>
                <w:szCs w:val="18"/>
                <w:lang w:eastAsia="pl-PL"/>
              </w:rPr>
              <w:br/>
              <w:t xml:space="preserve">Dodatkowo dla obszarów chronionych, które nie mają na stan 2021 r. opracowanych takich dokumentów wpisano działanie umożliwiające włączenie do zestawu działań II aPGW działań wskazanych w PO/PZO : Realizacja działań wynikających z planów ochrony i planów zadań ochronnych dla obszarów chronionych, dla których brak ustanowionego planu ochrony/planu zadań ochronnych na dzień sporządzenia IIaPGW, </w:t>
            </w:r>
            <w:r w:rsidRPr="005E78BB">
              <w:rPr>
                <w:rFonts w:ascii="Calibri" w:eastAsia="Times New Roman" w:hAnsi="Calibri" w:cs="Calibri"/>
                <w:color w:val="000000"/>
                <w:sz w:val="18"/>
                <w:szCs w:val="18"/>
                <w:lang w:eastAsia="pl-PL"/>
              </w:rPr>
              <w:lastRenderedPageBreak/>
              <w:t>ale zostaną ustanowione w czasie jego obowiązywania.</w:t>
            </w:r>
          </w:p>
        </w:tc>
      </w:tr>
      <w:tr w:rsidR="0085319C" w:rsidRPr="005E78BB" w14:paraId="0DC87041" w14:textId="77777777" w:rsidTr="00E92AE6">
        <w:trPr>
          <w:trHeight w:val="454"/>
        </w:trPr>
        <w:tc>
          <w:tcPr>
            <w:tcW w:w="562" w:type="dxa"/>
            <w:shd w:val="clear" w:color="auto" w:fill="auto"/>
            <w:hideMark/>
          </w:tcPr>
          <w:p w14:paraId="7639AF2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lastRenderedPageBreak/>
              <w:t>282</w:t>
            </w:r>
          </w:p>
        </w:tc>
        <w:tc>
          <w:tcPr>
            <w:tcW w:w="1021" w:type="dxa"/>
          </w:tcPr>
          <w:p w14:paraId="54916892" w14:textId="0589ADA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Natura International Polska</w:t>
            </w:r>
          </w:p>
        </w:tc>
        <w:tc>
          <w:tcPr>
            <w:tcW w:w="1630" w:type="dxa"/>
            <w:shd w:val="clear" w:color="auto" w:fill="auto"/>
            <w:hideMark/>
          </w:tcPr>
          <w:p w14:paraId="2AAB61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BB53470" w14:textId="3CB8AC8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załączniki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W KPRWP opracowanym w poprzednim cyklu planistycznym PGW wskazano znaczną ilość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wymagających podjęcia działań renaturyzacyjnych, natomiast II aPGW nie odzwierciedla tych potrzeb.</w:t>
            </w:r>
          </w:p>
        </w:tc>
        <w:tc>
          <w:tcPr>
            <w:tcW w:w="3377" w:type="dxa"/>
            <w:shd w:val="clear" w:color="auto" w:fill="auto"/>
            <w:hideMark/>
          </w:tcPr>
          <w:p w14:paraId="41A974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CEE997F" w14:textId="237422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załączniku 7.3 brak jest konkretnych działań renaturyzacyjnych określonych w KPRWP dla około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 dla pozostałych wdrożono je tyko częściowo. Może to skutkować nieosiągnięciem celów środowiskowych stawianych przez Ramową Dyrektywę Wodną do roku 2027 r.</w:t>
            </w:r>
          </w:p>
        </w:tc>
        <w:tc>
          <w:tcPr>
            <w:tcW w:w="1918" w:type="dxa"/>
            <w:shd w:val="clear" w:color="auto" w:fill="auto"/>
            <w:hideMark/>
          </w:tcPr>
          <w:p w14:paraId="088365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3E8C3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3B33A18" w14:textId="39E0CF0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368897B7" w14:textId="77777777" w:rsidTr="00E92AE6">
        <w:trPr>
          <w:trHeight w:val="454"/>
        </w:trPr>
        <w:tc>
          <w:tcPr>
            <w:tcW w:w="562" w:type="dxa"/>
            <w:shd w:val="clear" w:color="auto" w:fill="auto"/>
            <w:hideMark/>
          </w:tcPr>
          <w:p w14:paraId="5D8736A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283</w:t>
            </w:r>
          </w:p>
        </w:tc>
        <w:tc>
          <w:tcPr>
            <w:tcW w:w="1021" w:type="dxa"/>
          </w:tcPr>
          <w:p w14:paraId="77B973A1" w14:textId="0DD758A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3ABBA3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B7A13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przyjęto założenie, że cele środowiskowe dla JCPW zostały osiągnięte. Niestety, w ocenie Spółki brak jest jednak osiągnięcia celów środowiskowych dla JCPW określonych w Projekcie.</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Uwaga ogólna</w:t>
            </w:r>
          </w:p>
        </w:tc>
        <w:tc>
          <w:tcPr>
            <w:tcW w:w="3377" w:type="dxa"/>
            <w:shd w:val="clear" w:color="auto" w:fill="auto"/>
            <w:hideMark/>
          </w:tcPr>
          <w:p w14:paraId="2548DDBF" w14:textId="7D5AAD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Proponowanym rozwiązaniem byłoby ponowne przeprowadzenie badań pomiarowych w dotychczasowych punktach kontrolnych stosując jednolitą metodologię badań celem dokonania analizy porównawczej z danymi historycznymi i ponowną ocenę dobrostanu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obszarze.</w:t>
            </w:r>
            <w:r w:rsidRPr="005E78BB">
              <w:rPr>
                <w:rFonts w:ascii="Calibri" w:eastAsia="Times New Roman" w:hAnsi="Calibri" w:cs="Calibri"/>
                <w:color w:val="000000"/>
                <w:sz w:val="18"/>
                <w:szCs w:val="18"/>
                <w:lang w:eastAsia="pl-PL"/>
              </w:rPr>
              <w:br w:type="page"/>
              <w:t>Pewnym postulowanym rozwiązaniem mogłoby być wyjście naprzeciw interesom Spółki i innych podmiotów w celu zapewnienia im możliwości kontynuacji działalności gospodarczej poprzez możliwość wystąpienia o stosowne derogacje, co mogłoby zostać osiągnięte poprzez obniżenie celów środowiskowych.</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76FC059" w14:textId="4998C84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okresie czerwiec-sierpień 2021 w Polsce, zwłaszcza w rejonie punktu pomiarowego Łęgnowo (769,1 km) występowały obfite opady deszczu (dane analizowane na podstawie opracowań Instytutu Meteorologii i Gospodarki Wodnej Państwowego Instytutu Badawczego w Warszawie), które przyczyniły się do wzrostu poziomu wód w Wiśle. </w:t>
            </w:r>
            <w:r w:rsidRPr="005E78BB">
              <w:rPr>
                <w:rFonts w:ascii="Calibri" w:eastAsia="Times New Roman" w:hAnsi="Calibri" w:cs="Calibri"/>
                <w:color w:val="000000"/>
                <w:sz w:val="18"/>
                <w:szCs w:val="18"/>
                <w:lang w:eastAsia="pl-PL"/>
              </w:rPr>
              <w:br w:type="page"/>
              <w:t xml:space="preserve">Jak wynika z wyników wewnętrznie zleconych przez Spółkę badań pomiarowych przeprowadzonych za okres czerwiec-sierpień 2021 na odcinku Wisły w punkcie pomiarowym Łęgnowo (769,1 km) nawet przy podniesionym poziome wód na tym odcinku doszło do przekroczeń wartości granicznych parametrów fizykochemicznych, zatem nie można mówić o dobrostanie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ani o osiągnięciu celów środowiskowych.</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15331F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655E87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766188" w14:textId="7EAB1CA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5E78BB">
              <w:rPr>
                <w:rFonts w:ascii="Calibri" w:eastAsia="Times New Roman" w:hAnsi="Calibri" w:cs="Calibri"/>
                <w:color w:val="000000"/>
                <w:sz w:val="18"/>
                <w:szCs w:val="18"/>
                <w:lang w:eastAsia="pl-PL"/>
              </w:rPr>
              <w:br w:type="page"/>
              <w:t xml:space="preserve">Udokumentowane w badaniach monitoringowych i ocenach stanu Głównego Inspektoratu Ochrony Środowiska (w ramach Państwowego Monitoringu Środowiska) przekroczenie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5E78BB">
              <w:rPr>
                <w:rFonts w:ascii="Calibri" w:eastAsia="Times New Roman" w:hAnsi="Calibri" w:cs="Calibri"/>
                <w:color w:val="000000"/>
                <w:sz w:val="18"/>
                <w:szCs w:val="18"/>
                <w:lang w:eastAsia="pl-PL"/>
              </w:rPr>
              <w:br w:type="page"/>
              <w:t xml:space="preserve">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5E78BB">
              <w:rPr>
                <w:rFonts w:ascii="Calibri" w:eastAsia="Times New Roman" w:hAnsi="Calibri" w:cs="Calibri"/>
                <w:color w:val="000000"/>
                <w:sz w:val="18"/>
                <w:szCs w:val="18"/>
                <w:lang w:eastAsia="pl-PL"/>
              </w:rPr>
              <w:br w:type="page"/>
              <w:t xml:space="preserve">Udokumentowane w badaniach monitoringowych i ocenach stanu Głównego Inspektoratu Ochrony Środowiska (w ramach Państwowego Monitoringu Środowiska) przekroczenie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5E78BB">
              <w:rPr>
                <w:rFonts w:ascii="Calibri" w:eastAsia="Times New Roman" w:hAnsi="Calibri" w:cs="Calibri"/>
                <w:color w:val="000000"/>
                <w:sz w:val="18"/>
                <w:szCs w:val="18"/>
                <w:lang w:eastAsia="pl-PL"/>
              </w:rPr>
              <w:br w:type="page"/>
              <w:t xml:space="preserve">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Wisła od Zgłowiączki do Brdy (RW20001229199) oraz Wisła od Brdy do Wdy (RW2000122939) (vide pkt 1), na które w świetle powyższych analiz, zasadnym jest przeniesienie przedmiotowej derogacji przy uwzględnieniu PEW, co wynika ze sposobu oceny potencjału ekologicznego po 2022 r.</w:t>
            </w:r>
          </w:p>
        </w:tc>
      </w:tr>
      <w:tr w:rsidR="0085319C" w:rsidRPr="005E78BB" w14:paraId="18A788CE" w14:textId="77777777" w:rsidTr="00E92AE6">
        <w:trPr>
          <w:trHeight w:val="454"/>
        </w:trPr>
        <w:tc>
          <w:tcPr>
            <w:tcW w:w="562" w:type="dxa"/>
            <w:shd w:val="clear" w:color="auto" w:fill="auto"/>
            <w:hideMark/>
          </w:tcPr>
          <w:p w14:paraId="3131245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284</w:t>
            </w:r>
          </w:p>
        </w:tc>
        <w:tc>
          <w:tcPr>
            <w:tcW w:w="1021" w:type="dxa"/>
          </w:tcPr>
          <w:p w14:paraId="3139CACF" w14:textId="196FC91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6C2FCB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0AD7A51" w14:textId="049934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Wyjaśnienia wymaga ocena stanu chemicznego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gdyż według wskazanej w projekcie IIaPGW oceny na podstawie danych monitoringowych i analizy eksperckiej,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oceniono jako poniżej stanu dobrego, z kolei według oceny na podstawie oceny stanu GIOŚ i analizy eksperckiej oceniono jako w stanie dobrym, przypisując jednocześnie tej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wskaźniki stanu chemicznego, dla których cel środowiskowy może być odroczony w czasie.</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1, Załącznik 8</w:t>
            </w:r>
          </w:p>
        </w:tc>
        <w:tc>
          <w:tcPr>
            <w:tcW w:w="3377" w:type="dxa"/>
            <w:shd w:val="clear" w:color="auto" w:fill="auto"/>
            <w:hideMark/>
          </w:tcPr>
          <w:p w14:paraId="1A3A2768" w14:textId="5A82458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Ponowna analiza ekspercka stanu chemicznego na podstawie oceny stanu GIOŚ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w:t>
            </w:r>
          </w:p>
        </w:tc>
        <w:tc>
          <w:tcPr>
            <w:tcW w:w="3401" w:type="dxa"/>
            <w:shd w:val="clear" w:color="auto" w:fill="auto"/>
            <w:hideMark/>
          </w:tcPr>
          <w:p w14:paraId="44067A2D" w14:textId="342B942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Ustalenie wskaźników, dla których cel środowiskowy może być odroczony w czasie poprzedzone jest obszerną analizą danych zgromadzonych w czasie trwania cyklu planistycznego, m.in. oceną stanu.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dobrym stanie chemicznym, nieuzasadnionym zdaje się być wskazywanie takich parametrów, w momencie, gdy cel środowiskowy w tym zakresie jest osiągnięty (dobry stan chemiczny). Istniejąca rozbieżność w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powinna zostać wyjaśniona.</w:t>
            </w:r>
          </w:p>
        </w:tc>
        <w:tc>
          <w:tcPr>
            <w:tcW w:w="1918" w:type="dxa"/>
            <w:shd w:val="clear" w:color="auto" w:fill="auto"/>
            <w:hideMark/>
          </w:tcPr>
          <w:p w14:paraId="4789FA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136C78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34DBF0F" w14:textId="2FD1CA1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stanu wód wg monitoringu realizowanego przez GIOŚ, na podstawie oceny za lata 2014-2019 (GIOŚ) opracowana została zgodnie z r.kl.</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wg klasyfikacji obowiązującej do 01.2022 r. i przeniesiona na nowy układ planistyczny. Natomiast ocenę ekspercką wykonano przy wykorzystaniu wyników Analizy znaczących oddziaływań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niemonitorowanych, dla których nie dokonano oceny stanu 2014-2019 (PMŚ). Ocena ta jest poglądowa, podlegająca weryfikacji w oparciu o nowe badania stanu wód, zrealizowane zgodnie z metodykami PMŚ, normami oraz przepisami w trakcie obowiązywania IIaPGW i akceptacji organu odpowiedzialnego za prowadzenie PMŚ. Istniejąca rozbieżność związana z uwzględnieniem w ocenie wyników Analizy znaczących oddziaływań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która jest obszerną analizą presji występujących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była podstawą do wskazania nieosiągnięcia celu środowiskowego. Ocena stanu chemicznego wód zostanie zweryfikowana badaniami w kolejnym cyklu monitoringu wód w ramach PMŚ.</w:t>
            </w:r>
          </w:p>
        </w:tc>
      </w:tr>
      <w:tr w:rsidR="0085319C" w:rsidRPr="005E78BB" w14:paraId="33D3535F" w14:textId="77777777" w:rsidTr="00E92AE6">
        <w:trPr>
          <w:trHeight w:val="454"/>
        </w:trPr>
        <w:tc>
          <w:tcPr>
            <w:tcW w:w="562" w:type="dxa"/>
            <w:shd w:val="clear" w:color="auto" w:fill="auto"/>
            <w:hideMark/>
          </w:tcPr>
          <w:p w14:paraId="6E37FEF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285</w:t>
            </w:r>
          </w:p>
        </w:tc>
        <w:tc>
          <w:tcPr>
            <w:tcW w:w="1021" w:type="dxa"/>
          </w:tcPr>
          <w:p w14:paraId="0163A7C9" w14:textId="7083595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3A52CA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53F0BD0" w14:textId="741DA4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projektu planu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stan chemiczny oceniono jako w stanie dobrym, natomiast wskazuje się dla niej również parametry chemiczne determinujące ocenę stanu, które są wskazane jako parametry dla których cel środowiskowy może być odroczony w czasie. Zważywszy na dobrą ocenę stanu, brak jest podstaw do wskazywania parametrów, dla których cel środowiskowy może być odroczony w czasie.</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1, Załącznik 8</w:t>
            </w:r>
          </w:p>
        </w:tc>
        <w:tc>
          <w:tcPr>
            <w:tcW w:w="3377" w:type="dxa"/>
            <w:shd w:val="clear" w:color="auto" w:fill="auto"/>
            <w:hideMark/>
          </w:tcPr>
          <w:p w14:paraId="2EB4E2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 podstawie oceny stanu chemicznego ponowna analiza zasadności odroczenia w czasie osiągnięcia celu środowiskowego w zakresie wskaźników: benzo(a)piren(w), bromowane difenyloetery(b), rtęć(b) i heptachloru(b).</w:t>
            </w:r>
          </w:p>
        </w:tc>
        <w:tc>
          <w:tcPr>
            <w:tcW w:w="3401" w:type="dxa"/>
            <w:shd w:val="clear" w:color="auto" w:fill="auto"/>
            <w:hideMark/>
          </w:tcPr>
          <w:p w14:paraId="6C6C0F28" w14:textId="4D585BA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dobrym stanie chemicznym, nieuzasadnionym zdaje się być wskazywanie parametrów, dla których cel środowiskowy może być odroczony w czasie, w momencie, gdy cel środowiskowy w tym zakresie jest osiągnięty.</w:t>
            </w:r>
          </w:p>
        </w:tc>
        <w:tc>
          <w:tcPr>
            <w:tcW w:w="1918" w:type="dxa"/>
            <w:shd w:val="clear" w:color="auto" w:fill="auto"/>
            <w:hideMark/>
          </w:tcPr>
          <w:p w14:paraId="088E53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57331E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289B1B" w14:textId="61183F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Wykazie Odstępstw napisano, że stan chemiczny przedmiotowej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zły ("poniżej dobrego") - co oznacza że już nastąpiło odstępstwo od zakładanego celu (od osiągnięcia celów środowiskowych). W tej sytuacji zachodzi konieczność zastosowania procedury dedykowanej odstępstwom, tj. uzasadnienie powodów nieosiągnięcia celów środowiskowych. Takie działanie podjęto w odniesieniu do omawianej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4E0A0171" w14:textId="77777777" w:rsidTr="004155D2">
        <w:trPr>
          <w:trHeight w:val="454"/>
        </w:trPr>
        <w:tc>
          <w:tcPr>
            <w:tcW w:w="562" w:type="dxa"/>
            <w:shd w:val="clear" w:color="auto" w:fill="auto"/>
            <w:hideMark/>
          </w:tcPr>
          <w:p w14:paraId="4D3220F4" w14:textId="77777777" w:rsidR="0085319C" w:rsidRPr="004155D2" w:rsidRDefault="0085319C" w:rsidP="0085319C">
            <w:pPr>
              <w:ind w:firstLine="0"/>
              <w:jc w:val="center"/>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286</w:t>
            </w:r>
          </w:p>
        </w:tc>
        <w:tc>
          <w:tcPr>
            <w:tcW w:w="1021" w:type="dxa"/>
            <w:shd w:val="clear" w:color="auto" w:fill="auto"/>
          </w:tcPr>
          <w:p w14:paraId="184098DB" w14:textId="7A0654F6"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hAnsi="Calibri" w:cs="Calibri"/>
                <w:color w:val="000000"/>
                <w:sz w:val="18"/>
                <w:szCs w:val="18"/>
              </w:rPr>
              <w:t>Solvay Poland</w:t>
            </w:r>
          </w:p>
        </w:tc>
        <w:tc>
          <w:tcPr>
            <w:tcW w:w="1630" w:type="dxa"/>
            <w:shd w:val="clear" w:color="auto" w:fill="auto"/>
            <w:hideMark/>
          </w:tcPr>
          <w:p w14:paraId="4F7965FA" w14:textId="77777777"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ZAŁĄCZNIKI IIaPGW</w:t>
            </w:r>
          </w:p>
        </w:tc>
        <w:tc>
          <w:tcPr>
            <w:tcW w:w="5663" w:type="dxa"/>
            <w:shd w:val="clear" w:color="auto" w:fill="auto"/>
            <w:hideMark/>
          </w:tcPr>
          <w:p w14:paraId="7F4A0182" w14:textId="683810AA"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 xml:space="preserve">W IIaPGW brak jest wartości granicznych dla parametrów fizykochemicznych dla potencjału ekologicznego (dla silnie zmienionych części wód – SZCW i sztucznych części wód - SCW) stąd brak możliwości odniesienia się zakładu do wymogów określonych dla </w:t>
            </w:r>
            <w:r w:rsidR="00513278">
              <w:rPr>
                <w:rFonts w:ascii="Calibri" w:eastAsia="Times New Roman" w:hAnsi="Calibri" w:cs="Calibri"/>
                <w:color w:val="000000"/>
                <w:sz w:val="18"/>
                <w:szCs w:val="18"/>
                <w:lang w:eastAsia="pl-PL"/>
              </w:rPr>
              <w:t>JCWP</w:t>
            </w:r>
            <w:r w:rsidRPr="004155D2">
              <w:rPr>
                <w:rFonts w:ascii="Calibri" w:eastAsia="Times New Roman" w:hAnsi="Calibri" w:cs="Calibri"/>
                <w:color w:val="000000"/>
                <w:sz w:val="18"/>
                <w:szCs w:val="18"/>
                <w:lang w:eastAsia="pl-PL"/>
              </w:rPr>
              <w:t>.</w:t>
            </w:r>
            <w:r w:rsidRPr="004155D2">
              <w:rPr>
                <w:rFonts w:ascii="Calibri" w:eastAsia="Times New Roman" w:hAnsi="Calibri" w:cs="Calibri"/>
                <w:color w:val="000000"/>
                <w:sz w:val="18"/>
                <w:szCs w:val="18"/>
                <w:lang w:eastAsia="pl-PL"/>
              </w:rPr>
              <w:br/>
              <w:t>Część projektu planu, do którego zgłaszana jest uwaga (numer rozdziału, strona dokumentu, nr załącznika): Załącznik 3.1</w:t>
            </w:r>
          </w:p>
        </w:tc>
        <w:tc>
          <w:tcPr>
            <w:tcW w:w="3377" w:type="dxa"/>
            <w:shd w:val="clear" w:color="auto" w:fill="auto"/>
            <w:hideMark/>
          </w:tcPr>
          <w:p w14:paraId="5528C253" w14:textId="77777777"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Wskazanie wartości parametrów fizykochemicznych dla potencjału ekologicznego dla silnie zmienionych części wód – SZCW i sztucznych części wód – SCW.</w:t>
            </w:r>
            <w:r w:rsidRPr="004155D2">
              <w:rPr>
                <w:rFonts w:ascii="Calibri" w:eastAsia="Times New Roman" w:hAnsi="Calibri" w:cs="Calibri"/>
                <w:color w:val="000000"/>
                <w:sz w:val="18"/>
                <w:szCs w:val="18"/>
                <w:lang w:eastAsia="pl-PL"/>
              </w:rPr>
              <w:br/>
              <w:t>Wnioskuje się o wskazanie ww. parametrów przed zakończeniem konsultacji.</w:t>
            </w:r>
          </w:p>
        </w:tc>
        <w:tc>
          <w:tcPr>
            <w:tcW w:w="3401" w:type="dxa"/>
            <w:shd w:val="clear" w:color="auto" w:fill="auto"/>
            <w:hideMark/>
          </w:tcPr>
          <w:p w14:paraId="17B3CBC9" w14:textId="77777777"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 xml:space="preserve">Brak informacji o wartościach granicznych dla potencjału ekologicznego dla jednolitych części wód wyznaczonych jako silnie zmienione i sztuczne od roku 2022 nie pozwala odnieść się do wymogów stawianych tym częściom wód przez podmioty korzystające z tych wód. </w:t>
            </w:r>
          </w:p>
        </w:tc>
        <w:tc>
          <w:tcPr>
            <w:tcW w:w="1918" w:type="dxa"/>
            <w:shd w:val="clear" w:color="auto" w:fill="auto"/>
            <w:hideMark/>
          </w:tcPr>
          <w:p w14:paraId="679DAB7E" w14:textId="77777777"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SOLVAY_IIaPGW_Wisła</w:t>
            </w:r>
          </w:p>
        </w:tc>
        <w:tc>
          <w:tcPr>
            <w:tcW w:w="1276" w:type="dxa"/>
            <w:shd w:val="clear" w:color="auto" w:fill="auto"/>
            <w:hideMark/>
          </w:tcPr>
          <w:p w14:paraId="26C8F9EF" w14:textId="77777777" w:rsidR="0085319C" w:rsidRPr="004155D2" w:rsidRDefault="0085319C" w:rsidP="0085319C">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color w:val="000000"/>
                <w:sz w:val="18"/>
                <w:szCs w:val="18"/>
                <w:lang w:eastAsia="pl-PL"/>
              </w:rPr>
              <w:t>wyjaśnienie</w:t>
            </w:r>
          </w:p>
        </w:tc>
        <w:tc>
          <w:tcPr>
            <w:tcW w:w="3513" w:type="dxa"/>
            <w:shd w:val="clear" w:color="auto" w:fill="auto"/>
            <w:hideMark/>
          </w:tcPr>
          <w:p w14:paraId="1B025D27" w14:textId="619E1619" w:rsidR="004155D2" w:rsidRPr="004155D2" w:rsidRDefault="0085319C" w:rsidP="004155D2">
            <w:pPr>
              <w:ind w:firstLine="0"/>
              <w:jc w:val="left"/>
              <w:rPr>
                <w:rFonts w:ascii="Calibri" w:eastAsia="Times New Roman" w:hAnsi="Calibri" w:cs="Calibri"/>
                <w:sz w:val="18"/>
                <w:szCs w:val="18"/>
                <w:lang w:eastAsia="pl-PL"/>
              </w:rPr>
            </w:pPr>
            <w:r w:rsidRPr="004155D2">
              <w:rPr>
                <w:rFonts w:ascii="Calibri" w:eastAsia="Times New Roman" w:hAnsi="Calibri" w:cs="Calibri"/>
                <w:color w:val="000000"/>
                <w:sz w:val="18"/>
                <w:szCs w:val="18"/>
                <w:lang w:eastAsia="pl-PL"/>
              </w:rPr>
              <w:t xml:space="preserve">Wartości graniczne dla potencjału ekologicznego prezentowane są w załączniku nr </w:t>
            </w:r>
            <w:r w:rsidR="004155D2" w:rsidRPr="004155D2">
              <w:rPr>
                <w:rFonts w:ascii="Calibri" w:eastAsia="Times New Roman" w:hAnsi="Calibri" w:cs="Calibri"/>
                <w:color w:val="000000"/>
                <w:sz w:val="18"/>
                <w:szCs w:val="18"/>
                <w:lang w:eastAsia="pl-PL"/>
              </w:rPr>
              <w:t>Wartości graniczne SCW i SZCW</w:t>
            </w:r>
            <w:r w:rsidRPr="004155D2">
              <w:rPr>
                <w:rFonts w:ascii="Calibri" w:eastAsia="Times New Roman" w:hAnsi="Calibri" w:cs="Calibri"/>
                <w:color w:val="000000"/>
                <w:sz w:val="18"/>
                <w:szCs w:val="18"/>
                <w:lang w:eastAsia="pl-PL"/>
              </w:rPr>
              <w:t xml:space="preserve"> do planów. Głównym dokumentem wskazującym sposoby klasyfikacji potencjału ekologicznego jest rozporządzenie w sprawie klasyfikacji stanu ekologicznego, potencjału ekologicznego i stanu chemicznego oraz sposobu klasyfikacji stanu jednolitych części wód powierzchniowych, a także środowiskowych norm jakości dla substancji priorytetowych. To ono odnosi, jeżeli chodzi o silnie zmienione i sztuczne części wód i wartości graniczne do tego, że są one wskazywane w Planie gospodarowania wodami. Poszczególne zakładki załącznika </w:t>
            </w:r>
            <w:r w:rsidR="004155D2" w:rsidRPr="004155D2">
              <w:rPr>
                <w:rFonts w:ascii="Calibri" w:eastAsia="Times New Roman" w:hAnsi="Calibri" w:cs="Calibri"/>
                <w:color w:val="000000"/>
                <w:sz w:val="18"/>
                <w:szCs w:val="18"/>
                <w:lang w:eastAsia="pl-PL"/>
              </w:rPr>
              <w:t>IIaPGW</w:t>
            </w:r>
            <w:r w:rsidRPr="004155D2">
              <w:rPr>
                <w:rFonts w:ascii="Calibri" w:eastAsia="Times New Roman" w:hAnsi="Calibri" w:cs="Calibri"/>
                <w:color w:val="000000"/>
                <w:sz w:val="18"/>
                <w:szCs w:val="18"/>
                <w:lang w:eastAsia="pl-PL"/>
              </w:rPr>
              <w:t xml:space="preserve"> są dedykowane kategoriom wód: rzecznym, zbiornikowym i jeziornym oddzielnie, wskazane są w nich, w poszczególnych kolumnach, konkretne wartości, jeżeli chodzi o elementy biologiczne i hydromorfologiczne. </w:t>
            </w:r>
            <w:r w:rsidR="004155D2" w:rsidRPr="004155D2">
              <w:rPr>
                <w:rFonts w:ascii="Calibri" w:eastAsia="Times New Roman" w:hAnsi="Calibri" w:cs="Calibri"/>
                <w:sz w:val="18"/>
                <w:szCs w:val="18"/>
                <w:lang w:eastAsia="pl-PL"/>
              </w:rPr>
              <w:t>W przypadku wartości granicznych dot. wskaźników fizykochemicznych zastosowano dwa rodzaje podejścia:</w:t>
            </w:r>
          </w:p>
          <w:p w14:paraId="44BC6C2C" w14:textId="541349C4" w:rsidR="004155D2" w:rsidRPr="004155D2" w:rsidRDefault="004155D2" w:rsidP="004155D2">
            <w:pPr>
              <w:pStyle w:val="Akapitzlist"/>
              <w:numPr>
                <w:ilvl w:val="0"/>
                <w:numId w:val="1"/>
              </w:numPr>
              <w:ind w:left="354" w:hanging="283"/>
              <w:jc w:val="left"/>
              <w:rPr>
                <w:rFonts w:eastAsia="Times New Roman" w:cstheme="minorHAnsi"/>
                <w:sz w:val="18"/>
                <w:szCs w:val="18"/>
                <w:lang w:eastAsia="pl-PL"/>
              </w:rPr>
            </w:pPr>
            <w:r w:rsidRPr="004155D2">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4155D2">
              <w:rPr>
                <w:rFonts w:cstheme="minorHAnsi"/>
                <w:sz w:val="18"/>
                <w:szCs w:val="18"/>
                <w:shd w:val="clear" w:color="auto" w:fill="FFFFFF"/>
              </w:rPr>
              <w:t xml:space="preserve"> RW określonego typu”</w:t>
            </w:r>
          </w:p>
          <w:p w14:paraId="0B8EA702" w14:textId="75183B56" w:rsidR="004155D2" w:rsidRPr="004155D2" w:rsidRDefault="004155D2" w:rsidP="004155D2">
            <w:pPr>
              <w:pStyle w:val="Akapitzlist"/>
              <w:numPr>
                <w:ilvl w:val="0"/>
                <w:numId w:val="1"/>
              </w:numPr>
              <w:ind w:left="354" w:hanging="283"/>
              <w:jc w:val="left"/>
              <w:rPr>
                <w:rFonts w:ascii="Calibri" w:eastAsia="Times New Roman" w:hAnsi="Calibri" w:cs="Calibri"/>
                <w:sz w:val="18"/>
                <w:szCs w:val="18"/>
                <w:lang w:eastAsia="pl-PL"/>
              </w:rPr>
            </w:pPr>
            <w:r w:rsidRPr="004155D2">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4155D2">
              <w:rPr>
                <w:rFonts w:eastAsia="Times New Roman" w:cstheme="minorHAnsi"/>
                <w:sz w:val="18"/>
                <w:szCs w:val="18"/>
                <w:lang w:eastAsia="pl-PL"/>
              </w:rPr>
              <w:t xml:space="preserve"> RW</w:t>
            </w:r>
            <w:r w:rsidRPr="004155D2">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072914A7" w14:textId="64DD6B13" w:rsidR="0085319C" w:rsidRPr="004155D2" w:rsidRDefault="004155D2" w:rsidP="004155D2">
            <w:pPr>
              <w:ind w:firstLine="0"/>
              <w:jc w:val="left"/>
              <w:rPr>
                <w:rFonts w:ascii="Calibri" w:eastAsia="Times New Roman" w:hAnsi="Calibri" w:cs="Calibri"/>
                <w:color w:val="000000"/>
                <w:sz w:val="18"/>
                <w:szCs w:val="18"/>
                <w:lang w:eastAsia="pl-PL"/>
              </w:rPr>
            </w:pPr>
            <w:r w:rsidRPr="004155D2">
              <w:rPr>
                <w:rFonts w:ascii="Calibri" w:eastAsia="Times New Roman" w:hAnsi="Calibri" w:cs="Calibri"/>
                <w:sz w:val="18"/>
                <w:szCs w:val="18"/>
                <w:lang w:eastAsia="pl-PL"/>
              </w:rPr>
              <w:t>IIaPGW został odpowiednio uzupełniony w tym zakresie dla wyeliminowania wątpliwości czytelnika</w:t>
            </w:r>
            <w:r w:rsidR="0085319C" w:rsidRPr="00CD6FBC">
              <w:rPr>
                <w:rFonts w:ascii="Calibri" w:eastAsia="Times New Roman" w:hAnsi="Calibri" w:cs="Calibri"/>
                <w:color w:val="000000"/>
                <w:sz w:val="18"/>
                <w:szCs w:val="18"/>
                <w:lang w:eastAsia="pl-PL"/>
              </w:rPr>
              <w:t xml:space="preserve">. Generalnie załącznik </w:t>
            </w:r>
            <w:r w:rsidRPr="00CD6FBC">
              <w:rPr>
                <w:rFonts w:ascii="Calibri" w:eastAsia="Times New Roman" w:hAnsi="Calibri" w:cs="Calibri"/>
                <w:color w:val="000000"/>
                <w:sz w:val="18"/>
                <w:szCs w:val="18"/>
                <w:lang w:eastAsia="pl-PL"/>
              </w:rPr>
              <w:t>Wartości graniczne SCW i SZCW</w:t>
            </w:r>
            <w:r w:rsidR="0085319C" w:rsidRPr="00CD6FBC">
              <w:rPr>
                <w:rFonts w:ascii="Calibri" w:eastAsia="Times New Roman" w:hAnsi="Calibri" w:cs="Calibri"/>
                <w:color w:val="000000"/>
                <w:sz w:val="18"/>
                <w:szCs w:val="18"/>
                <w:lang w:eastAsia="pl-PL"/>
              </w:rPr>
              <w:t xml:space="preserve"> to jest załącznik,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p>
        </w:tc>
      </w:tr>
      <w:tr w:rsidR="0085319C" w:rsidRPr="005E78BB" w14:paraId="426D409D" w14:textId="77777777" w:rsidTr="00E92AE6">
        <w:trPr>
          <w:trHeight w:val="454"/>
        </w:trPr>
        <w:tc>
          <w:tcPr>
            <w:tcW w:w="562" w:type="dxa"/>
            <w:shd w:val="clear" w:color="auto" w:fill="auto"/>
            <w:hideMark/>
          </w:tcPr>
          <w:p w14:paraId="70E61D6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287</w:t>
            </w:r>
          </w:p>
        </w:tc>
        <w:tc>
          <w:tcPr>
            <w:tcW w:w="1021" w:type="dxa"/>
          </w:tcPr>
          <w:p w14:paraId="5F5BD2E8" w14:textId="5FF647C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7088E3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E859203" w14:textId="39A4A9F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Wnioskuje się o określenie złagodzonego celu środowiskowego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dla wskaźnika przewodność elektrolityczna właściwa w 20°C. Przewodność elektrolityczna właściwa w 20°C obrazuje m.in. zasolenie wód, a wskazana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odbiornikiem ścieków, mających wpływ na ten wskaźnik. Stąd charakter ścieków odprowadzanych z tych sektorów przemysłowych jest presją realnie niemożliwą do zniwelowania, z uwagi na niewspółmierne koszty oczyszczania ścieków z chlorków i siarczanów w stosunku do korzyści środowiskowych.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Załącznik 1, Załącznik 5.1</w:t>
            </w:r>
          </w:p>
        </w:tc>
        <w:tc>
          <w:tcPr>
            <w:tcW w:w="3377" w:type="dxa"/>
            <w:shd w:val="clear" w:color="auto" w:fill="auto"/>
            <w:hideMark/>
          </w:tcPr>
          <w:p w14:paraId="753F5308" w14:textId="253698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Złagodzenie celu środowiskowego w zakresie przewodności elektrolitycznej właściwej w 20°C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w:t>
            </w:r>
          </w:p>
        </w:tc>
        <w:tc>
          <w:tcPr>
            <w:tcW w:w="3401" w:type="dxa"/>
            <w:shd w:val="clear" w:color="auto" w:fill="auto"/>
            <w:hideMark/>
          </w:tcPr>
          <w:p w14:paraId="196140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Wyniki oznaczeń GIOŚ tego parametru w wodach Wisły w ppk Łęgnowo (których aktualność potwierdzają wyniki oznaczeń własnych Spółki) wskazują, iż ten parametr jest przekroczony już od roku 1997. Presji, z której wynika to przekroczenie Spółka nie zidentyfikowała, jednak zważywszy na utrzymujący się wysoki poziom stężeń rzeka nie ma zdolności samooczyszczania w tym zakresie lub presja jest niezmienna na przestrzeni lat i jej pochodzenie wymaga przeprowadzenia stosownych analiz.</w:t>
            </w:r>
          </w:p>
        </w:tc>
        <w:tc>
          <w:tcPr>
            <w:tcW w:w="1918" w:type="dxa"/>
            <w:shd w:val="clear" w:color="auto" w:fill="auto"/>
            <w:hideMark/>
          </w:tcPr>
          <w:p w14:paraId="430201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3F0353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DA51D98" w14:textId="32E0252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5E78BB">
              <w:rPr>
                <w:rFonts w:ascii="Calibri" w:eastAsia="Times New Roman" w:hAnsi="Calibri" w:cs="Calibri"/>
                <w:color w:val="000000"/>
                <w:sz w:val="18"/>
                <w:szCs w:val="18"/>
                <w:lang w:eastAsia="pl-PL"/>
              </w:rPr>
              <w:br/>
              <w:t xml:space="preserve">Udokumentowane w badaniach monitoringowych i ocenach stanu Głównego Inspektoratu Ochrony Środowiska (w ramach Państwowego Monitoringu Środowiska) przekroczenie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5E78BB">
              <w:rPr>
                <w:rFonts w:ascii="Calibri" w:eastAsia="Times New Roman" w:hAnsi="Calibri" w:cs="Calibri"/>
                <w:color w:val="000000"/>
                <w:sz w:val="18"/>
                <w:szCs w:val="18"/>
                <w:lang w:eastAsia="pl-PL"/>
              </w:rPr>
              <w:br/>
              <w:t xml:space="preserve">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Wisła od Zgłowiączki do Brdy (RW20001229199) oraz Wisła od Brdy do Wdy (RW2000122939) (vide pkt 1), na które w świetle powyższych analiz, zasadnym jest przeniesienie przedmiotowej derogacji przy uwzględnieniu PEW, co wynika ze sposobu oceny potencjału ekologicznego po 2022 r.</w:t>
            </w:r>
          </w:p>
        </w:tc>
      </w:tr>
      <w:tr w:rsidR="0085319C" w:rsidRPr="005E78BB" w14:paraId="19BCC8C3" w14:textId="77777777" w:rsidTr="00E92AE6">
        <w:trPr>
          <w:trHeight w:val="454"/>
        </w:trPr>
        <w:tc>
          <w:tcPr>
            <w:tcW w:w="562" w:type="dxa"/>
            <w:shd w:val="clear" w:color="auto" w:fill="auto"/>
            <w:hideMark/>
          </w:tcPr>
          <w:p w14:paraId="74548C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288</w:t>
            </w:r>
          </w:p>
        </w:tc>
        <w:tc>
          <w:tcPr>
            <w:tcW w:w="1021" w:type="dxa"/>
          </w:tcPr>
          <w:p w14:paraId="64B181DC" w14:textId="062D1C4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2A4213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3E2A7C1" w14:textId="119AAE6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Wnioskuje się by z uwagi na brak badań w ppk Łęgnowo, w okresie oceny uwzględnionej w projekcie IIaPGW (2014-2019) uwzględnione zostały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również wyników badań monitoringu GIOŚ za lata 1997-2009 prowadzonych w ppk Łęgnowo, ponieważ brak uwzględnienia przedmiotowych badań wpływa bezpośrednio na ocenę stanu, tym bardziej, iż przeprowadzone przez Spółkę badania, potwierdzają wyniki z lat wcześniejszych.</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Ocena stanu </w:t>
            </w:r>
            <w:r w:rsidR="00513278">
              <w:rPr>
                <w:rFonts w:ascii="Calibri" w:eastAsia="Times New Roman" w:hAnsi="Calibri" w:cs="Calibri"/>
                <w:color w:val="000000"/>
                <w:sz w:val="18"/>
                <w:szCs w:val="18"/>
                <w:lang w:eastAsia="pl-PL"/>
              </w:rPr>
              <w:t>JCWP</w:t>
            </w:r>
          </w:p>
        </w:tc>
        <w:tc>
          <w:tcPr>
            <w:tcW w:w="3377" w:type="dxa"/>
            <w:shd w:val="clear" w:color="auto" w:fill="auto"/>
            <w:hideMark/>
          </w:tcPr>
          <w:p w14:paraId="694A6782" w14:textId="0D24CB7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Uwzględnienie w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wyników badań GIOŚ w ppk Łęgnowo za lata 1997-2009 oraz badań przeprowadzonych przez Spółkę.</w:t>
            </w:r>
          </w:p>
        </w:tc>
        <w:tc>
          <w:tcPr>
            <w:tcW w:w="3401" w:type="dxa"/>
            <w:shd w:val="clear" w:color="auto" w:fill="auto"/>
            <w:hideMark/>
          </w:tcPr>
          <w:p w14:paraId="6671E29B" w14:textId="46DB810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Uwzględnienie w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Zgłowiączki do Brdy wyników badań GIOŚ w ppk Łęgnowo za lata 1997-2009 pozwoli dokonać oceny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która w projekcie IIaPGW nie została przeprowadzona. Aktualność wyników badań w zakresie chlorków, siarczanów i przewodności potwierdzają wyniki własnych badań przeprowadzonych przez Spółkę.</w:t>
            </w:r>
          </w:p>
        </w:tc>
        <w:tc>
          <w:tcPr>
            <w:tcW w:w="1918" w:type="dxa"/>
            <w:shd w:val="clear" w:color="auto" w:fill="auto"/>
            <w:hideMark/>
          </w:tcPr>
          <w:p w14:paraId="3A0F42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766C96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EE2B168" w14:textId="77DF79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 Udokumentowane w badaniach monitoringowych i ocenach stanu Głównego Inspektoratu Ochrony Środowiska (w ramach Państwowego Monitoringu Środowiska) przekroczenie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 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Wisła od Zgłowiączki do Brdy (RW20001229199) oraz Wisła od Brdy do Wdy (RW2000122939) (vide pkt 1), na które w świetle powyższych analiz, zasadnym jest przeniesienie przedmiotowej derogacji przy uwzględnieniu PEW, co wynika ze sposobu oceny potencjału ekologicznego po 2022 r</w:t>
            </w:r>
          </w:p>
        </w:tc>
      </w:tr>
      <w:tr w:rsidR="0085319C" w:rsidRPr="005E78BB" w14:paraId="182B91A8" w14:textId="77777777" w:rsidTr="00E92AE6">
        <w:trPr>
          <w:trHeight w:val="454"/>
        </w:trPr>
        <w:tc>
          <w:tcPr>
            <w:tcW w:w="562" w:type="dxa"/>
            <w:shd w:val="clear" w:color="auto" w:fill="auto"/>
            <w:hideMark/>
          </w:tcPr>
          <w:p w14:paraId="7A6E9C7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289</w:t>
            </w:r>
          </w:p>
        </w:tc>
        <w:tc>
          <w:tcPr>
            <w:tcW w:w="1021" w:type="dxa"/>
          </w:tcPr>
          <w:p w14:paraId="2666F2DD" w14:textId="0BA287F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4B90E3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0796F29" w14:textId="45A43A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Zmiana usytuowania punktów pomiarowych względem tych funkcjonujących przez wiele lat wiąże się z niemożliwością dokonania zestawień danych, w tym porównania danych pomiarowych historycznych z tymi nowowykonanymi.</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Zmiana punktów dokonywania pomiarów na wszystkich odcinkach </w:t>
            </w:r>
            <w:r w:rsidR="00513278">
              <w:rPr>
                <w:rFonts w:ascii="Calibri" w:eastAsia="Times New Roman" w:hAnsi="Calibri" w:cs="Calibri"/>
                <w:color w:val="000000"/>
                <w:sz w:val="18"/>
                <w:szCs w:val="18"/>
                <w:lang w:eastAsia="pl-PL"/>
              </w:rPr>
              <w:t>JCWP</w:t>
            </w:r>
          </w:p>
        </w:tc>
        <w:tc>
          <w:tcPr>
            <w:tcW w:w="3377" w:type="dxa"/>
            <w:shd w:val="clear" w:color="auto" w:fill="auto"/>
            <w:hideMark/>
          </w:tcPr>
          <w:p w14:paraId="1DAA24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Proponujemy pozostawić istniejące punkty pomiarowe oraz dodatkowo utworzyć nowe punkty pomiarowe.</w:t>
            </w:r>
          </w:p>
        </w:tc>
        <w:tc>
          <w:tcPr>
            <w:tcW w:w="3401" w:type="dxa"/>
            <w:shd w:val="clear" w:color="auto" w:fill="auto"/>
            <w:hideMark/>
          </w:tcPr>
          <w:p w14:paraId="234359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naszej ocenie zmiana punktów pomiarowych może znacząco wpłynąć na ocenę stanu wód i określenia poziomu osiągnięcia celów środowiskowych, która to ocena może okazać się niemiarodajna z powodu braku danych, do których można by przyrównać nowowykonane wyniki pomiarów z innych punktów. Przede wszystkim nastąpi brak możliwości porównania danych pomiarowych historycznych z najnowszymi wynikami, w związku z czym będzie można wysnuć nieprawidłowe wnioski badawcze.</w:t>
            </w:r>
          </w:p>
        </w:tc>
        <w:tc>
          <w:tcPr>
            <w:tcW w:w="1918" w:type="dxa"/>
            <w:shd w:val="clear" w:color="auto" w:fill="auto"/>
            <w:hideMark/>
          </w:tcPr>
          <w:p w14:paraId="69C245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5CF629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AA6B2F0" w14:textId="076271D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51713613" w14:textId="77777777" w:rsidTr="00E92AE6">
        <w:trPr>
          <w:trHeight w:val="454"/>
        </w:trPr>
        <w:tc>
          <w:tcPr>
            <w:tcW w:w="562" w:type="dxa"/>
            <w:shd w:val="clear" w:color="auto" w:fill="auto"/>
            <w:hideMark/>
          </w:tcPr>
          <w:p w14:paraId="5A7FA62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290</w:t>
            </w:r>
          </w:p>
        </w:tc>
        <w:tc>
          <w:tcPr>
            <w:tcW w:w="1021" w:type="dxa"/>
          </w:tcPr>
          <w:p w14:paraId="7DB794FB" w14:textId="7547D79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Solvay Poland</w:t>
            </w:r>
          </w:p>
        </w:tc>
        <w:tc>
          <w:tcPr>
            <w:tcW w:w="1630" w:type="dxa"/>
            <w:shd w:val="clear" w:color="auto" w:fill="auto"/>
            <w:hideMark/>
          </w:tcPr>
          <w:p w14:paraId="65EFB7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871A2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Umniejszenie roli presji chemicznej i ilościowej związanej ze skoncentrowanym zrzutem ścieków przemysłowych przez podmioty korzystające ze środowiska, zwłaszcza w okolicach miasta Torunia.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Strona 117/479 (uwaga w związku ze zmianą punktów pomiarowych oraz zagęszczeniem podmiotów zrzucających ścieki na niektórych odcinkach JCPW)</w:t>
            </w:r>
          </w:p>
        </w:tc>
        <w:tc>
          <w:tcPr>
            <w:tcW w:w="3377" w:type="dxa"/>
            <w:shd w:val="clear" w:color="auto" w:fill="auto"/>
            <w:hideMark/>
          </w:tcPr>
          <w:p w14:paraId="7A60AB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Proponujemy przeprowadzić ponowne badania kontrolne w dotychczasowych punktach kontrolnych, w tym zwłaszcza w rejonie zrzutu ścieków w okolicach miasta Torunia, ze szczególnym uwzględnieniem agregacji substancji priorytetowych w celu ponownej oceny dobrostanu JCPW dla celów określenia, jak rozpatrywana będzie (również w kontekście ewentualnych derogacji dla podmiotów korzystających ze środowiska) agregacja ścieków przemysłowych, w tym kumulacja substancji priorytetowych. </w:t>
            </w:r>
          </w:p>
        </w:tc>
        <w:tc>
          <w:tcPr>
            <w:tcW w:w="3401" w:type="dxa"/>
            <w:shd w:val="clear" w:color="auto" w:fill="auto"/>
            <w:hideMark/>
          </w:tcPr>
          <w:p w14:paraId="69B23E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naszej ocenie w Projekcie umniejsza się rolę presji chemicznej i ilościowej związanej ze skoncentrowanym zrzutem ścieków przemysłowych przez podmioty korzystające ze środowiska. W Projekcie nie jest jasno określone, jak rozpatrywana będzie kumulacja (agregacja) ścieków przemysłowych, w tym substancji priorytetowych.</w:t>
            </w:r>
          </w:p>
        </w:tc>
        <w:tc>
          <w:tcPr>
            <w:tcW w:w="1918" w:type="dxa"/>
            <w:shd w:val="clear" w:color="auto" w:fill="auto"/>
            <w:hideMark/>
          </w:tcPr>
          <w:p w14:paraId="760F0D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SOLVAY_IIaPGW_Wisła</w:t>
            </w:r>
          </w:p>
        </w:tc>
        <w:tc>
          <w:tcPr>
            <w:tcW w:w="1276" w:type="dxa"/>
            <w:shd w:val="clear" w:color="auto" w:fill="auto"/>
            <w:hideMark/>
          </w:tcPr>
          <w:p w14:paraId="3A7BB1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650B6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Występowanie presji, w tym pochodzących od substancji priorytetowych, zostało szczegółowo przeanalizowane w ramach projektu pn.:" Analiza znaczących oddziaływań antropogenicznych wraz z oceną ich wpływu na stan wód oraz ryzykiem nieosiągnięcia celów środowiskowych", który został wykonany na potrzeby opracowania II aktualizacji planów gospodarowania wodami. W pracy tej uzwgledniono źródła presji oraz wpływ kumulacji zanieczyszczeń. Wyniki analizy były podstawą doboru zestawów działań w odniesieniu do presji chemicznych. Ocena stanu chemicznego wód zostanie zweryfikowana badaniami w kolejnym cyklu monitoringu wód w ramach PMŚ.</w:t>
            </w:r>
          </w:p>
        </w:tc>
      </w:tr>
      <w:tr w:rsidR="0085319C" w:rsidRPr="005E78BB" w14:paraId="29D030F8" w14:textId="77777777" w:rsidTr="00E92AE6">
        <w:trPr>
          <w:trHeight w:val="454"/>
        </w:trPr>
        <w:tc>
          <w:tcPr>
            <w:tcW w:w="562" w:type="dxa"/>
            <w:shd w:val="clear" w:color="auto" w:fill="auto"/>
            <w:hideMark/>
          </w:tcPr>
          <w:p w14:paraId="7F344F6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291</w:t>
            </w:r>
          </w:p>
        </w:tc>
        <w:tc>
          <w:tcPr>
            <w:tcW w:w="1021" w:type="dxa"/>
          </w:tcPr>
          <w:p w14:paraId="2A843582" w14:textId="60269E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Urząd Miasta Zgierza </w:t>
            </w:r>
          </w:p>
        </w:tc>
        <w:tc>
          <w:tcPr>
            <w:tcW w:w="1630" w:type="dxa"/>
            <w:shd w:val="clear" w:color="auto" w:fill="auto"/>
            <w:hideMark/>
          </w:tcPr>
          <w:p w14:paraId="0852C6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A839B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drugiej  aktualizacji  Planów gospodarowania wodami na obszarach dorzeczy - IIa 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 xml:space="preserve">1. Realizacja miejskich planów adaptacji do zmian klimatu w zakresie retencjonowania wód opadowych. </w:t>
            </w:r>
            <w:r w:rsidRPr="005E78BB">
              <w:rPr>
                <w:rFonts w:ascii="Calibri" w:eastAsia="Times New Roman" w:hAnsi="Calibri" w:cs="Calibri"/>
                <w:color w:val="000000"/>
                <w:sz w:val="18"/>
                <w:szCs w:val="18"/>
                <w:lang w:eastAsia="pl-PL"/>
              </w:rPr>
              <w:br/>
              <w:t xml:space="preserve">W ostatnich latach coraz częściej dochodzi do gwałtownych zjawisk atmosferycznych w postaci nawałnic z wysokim opadem deszczu. Miasto Zgierz doświadczało ulewnych deszczy i podtopień. Niedostatki w sieci deszczowej oraz wysoki stopień utwardzenia terenów są w dużej mierze są przyczyną podtopień. W latach 2017-2021 wysoki opad deszczu powodował, że przepływająca przez Zgierz rzeka Bzura na znacznym odcinku ujęta w zakryty kanał nie przyjęła tak dużej ilości wody opadowej przez co dochodziło do podtopień. </w:t>
            </w:r>
            <w:r w:rsidRPr="005E78BB">
              <w:rPr>
                <w:rFonts w:ascii="Calibri" w:eastAsia="Times New Roman" w:hAnsi="Calibri" w:cs="Calibri"/>
                <w:color w:val="000000"/>
                <w:sz w:val="18"/>
                <w:szCs w:val="18"/>
                <w:lang w:eastAsia="pl-PL"/>
              </w:rPr>
              <w:br/>
              <w:t>W konsultowanym dokumencie  wskazano odtwarzanie obszarów podmokłych z charakterystycznymi dla nich zbiorowiskami roślinnymi, jako naturalnych zbiorników magazynujących i zatrzymujących wody w środowisku tzw. polderów. Tworzenie ww. obszarów wymaga znacznych nakładów inwestycyjnych i niejednokrotnie pozyskania gruntów lub organizowania przedsięwzięć pozwalających na osiągnięciu efektu w postaci odbioru i zatrzymywanie w większym zakresie wód opadowych w obszarze aglomeracji miejskiej. Udział wielu interesariuszy utrudnia przeprowadzenie działań na terenach zalewowych nalężących do wielu posiadaczy, co determinuje możliwości osiągnięcia celu przez samorząd. Uwaga dokument nie wskazuje rozwiązań formalnych zasad i źródeł finasowania dla ww. inwestycji  w dorzeczu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2. Uporządkowanie i poprawa infrastruktury gospodarki ściekowej. </w:t>
            </w:r>
            <w:r w:rsidRPr="005E78BB">
              <w:rPr>
                <w:rFonts w:ascii="Calibri" w:eastAsia="Times New Roman" w:hAnsi="Calibri" w:cs="Calibri"/>
                <w:color w:val="000000"/>
                <w:sz w:val="18"/>
                <w:szCs w:val="18"/>
                <w:lang w:eastAsia="pl-PL"/>
              </w:rPr>
              <w:br/>
              <w:t xml:space="preserve">W przepisach prawa brak jest zobowiązania użytkowników zbiorników bezodpływowych na nieczystości ciekłe do zgłaszania tych urządzeń do gminnej ewidencji. Narzucone na gminy działania kontrolne w celu pozyskania danych nie są efektywnym sposobem ich zbierania. Dla poprawy realizacji niniejszych działań jak i realizacji KPOŚK właściwym byłoby doprecyzowanie przepisów. </w:t>
            </w:r>
            <w:r w:rsidRPr="005E78BB">
              <w:rPr>
                <w:rFonts w:ascii="Calibri" w:eastAsia="Times New Roman" w:hAnsi="Calibri" w:cs="Calibri"/>
                <w:color w:val="000000"/>
                <w:sz w:val="18"/>
                <w:szCs w:val="18"/>
                <w:lang w:eastAsia="pl-PL"/>
              </w:rPr>
              <w:br/>
              <w:t>Brak jest powiązania pomiędzy przepisami Prawa budowlanego i Prawa ochrony środowiska dla zgłaszania wójtowi/burmistrzowi/prezydentowi miasta korzystania z przydomowych oczyszczalni ścieków. Użytkownik takiej instalacji oddając budynki i przedmiotową instalację do użytkowania w ramach przepisów Prawa budowlanego nie jest świadomy potrzeby zgłoszenia instalacji do użytkowania, do właściwego włodarza gminy. Dla poprawy realizacji niniejszych działań jak i realizacji KPOŚK właściwym byłoby skoordynowanie przepisów prawa w tym zakresie.</w:t>
            </w:r>
            <w:r w:rsidRPr="005E78BB">
              <w:rPr>
                <w:rFonts w:ascii="Calibri" w:eastAsia="Times New Roman" w:hAnsi="Calibri" w:cs="Calibri"/>
                <w:color w:val="000000"/>
                <w:sz w:val="18"/>
                <w:szCs w:val="18"/>
                <w:lang w:eastAsia="pl-PL"/>
              </w:rPr>
              <w:br/>
              <w:t xml:space="preserve">4. Zwiększenie ilości i retencji wód – grunty rolne. </w:t>
            </w:r>
            <w:r w:rsidRPr="005E78BB">
              <w:rPr>
                <w:rFonts w:ascii="Calibri" w:eastAsia="Times New Roman" w:hAnsi="Calibri" w:cs="Calibri"/>
                <w:color w:val="000000"/>
                <w:sz w:val="18"/>
                <w:szCs w:val="18"/>
                <w:lang w:eastAsia="pl-PL"/>
              </w:rPr>
              <w:br/>
              <w:t xml:space="preserve">5. Brak możliwości wpływu samorządu gminnego na utrzymanie urządzeń melioracji wodnych na gruntach prywatnych. </w:t>
            </w:r>
            <w:r w:rsidRPr="005E78BB">
              <w:rPr>
                <w:rFonts w:ascii="Calibri" w:eastAsia="Times New Roman" w:hAnsi="Calibri" w:cs="Calibri"/>
                <w:color w:val="000000"/>
                <w:sz w:val="18"/>
                <w:szCs w:val="18"/>
                <w:lang w:eastAsia="pl-PL"/>
              </w:rPr>
              <w:br/>
              <w:t xml:space="preserve">6. Zwiększenie ilości i czasu retencji – grunty zurbanizowane. </w:t>
            </w:r>
            <w:r w:rsidRPr="005E78BB">
              <w:rPr>
                <w:rFonts w:ascii="Calibri" w:eastAsia="Times New Roman" w:hAnsi="Calibri" w:cs="Calibri"/>
                <w:color w:val="000000"/>
                <w:sz w:val="18"/>
                <w:szCs w:val="18"/>
                <w:lang w:eastAsia="pl-PL"/>
              </w:rPr>
              <w:br/>
              <w:t xml:space="preserve">Brak możliwości nałożenia przez samorząd obowiązku retencjonowania wód poprzez budowę urządzeń retencjonujących na nieruchomościach już zabudowanych, będących w fazie zabudowy, jak równie w dokumentach planistycznych. Przepisy sankcjonują jedynie możliwość nakładania opłaty za uszczelniony teren, co nie jest jednoznaczne z osiągnięciem celu w postaci aktywizacji właścicieli do rozbiórki utwardzeń i budowy urządzeń retencjonujących. </w:t>
            </w:r>
          </w:p>
        </w:tc>
        <w:tc>
          <w:tcPr>
            <w:tcW w:w="3377" w:type="dxa"/>
            <w:shd w:val="clear" w:color="auto" w:fill="auto"/>
            <w:hideMark/>
          </w:tcPr>
          <w:p w14:paraId="55F787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Właściciel/zarządca rzeki winien partycypować w planowaniu i finasowaniu inwestycji związanych z poprawą retencyjności rzek i budowli/urządzeni na  a ich przepływie w granicach gmin/miast. </w:t>
            </w:r>
            <w:r w:rsidRPr="005E78BB">
              <w:rPr>
                <w:rFonts w:ascii="Calibri" w:eastAsia="Times New Roman" w:hAnsi="Calibri" w:cs="Calibri"/>
                <w:color w:val="000000"/>
                <w:sz w:val="18"/>
                <w:szCs w:val="18"/>
                <w:lang w:eastAsia="pl-PL"/>
              </w:rPr>
              <w:br/>
              <w:t>i 4. Dostosowanie przepisów prawa w celu osiągnięcia założeń planistycznych IIa PGW.</w:t>
            </w:r>
            <w:r w:rsidRPr="005E78BB">
              <w:rPr>
                <w:rFonts w:ascii="Calibri" w:eastAsia="Times New Roman" w:hAnsi="Calibri" w:cs="Calibri"/>
                <w:color w:val="000000"/>
                <w:sz w:val="18"/>
                <w:szCs w:val="18"/>
                <w:lang w:eastAsia="pl-PL"/>
              </w:rPr>
              <w:br/>
              <w:t>Dostosowanie przepisów prawa w celu poprawy stosunków wodnych i zaprogramowanego zatrzymywania wody w gruncie i jej stopniowego wykorzystywania w celach środowiskowych z uwzględnienie wpływu na  wykonywanie  prawa własności.</w:t>
            </w:r>
          </w:p>
        </w:tc>
        <w:tc>
          <w:tcPr>
            <w:tcW w:w="3401" w:type="dxa"/>
            <w:shd w:val="clear" w:color="auto" w:fill="auto"/>
            <w:hideMark/>
          </w:tcPr>
          <w:p w14:paraId="140988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Zwiększenie retencji wody opadowej wyeliminuje lub zmniejszy zalewanie obszarów zurbanizowanych oraz koszty społeczne i ekonomicznych tych zjawisk, podniesie bezpieczeństwo terenów zalewanych, ureguluje gospodarkę wodną, wpłynie na poprawę jakości wód w rzece, wspomoże adaptację do zmian klimatu. </w:t>
            </w:r>
          </w:p>
        </w:tc>
        <w:tc>
          <w:tcPr>
            <w:tcW w:w="1918" w:type="dxa"/>
            <w:shd w:val="clear" w:color="auto" w:fill="auto"/>
            <w:hideMark/>
          </w:tcPr>
          <w:p w14:paraId="4CC9C8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0B46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F97B38E" w14:textId="2A79B5B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Przedmiotem IIaPGW nie jest stricte poprawa stanu ilościowego wód, czy zagadnienia związane z retencją a poprawa ich stanu jakościowego - osiągnięcie dobrego stanu wód.</w:t>
            </w:r>
            <w:r w:rsidRPr="005E78BB">
              <w:rPr>
                <w:rFonts w:ascii="Calibri" w:eastAsia="Times New Roman" w:hAnsi="Calibri" w:cs="Calibri"/>
                <w:color w:val="000000"/>
                <w:sz w:val="18"/>
                <w:szCs w:val="18"/>
                <w:lang w:eastAsia="pl-PL"/>
              </w:rPr>
              <w:br/>
              <w:t xml:space="preserve">Działania zmierzające do zwiększenia retencji w obszarach rolniczych zostały wskazane tylko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gdzie zidentyfikowane zostało występowanie wysokiego ryzyka suszy (w oparciu o PPSS) wraz z dominującym źródłem presji zanieczyszczających, które stanowi rolnictwo (w oparciu o PMŚ i opracowanie "Analiza znaczących oddziaływań antropogenicznych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W odniesieniu do części uwagi dotyczącej uporządkowania i poprawy infrastruktury ściekowej, wskazać należy, iż zgodnie z Ustawą z dnia 13 września 1996 r. o utrzymaniu czystości i porządku w gminach (test jednolity Dz.U. z 2020 r. poz. 1439) art. 3 ust. 3: 3. Gminy prowadzą, w formie umożliwiającej przekazywanie informacji w postaci elektronicznej, ewidencję: 1) zbiorników bezodpływowych w celu kontroli częstotliwości ich opróżniania oraz w celu opracowania planu rozwoju sieci kanalizacyjnej; 2) przydomowych oczyszczalni ścieków w celu kontroli częstotliwości i sposobu pozbywania się komunalnych osadów ściekowych oraz w celu opracowania planu rozwoju sieci kanalizacyjnej.Mając na uwadze, ze władze gminy mają informację o nieruchomościach przyłączonych do zbiorczego systemu kanalizacji oraz zgodnie z art. 3 ust. 3 pkt 1 i 2, gminy poprzez obowiązek kontroli, mogą zweryfikować czy właściciele z nieruchomości niepodłączonych do kanalizacji wywiązują się z obowiązku wywożenia nieczystości w oparciu o dokumenty wspomniane w art. 6 ust. 1 pkt 1 ww ustawy. A w przypadku niewywiązania się z tego obowiązku podjąć stosowne działania.</w:t>
            </w:r>
          </w:p>
        </w:tc>
      </w:tr>
      <w:tr w:rsidR="0085319C" w:rsidRPr="005E78BB" w14:paraId="24759D17" w14:textId="77777777" w:rsidTr="00E92AE6">
        <w:trPr>
          <w:trHeight w:val="454"/>
        </w:trPr>
        <w:tc>
          <w:tcPr>
            <w:tcW w:w="562" w:type="dxa"/>
            <w:shd w:val="clear" w:color="auto" w:fill="auto"/>
            <w:hideMark/>
          </w:tcPr>
          <w:p w14:paraId="32F360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292</w:t>
            </w:r>
          </w:p>
        </w:tc>
        <w:tc>
          <w:tcPr>
            <w:tcW w:w="1021" w:type="dxa"/>
          </w:tcPr>
          <w:p w14:paraId="47052242" w14:textId="448E70B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30" w:type="dxa"/>
            <w:shd w:val="clear" w:color="auto" w:fill="auto"/>
            <w:hideMark/>
          </w:tcPr>
          <w:p w14:paraId="1AEC4E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69562F4" w14:textId="58D7A38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WYKAZ INWESTYCJI I DZIAŁAŃ </w:t>
            </w:r>
            <w:r w:rsidRPr="005E78BB">
              <w:rPr>
                <w:rFonts w:ascii="Calibri" w:eastAsia="Times New Roman" w:hAnsi="Calibri" w:cs="Calibri"/>
                <w:color w:val="000000"/>
                <w:sz w:val="18"/>
                <w:szCs w:val="18"/>
                <w:lang w:eastAsia="pl-PL"/>
              </w:rPr>
              <w:br w:type="page"/>
              <w:t xml:space="preserve">Charakterystyka planowanej inwestycji lub działania: </w:t>
            </w:r>
            <w:r w:rsidRPr="005E78BB">
              <w:rPr>
                <w:rFonts w:ascii="Calibri" w:eastAsia="Times New Roman" w:hAnsi="Calibri" w:cs="Calibri"/>
                <w:color w:val="000000"/>
                <w:sz w:val="18"/>
                <w:szCs w:val="18"/>
                <w:lang w:eastAsia="pl-PL"/>
              </w:rPr>
              <w:br w:type="page"/>
              <w:t>Nazwa inwestycji lub działania: "Wydobycie węgla kamiennego i metanu jako kopaliny towarzyszacej ze złoża ""Borynia""  na podstawie koncesji nr 7/2009 z dnia 27.10.2009 r. "</w:t>
            </w:r>
            <w:r w:rsidRPr="005E78BB">
              <w:rPr>
                <w:rFonts w:ascii="Calibri" w:eastAsia="Times New Roman" w:hAnsi="Calibri" w:cs="Calibri"/>
                <w:color w:val="000000"/>
                <w:sz w:val="18"/>
                <w:szCs w:val="18"/>
                <w:lang w:eastAsia="pl-PL"/>
              </w:rPr>
              <w:br w:type="page"/>
              <w:t>Nazwa inwestycji wg aPGW z 2016 r. (lub: nie dotyczy): nie dotyczy</w:t>
            </w:r>
            <w:r w:rsidRPr="005E78BB">
              <w:rPr>
                <w:rFonts w:ascii="Calibri" w:eastAsia="Times New Roman" w:hAnsi="Calibri" w:cs="Calibri"/>
                <w:color w:val="000000"/>
                <w:sz w:val="18"/>
                <w:szCs w:val="18"/>
                <w:lang w:eastAsia="pl-PL"/>
              </w:rPr>
              <w:br w:type="page"/>
              <w:t>ID inwestycji lub działania wg aPGW z 2016 r. (lub: nie dotyczy): nie dotyczy</w:t>
            </w:r>
            <w:r w:rsidRPr="005E78BB">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5E78BB">
              <w:rPr>
                <w:rFonts w:ascii="Calibri" w:eastAsia="Times New Roman" w:hAnsi="Calibri" w:cs="Calibri"/>
                <w:color w:val="000000"/>
                <w:sz w:val="18"/>
                <w:szCs w:val="18"/>
                <w:lang w:eastAsia="pl-PL"/>
              </w:rPr>
              <w:br w:type="page"/>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5E78BB">
              <w:rPr>
                <w:rFonts w:ascii="Calibri" w:eastAsia="Times New Roman" w:hAnsi="Calibri" w:cs="Calibri"/>
                <w:color w:val="000000"/>
                <w:sz w:val="18"/>
                <w:szCs w:val="18"/>
                <w:lang w:eastAsia="pl-PL"/>
              </w:rPr>
              <w:br w:type="page"/>
              <w:t>Data zakończenia inwestycji lub działania (planowana lub rzeczywista): planowana 2025-12-31</w:t>
            </w:r>
            <w:r w:rsidRPr="005E78BB">
              <w:rPr>
                <w:rFonts w:ascii="Calibri" w:eastAsia="Times New Roman" w:hAnsi="Calibri" w:cs="Calibri"/>
                <w:color w:val="000000"/>
                <w:sz w:val="18"/>
                <w:szCs w:val="18"/>
                <w:lang w:eastAsia="pl-PL"/>
              </w:rPr>
              <w:br w:type="page"/>
              <w:t>Szacunkowe korzyści: Zabezpieczenie strategicznego surowca do produkcji stali  w Polsce i Unii Europejskiej. Rozwój innowacyjnej gospodarki niskoemisyjnej i nowoczesnej infrastruktury.</w:t>
            </w:r>
            <w:r w:rsidRPr="005E78BB">
              <w:rPr>
                <w:rFonts w:ascii="Calibri" w:eastAsia="Times New Roman" w:hAnsi="Calibri" w:cs="Calibri"/>
                <w:color w:val="000000"/>
                <w:sz w:val="18"/>
                <w:szCs w:val="18"/>
                <w:lang w:eastAsia="pl-PL"/>
              </w:rPr>
              <w:br w:type="page"/>
              <w:t>Decyzja (decyzje) o środowiskowych uwarunkowaniach: Data wydania decyzji - 23.11.2016 r. ; Organ wydający decyzję - Regionalny Dyrektor Ochrony Środowiska w Katowicach; Znak - WOOŚ.4235.2.2016.AS3.15</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Lokalizacja planowanej inwestycji lub działania:</w:t>
            </w:r>
            <w:r w:rsidRPr="005E78BB">
              <w:rPr>
                <w:rFonts w:ascii="Calibri" w:eastAsia="Times New Roman" w:hAnsi="Calibri" w:cs="Calibri"/>
                <w:color w:val="000000"/>
                <w:sz w:val="18"/>
                <w:szCs w:val="18"/>
                <w:lang w:eastAsia="pl-PL"/>
              </w:rPr>
              <w:br w:type="page"/>
              <w:t>Województwo (województwa): śląskie</w:t>
            </w:r>
            <w:r w:rsidRPr="005E78BB">
              <w:rPr>
                <w:rFonts w:ascii="Calibri" w:eastAsia="Times New Roman" w:hAnsi="Calibri" w:cs="Calibri"/>
                <w:color w:val="000000"/>
                <w:sz w:val="18"/>
                <w:szCs w:val="18"/>
                <w:lang w:eastAsia="pl-PL"/>
              </w:rPr>
              <w:br w:type="page"/>
              <w:t>Powiat (powiaty): Jastrzębie-Zdrój, wodzisławski, rybnicki, pszczyński</w:t>
            </w:r>
            <w:r w:rsidRPr="005E78BB">
              <w:rPr>
                <w:rFonts w:ascii="Calibri" w:eastAsia="Times New Roman" w:hAnsi="Calibri" w:cs="Calibri"/>
                <w:color w:val="000000"/>
                <w:sz w:val="18"/>
                <w:szCs w:val="18"/>
                <w:lang w:eastAsia="pl-PL"/>
              </w:rPr>
              <w:br w:type="page"/>
              <w:t xml:space="preserve">Gmina (gminy): Jastrzębie-Zdrój, Mszana, Świerklany, Pawłowice, </w:t>
            </w:r>
            <w:r w:rsidRPr="005E78BB">
              <w:rPr>
                <w:rFonts w:ascii="Calibri" w:eastAsia="Times New Roman" w:hAnsi="Calibri" w:cs="Calibri"/>
                <w:color w:val="000000"/>
                <w:sz w:val="18"/>
                <w:szCs w:val="18"/>
                <w:lang w:eastAsia="pl-PL"/>
              </w:rPr>
              <w:br w:type="page"/>
              <w:t>Dorzecze: Wisły</w:t>
            </w:r>
            <w:r w:rsidRPr="005E78BB">
              <w:rPr>
                <w:rFonts w:ascii="Calibri" w:eastAsia="Times New Roman" w:hAnsi="Calibri" w:cs="Calibri"/>
                <w:color w:val="000000"/>
                <w:sz w:val="18"/>
                <w:szCs w:val="18"/>
                <w:lang w:eastAsia="pl-PL"/>
              </w:rPr>
              <w:br w:type="page"/>
              <w:t>Ciek lub zbiornik wodny (nazwa lub "nie dotyczy"): Pszczynka, Potok Boryński</w:t>
            </w:r>
            <w:r w:rsidRPr="005E78BB">
              <w:rPr>
                <w:rFonts w:ascii="Calibri" w:eastAsia="Times New Roman" w:hAnsi="Calibri" w:cs="Calibri"/>
                <w:color w:val="000000"/>
                <w:sz w:val="18"/>
                <w:szCs w:val="18"/>
                <w:lang w:eastAsia="pl-PL"/>
              </w:rPr>
              <w:br w:type="page"/>
              <w:t xml:space="preserve">Jednolite części wód powierzchniowych (według podziału z aPGW z 2016 r.), w obrębie których była zaplanowana inwestycja lub działanie: nazwa - Pszczynka do Zbiornika Łąka; kod - PLRW200016211653 </w:t>
            </w:r>
            <w:r w:rsidRPr="005E78BB">
              <w:rPr>
                <w:rFonts w:ascii="Calibri" w:eastAsia="Times New Roman" w:hAnsi="Calibri" w:cs="Calibri"/>
                <w:color w:val="000000"/>
                <w:sz w:val="18"/>
                <w:szCs w:val="18"/>
                <w:lang w:eastAsia="pl-PL"/>
              </w:rPr>
              <w:br w:type="page"/>
              <w:t xml:space="preserve">Jednolite części wód powierzchniowych, w obrębie których jest lub będzie realizowana inwestycja lub działanie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kod - RW2000092116559 </w:t>
            </w:r>
            <w:r w:rsidRPr="005E78BB">
              <w:rPr>
                <w:rFonts w:ascii="Calibri" w:eastAsia="Times New Roman" w:hAnsi="Calibri" w:cs="Calibri"/>
                <w:color w:val="000000"/>
                <w:sz w:val="18"/>
                <w:szCs w:val="18"/>
                <w:lang w:eastAsia="pl-PL"/>
              </w:rPr>
              <w:br w:type="page"/>
              <w:t xml:space="preserve">Jednolite części wód powierzchniowych objęte potencjalnym zasięgiem oddziaływania inwestycji lub działania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kod - RW2000092116559 </w:t>
            </w:r>
            <w:r w:rsidRPr="005E78BB">
              <w:rPr>
                <w:rFonts w:ascii="Calibri" w:eastAsia="Times New Roman" w:hAnsi="Calibri" w:cs="Calibri"/>
                <w:color w:val="000000"/>
                <w:sz w:val="18"/>
                <w:szCs w:val="18"/>
                <w:lang w:eastAsia="pl-PL"/>
              </w:rPr>
              <w:br w:type="page"/>
              <w:t>Jednolite części wód podziemnych, w obrębie której jest lub będzie realizowana inwestycja lub działanie (kod/kody): PLGW2000156</w:t>
            </w:r>
            <w:r w:rsidRPr="005E78BB">
              <w:rPr>
                <w:rFonts w:ascii="Calibri" w:eastAsia="Times New Roman" w:hAnsi="Calibri" w:cs="Calibri"/>
                <w:color w:val="000000"/>
                <w:sz w:val="18"/>
                <w:szCs w:val="18"/>
                <w:lang w:eastAsia="pl-PL"/>
              </w:rPr>
              <w:br w:type="page"/>
              <w:t>Jednolite części wód podziemnych objęte potencjalnym zasięgiem oddziaływania inwestycji lub działania (kod/kody): PLGW2000156</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5E78BB">
              <w:rPr>
                <w:rFonts w:ascii="Calibri" w:eastAsia="Times New Roman" w:hAnsi="Calibri" w:cs="Calibri"/>
                <w:color w:val="000000"/>
                <w:sz w:val="18"/>
                <w:szCs w:val="18"/>
                <w:lang w:eastAsia="pl-PL"/>
              </w:rPr>
              <w:br w:type="page"/>
              <w:t xml:space="preserve">Jakie kroki zostały podjęte (i czy są to wszystkie możliwe kroki) zmierzające do ograniczenia niekorzystnego wpływu na stan części wód?: </w:t>
            </w:r>
            <w:r w:rsidRPr="005E78BB">
              <w:rPr>
                <w:rFonts w:ascii="Calibri" w:eastAsia="Times New Roman" w:hAnsi="Calibri" w:cs="Calibri"/>
                <w:color w:val="000000"/>
                <w:sz w:val="18"/>
                <w:szCs w:val="18"/>
                <w:lang w:eastAsia="pl-PL"/>
              </w:rPr>
              <w:br w:type="page"/>
              <w:t xml:space="preserve">"Główne kierunki działań JSW S.A. w celu ochrony wód powierzchniowych przed zasoleniem dotyczą: </w:t>
            </w:r>
            <w:r w:rsidRPr="005E78BB">
              <w:rPr>
                <w:rFonts w:ascii="Calibri" w:eastAsia="Times New Roman" w:hAnsi="Calibri" w:cs="Calibri"/>
                <w:color w:val="000000"/>
                <w:sz w:val="18"/>
                <w:szCs w:val="18"/>
                <w:lang w:eastAsia="pl-PL"/>
              </w:rPr>
              <w:br w:type="page"/>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5E78BB">
              <w:rPr>
                <w:rFonts w:ascii="Calibri" w:eastAsia="Times New Roman" w:hAnsi="Calibri" w:cs="Calibri"/>
                <w:color w:val="000000"/>
                <w:sz w:val="18"/>
                <w:szCs w:val="18"/>
                <w:lang w:eastAsia="pl-PL"/>
              </w:rPr>
              <w:br w:type="page"/>
              <w:t>- zagospodarowania niewykorzystanych wód z odwodnienia kopalń Grupy poprzez:</w:t>
            </w:r>
            <w:r w:rsidRPr="005E78BB">
              <w:rPr>
                <w:rFonts w:ascii="Calibri" w:eastAsia="Times New Roman" w:hAnsi="Calibri" w:cs="Calibri"/>
                <w:color w:val="000000"/>
                <w:sz w:val="18"/>
                <w:szCs w:val="18"/>
                <w:lang w:eastAsia="pl-PL"/>
              </w:rPr>
              <w:br w:type="page"/>
              <w:t xml:space="preserve">  - dozowanie do rzeki Odry z wykorzystaniem metody hydrotechnicznej tj. systemu retencyjno-dozującego „Olza” (kopalnie „Borynia-Zofiówka”, „Jastrzębie-Bzie” i „Pniówek”), </w:t>
            </w:r>
            <w:r w:rsidRPr="005E78BB">
              <w:rPr>
                <w:rFonts w:ascii="Calibri" w:eastAsia="Times New Roman" w:hAnsi="Calibri" w:cs="Calibri"/>
                <w:color w:val="000000"/>
                <w:sz w:val="18"/>
                <w:szCs w:val="18"/>
                <w:lang w:eastAsia="pl-PL"/>
              </w:rPr>
              <w:br w:type="page"/>
              <w:t xml:space="preserve">  - odsalanie w zakładzie odsalania w Dębieńsku (kopalnia „Budryk”),</w:t>
            </w:r>
            <w:r w:rsidRPr="005E78BB">
              <w:rPr>
                <w:rFonts w:ascii="Calibri" w:eastAsia="Times New Roman" w:hAnsi="Calibri" w:cs="Calibri"/>
                <w:color w:val="000000"/>
                <w:sz w:val="18"/>
                <w:szCs w:val="18"/>
                <w:lang w:eastAsia="pl-PL"/>
              </w:rPr>
              <w:br w:type="page"/>
              <w:t xml:space="preserve">  - wprowadzanie w sposób kontrolowany do wód powierzchniowych zgodnie z warunkami określonymi w obowiązujących przepisach (kopalnia „Knurów-Szczygłowice”). </w:t>
            </w:r>
            <w:r w:rsidRPr="005E78BB">
              <w:rPr>
                <w:rFonts w:ascii="Calibri" w:eastAsia="Times New Roman" w:hAnsi="Calibri" w:cs="Calibri"/>
                <w:color w:val="000000"/>
                <w:sz w:val="18"/>
                <w:szCs w:val="18"/>
                <w:lang w:eastAsia="pl-PL"/>
              </w:rPr>
              <w:br w:type="page"/>
              <w:t xml:space="preserve">-doskonalenia systemu retencyjno-dozującego „Olza” poprzez kontynuowanie prac modernizacyjno-remontowych. </w:t>
            </w:r>
            <w:r w:rsidRPr="005E78BB">
              <w:rPr>
                <w:rFonts w:ascii="Calibri" w:eastAsia="Times New Roman" w:hAnsi="Calibri" w:cs="Calibri"/>
                <w:color w:val="000000"/>
                <w:sz w:val="18"/>
                <w:szCs w:val="18"/>
                <w:lang w:eastAsia="pl-PL"/>
              </w:rPr>
              <w:br w:type="page"/>
              <w:t xml:space="preserve">System ""Olza"" zbudowany został celu zabezpieczenia rzek i zbiorników wodnych przed zanieczyszczeniem zasolonymi wodami z odwodnienia kopalń. W skład systemu wchodzą: zbiorniki, pompownie, rurociągi oraz systemy sterowania i monitorowania. </w:t>
            </w:r>
            <w:r w:rsidRPr="005E78BB">
              <w:rPr>
                <w:rFonts w:ascii="Calibri" w:eastAsia="Times New Roman" w:hAnsi="Calibri" w:cs="Calibri"/>
                <w:color w:val="000000"/>
                <w:sz w:val="18"/>
                <w:szCs w:val="18"/>
                <w:lang w:eastAsia="pl-PL"/>
              </w:rPr>
              <w:br w:type="page"/>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5E78BB">
              <w:rPr>
                <w:rFonts w:ascii="Calibri" w:eastAsia="Times New Roman" w:hAnsi="Calibri" w:cs="Calibri"/>
                <w:color w:val="000000"/>
                <w:sz w:val="18"/>
                <w:szCs w:val="18"/>
                <w:lang w:eastAsia="pl-PL"/>
              </w:rPr>
              <w:br w:type="page"/>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5E78BB">
              <w:rPr>
                <w:rFonts w:ascii="Calibri" w:eastAsia="Times New Roman" w:hAnsi="Calibri" w:cs="Calibri"/>
                <w:color w:val="000000"/>
                <w:sz w:val="18"/>
                <w:szCs w:val="18"/>
                <w:lang w:eastAsia="pl-PL"/>
              </w:rPr>
              <w:br w:type="page"/>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 </w:t>
            </w:r>
            <w:r w:rsidRPr="005E78BB">
              <w:rPr>
                <w:rFonts w:ascii="Calibri" w:eastAsia="Times New Roman" w:hAnsi="Calibri" w:cs="Calibri"/>
                <w:color w:val="000000"/>
                <w:sz w:val="18"/>
                <w:szCs w:val="18"/>
                <w:lang w:eastAsia="pl-PL"/>
              </w:rPr>
              <w:br w:type="page"/>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5E78BB">
              <w:rPr>
                <w:rFonts w:ascii="Calibri" w:eastAsia="Times New Roman" w:hAnsi="Calibri" w:cs="Calibri"/>
                <w:color w:val="000000"/>
                <w:sz w:val="18"/>
                <w:szCs w:val="18"/>
                <w:lang w:eastAsia="pl-PL"/>
              </w:rPr>
              <w:br w:type="page"/>
              <w:t xml:space="preserve">Grupa Kapitałowa JSW jest największym producentem wysokiej jakości węgla koksowego hard w Unii Europejskiej i jednym z wiodących producentów koksu używanego do wytopu stali. </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 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Górnictwo i związane z tą branżą sektory gospodarki mają również istotne znaczenie społeczno gospodarcze, gdyż stanowią kluczowych pracodawców w regionie. Wobec powyższego należy uznać, że rozwój przemysłu wydobywczego leży w interesie społecznym."</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ype="page"/>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ype="page"/>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5E78BB">
              <w:rPr>
                <w:rFonts w:ascii="Calibri" w:eastAsia="Times New Roman" w:hAnsi="Calibri" w:cs="Calibri"/>
                <w:color w:val="000000"/>
                <w:sz w:val="18"/>
                <w:szCs w:val="18"/>
                <w:lang w:eastAsia="pl-PL"/>
              </w:rPr>
              <w:br w:type="page"/>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C0210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6445F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80FC2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A994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7BC0E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1A7ECEA2" w14:textId="77777777" w:rsidTr="00E92AE6">
        <w:trPr>
          <w:trHeight w:val="454"/>
        </w:trPr>
        <w:tc>
          <w:tcPr>
            <w:tcW w:w="562" w:type="dxa"/>
            <w:shd w:val="clear" w:color="auto" w:fill="auto"/>
            <w:hideMark/>
          </w:tcPr>
          <w:p w14:paraId="4F18442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293</w:t>
            </w:r>
          </w:p>
        </w:tc>
        <w:tc>
          <w:tcPr>
            <w:tcW w:w="1021" w:type="dxa"/>
          </w:tcPr>
          <w:p w14:paraId="3D0065B6" w14:textId="27873D4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30" w:type="dxa"/>
            <w:shd w:val="clear" w:color="auto" w:fill="auto"/>
            <w:hideMark/>
          </w:tcPr>
          <w:p w14:paraId="28B375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7C0D7B4" w14:textId="54249C22"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WYKAZ INWESTYCJI I DZIAŁAŃ Charakterystyka planowanej inwestycji lub działania:</w:t>
            </w:r>
            <w:r w:rsidRPr="005E78BB">
              <w:rPr>
                <w:rFonts w:ascii="Calibri" w:eastAsia="Times New Roman" w:hAnsi="Calibri" w:cs="Calibri"/>
                <w:color w:val="000000"/>
                <w:sz w:val="18"/>
                <w:szCs w:val="18"/>
                <w:lang w:eastAsia="pl-PL"/>
              </w:rPr>
              <w:br/>
              <w:t>Nazwa inwestycji lub działania: "Wydobycie węgla kamiennego i metanu jako kopaliny towarzyszacej ze złoża ""Zofiówka"" na podstawie koncesji nr 5/2010 z dnia 14.05.2010 r. "</w:t>
            </w:r>
            <w:r w:rsidRPr="005E78BB">
              <w:rPr>
                <w:rFonts w:ascii="Calibri" w:eastAsia="Times New Roman" w:hAnsi="Calibri" w:cs="Calibri"/>
                <w:color w:val="000000"/>
                <w:sz w:val="18"/>
                <w:szCs w:val="18"/>
                <w:lang w:eastAsia="pl-PL"/>
              </w:rPr>
              <w:br/>
              <w:t>Nazwa inwestycji wg aPGW z 2016 r. (lub: nie dotyczy): nie dotyczy</w:t>
            </w:r>
            <w:r w:rsidRPr="005E78BB">
              <w:rPr>
                <w:rFonts w:ascii="Calibri" w:eastAsia="Times New Roman" w:hAnsi="Calibri" w:cs="Calibri"/>
                <w:color w:val="000000"/>
                <w:sz w:val="18"/>
                <w:szCs w:val="18"/>
                <w:lang w:eastAsia="pl-PL"/>
              </w:rPr>
              <w:br/>
              <w:t>ID inwestycji lub działania wg aPGW z 2016 r. (lub: nie dotyczy): nie dotyczy</w:t>
            </w:r>
            <w:r w:rsidRPr="005E78BB">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5E78BB">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5E78BB">
              <w:rPr>
                <w:rFonts w:ascii="Calibri" w:eastAsia="Times New Roman" w:hAnsi="Calibri" w:cs="Calibri"/>
                <w:color w:val="000000"/>
                <w:sz w:val="18"/>
                <w:szCs w:val="18"/>
                <w:lang w:eastAsia="pl-PL"/>
              </w:rPr>
              <w:br/>
              <w:t>Data zakończenia inwestycji lub działania (planowana lub rzeczywista): planowana 2042-12-31</w:t>
            </w:r>
            <w:r w:rsidRPr="005E78BB">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5E78BB">
              <w:rPr>
                <w:rFonts w:ascii="Calibri" w:eastAsia="Times New Roman" w:hAnsi="Calibri" w:cs="Calibri"/>
                <w:color w:val="000000"/>
                <w:sz w:val="18"/>
                <w:szCs w:val="18"/>
                <w:lang w:eastAsia="pl-PL"/>
              </w:rPr>
              <w:br/>
              <w:t>Decyzja (decyzje) o środowiskowych uwarunkowaniach: Data wydania decyzji: 24.11.2017 r.; Organ wydający decyzję: Regionalny Dyrektor Ochrony Środowiska w Katowicach; Znak: WOOŚ.4235.3.2017.AS3.15</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Lokalizacja planowanej inwestycji lub działania;</w:t>
            </w:r>
            <w:r w:rsidRPr="005E78BB">
              <w:rPr>
                <w:rFonts w:ascii="Calibri" w:eastAsia="Times New Roman" w:hAnsi="Calibri" w:cs="Calibri"/>
                <w:color w:val="000000"/>
                <w:sz w:val="18"/>
                <w:szCs w:val="18"/>
                <w:lang w:eastAsia="pl-PL"/>
              </w:rPr>
              <w:br/>
              <w:t>Województwo (województwa): śląskie</w:t>
            </w:r>
            <w:r w:rsidRPr="005E78BB">
              <w:rPr>
                <w:rFonts w:ascii="Calibri" w:eastAsia="Times New Roman" w:hAnsi="Calibri" w:cs="Calibri"/>
                <w:color w:val="000000"/>
                <w:sz w:val="18"/>
                <w:szCs w:val="18"/>
                <w:lang w:eastAsia="pl-PL"/>
              </w:rPr>
              <w:br/>
              <w:t>Powiat (powiaty): Jastrzębie-Zdrój, wodzisławski, pszczyński</w:t>
            </w:r>
            <w:r w:rsidRPr="005E78BB">
              <w:rPr>
                <w:rFonts w:ascii="Calibri" w:eastAsia="Times New Roman" w:hAnsi="Calibri" w:cs="Calibri"/>
                <w:color w:val="000000"/>
                <w:sz w:val="18"/>
                <w:szCs w:val="18"/>
                <w:lang w:eastAsia="pl-PL"/>
              </w:rPr>
              <w:br/>
              <w:t>Gmina (gminy): Jastrzębie-Zdrój, Mszana, Pawłowice</w:t>
            </w:r>
            <w:r w:rsidRPr="005E78BB">
              <w:rPr>
                <w:rFonts w:ascii="Calibri" w:eastAsia="Times New Roman" w:hAnsi="Calibri" w:cs="Calibri"/>
                <w:color w:val="000000"/>
                <w:sz w:val="18"/>
                <w:szCs w:val="18"/>
                <w:lang w:eastAsia="pl-PL"/>
              </w:rPr>
              <w:br/>
              <w:t>Dorzecze: Wisły</w:t>
            </w:r>
            <w:r w:rsidRPr="005E78BB">
              <w:rPr>
                <w:rFonts w:ascii="Calibri" w:eastAsia="Times New Roman" w:hAnsi="Calibri" w:cs="Calibri"/>
                <w:color w:val="000000"/>
                <w:sz w:val="18"/>
                <w:szCs w:val="18"/>
                <w:lang w:eastAsia="pl-PL"/>
              </w:rPr>
              <w:br/>
              <w:t>Ciek lub zbiornik wodny (nazwa lub "nie dotyczy"): Pszczynka</w:t>
            </w:r>
            <w:r w:rsidRPr="005E78BB">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nazwa - "Pszczynka do Zbiornika Łąka, Strumień (Zbytkowski) "; kod - PLRW200016211653  PLRW200016211158      </w:t>
            </w:r>
            <w:r w:rsidRPr="005E78BB">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Strumień "; kod - RW2000092116559   RW2000092111589      </w:t>
            </w:r>
            <w:r w:rsidRPr="005E78BB">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Strumień "; kod - RW2000092116559   RW2000092111589      </w:t>
            </w:r>
            <w:r w:rsidRPr="005E78BB">
              <w:rPr>
                <w:rFonts w:ascii="Calibri" w:eastAsia="Times New Roman" w:hAnsi="Calibri" w:cs="Calibri"/>
                <w:color w:val="000000"/>
                <w:sz w:val="18"/>
                <w:szCs w:val="18"/>
                <w:lang w:eastAsia="pl-PL"/>
              </w:rPr>
              <w:br/>
              <w:t>Jednolite części wód podziemnych, w obrębie której jest lub będzie realizowana inwestycja lub działanie (kod/kody): "PLGW2000156  PLGW2000162"</w:t>
            </w:r>
            <w:r w:rsidRPr="005E78BB">
              <w:rPr>
                <w:rFonts w:ascii="Calibri" w:eastAsia="Times New Roman" w:hAnsi="Calibri" w:cs="Calibri"/>
                <w:color w:val="000000"/>
                <w:sz w:val="18"/>
                <w:szCs w:val="18"/>
                <w:lang w:eastAsia="pl-PL"/>
              </w:rPr>
              <w:br/>
              <w:t>Jednolite części wód podziemnych objęte potencjalnym zasięgiem oddziaływania inwestycji lub działania (kod/kody): "PLGW2000156  PLGW2000162"</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5E78BB">
              <w:rPr>
                <w:rFonts w:ascii="Calibri" w:eastAsia="Times New Roman" w:hAnsi="Calibri" w:cs="Calibri"/>
                <w:color w:val="000000"/>
                <w:sz w:val="18"/>
                <w:szCs w:val="18"/>
                <w:lang w:eastAsia="pl-PL"/>
              </w:rPr>
              <w:br/>
              <w:t xml:space="preserve">Jakie kroki zostały podjęte (i czy są to wszystkie możliwe kroki) zmierzające do ograniczenia niekorzystnego wpływu na stan części wód?: </w:t>
            </w:r>
            <w:r w:rsidRPr="005E78BB">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5E78BB">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5E78BB">
              <w:rPr>
                <w:rFonts w:ascii="Calibri" w:eastAsia="Times New Roman" w:hAnsi="Calibri" w:cs="Calibri"/>
                <w:color w:val="000000"/>
                <w:sz w:val="18"/>
                <w:szCs w:val="18"/>
                <w:lang w:eastAsia="pl-PL"/>
              </w:rPr>
              <w:br/>
              <w:t>- zagospodarowania niewykorzystanych wód z odwodnienia kopalń Grupy poprzez:</w:t>
            </w:r>
            <w:r w:rsidRPr="005E78BB">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5E78BB">
              <w:rPr>
                <w:rFonts w:ascii="Calibri" w:eastAsia="Times New Roman" w:hAnsi="Calibri" w:cs="Calibri"/>
                <w:color w:val="000000"/>
                <w:sz w:val="18"/>
                <w:szCs w:val="18"/>
                <w:lang w:eastAsia="pl-PL"/>
              </w:rPr>
              <w:br/>
              <w:t xml:space="preserve">  - odsalanie w zakładzie odsalania w Dębieńsku (kopalnia „Budryk”),</w:t>
            </w:r>
            <w:r w:rsidRPr="005E78BB">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5E78BB">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5E78BB">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5E78BB">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5E78BB">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5E78BB">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5E78BB">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5E78BB">
              <w:rPr>
                <w:rFonts w:ascii="Calibri" w:eastAsia="Times New Roman" w:hAnsi="Calibri" w:cs="Calibri"/>
                <w:color w:val="000000"/>
                <w:sz w:val="18"/>
                <w:szCs w:val="18"/>
                <w:lang w:eastAsia="pl-PL"/>
              </w:rPr>
              <w:br/>
              <w:t xml:space="preserve">Grupa Kapitałowa JSW jest największym producentem wysokiej jakości węgla koksowego hard w Unii Europejskiej i jednym z wiodących producentów koksu używanego do wytopu stali. </w:t>
            </w:r>
            <w:r w:rsidRPr="005E78BB">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5E78BB">
              <w:rPr>
                <w:rFonts w:ascii="Calibri" w:eastAsia="Times New Roman" w:hAnsi="Calibri" w:cs="Calibri"/>
                <w:color w:val="000000"/>
                <w:sz w:val="18"/>
                <w:szCs w:val="18"/>
                <w:lang w:eastAsia="pl-PL"/>
              </w:rPr>
              <w:br/>
              <w:t>Górnictwo i związane z tą branżą sektory gospodarki mają również istotne znaczenie społeczno gospodarcze, gdyż stanowią kluczowych pracodawców w regionie.</w:t>
            </w:r>
            <w:r w:rsidRPr="005E78BB">
              <w:rPr>
                <w:rFonts w:ascii="Calibri" w:eastAsia="Times New Roman" w:hAnsi="Calibri" w:cs="Calibri"/>
                <w:color w:val="000000"/>
                <w:sz w:val="18"/>
                <w:szCs w:val="18"/>
                <w:lang w:eastAsia="pl-PL"/>
              </w:rPr>
              <w:br/>
              <w:t>Wobec powyższego należy uznać, że rozwój przemysłu wydobywczego leży w interesie społecznym."</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5E78BB">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5E78BB">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0C1FC1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94F0C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89837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294F1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7094A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168E6268" w14:textId="77777777" w:rsidTr="00E92AE6">
        <w:trPr>
          <w:trHeight w:val="454"/>
        </w:trPr>
        <w:tc>
          <w:tcPr>
            <w:tcW w:w="562" w:type="dxa"/>
            <w:shd w:val="clear" w:color="auto" w:fill="auto"/>
            <w:hideMark/>
          </w:tcPr>
          <w:p w14:paraId="0DC9DF8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294</w:t>
            </w:r>
          </w:p>
        </w:tc>
        <w:tc>
          <w:tcPr>
            <w:tcW w:w="1021" w:type="dxa"/>
          </w:tcPr>
          <w:p w14:paraId="77A6BF87" w14:textId="0A469EF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CEZ Skawina S.A. </w:t>
            </w:r>
          </w:p>
        </w:tc>
        <w:tc>
          <w:tcPr>
            <w:tcW w:w="1630" w:type="dxa"/>
            <w:shd w:val="clear" w:color="auto" w:fill="auto"/>
            <w:hideMark/>
          </w:tcPr>
          <w:p w14:paraId="2C991A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89F8668" w14:textId="3FBA4C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Projekt w drugiej aktualizacji Planów gospodarowania wodami na obszarze dorzecza Wisły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RDW w art. 4 ust. 4-9 dopuszcza warunki, dla zastosowania odstępstwa od osiągnięcia celów środowiskowych dla JCW, w kontekście jakościowym i ilościowym. W szczególności, odstępstwo ustanawiane w trybie art. 4 ust. 5 RDW oraz art. 63 ustawy Prawa wodnego, polega na ustaleniu złagodzonych celów środowiskowych. Jego zastosowanie jest dopuszczalne dla tych JCW, w których warunki naturalne lub działalność człowieka sprawiają, że:</w:t>
            </w:r>
            <w:r w:rsidRPr="005E78BB">
              <w:rPr>
                <w:rFonts w:ascii="Calibri" w:eastAsia="Times New Roman" w:hAnsi="Calibri" w:cs="Calibri"/>
                <w:color w:val="000000"/>
                <w:sz w:val="18"/>
                <w:szCs w:val="18"/>
                <w:lang w:eastAsia="pl-PL"/>
              </w:rPr>
              <w:br/>
              <w:t>1. osiągniecie dobrego stanu wód jest niewykonalne lub/i</w:t>
            </w:r>
            <w:r w:rsidRPr="005E78BB">
              <w:rPr>
                <w:rFonts w:ascii="Calibri" w:eastAsia="Times New Roman" w:hAnsi="Calibri" w:cs="Calibri"/>
                <w:color w:val="000000"/>
                <w:sz w:val="18"/>
                <w:szCs w:val="18"/>
                <w:lang w:eastAsia="pl-PL"/>
              </w:rPr>
              <w:br/>
              <w:t xml:space="preserve">2. nie istnieje wykonalna technicznie alternatywa dla presji  powodowanej działalnością człowieka, lub istnieje - ale jej wdrożenie rodziłoby nieproporcjonalnie wysokie koszty w stosunku do spodziewanych korzyści i jednocześnie byłyby spełnione przesłanki wskazane w ww.przepisach.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Powyższe uwarunkowania są zbieżne z kwestiami możliwości technicznych i uwarunkowań gospodarczych w odniesieniu do rzeki Skawinka od Głogoczówki do ujścia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Nr RW2000092135699), celem ustalenia mniej rygorystycznych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aPGW (2016r.) dla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ustalone zostało odstępstwo wynikające z braku możliwości technicznych osiągnięcia celu środowiskowego. W uzasadnieniu odstępstwa wskazano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występuje presja przemysłowa. W programie działań zaplanowano działanie obejmujące przegląd pozwoleń wodnoprawnych na wprowadzenie ścieków do wód lub do ziemi przez użytkowników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uwagi na zagrożenia osiągnięcia celów środowiskowych, zgodnie z art. 136 ust. 3 ustawy - Prawo wodne, mające na celu szczegółowe rozpoznanie i w rezultacie ograniczenie tej presji tak, aby możliwe było osiągnięcie wskaźników zgodnych z wartościami dobrego stanu. Z uwagi jednak na czas niezbędny dla wdrożenia działań, a także okres niezbędny aby wdrożone działania przyniosły wymierne efektu , dobry stan będzie mogli być osiągnięty do roku 2027."</w:t>
            </w:r>
          </w:p>
        </w:tc>
        <w:tc>
          <w:tcPr>
            <w:tcW w:w="3377" w:type="dxa"/>
            <w:shd w:val="clear" w:color="auto" w:fill="auto"/>
            <w:hideMark/>
          </w:tcPr>
          <w:p w14:paraId="6AF3F7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Załącznik 8 - kolumna 56 - inwestycja z zakresu energetyki. Inwestycja spełnia potrzebę nadrzędnego interesu społecznego - a cele środowiskowe nie mogą być , osiągnięte za pomocą innych działań z uwagi na nieproporcjonalne koszty. </w:t>
            </w:r>
          </w:p>
        </w:tc>
        <w:tc>
          <w:tcPr>
            <w:tcW w:w="3401" w:type="dxa"/>
            <w:shd w:val="clear" w:color="auto" w:fill="auto"/>
            <w:hideMark/>
          </w:tcPr>
          <w:p w14:paraId="2C5E90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 8 - kolumna 56 - uzasadnieniem odstępstwa jest brak korzystniejszych alternatywnych opcji wynikających z dopełnienia obowiązujących wymagań prawnych w zakresie gospodarowania wodą. Eksploatacja elektrowni stanowi nadrzędny interes publiczny o charakterze społecznym i gospodarczym. Jej działalność odbywa się z pożytkiem dla całego społeczeństwa. Inwestycja spełnia konstytucyjną zasadę zrównoważonego rozwoju. Elektrownia wytwarza energię elektryczną i ciepło w wysokosprawnej kogeneracji co stanowi najbardziej efektowny sposób wytwarzania energii elektrycznej i ciepła. Pozwala to na zaoszczędzenie ok. 25-30% paliw oraz ograniczenia emisji zanieczyszczeń. Potencjał wytwórczy elektrowni zapewnia stabilność sieci elektroenergetycznych i obrotu energią elektryczną oraz znacząco wpływa na bezpieczeństwo krajowego systemu elektroenergetycznego. Poza produkcją energii elektrycznej i ciepła, jest dostawcą pary technologicznej dla lokalnych przedsiębiorstw. Kontynuowanie prowadzenia działalności w tym zakresie w przedmiotowej lokalizacji spełnia potrzebę nadrzędnego interesu społecznego, a cele środowiskowe nie mogą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 xml:space="preserve">Zmiana systemu chłodzenia z "otwartego" (zrzut wody prochłodniczej do cieku wodnego) na "zamknięty" przyczyniałby się do wzrostu kosztów wytwarzanie energii elektrycznej, wzrosłaby również emisja zanieczyszczeń, ok. 28,5 tys. Mg CO2/rok, 110 Mg SO2/rok, 57 Mg NOx/rok i w odniesieniu do pyłu całkowitego o ok. 4 Mg/rok. Brak jest bowiem alternatywnych źródeł zaspokojenia potrzeb w wodę, o charakterze technicznym, i niepowodującego nieproporcjonalnych kosztów. </w:t>
            </w:r>
            <w:r w:rsidRPr="005E78BB">
              <w:rPr>
                <w:rFonts w:ascii="Calibri" w:eastAsia="Times New Roman" w:hAnsi="Calibri" w:cs="Calibri"/>
                <w:color w:val="000000"/>
                <w:sz w:val="18"/>
                <w:szCs w:val="18"/>
                <w:lang w:eastAsia="pl-PL"/>
              </w:rPr>
              <w:br/>
              <w:t xml:space="preserve">Dodatkowo negatywnym efektem zmiany istniejącego układu chłodzenia byłby brak możliwości wykorzystania istniejącej elektrowni wodnej MEW Skawina, wytwarzającej czystą energię elektryczną w ilości ok. 4,5 GWh/rok. </w:t>
            </w:r>
            <w:r w:rsidRPr="005E78BB">
              <w:rPr>
                <w:rFonts w:ascii="Calibri" w:eastAsia="Times New Roman" w:hAnsi="Calibri" w:cs="Calibri"/>
                <w:color w:val="000000"/>
                <w:sz w:val="18"/>
                <w:szCs w:val="18"/>
                <w:lang w:eastAsia="pl-PL"/>
              </w:rPr>
              <w:br/>
              <w:t xml:space="preserve">Stosowanie odstępstwa nie wyklucza i nie przeszkadza w osiągnięciu celów RDW w innych częściach wód w tym samym obszarze dorzecza. </w:t>
            </w:r>
          </w:p>
        </w:tc>
        <w:tc>
          <w:tcPr>
            <w:tcW w:w="1918" w:type="dxa"/>
            <w:shd w:val="clear" w:color="auto" w:fill="auto"/>
            <w:hideMark/>
          </w:tcPr>
          <w:p w14:paraId="42E4FF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294_CEZ_Skawina_Wisła</w:t>
            </w:r>
          </w:p>
        </w:tc>
        <w:tc>
          <w:tcPr>
            <w:tcW w:w="1276" w:type="dxa"/>
            <w:shd w:val="clear" w:color="auto" w:fill="auto"/>
            <w:hideMark/>
          </w:tcPr>
          <w:p w14:paraId="66392F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AE24C1A" w14:textId="78DAC2D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RW2000092135699 Skawinka od Głogoczówki do ujścia, której dotyczy uwaga w projekcie IIaPGW przypisano odstępstwa, w tym odstępstwo w trybie art. 4 ust. 5 Ramowej Dyrektywy Wodnej, tj. złagodzenie celów środowiskowych ze względu na istniejące presje (determinujące zły stan wód), wskazując na zaspokajanie przez nie ważnych potrzeb społeczno-gospodarczych.</w:t>
            </w:r>
          </w:p>
        </w:tc>
      </w:tr>
      <w:tr w:rsidR="0085319C" w:rsidRPr="005E78BB" w14:paraId="2C130E5D" w14:textId="77777777" w:rsidTr="00E92AE6">
        <w:trPr>
          <w:trHeight w:val="454"/>
        </w:trPr>
        <w:tc>
          <w:tcPr>
            <w:tcW w:w="562" w:type="dxa"/>
            <w:shd w:val="clear" w:color="auto" w:fill="auto"/>
            <w:hideMark/>
          </w:tcPr>
          <w:p w14:paraId="6F61E4E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295</w:t>
            </w:r>
          </w:p>
        </w:tc>
        <w:tc>
          <w:tcPr>
            <w:tcW w:w="1021" w:type="dxa"/>
          </w:tcPr>
          <w:p w14:paraId="71051DA3" w14:textId="524E33B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30" w:type="dxa"/>
            <w:shd w:val="clear" w:color="auto" w:fill="auto"/>
            <w:hideMark/>
          </w:tcPr>
          <w:p w14:paraId="60C2CF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C97205A" w14:textId="3C5960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WYKAZ INWESTYCJI I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Charakterystyka planowanej inwestycji lub działania</w:t>
            </w:r>
            <w:r w:rsidRPr="005E78BB">
              <w:rPr>
                <w:rFonts w:ascii="Calibri" w:eastAsia="Times New Roman" w:hAnsi="Calibri" w:cs="Calibri"/>
                <w:color w:val="000000"/>
                <w:sz w:val="18"/>
                <w:szCs w:val="18"/>
                <w:lang w:eastAsia="pl-PL"/>
              </w:rPr>
              <w:br w:type="page"/>
              <w:t>Inwestor lub podmiot realizujący: JSW S.A. KWK "Jastrzębie-Bzie"</w:t>
            </w:r>
            <w:r w:rsidRPr="005E78BB">
              <w:rPr>
                <w:rFonts w:ascii="Calibri" w:eastAsia="Times New Roman" w:hAnsi="Calibri" w:cs="Calibri"/>
                <w:color w:val="000000"/>
                <w:sz w:val="18"/>
                <w:szCs w:val="18"/>
                <w:lang w:eastAsia="pl-PL"/>
              </w:rPr>
              <w:br w:type="page"/>
              <w:t>Nazwa inwestycji lub działania: Wydobycie węgla kamiennego i metanu jako kopaliny towarzyszącej ze złoża "Jastrzębie 1" na podstawie koncesji nr 1/2019 z dnia 05.02.2019 r.</w:t>
            </w:r>
            <w:r w:rsidRPr="005E78BB">
              <w:rPr>
                <w:rFonts w:ascii="Calibri" w:eastAsia="Times New Roman" w:hAnsi="Calibri" w:cs="Calibri"/>
                <w:color w:val="000000"/>
                <w:sz w:val="18"/>
                <w:szCs w:val="18"/>
                <w:lang w:eastAsia="pl-PL"/>
              </w:rPr>
              <w:br w:type="page"/>
              <w:t>Nazwa inwestycji wg aPGW z 2016 r. (lub: nie dotyczy): nie dotyczy</w:t>
            </w:r>
            <w:r w:rsidRPr="005E78BB">
              <w:rPr>
                <w:rFonts w:ascii="Calibri" w:eastAsia="Times New Roman" w:hAnsi="Calibri" w:cs="Calibri"/>
                <w:color w:val="000000"/>
                <w:sz w:val="18"/>
                <w:szCs w:val="18"/>
                <w:lang w:eastAsia="pl-PL"/>
              </w:rPr>
              <w:br w:type="page"/>
              <w:t>ID inwestycji lub działania wg aPGW z 2016 r. (lub: nie dotyczy): nie dotyczy</w:t>
            </w:r>
            <w:r w:rsidRPr="005E78BB">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5E78BB">
              <w:rPr>
                <w:rFonts w:ascii="Calibri" w:eastAsia="Times New Roman" w:hAnsi="Calibri" w:cs="Calibri"/>
                <w:color w:val="000000"/>
                <w:sz w:val="18"/>
                <w:szCs w:val="18"/>
                <w:lang w:eastAsia="pl-PL"/>
              </w:rPr>
              <w:br w:type="page"/>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wydobywczym.Węgiel koksowy został uznany za jeden z  surowców krytycznych Unii Europejskiej, mających strategiczne znaczenie dla rozwoju europejskiej gospodarki i wyczerpujących się zasobów."</w:t>
            </w:r>
            <w:r w:rsidRPr="005E78BB">
              <w:rPr>
                <w:rFonts w:ascii="Calibri" w:eastAsia="Times New Roman" w:hAnsi="Calibri" w:cs="Calibri"/>
                <w:color w:val="000000"/>
                <w:sz w:val="18"/>
                <w:szCs w:val="18"/>
                <w:lang w:eastAsia="pl-PL"/>
              </w:rPr>
              <w:br w:type="page"/>
              <w:t>Data zakończenia inwestycji lub działania (planowana lub rzeczywista): planowana 2025-12-31</w:t>
            </w:r>
            <w:r w:rsidRPr="005E78BB">
              <w:rPr>
                <w:rFonts w:ascii="Calibri" w:eastAsia="Times New Roman" w:hAnsi="Calibri" w:cs="Calibri"/>
                <w:color w:val="000000"/>
                <w:sz w:val="18"/>
                <w:szCs w:val="18"/>
                <w:lang w:eastAsia="pl-PL"/>
              </w:rPr>
              <w:br w:type="page"/>
              <w:t>Szacunkowe korzyści: Zabezpieczenie strategicznego surowca do produkcji stali  w Polsce i Unii Europejskiej. Rozwój innowacyjnej gospodarki niskoemisyjnej i nowoczesnej infrastruktury.</w:t>
            </w:r>
            <w:r w:rsidRPr="005E78BB">
              <w:rPr>
                <w:rFonts w:ascii="Calibri" w:eastAsia="Times New Roman" w:hAnsi="Calibri" w:cs="Calibri"/>
                <w:color w:val="000000"/>
                <w:sz w:val="18"/>
                <w:szCs w:val="18"/>
                <w:lang w:eastAsia="pl-PL"/>
              </w:rPr>
              <w:br w:type="page"/>
              <w:t>Decyzja (decyzje) o środowiskowych uwarunkowaniach: Data wydania decyzji - 02.10.2018 r.; Organ wydający decyzję - Regionalny Dyrektor Ochrony Środowiska w Katowicach; Znak - WOOŚ.4235.10.2017.AS3.13</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Lokalizacja planowanej inwestycji lub działania </w:t>
            </w:r>
            <w:r w:rsidRPr="005E78BB">
              <w:rPr>
                <w:rFonts w:ascii="Calibri" w:eastAsia="Times New Roman" w:hAnsi="Calibri" w:cs="Calibri"/>
                <w:color w:val="000000"/>
                <w:sz w:val="18"/>
                <w:szCs w:val="18"/>
                <w:lang w:eastAsia="pl-PL"/>
              </w:rPr>
              <w:br w:type="page"/>
              <w:t>Województwo (województwa): śląskie</w:t>
            </w:r>
            <w:r w:rsidRPr="005E78BB">
              <w:rPr>
                <w:rFonts w:ascii="Calibri" w:eastAsia="Times New Roman" w:hAnsi="Calibri" w:cs="Calibri"/>
                <w:color w:val="000000"/>
                <w:sz w:val="18"/>
                <w:szCs w:val="18"/>
                <w:lang w:eastAsia="pl-PL"/>
              </w:rPr>
              <w:br w:type="page"/>
              <w:t>Powiat (powiaty): Jastrzębie-Zdrój, wodzisławski</w:t>
            </w:r>
            <w:r w:rsidRPr="005E78BB">
              <w:rPr>
                <w:rFonts w:ascii="Calibri" w:eastAsia="Times New Roman" w:hAnsi="Calibri" w:cs="Calibri"/>
                <w:color w:val="000000"/>
                <w:sz w:val="18"/>
                <w:szCs w:val="18"/>
                <w:lang w:eastAsia="pl-PL"/>
              </w:rPr>
              <w:br w:type="page"/>
              <w:t>Gmina (gminy): Jastrzębie-Zdrój, Mszana</w:t>
            </w:r>
            <w:r w:rsidRPr="005E78BB">
              <w:rPr>
                <w:rFonts w:ascii="Calibri" w:eastAsia="Times New Roman" w:hAnsi="Calibri" w:cs="Calibri"/>
                <w:color w:val="000000"/>
                <w:sz w:val="18"/>
                <w:szCs w:val="18"/>
                <w:lang w:eastAsia="pl-PL"/>
              </w:rPr>
              <w:br w:type="page"/>
              <w:t>Dorzecze: Wisły</w:t>
            </w:r>
            <w:r w:rsidRPr="005E78BB">
              <w:rPr>
                <w:rFonts w:ascii="Calibri" w:eastAsia="Times New Roman" w:hAnsi="Calibri" w:cs="Calibri"/>
                <w:color w:val="000000"/>
                <w:sz w:val="18"/>
                <w:szCs w:val="18"/>
                <w:lang w:eastAsia="pl-PL"/>
              </w:rPr>
              <w:br w:type="page"/>
              <w:t>Ciek lub zbiornik wodny (nazwa lub "nie dotyczy"): Pszczynka</w:t>
            </w:r>
            <w:r w:rsidRPr="005E78BB">
              <w:rPr>
                <w:rFonts w:ascii="Calibri" w:eastAsia="Times New Roman" w:hAnsi="Calibri" w:cs="Calibri"/>
                <w:color w:val="000000"/>
                <w:sz w:val="18"/>
                <w:szCs w:val="18"/>
                <w:lang w:eastAsia="pl-PL"/>
              </w:rPr>
              <w:br w:type="page"/>
              <w:t xml:space="preserve">Jednolite części wód powierzchniowych (według podziału z aPGW z 2016 r.), w obrębie których była zaplanowana inwestycja lub działanie: nazwa - Pszczynka do Zbiornika Łąka, kod - PLRW200016211653  </w:t>
            </w:r>
            <w:r w:rsidRPr="005E78BB">
              <w:rPr>
                <w:rFonts w:ascii="Calibri" w:eastAsia="Times New Roman" w:hAnsi="Calibri" w:cs="Calibri"/>
                <w:color w:val="000000"/>
                <w:sz w:val="18"/>
                <w:szCs w:val="18"/>
                <w:lang w:eastAsia="pl-PL"/>
              </w:rPr>
              <w:br w:type="page"/>
              <w:t xml:space="preserve">Jednolite części wód powierzchniowych, w obrębie których jest lub będzie realizowana inwestycja lub działanie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kod - RW2000092116559 </w:t>
            </w:r>
            <w:r w:rsidRPr="005E78BB">
              <w:rPr>
                <w:rFonts w:ascii="Calibri" w:eastAsia="Times New Roman" w:hAnsi="Calibri" w:cs="Calibri"/>
                <w:color w:val="000000"/>
                <w:sz w:val="18"/>
                <w:szCs w:val="18"/>
                <w:lang w:eastAsia="pl-PL"/>
              </w:rPr>
              <w:br w:type="page"/>
              <w:t xml:space="preserve">Jednolite części wód powierzchniowych objęte potencjalnym zasięgiem oddziaływania inwestycji lub działania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 Pszczynka od źródeł zb. Łąka, kod - RW2000092116559 </w:t>
            </w:r>
            <w:r w:rsidRPr="005E78BB">
              <w:rPr>
                <w:rFonts w:ascii="Calibri" w:eastAsia="Times New Roman" w:hAnsi="Calibri" w:cs="Calibri"/>
                <w:color w:val="000000"/>
                <w:sz w:val="18"/>
                <w:szCs w:val="18"/>
                <w:lang w:eastAsia="pl-PL"/>
              </w:rPr>
              <w:br w:type="page"/>
              <w:t>Jednolite części wód podziemnych, w obrębie której jest lub będzie realizowana inwestycja lub działanie (kod/kody): PLGW2000156</w:t>
            </w:r>
            <w:r w:rsidRPr="005E78BB">
              <w:rPr>
                <w:rFonts w:ascii="Calibri" w:eastAsia="Times New Roman" w:hAnsi="Calibri" w:cs="Calibri"/>
                <w:color w:val="000000"/>
                <w:sz w:val="18"/>
                <w:szCs w:val="18"/>
                <w:lang w:eastAsia="pl-PL"/>
              </w:rPr>
              <w:br w:type="page"/>
              <w:t>Jednolite części wód podziemnych objęte potencjalnym zasięgiem oddziaływania inwestycji lub działania (kod/kody): PLGW2000156</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5E78BB">
              <w:rPr>
                <w:rFonts w:ascii="Calibri" w:eastAsia="Times New Roman" w:hAnsi="Calibri" w:cs="Calibri"/>
                <w:color w:val="000000"/>
                <w:sz w:val="18"/>
                <w:szCs w:val="18"/>
                <w:lang w:eastAsia="pl-PL"/>
              </w:rPr>
              <w:br w:type="page"/>
              <w:t>Jakie kroki zostały podjęte (i czy są to wszystkie możliwe kroki) zmierzające do ograniczenia niekorzystnego wpływu na stan części wód?:</w:t>
            </w:r>
            <w:r w:rsidRPr="005E78BB">
              <w:rPr>
                <w:rFonts w:ascii="Calibri" w:eastAsia="Times New Roman" w:hAnsi="Calibri" w:cs="Calibri"/>
                <w:color w:val="000000"/>
                <w:sz w:val="18"/>
                <w:szCs w:val="18"/>
                <w:lang w:eastAsia="pl-PL"/>
              </w:rPr>
              <w:br w:type="page"/>
              <w:t xml:space="preserve">"Główne kierunki działań JSW S.A. w celu ochrony wód powierzchniowych przed zasoleniem dotyczą: </w:t>
            </w:r>
            <w:r w:rsidRPr="005E78BB">
              <w:rPr>
                <w:rFonts w:ascii="Calibri" w:eastAsia="Times New Roman" w:hAnsi="Calibri" w:cs="Calibri"/>
                <w:color w:val="000000"/>
                <w:sz w:val="18"/>
                <w:szCs w:val="18"/>
                <w:lang w:eastAsia="pl-PL"/>
              </w:rPr>
              <w:br w:type="page"/>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5E78BB">
              <w:rPr>
                <w:rFonts w:ascii="Calibri" w:eastAsia="Times New Roman" w:hAnsi="Calibri" w:cs="Calibri"/>
                <w:color w:val="000000"/>
                <w:sz w:val="18"/>
                <w:szCs w:val="18"/>
                <w:lang w:eastAsia="pl-PL"/>
              </w:rPr>
              <w:br w:type="page"/>
              <w:t>- zagospodarowania niewykorzystanych wód z odwodnienia kopalń Grupy poprzez:</w:t>
            </w:r>
            <w:r w:rsidRPr="005E78BB">
              <w:rPr>
                <w:rFonts w:ascii="Calibri" w:eastAsia="Times New Roman" w:hAnsi="Calibri" w:cs="Calibri"/>
                <w:color w:val="000000"/>
                <w:sz w:val="18"/>
                <w:szCs w:val="18"/>
                <w:lang w:eastAsia="pl-PL"/>
              </w:rPr>
              <w:br w:type="page"/>
              <w:t xml:space="preserve">  - dozowanie do rzeki Odry z wykorzystaniem metody hydrotechnicznej tj. systemu retencyjno-dozującego „Olza” (kopalnie „Borynia-Zofiówka”, „Jastrzębie-Bzie” i „Pniówek”), </w:t>
            </w:r>
            <w:r w:rsidRPr="005E78BB">
              <w:rPr>
                <w:rFonts w:ascii="Calibri" w:eastAsia="Times New Roman" w:hAnsi="Calibri" w:cs="Calibri"/>
                <w:color w:val="000000"/>
                <w:sz w:val="18"/>
                <w:szCs w:val="18"/>
                <w:lang w:eastAsia="pl-PL"/>
              </w:rPr>
              <w:br w:type="page"/>
              <w:t xml:space="preserve">  - odsalanie w zakładzie odsalania w Dębieńsku (kopalnia „Budryk”),</w:t>
            </w:r>
            <w:r w:rsidRPr="005E78BB">
              <w:rPr>
                <w:rFonts w:ascii="Calibri" w:eastAsia="Times New Roman" w:hAnsi="Calibri" w:cs="Calibri"/>
                <w:color w:val="000000"/>
                <w:sz w:val="18"/>
                <w:szCs w:val="18"/>
                <w:lang w:eastAsia="pl-PL"/>
              </w:rPr>
              <w:br w:type="page"/>
              <w:t xml:space="preserve">  - wprowadzanie w sposób kontrolowany do wód powierzchniowych zgodnie z warunkami określonymi w obowiązujących przepisach (kopalnia „Knurów-Szczygłowice”). </w:t>
            </w:r>
            <w:r w:rsidRPr="005E78BB">
              <w:rPr>
                <w:rFonts w:ascii="Calibri" w:eastAsia="Times New Roman" w:hAnsi="Calibri" w:cs="Calibri"/>
                <w:color w:val="000000"/>
                <w:sz w:val="18"/>
                <w:szCs w:val="18"/>
                <w:lang w:eastAsia="pl-PL"/>
              </w:rPr>
              <w:br w:type="page"/>
              <w:t xml:space="preserve">-doskonalenia systemu retencyjno-dozującego „Olza” poprzez kontynuowanie prac modernizacyjno-remontowych. </w:t>
            </w:r>
            <w:r w:rsidRPr="005E78BB">
              <w:rPr>
                <w:rFonts w:ascii="Calibri" w:eastAsia="Times New Roman" w:hAnsi="Calibri" w:cs="Calibri"/>
                <w:color w:val="000000"/>
                <w:sz w:val="18"/>
                <w:szCs w:val="18"/>
                <w:lang w:eastAsia="pl-PL"/>
              </w:rPr>
              <w:br w:type="page"/>
              <w:t xml:space="preserve">System ""Olza"" zbudowany został celu zabezpieczenia rzek i zbiorników wodnych przed zanieczyszczeniem zasolonymi wodami z odwodnienia kopalń. W skład systemu wchodzą: zbiorniki, pompownie, rurociągi oraz systemy sterowania i monitorowania. </w:t>
            </w:r>
            <w:r w:rsidRPr="005E78BB">
              <w:rPr>
                <w:rFonts w:ascii="Calibri" w:eastAsia="Times New Roman" w:hAnsi="Calibri" w:cs="Calibri"/>
                <w:color w:val="000000"/>
                <w:sz w:val="18"/>
                <w:szCs w:val="18"/>
                <w:lang w:eastAsia="pl-PL"/>
              </w:rPr>
              <w:br w:type="page"/>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5E78BB">
              <w:rPr>
                <w:rFonts w:ascii="Calibri" w:eastAsia="Times New Roman" w:hAnsi="Calibri" w:cs="Calibri"/>
                <w:color w:val="000000"/>
                <w:sz w:val="18"/>
                <w:szCs w:val="18"/>
                <w:lang w:eastAsia="pl-PL"/>
              </w:rPr>
              <w:br w:type="page"/>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5E78BB">
              <w:rPr>
                <w:rFonts w:ascii="Calibri" w:eastAsia="Times New Roman" w:hAnsi="Calibri" w:cs="Calibri"/>
                <w:color w:val="000000"/>
                <w:sz w:val="18"/>
                <w:szCs w:val="18"/>
                <w:lang w:eastAsia="pl-PL"/>
              </w:rPr>
              <w:br w:type="page"/>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5E78BB">
              <w:rPr>
                <w:rFonts w:ascii="Calibri" w:eastAsia="Times New Roman" w:hAnsi="Calibri" w:cs="Calibri"/>
                <w:color w:val="000000"/>
                <w:sz w:val="18"/>
                <w:szCs w:val="18"/>
                <w:lang w:eastAsia="pl-PL"/>
              </w:rPr>
              <w:br w:type="page"/>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5E78BB">
              <w:rPr>
                <w:rFonts w:ascii="Calibri" w:eastAsia="Times New Roman" w:hAnsi="Calibri" w:cs="Calibri"/>
                <w:color w:val="000000"/>
                <w:sz w:val="18"/>
                <w:szCs w:val="18"/>
                <w:lang w:eastAsia="pl-PL"/>
              </w:rPr>
              <w:br w:type="page"/>
              <w:t xml:space="preserve">Grupa Kapitałowa JSW jest największym producentem wysokiej jakości węgla koksowego hard w Unii Europejskiej i jednym z wiodących producentów koksu używanego do wytopu stali. </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ype="page"/>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5E78BB">
              <w:rPr>
                <w:rFonts w:ascii="Calibri" w:eastAsia="Times New Roman" w:hAnsi="Calibri" w:cs="Calibri"/>
                <w:color w:val="000000"/>
                <w:sz w:val="18"/>
                <w:szCs w:val="18"/>
                <w:lang w:eastAsia="pl-PL"/>
              </w:rPr>
              <w:br w:type="page"/>
              <w:t>Górnictwo i związane z tą branżą sektory gospodarki mają również istotne znaczenie społeczno gospodarcze, gdyż stanowią kluczowych pracodawców w regionie.</w:t>
            </w:r>
            <w:r w:rsidRPr="005E78BB">
              <w:rPr>
                <w:rFonts w:ascii="Calibri" w:eastAsia="Times New Roman" w:hAnsi="Calibri" w:cs="Calibri"/>
                <w:color w:val="000000"/>
                <w:sz w:val="18"/>
                <w:szCs w:val="18"/>
                <w:lang w:eastAsia="pl-PL"/>
              </w:rPr>
              <w:br w:type="page"/>
              <w:t>Wobec powyższego należy uznać, że rozwój przemysłu wydobywczego leży w interesie społecznym."</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ype="page"/>
              <w:t xml:space="preserve"> "Inwestycja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ype="page"/>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5E78BB">
              <w:rPr>
                <w:rFonts w:ascii="Calibri" w:eastAsia="Times New Roman" w:hAnsi="Calibri" w:cs="Calibri"/>
                <w:color w:val="000000"/>
                <w:sz w:val="18"/>
                <w:szCs w:val="18"/>
                <w:lang w:eastAsia="pl-PL"/>
              </w:rPr>
              <w:br w:type="page"/>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CC0E7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4F8591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21A5D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8720C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A4820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2715C9BF" w14:textId="77777777" w:rsidTr="00E92AE6">
        <w:trPr>
          <w:trHeight w:val="454"/>
        </w:trPr>
        <w:tc>
          <w:tcPr>
            <w:tcW w:w="562" w:type="dxa"/>
            <w:shd w:val="clear" w:color="auto" w:fill="auto"/>
            <w:hideMark/>
          </w:tcPr>
          <w:p w14:paraId="721ACD0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296</w:t>
            </w:r>
          </w:p>
        </w:tc>
        <w:tc>
          <w:tcPr>
            <w:tcW w:w="1021" w:type="dxa"/>
          </w:tcPr>
          <w:p w14:paraId="296D79EE" w14:textId="1D22CB3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Urząd Miejski w Pińczowie </w:t>
            </w:r>
          </w:p>
        </w:tc>
        <w:tc>
          <w:tcPr>
            <w:tcW w:w="1630" w:type="dxa"/>
            <w:shd w:val="clear" w:color="auto" w:fill="auto"/>
            <w:hideMark/>
          </w:tcPr>
          <w:p w14:paraId="6830AC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E60A7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 xml:space="preserve">"Zestawienie kierunkowych inwestycji w gospodarce wodnej lub związanych z wodami." nazwa załącznika: Zestawienie inwestycji kierunkowych_dokument towarzyszący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Wnioskuje o włączenie do załącznika planowanej inwestycji w Gminie Pińczów związanej z gospodarowaniem wodą w rolnictwie i przyczyniającej się do zwiększenia zasobów wodnych.  </w:t>
            </w:r>
          </w:p>
        </w:tc>
        <w:tc>
          <w:tcPr>
            <w:tcW w:w="3377" w:type="dxa"/>
            <w:shd w:val="clear" w:color="auto" w:fill="auto"/>
            <w:hideMark/>
          </w:tcPr>
          <w:p w14:paraId="4CFA70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Wnosimy o wpis do ww. Załącznika zadania pn. "Budowa zbiornika retencyjnego Pińczów"w tym opracowanie dokumentacji projektowej wraz z uzyskaniem decyzji administracyjnych. </w:t>
            </w:r>
          </w:p>
        </w:tc>
        <w:tc>
          <w:tcPr>
            <w:tcW w:w="3401" w:type="dxa"/>
            <w:shd w:val="clear" w:color="auto" w:fill="auto"/>
            <w:hideMark/>
          </w:tcPr>
          <w:p w14:paraId="3EBE4B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Zadanie pn. Budowa zbiornika retencyjnego "Pińczów" została zgłoszona w trakcie konsultacji do Programu Przeciwdziałania Niedoborowi Wody (PPNW). </w:t>
            </w:r>
            <w:r w:rsidRPr="005E78BB">
              <w:rPr>
                <w:rFonts w:ascii="Calibri" w:eastAsia="Times New Roman" w:hAnsi="Calibri" w:cs="Calibri"/>
                <w:color w:val="000000"/>
                <w:sz w:val="18"/>
                <w:szCs w:val="18"/>
                <w:lang w:eastAsia="pl-PL"/>
              </w:rPr>
              <w:br/>
              <w:t xml:space="preserve">W Rejonie Wodnym Górnej - Zachodniej Wisły w porównaniu z innymi regionami Wodnymi zlokalizowane jest niewiele zbiorników wodnych (178 obiektów). </w:t>
            </w:r>
            <w:r w:rsidRPr="005E78BB">
              <w:rPr>
                <w:rFonts w:ascii="Calibri" w:eastAsia="Times New Roman" w:hAnsi="Calibri" w:cs="Calibri"/>
                <w:color w:val="000000"/>
                <w:sz w:val="18"/>
                <w:szCs w:val="18"/>
                <w:lang w:eastAsia="pl-PL"/>
              </w:rPr>
              <w:br/>
              <w:t xml:space="preserve">Proponowane do wpisu zadanie wpisuje się w cele szczegółowe PPNW tj.: (propozycje w załączonej ankiecie) </w:t>
            </w:r>
          </w:p>
        </w:tc>
        <w:tc>
          <w:tcPr>
            <w:tcW w:w="1918" w:type="dxa"/>
            <w:shd w:val="clear" w:color="auto" w:fill="auto"/>
            <w:hideMark/>
          </w:tcPr>
          <w:p w14:paraId="256C67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296_UM_Pinczów_Wisła</w:t>
            </w:r>
          </w:p>
        </w:tc>
        <w:tc>
          <w:tcPr>
            <w:tcW w:w="1276" w:type="dxa"/>
            <w:shd w:val="clear" w:color="auto" w:fill="auto"/>
            <w:hideMark/>
          </w:tcPr>
          <w:p w14:paraId="4AC3E6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86B4A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Przywołane w uwadze zestawienie kierunkowych inwestycji w gospodarce wodnej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r w:rsidRPr="005E78BB">
              <w:rPr>
                <w:rFonts w:ascii="Calibri" w:eastAsia="Times New Roman" w:hAnsi="Calibri" w:cs="Calibri"/>
                <w:color w:val="000000"/>
                <w:sz w:val="18"/>
                <w:szCs w:val="18"/>
                <w:lang w:eastAsia="pl-PL"/>
              </w:rPr>
              <w:br/>
              <w:t>Jeżeli natomiast zgłaszający uwagę miał na myśli włączenie inwestycji do Wykaz inwestycji i działań:</w:t>
            </w:r>
            <w:r w:rsidRPr="005E78BB">
              <w:rPr>
                <w:rFonts w:ascii="Calibri" w:eastAsia="Times New Roman" w:hAnsi="Calibri" w:cs="Calibri"/>
                <w:color w:val="000000"/>
                <w:sz w:val="18"/>
                <w:szCs w:val="18"/>
                <w:lang w:eastAsia="pl-PL"/>
              </w:rPr>
              <w:b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71116040" w14:textId="77777777" w:rsidTr="00E92AE6">
        <w:trPr>
          <w:trHeight w:val="454"/>
        </w:trPr>
        <w:tc>
          <w:tcPr>
            <w:tcW w:w="562" w:type="dxa"/>
            <w:shd w:val="clear" w:color="auto" w:fill="auto"/>
            <w:hideMark/>
          </w:tcPr>
          <w:p w14:paraId="09E9758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297</w:t>
            </w:r>
          </w:p>
        </w:tc>
        <w:tc>
          <w:tcPr>
            <w:tcW w:w="1021" w:type="dxa"/>
          </w:tcPr>
          <w:p w14:paraId="4F5FD33B" w14:textId="5ADB181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30" w:type="dxa"/>
            <w:shd w:val="clear" w:color="auto" w:fill="auto"/>
            <w:hideMark/>
          </w:tcPr>
          <w:p w14:paraId="57B77F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593AB37" w14:textId="3DDAEF0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WYKAZ INWESTYCJI I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Charakterystyka planowanej inwestycji lub działania </w:t>
            </w:r>
            <w:r w:rsidRPr="005E78BB">
              <w:rPr>
                <w:rFonts w:ascii="Calibri" w:eastAsia="Times New Roman" w:hAnsi="Calibri" w:cs="Calibri"/>
                <w:color w:val="000000"/>
                <w:sz w:val="18"/>
                <w:szCs w:val="18"/>
                <w:lang w:eastAsia="pl-PL"/>
              </w:rPr>
              <w:br/>
              <w:t>Inwestor lub podmiot realizujący: JSW S.A. KWK "Pniówek"</w:t>
            </w:r>
            <w:r w:rsidRPr="005E78BB">
              <w:rPr>
                <w:rFonts w:ascii="Calibri" w:eastAsia="Times New Roman" w:hAnsi="Calibri" w:cs="Calibri"/>
                <w:color w:val="000000"/>
                <w:sz w:val="18"/>
                <w:szCs w:val="18"/>
                <w:lang w:eastAsia="pl-PL"/>
              </w:rPr>
              <w:br/>
              <w:t>Nazwa inwestycji lub działania: Wydobycie węgla kamiennego i metanu jako kopaliny towarzyszącej ze złoża "Pniówek" na podstawie koncesji nr 5/2019 z dnia 08.11.2019 r. (obowiązuje od 01.01.2020 r.)</w:t>
            </w:r>
            <w:r w:rsidRPr="005E78BB">
              <w:rPr>
                <w:rFonts w:ascii="Calibri" w:eastAsia="Times New Roman" w:hAnsi="Calibri" w:cs="Calibri"/>
                <w:color w:val="000000"/>
                <w:sz w:val="18"/>
                <w:szCs w:val="18"/>
                <w:lang w:eastAsia="pl-PL"/>
              </w:rPr>
              <w:br/>
              <w:t>Nazwa inwestycji wg aPGW z 2016 r. (lub: nie dotyczy): nie dotyczy</w:t>
            </w:r>
            <w:r w:rsidRPr="005E78BB">
              <w:rPr>
                <w:rFonts w:ascii="Calibri" w:eastAsia="Times New Roman" w:hAnsi="Calibri" w:cs="Calibri"/>
                <w:color w:val="000000"/>
                <w:sz w:val="18"/>
                <w:szCs w:val="18"/>
                <w:lang w:eastAsia="pl-PL"/>
              </w:rPr>
              <w:br/>
              <w:t>ID inwestycji lub działania wg aPGW z 2016 r. (lub: nie dotyczy): nie dotyczy</w:t>
            </w:r>
            <w:r w:rsidRPr="005E78BB">
              <w:rPr>
                <w:rFonts w:ascii="Calibri" w:eastAsia="Times New Roman" w:hAnsi="Calibri" w:cs="Calibri"/>
                <w:color w:val="000000"/>
                <w:sz w:val="18"/>
                <w:szCs w:val="18"/>
                <w:lang w:eastAsia="pl-PL"/>
              </w:rPr>
              <w:br/>
              <w:t>Rodzaj inwestycji lub działania [ochrona przeciwpowodziowa, hydroenergetyka, żegluga, wydobywanie kopalin (w tym: odwodnienie górotworu), inne (jakie?)]: Wydobywanie kopalin</w:t>
            </w:r>
            <w:r w:rsidRPr="005E78BB">
              <w:rPr>
                <w:rFonts w:ascii="Calibri" w:eastAsia="Times New Roman" w:hAnsi="Calibri" w:cs="Calibri"/>
                <w:color w:val="000000"/>
                <w:sz w:val="18"/>
                <w:szCs w:val="18"/>
                <w:lang w:eastAsia="pl-PL"/>
              </w:rPr>
              <w:br/>
              <w:t>Cel (cele) inwestycji lub działania: "Wydobycie koksowego węgla kamiennego. 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 Węgiel koksowy został uznany za jeden z  surowców krytycznych Unii Europejskiej, mających strategiczne znaczenie dla rozwoju europejskiej gospodarki i wyczerpujących się zasobów."</w:t>
            </w:r>
            <w:r w:rsidRPr="005E78BB">
              <w:rPr>
                <w:rFonts w:ascii="Calibri" w:eastAsia="Times New Roman" w:hAnsi="Calibri" w:cs="Calibri"/>
                <w:color w:val="000000"/>
                <w:sz w:val="18"/>
                <w:szCs w:val="18"/>
                <w:lang w:eastAsia="pl-PL"/>
              </w:rPr>
              <w:br/>
              <w:t>Data zakończenia inwestycji lub działania (planowana lub rzeczywista): 2051-12-31 planowana</w:t>
            </w:r>
            <w:r w:rsidRPr="005E78BB">
              <w:rPr>
                <w:rFonts w:ascii="Calibri" w:eastAsia="Times New Roman" w:hAnsi="Calibri" w:cs="Calibri"/>
                <w:color w:val="000000"/>
                <w:sz w:val="18"/>
                <w:szCs w:val="18"/>
                <w:lang w:eastAsia="pl-PL"/>
              </w:rPr>
              <w:br/>
              <w:t>Szacunkowe korzyści: Zabezpieczenie strategicznego surowca do produkcji stali  w Polsce i Unii Europejskiej. Rozwój innowacyjnej gospodarki niskoemisyjnej i nowoczesnej infrastruktury.</w:t>
            </w:r>
            <w:r w:rsidRPr="005E78BB">
              <w:rPr>
                <w:rFonts w:ascii="Calibri" w:eastAsia="Times New Roman" w:hAnsi="Calibri" w:cs="Calibri"/>
                <w:color w:val="000000"/>
                <w:sz w:val="18"/>
                <w:szCs w:val="18"/>
                <w:lang w:eastAsia="pl-PL"/>
              </w:rPr>
              <w:br/>
              <w:t>Decyzja (decyzje) o środowiskowych uwarunkowaniach: Data wydania decyzji- 02.10.2018, Organ wydający decyzję- Regionalny Dyrektor Ochrony Środowiska w Katowicach, Znak- WOOŚ.4235.13.2017.KC.15</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Lokalizacja planowanej inwestycji lub działania </w:t>
            </w:r>
            <w:r w:rsidRPr="005E78BB">
              <w:rPr>
                <w:rFonts w:ascii="Calibri" w:eastAsia="Times New Roman" w:hAnsi="Calibri" w:cs="Calibri"/>
                <w:color w:val="000000"/>
                <w:sz w:val="18"/>
                <w:szCs w:val="18"/>
                <w:lang w:eastAsia="pl-PL"/>
              </w:rPr>
              <w:br/>
              <w:t>Województwo (województwa): śląskie</w:t>
            </w:r>
            <w:r w:rsidRPr="005E78BB">
              <w:rPr>
                <w:rFonts w:ascii="Calibri" w:eastAsia="Times New Roman" w:hAnsi="Calibri" w:cs="Calibri"/>
                <w:color w:val="000000"/>
                <w:sz w:val="18"/>
                <w:szCs w:val="18"/>
                <w:lang w:eastAsia="pl-PL"/>
              </w:rPr>
              <w:br/>
              <w:t>Powiat (powiaty): "pszczyński, Jastrzębie-Zdrój"</w:t>
            </w:r>
            <w:r w:rsidRPr="005E78BB">
              <w:rPr>
                <w:rFonts w:ascii="Calibri" w:eastAsia="Times New Roman" w:hAnsi="Calibri" w:cs="Calibri"/>
                <w:color w:val="000000"/>
                <w:sz w:val="18"/>
                <w:szCs w:val="18"/>
                <w:lang w:eastAsia="pl-PL"/>
              </w:rPr>
              <w:br/>
              <w:t>Gmina (gminy): "Pawłowice, Jastrzębie-Zdrój"</w:t>
            </w:r>
            <w:r w:rsidRPr="005E78BB">
              <w:rPr>
                <w:rFonts w:ascii="Calibri" w:eastAsia="Times New Roman" w:hAnsi="Calibri" w:cs="Calibri"/>
                <w:color w:val="000000"/>
                <w:sz w:val="18"/>
                <w:szCs w:val="18"/>
                <w:lang w:eastAsia="pl-PL"/>
              </w:rPr>
              <w:br/>
              <w:t>Dorzecze: Wisły</w:t>
            </w:r>
            <w:r w:rsidRPr="005E78BB">
              <w:rPr>
                <w:rFonts w:ascii="Calibri" w:eastAsia="Times New Roman" w:hAnsi="Calibri" w:cs="Calibri"/>
                <w:color w:val="000000"/>
                <w:sz w:val="18"/>
                <w:szCs w:val="18"/>
                <w:lang w:eastAsia="pl-PL"/>
              </w:rPr>
              <w:br/>
              <w:t>Ciek lub zbiornik wodny (nazwa lub "nie dotyczy"): Pszczynka</w:t>
            </w:r>
            <w:r w:rsidRPr="005E78BB">
              <w:rPr>
                <w:rFonts w:ascii="Calibri" w:eastAsia="Times New Roman" w:hAnsi="Calibri" w:cs="Calibri"/>
                <w:color w:val="000000"/>
                <w:sz w:val="18"/>
                <w:szCs w:val="18"/>
                <w:lang w:eastAsia="pl-PL"/>
              </w:rPr>
              <w:br/>
              <w:t xml:space="preserve">Jednolite części wód powierzchniowych (według podziału z aPGW z 2016 r.), w obrębie których była zaplanowana inwestycja lub działanie: nazwa- "Pszczynka do Zbiornika Łąka, Strumień (Zbytkowski) ",  kod - PLRW200016211653  PLRW200016211158 , </w:t>
            </w:r>
            <w:r w:rsidRPr="005E78BB">
              <w:rPr>
                <w:rFonts w:ascii="Calibri" w:eastAsia="Times New Roman" w:hAnsi="Calibri" w:cs="Calibri"/>
                <w:color w:val="000000"/>
                <w:sz w:val="18"/>
                <w:szCs w:val="18"/>
                <w:lang w:eastAsia="pl-PL"/>
              </w:rPr>
              <w:br/>
              <w:t xml:space="preserve">Jednolite części wód powierzchniowych, w obrębie których jest lub będzie realizowana inwestycja lub działanie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"Pszczynka od źródeł zb. Łąka Strumień " , kod- RW2000092116559   RW2000092111589      </w:t>
            </w:r>
            <w:r w:rsidRPr="005E78BB">
              <w:rPr>
                <w:rFonts w:ascii="Calibri" w:eastAsia="Times New Roman" w:hAnsi="Calibri" w:cs="Calibri"/>
                <w:color w:val="000000"/>
                <w:sz w:val="18"/>
                <w:szCs w:val="18"/>
                <w:lang w:eastAsia="pl-PL"/>
              </w:rPr>
              <w:br/>
              <w:t xml:space="preserve">Jednolite części wód powierzchniowych objęte potencjalnym zasięgiem oddziaływania inwestycji lub działania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"Pszczynka od źródeł zb. Łąka Strumień ", kod- RW2000092116559   RW2000092111589      </w:t>
            </w:r>
            <w:r w:rsidRPr="005E78BB">
              <w:rPr>
                <w:rFonts w:ascii="Calibri" w:eastAsia="Times New Roman" w:hAnsi="Calibri" w:cs="Calibri"/>
                <w:color w:val="000000"/>
                <w:sz w:val="18"/>
                <w:szCs w:val="18"/>
                <w:lang w:eastAsia="pl-PL"/>
              </w:rPr>
              <w:br/>
              <w:t>Jednolite części wód podziemnych, w obrębie której jest lub będzie realizowana inwestycja lub działanie (kod/kody): "PLGW2000156</w:t>
            </w:r>
            <w:r w:rsidRPr="005E78BB">
              <w:rPr>
                <w:rFonts w:ascii="Calibri" w:eastAsia="Times New Roman" w:hAnsi="Calibri" w:cs="Calibri"/>
                <w:color w:val="000000"/>
                <w:sz w:val="18"/>
                <w:szCs w:val="18"/>
                <w:lang w:eastAsia="pl-PL"/>
              </w:rPr>
              <w:br/>
              <w:t>PLGW2000162  "</w:t>
            </w:r>
            <w:r w:rsidRPr="005E78BB">
              <w:rPr>
                <w:rFonts w:ascii="Calibri" w:eastAsia="Times New Roman" w:hAnsi="Calibri" w:cs="Calibri"/>
                <w:color w:val="000000"/>
                <w:sz w:val="18"/>
                <w:szCs w:val="18"/>
                <w:lang w:eastAsia="pl-PL"/>
              </w:rPr>
              <w:br/>
              <w:t>Jednolite części wód podziemnych objęte potencjalnym zasięgiem oddziaływania inwestycji lub działania (kod/kody): "PLGW2000156</w:t>
            </w:r>
            <w:r w:rsidRPr="005E78BB">
              <w:rPr>
                <w:rFonts w:ascii="Calibri" w:eastAsia="Times New Roman" w:hAnsi="Calibri" w:cs="Calibri"/>
                <w:color w:val="000000"/>
                <w:sz w:val="18"/>
                <w:szCs w:val="18"/>
                <w:lang w:eastAsia="pl-PL"/>
              </w:rPr>
              <w:br/>
              <w:t>PLGW2000162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Informacja o przesłankach zastosowania odstępstwa w trybie art. 4 ust. 7 RDW (art. 68 pkt. 1, 3, 4 PW) </w:t>
            </w:r>
            <w:r w:rsidRPr="005E78BB">
              <w:rPr>
                <w:rFonts w:ascii="Calibri" w:eastAsia="Times New Roman" w:hAnsi="Calibri" w:cs="Calibri"/>
                <w:color w:val="000000"/>
                <w:sz w:val="18"/>
                <w:szCs w:val="18"/>
                <w:lang w:eastAsia="pl-PL"/>
              </w:rPr>
              <w:br/>
              <w:t>Jakie kroki zostały podjęte (i czy są to wszystkie możliwe kroki) zmierzające do ograniczenia niekorzystnego wpływu na stan części wód?:</w:t>
            </w:r>
            <w:r w:rsidRPr="005E78BB">
              <w:rPr>
                <w:rFonts w:ascii="Calibri" w:eastAsia="Times New Roman" w:hAnsi="Calibri" w:cs="Calibri"/>
                <w:color w:val="000000"/>
                <w:sz w:val="18"/>
                <w:szCs w:val="18"/>
                <w:lang w:eastAsia="pl-PL"/>
              </w:rPr>
              <w:br/>
              <w:t xml:space="preserve">"Główne kierunki działań JSW S.A. w celu ochrony wód powierzchniowych przed zasoleniem dotyczą: </w:t>
            </w:r>
            <w:r w:rsidRPr="005E78BB">
              <w:rPr>
                <w:rFonts w:ascii="Calibri" w:eastAsia="Times New Roman" w:hAnsi="Calibri" w:cs="Calibri"/>
                <w:color w:val="000000"/>
                <w:sz w:val="18"/>
                <w:szCs w:val="18"/>
                <w:lang w:eastAsia="pl-PL"/>
              </w:rPr>
              <w:br/>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5E78BB">
              <w:rPr>
                <w:rFonts w:ascii="Calibri" w:eastAsia="Times New Roman" w:hAnsi="Calibri" w:cs="Calibri"/>
                <w:color w:val="000000"/>
                <w:sz w:val="18"/>
                <w:szCs w:val="18"/>
                <w:lang w:eastAsia="pl-PL"/>
              </w:rPr>
              <w:br/>
              <w:t>- zagospodarowania niewykorzystanych wód z odwodnienia kopalń Grupy poprzez:</w:t>
            </w:r>
            <w:r w:rsidRPr="005E78BB">
              <w:rPr>
                <w:rFonts w:ascii="Calibri" w:eastAsia="Times New Roman" w:hAnsi="Calibri" w:cs="Calibri"/>
                <w:color w:val="000000"/>
                <w:sz w:val="18"/>
                <w:szCs w:val="18"/>
                <w:lang w:eastAsia="pl-PL"/>
              </w:rPr>
              <w:br/>
              <w:t xml:space="preserve">  - dozowanie do rzeki Odry z wykorzystaniem metody hydrotechnicznej tj. systemu retencyjno-dozującego „Olza” (kopalnie „Borynia-Zofiówka”, „Jastrzębie-Bzie” i „Pniówek”), </w:t>
            </w:r>
            <w:r w:rsidRPr="005E78BB">
              <w:rPr>
                <w:rFonts w:ascii="Calibri" w:eastAsia="Times New Roman" w:hAnsi="Calibri" w:cs="Calibri"/>
                <w:color w:val="000000"/>
                <w:sz w:val="18"/>
                <w:szCs w:val="18"/>
                <w:lang w:eastAsia="pl-PL"/>
              </w:rPr>
              <w:br/>
              <w:t xml:space="preserve">  - odsalanie w zakładzie odsalania w Dębieńsku (kopalnia „Budryk”),</w:t>
            </w:r>
            <w:r w:rsidRPr="005E78BB">
              <w:rPr>
                <w:rFonts w:ascii="Calibri" w:eastAsia="Times New Roman" w:hAnsi="Calibri" w:cs="Calibri"/>
                <w:color w:val="000000"/>
                <w:sz w:val="18"/>
                <w:szCs w:val="18"/>
                <w:lang w:eastAsia="pl-PL"/>
              </w:rPr>
              <w:br/>
              <w:t xml:space="preserve">  - wprowadzanie w sposób kontrolowany do wód powierzchniowych zgodnie z warunkami określonymi w obowiązujących przepisach (kopalnia „Knurów-Szczygłowice”). </w:t>
            </w:r>
            <w:r w:rsidRPr="005E78BB">
              <w:rPr>
                <w:rFonts w:ascii="Calibri" w:eastAsia="Times New Roman" w:hAnsi="Calibri" w:cs="Calibri"/>
                <w:color w:val="000000"/>
                <w:sz w:val="18"/>
                <w:szCs w:val="18"/>
                <w:lang w:eastAsia="pl-PL"/>
              </w:rPr>
              <w:br/>
              <w:t xml:space="preserve">-doskonalenia systemu retencyjno-dozującego „Olza” poprzez kontynuowanie prac modernizacyjno-remontowych. </w:t>
            </w:r>
            <w:r w:rsidRPr="005E78BB">
              <w:rPr>
                <w:rFonts w:ascii="Calibri" w:eastAsia="Times New Roman" w:hAnsi="Calibri" w:cs="Calibri"/>
                <w:color w:val="000000"/>
                <w:sz w:val="18"/>
                <w:szCs w:val="18"/>
                <w:lang w:eastAsia="pl-PL"/>
              </w:rPr>
              <w:br/>
              <w:t xml:space="preserve">System ""Olza"" zbudowany został celu zabezpieczenia rzek i zbiorników wodnych przed zanieczyszczeniem zasolonymi wodami z odwodnienia kopalń. W skład systemu wchodzą: zbiorniki, pompownie, rurociągi oraz systemy sterowania i monitorowania. </w:t>
            </w:r>
            <w:r w:rsidRPr="005E78BB">
              <w:rPr>
                <w:rFonts w:ascii="Calibri" w:eastAsia="Times New Roman" w:hAnsi="Calibri" w:cs="Calibri"/>
                <w:color w:val="000000"/>
                <w:sz w:val="18"/>
                <w:szCs w:val="18"/>
                <w:lang w:eastAsia="pl-PL"/>
              </w:rPr>
              <w:br/>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5E78BB">
              <w:rPr>
                <w:rFonts w:ascii="Calibri" w:eastAsia="Times New Roman" w:hAnsi="Calibri" w:cs="Calibri"/>
                <w:color w:val="000000"/>
                <w:sz w:val="18"/>
                <w:szCs w:val="18"/>
                <w:lang w:eastAsia="pl-PL"/>
              </w:rPr>
              <w:br/>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5E78BB">
              <w:rPr>
                <w:rFonts w:ascii="Calibri" w:eastAsia="Times New Roman" w:hAnsi="Calibri" w:cs="Calibri"/>
                <w:color w:val="000000"/>
                <w:sz w:val="18"/>
                <w:szCs w:val="18"/>
                <w:lang w:eastAsia="pl-PL"/>
              </w:rPr>
              <w:br/>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5E78BB">
              <w:rPr>
                <w:rFonts w:ascii="Calibri" w:eastAsia="Times New Roman" w:hAnsi="Calibri" w:cs="Calibri"/>
                <w:color w:val="000000"/>
                <w:sz w:val="18"/>
                <w:szCs w:val="18"/>
                <w:lang w:eastAsia="pl-PL"/>
              </w:rPr>
              <w:br/>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5E78BB">
              <w:rPr>
                <w:rFonts w:ascii="Calibri" w:eastAsia="Times New Roman" w:hAnsi="Calibri" w:cs="Calibri"/>
                <w:color w:val="000000"/>
                <w:sz w:val="18"/>
                <w:szCs w:val="18"/>
                <w:lang w:eastAsia="pl-PL"/>
              </w:rPr>
              <w:br/>
              <w:t>Grupa Kapitałowa JSW jest największym producentem wysokiej jakości węgla koksowego hard w Unii Europejskiej i jednym z wiodących producentów koksu używanego do wytopu stali. 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 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Górnictwo i związane z tą branżą sektory gospodarki mają również istotne znaczenie społeczno gospodarcze, gdyż stanowią kluczowych pracodawców w regionie. Wobec powyższego należy uznać, że rozwój przemysłu wydobywczego leży w interesie społecznym."</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Dlaczego korzystne cele, którym służą te zmiany lub modyfikacje części wód, nie mogą (ze względu na możliwości techniczne czy nieproporcjonalne koszty) być osiągnięte za pomocą innych działań, znacznie korzystniejszych z punktu widzenia środowiska naturalnego? :</w:t>
            </w:r>
            <w:r w:rsidRPr="005E78BB">
              <w:rPr>
                <w:rFonts w:ascii="Calibri" w:eastAsia="Times New Roman" w:hAnsi="Calibri" w:cs="Calibri"/>
                <w:color w:val="000000"/>
                <w:sz w:val="18"/>
                <w:szCs w:val="18"/>
                <w:lang w:eastAsia="pl-PL"/>
              </w:rPr>
              <w:br/>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5E78BB">
              <w:rPr>
                <w:rFonts w:ascii="Calibri" w:eastAsia="Times New Roman" w:hAnsi="Calibri" w:cs="Calibri"/>
                <w:color w:val="000000"/>
                <w:sz w:val="18"/>
                <w:szCs w:val="18"/>
                <w:lang w:eastAsia="pl-PL"/>
              </w:rPr>
              <w:br/>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5E78BB">
              <w:rPr>
                <w:rFonts w:ascii="Calibri" w:eastAsia="Times New Roman" w:hAnsi="Calibri" w:cs="Calibri"/>
                <w:color w:val="000000"/>
                <w:sz w:val="18"/>
                <w:szCs w:val="18"/>
                <w:lang w:eastAsia="pl-PL"/>
              </w:rPr>
              <w:br/>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7D1C1B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A4E17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0EA6A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F6D2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02CA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7A27FE38" w14:textId="77777777" w:rsidTr="00E92AE6">
        <w:trPr>
          <w:trHeight w:val="454"/>
        </w:trPr>
        <w:tc>
          <w:tcPr>
            <w:tcW w:w="562" w:type="dxa"/>
            <w:shd w:val="clear" w:color="auto" w:fill="auto"/>
            <w:hideMark/>
          </w:tcPr>
          <w:p w14:paraId="42A678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298</w:t>
            </w:r>
          </w:p>
        </w:tc>
        <w:tc>
          <w:tcPr>
            <w:tcW w:w="1021" w:type="dxa"/>
          </w:tcPr>
          <w:p w14:paraId="290B7E0D" w14:textId="2237B75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JSW S.A. KWK </w:t>
            </w:r>
          </w:p>
        </w:tc>
        <w:tc>
          <w:tcPr>
            <w:tcW w:w="1630" w:type="dxa"/>
            <w:shd w:val="clear" w:color="auto" w:fill="auto"/>
            <w:hideMark/>
          </w:tcPr>
          <w:p w14:paraId="58AE79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8679E00" w14:textId="6ACC065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WYKAZ INWESTYCJI I DZIAŁAŃ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Charakterystyka planowanej inwestycji lub działania </w:t>
            </w:r>
            <w:r w:rsidRPr="005E78BB">
              <w:rPr>
                <w:rFonts w:ascii="Calibri" w:eastAsia="Times New Roman" w:hAnsi="Calibri" w:cs="Calibri"/>
                <w:color w:val="000000"/>
                <w:sz w:val="18"/>
                <w:szCs w:val="18"/>
                <w:lang w:eastAsia="pl-PL"/>
              </w:rPr>
              <w:br w:type="page"/>
              <w:t>Inwestor lub podmiot realizujący: JSW S.A. KWK "Pniówek"</w:t>
            </w:r>
            <w:r w:rsidRPr="005E78BB">
              <w:rPr>
                <w:rFonts w:ascii="Calibri" w:eastAsia="Times New Roman" w:hAnsi="Calibri" w:cs="Calibri"/>
                <w:color w:val="000000"/>
                <w:sz w:val="18"/>
                <w:szCs w:val="18"/>
                <w:lang w:eastAsia="pl-PL"/>
              </w:rPr>
              <w:br w:type="page"/>
              <w:t>Nazwa inwestycji lub działania: Wydobycie węgla kamiennego i metanu jako kopaliny towarzyszącej ze złoża "Pawłowice 1" na podstawie koncesji nr 3/2012 z dnia 21.06.2012 r.</w:t>
            </w:r>
            <w:r w:rsidRPr="005E78BB">
              <w:rPr>
                <w:rFonts w:ascii="Calibri" w:eastAsia="Times New Roman" w:hAnsi="Calibri" w:cs="Calibri"/>
                <w:color w:val="000000"/>
                <w:sz w:val="18"/>
                <w:szCs w:val="18"/>
                <w:lang w:eastAsia="pl-PL"/>
              </w:rPr>
              <w:br w:type="page"/>
              <w:t>Nazwa inwestycji wg aPGW z 2016 r. (lub: nie dotyczy): nie dotyczy</w:t>
            </w:r>
            <w:r w:rsidRPr="005E78BB">
              <w:rPr>
                <w:rFonts w:ascii="Calibri" w:eastAsia="Times New Roman" w:hAnsi="Calibri" w:cs="Calibri"/>
                <w:color w:val="000000"/>
                <w:sz w:val="18"/>
                <w:szCs w:val="18"/>
                <w:lang w:eastAsia="pl-PL"/>
              </w:rPr>
              <w:br w:type="page"/>
              <w:t>ID inwestycji lub działania wg aPGW z 2016 r. (lub: nie dotyczy): nie dotyczy</w:t>
            </w:r>
            <w:r w:rsidRPr="005E78BB">
              <w:rPr>
                <w:rFonts w:ascii="Calibri" w:eastAsia="Times New Roman" w:hAnsi="Calibri" w:cs="Calibri"/>
                <w:color w:val="000000"/>
                <w:sz w:val="18"/>
                <w:szCs w:val="18"/>
                <w:lang w:eastAsia="pl-PL"/>
              </w:rPr>
              <w:br w:type="page"/>
              <w:t>Rodzaj inwestycji lub działania [ochrona przeciwpowodziowa, hydroenergetyka, żegluga, wydobywanie kopalin (w tym: odwodnienie górotworu), inne (jakie?)]: Wydobywanie kopalin</w:t>
            </w:r>
            <w:r w:rsidRPr="005E78BB">
              <w:rPr>
                <w:rFonts w:ascii="Calibri" w:eastAsia="Times New Roman" w:hAnsi="Calibri" w:cs="Calibri"/>
                <w:color w:val="000000"/>
                <w:sz w:val="18"/>
                <w:szCs w:val="18"/>
                <w:lang w:eastAsia="pl-PL"/>
              </w:rPr>
              <w:br w:type="page"/>
              <w:t xml:space="preserve">Cel (cele) inwestycji lub działania: "Wydobycie koksowego węgla kamiennego. </w:t>
            </w:r>
            <w:r w:rsidRPr="005E78BB">
              <w:rPr>
                <w:rFonts w:ascii="Calibri" w:eastAsia="Times New Roman" w:hAnsi="Calibri" w:cs="Calibri"/>
                <w:color w:val="000000"/>
                <w:sz w:val="18"/>
                <w:szCs w:val="18"/>
                <w:lang w:eastAsia="pl-PL"/>
              </w:rPr>
              <w:br w:type="page"/>
              <w:t>Realizacja przedsięwzięć polegających na wydobywaniu kopalin ze złóż węgla koksowego stanowi ważny interes społeczny, polegający na zapewnieniu polskiej i unijnej gospodarce odpowiedniego poziomu bezpieczeństwa surowcowego, w tym również zapewnienie stabilności innym gałęziom przemysłu powiązanym z przemysłem wydobywczym.</w:t>
            </w:r>
            <w:r w:rsidRPr="005E78BB">
              <w:rPr>
                <w:rFonts w:ascii="Calibri" w:eastAsia="Times New Roman" w:hAnsi="Calibri" w:cs="Calibri"/>
                <w:color w:val="000000"/>
                <w:sz w:val="18"/>
                <w:szCs w:val="18"/>
                <w:lang w:eastAsia="pl-PL"/>
              </w:rPr>
              <w:br w:type="page"/>
              <w:t>Węgiel koksowy został uznany za jeden z  surowców krytycznych Unii Europejskiej, mających strategiczne znaczenie dla rozwoju europejskiej gospodarki i wyczerpujących się zasobów."</w:t>
            </w:r>
            <w:r w:rsidRPr="005E78BB">
              <w:rPr>
                <w:rFonts w:ascii="Calibri" w:eastAsia="Times New Roman" w:hAnsi="Calibri" w:cs="Calibri"/>
                <w:color w:val="000000"/>
                <w:sz w:val="18"/>
                <w:szCs w:val="18"/>
                <w:lang w:eastAsia="pl-PL"/>
              </w:rPr>
              <w:br w:type="page"/>
              <w:t>Data zakończenia inwestycji lub działania (planowana lub rzeczywista): 2051-12-31 planowana</w:t>
            </w:r>
            <w:r w:rsidRPr="005E78BB">
              <w:rPr>
                <w:rFonts w:ascii="Calibri" w:eastAsia="Times New Roman" w:hAnsi="Calibri" w:cs="Calibri"/>
                <w:color w:val="000000"/>
                <w:sz w:val="18"/>
                <w:szCs w:val="18"/>
                <w:lang w:eastAsia="pl-PL"/>
              </w:rPr>
              <w:br w:type="page"/>
              <w:t>Szacunkowe korzyści: Zabezpieczenie strategicznego surowca do produkcji stali  w Polsce i Unii Europejskiej. Rozwój innowacyjnej gospodarki niskoemisyjnej i nowoczesnej infrastruktury.</w:t>
            </w:r>
            <w:r w:rsidRPr="005E78BB">
              <w:rPr>
                <w:rFonts w:ascii="Calibri" w:eastAsia="Times New Roman" w:hAnsi="Calibri" w:cs="Calibri"/>
                <w:color w:val="000000"/>
                <w:sz w:val="18"/>
                <w:szCs w:val="18"/>
                <w:lang w:eastAsia="pl-PL"/>
              </w:rPr>
              <w:br w:type="page"/>
              <w:t>Decyzja (decyzje) o środowiskowych uwarunkowaniach: Data wydania decyzji- 30.12.2011 r. ,Organ wydający decyzję- Burmistrz Pszczyny, Znak- OŚ.6220.12.2011</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Lokalizacja planowanej inwestycji lub działania </w:t>
            </w:r>
            <w:r w:rsidRPr="005E78BB">
              <w:rPr>
                <w:rFonts w:ascii="Calibri" w:eastAsia="Times New Roman" w:hAnsi="Calibri" w:cs="Calibri"/>
                <w:color w:val="000000"/>
                <w:sz w:val="18"/>
                <w:szCs w:val="18"/>
                <w:lang w:eastAsia="pl-PL"/>
              </w:rPr>
              <w:br w:type="page"/>
              <w:t>Województwo (województwa): śląskie</w:t>
            </w:r>
            <w:r w:rsidRPr="005E78BB">
              <w:rPr>
                <w:rFonts w:ascii="Calibri" w:eastAsia="Times New Roman" w:hAnsi="Calibri" w:cs="Calibri"/>
                <w:color w:val="000000"/>
                <w:sz w:val="18"/>
                <w:szCs w:val="18"/>
                <w:lang w:eastAsia="pl-PL"/>
              </w:rPr>
              <w:br w:type="page"/>
              <w:t>Powiat (powiaty): "pszczyński Żory"</w:t>
            </w:r>
            <w:r w:rsidRPr="005E78BB">
              <w:rPr>
                <w:rFonts w:ascii="Calibri" w:eastAsia="Times New Roman" w:hAnsi="Calibri" w:cs="Calibri"/>
                <w:color w:val="000000"/>
                <w:sz w:val="18"/>
                <w:szCs w:val="18"/>
                <w:lang w:eastAsia="pl-PL"/>
              </w:rPr>
              <w:br w:type="page"/>
              <w:t xml:space="preserve">Gmina (gminy): Pszczyna, Pawłowice, Suszec, miasto Żory </w:t>
            </w:r>
            <w:r w:rsidRPr="005E78BB">
              <w:rPr>
                <w:rFonts w:ascii="Calibri" w:eastAsia="Times New Roman" w:hAnsi="Calibri" w:cs="Calibri"/>
                <w:color w:val="000000"/>
                <w:sz w:val="18"/>
                <w:szCs w:val="18"/>
                <w:lang w:eastAsia="pl-PL"/>
              </w:rPr>
              <w:br w:type="page"/>
              <w:t>Dorzecze: Wisły</w:t>
            </w:r>
            <w:r w:rsidRPr="005E78BB">
              <w:rPr>
                <w:rFonts w:ascii="Calibri" w:eastAsia="Times New Roman" w:hAnsi="Calibri" w:cs="Calibri"/>
                <w:color w:val="000000"/>
                <w:sz w:val="18"/>
                <w:szCs w:val="18"/>
                <w:lang w:eastAsia="pl-PL"/>
              </w:rPr>
              <w:br w:type="page"/>
              <w:t>Ciek lub zbiornik wodny (nazwa lub "nie dotyczy"): Pszczynka</w:t>
            </w:r>
            <w:r w:rsidRPr="005E78BB">
              <w:rPr>
                <w:rFonts w:ascii="Calibri" w:eastAsia="Times New Roman" w:hAnsi="Calibri" w:cs="Calibri"/>
                <w:color w:val="000000"/>
                <w:sz w:val="18"/>
                <w:szCs w:val="18"/>
                <w:lang w:eastAsia="pl-PL"/>
              </w:rPr>
              <w:br w:type="page"/>
              <w:t xml:space="preserve">Jednolite części wód powierzchniowych (według podziału z aPGW z 2016 r.), w obrębie których była zaplanowana inwestycja lub działanie: nazwa- "Pszczynka do Zbiornika Łąka", kod- PLRW200016211653  </w:t>
            </w:r>
            <w:r w:rsidRPr="005E78BB">
              <w:rPr>
                <w:rFonts w:ascii="Calibri" w:eastAsia="Times New Roman" w:hAnsi="Calibri" w:cs="Calibri"/>
                <w:color w:val="000000"/>
                <w:sz w:val="18"/>
                <w:szCs w:val="18"/>
                <w:lang w:eastAsia="pl-PL"/>
              </w:rPr>
              <w:br w:type="page"/>
              <w:t xml:space="preserve">Jednolite części wód powierzchniowych, w obrębie których jest lub będzie realizowana inwestycja lub działanie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Pszczynka od źródeł zb. Łąka, kod- RW2000092116559 </w:t>
            </w:r>
            <w:r w:rsidRPr="005E78BB">
              <w:rPr>
                <w:rFonts w:ascii="Calibri" w:eastAsia="Times New Roman" w:hAnsi="Calibri" w:cs="Calibri"/>
                <w:color w:val="000000"/>
                <w:sz w:val="18"/>
                <w:szCs w:val="18"/>
                <w:lang w:eastAsia="pl-PL"/>
              </w:rPr>
              <w:br w:type="page"/>
              <w:t xml:space="preserve">Jednolite części wód powierzchniowych objęte potencjalnym zasięgiem oddziaływania inwestycji lub działania (według podziału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obowiązującego w perspektywie 2022-2027): nazwa- Pszczynka od źródeł zb. Łąka, kod- RW2000092116559 </w:t>
            </w:r>
            <w:r w:rsidRPr="005E78BB">
              <w:rPr>
                <w:rFonts w:ascii="Calibri" w:eastAsia="Times New Roman" w:hAnsi="Calibri" w:cs="Calibri"/>
                <w:color w:val="000000"/>
                <w:sz w:val="18"/>
                <w:szCs w:val="18"/>
                <w:lang w:eastAsia="pl-PL"/>
              </w:rPr>
              <w:br w:type="page"/>
              <w:t>Jednolite części wód podziemnych, w obrębie której jest lub będzie realizowana inwestycja lub działanie (kod/kody): PLGW2000156</w:t>
            </w:r>
            <w:r w:rsidRPr="005E78BB">
              <w:rPr>
                <w:rFonts w:ascii="Calibri" w:eastAsia="Times New Roman" w:hAnsi="Calibri" w:cs="Calibri"/>
                <w:color w:val="000000"/>
                <w:sz w:val="18"/>
                <w:szCs w:val="18"/>
                <w:lang w:eastAsia="pl-PL"/>
              </w:rPr>
              <w:br w:type="page"/>
              <w:t>Jednolite części wód podziemnych objęte potencjalnym zasięgiem oddziaływania inwestycji lub działania (kod/kody): PLGW2000156</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Informacja o przesłankach zastosowania odstępstwa w trybie art. 4 ust. 7 RDW (art. 68 pkt. 1, 3, 4 PW) </w:t>
            </w:r>
            <w:r w:rsidRPr="005E78BB">
              <w:rPr>
                <w:rFonts w:ascii="Calibri" w:eastAsia="Times New Roman" w:hAnsi="Calibri" w:cs="Calibri"/>
                <w:color w:val="000000"/>
                <w:sz w:val="18"/>
                <w:szCs w:val="18"/>
                <w:lang w:eastAsia="pl-PL"/>
              </w:rPr>
              <w:br w:type="page"/>
              <w:t>Jakie kroki zostały podjęte (i czy są to wszystkie możliwe kroki) zmierzające do ograniczenia niekorzystnego wpływu na stan części wód?:</w:t>
            </w:r>
            <w:r w:rsidRPr="005E78BB">
              <w:rPr>
                <w:rFonts w:ascii="Calibri" w:eastAsia="Times New Roman" w:hAnsi="Calibri" w:cs="Calibri"/>
                <w:color w:val="000000"/>
                <w:sz w:val="18"/>
                <w:szCs w:val="18"/>
                <w:lang w:eastAsia="pl-PL"/>
              </w:rPr>
              <w:br w:type="page"/>
              <w:t xml:space="preserve">"Główne kierunki działań JSW S.A. w celu ochrony wód powierzchniowych przed zasoleniem dotyczą: </w:t>
            </w:r>
            <w:r w:rsidRPr="005E78BB">
              <w:rPr>
                <w:rFonts w:ascii="Calibri" w:eastAsia="Times New Roman" w:hAnsi="Calibri" w:cs="Calibri"/>
                <w:color w:val="000000"/>
                <w:sz w:val="18"/>
                <w:szCs w:val="18"/>
                <w:lang w:eastAsia="pl-PL"/>
              </w:rPr>
              <w:br w:type="page"/>
              <w:t>- ograniczenia ilości i ładunku zasolonych wód dołowych odprowadzanych do cieków powierzchniowych poprzez ich maksymalne wykorzystanie do celów technologicznych kopalń (np. w zakładach mechanicznej przeróbki węgla) oraz w wyrobiskach podziemnych w prewencji pożarowej i likwidacji zbędnych wyrobisk,</w:t>
            </w:r>
            <w:r w:rsidRPr="005E78BB">
              <w:rPr>
                <w:rFonts w:ascii="Calibri" w:eastAsia="Times New Roman" w:hAnsi="Calibri" w:cs="Calibri"/>
                <w:color w:val="000000"/>
                <w:sz w:val="18"/>
                <w:szCs w:val="18"/>
                <w:lang w:eastAsia="pl-PL"/>
              </w:rPr>
              <w:br w:type="page"/>
              <w:t>- zagospodarowania niewykorzystanych wód z odwodnienia kopalń Grupy poprzez:</w:t>
            </w:r>
            <w:r w:rsidRPr="005E78BB">
              <w:rPr>
                <w:rFonts w:ascii="Calibri" w:eastAsia="Times New Roman" w:hAnsi="Calibri" w:cs="Calibri"/>
                <w:color w:val="000000"/>
                <w:sz w:val="18"/>
                <w:szCs w:val="18"/>
                <w:lang w:eastAsia="pl-PL"/>
              </w:rPr>
              <w:br w:type="page"/>
              <w:t xml:space="preserve">  - dozowanie do rzeki Odry z wykorzystaniem metody hydrotechnicznej tj. systemu retencyjno-dozującego „Olza” (kopalnie „Borynia-Zofiówka”, „Jastrzębie-Bzie” i „Pniówek”), </w:t>
            </w:r>
            <w:r w:rsidRPr="005E78BB">
              <w:rPr>
                <w:rFonts w:ascii="Calibri" w:eastAsia="Times New Roman" w:hAnsi="Calibri" w:cs="Calibri"/>
                <w:color w:val="000000"/>
                <w:sz w:val="18"/>
                <w:szCs w:val="18"/>
                <w:lang w:eastAsia="pl-PL"/>
              </w:rPr>
              <w:br w:type="page"/>
              <w:t xml:space="preserve">  - odsalanie w zakładzie odsalania w Dębieńsku (kopalnia „Budryk”),</w:t>
            </w:r>
            <w:r w:rsidRPr="005E78BB">
              <w:rPr>
                <w:rFonts w:ascii="Calibri" w:eastAsia="Times New Roman" w:hAnsi="Calibri" w:cs="Calibri"/>
                <w:color w:val="000000"/>
                <w:sz w:val="18"/>
                <w:szCs w:val="18"/>
                <w:lang w:eastAsia="pl-PL"/>
              </w:rPr>
              <w:br w:type="page"/>
              <w:t xml:space="preserve">  - wprowadzanie w sposób kontrolowany do wód powierzchniowych zgodnie z warunkami określonymi w obowiązujących przepisach (kopalnia „Knurów-Szczygłowice”). </w:t>
            </w:r>
            <w:r w:rsidRPr="005E78BB">
              <w:rPr>
                <w:rFonts w:ascii="Calibri" w:eastAsia="Times New Roman" w:hAnsi="Calibri" w:cs="Calibri"/>
                <w:color w:val="000000"/>
                <w:sz w:val="18"/>
                <w:szCs w:val="18"/>
                <w:lang w:eastAsia="pl-PL"/>
              </w:rPr>
              <w:br w:type="page"/>
              <w:t xml:space="preserve">-doskonalenia systemu retencyjno-dozującego „Olza” poprzez kontynuowanie prac modernizacyjno-remontowych. </w:t>
            </w:r>
            <w:r w:rsidRPr="005E78BB">
              <w:rPr>
                <w:rFonts w:ascii="Calibri" w:eastAsia="Times New Roman" w:hAnsi="Calibri" w:cs="Calibri"/>
                <w:color w:val="000000"/>
                <w:sz w:val="18"/>
                <w:szCs w:val="18"/>
                <w:lang w:eastAsia="pl-PL"/>
              </w:rPr>
              <w:br w:type="page"/>
              <w:t xml:space="preserve">System ""Olza"" zbudowany został celu zabezpieczenia rzek i zbiorników wodnych przed zanieczyszczeniem zasolonymi wodami z odwodnienia kopalń. W skład systemu wchodzą: zbiorniki, pompownie, rurociągi oraz systemy sterowania i monitorowania. </w:t>
            </w:r>
            <w:r w:rsidRPr="005E78BB">
              <w:rPr>
                <w:rFonts w:ascii="Calibri" w:eastAsia="Times New Roman" w:hAnsi="Calibri" w:cs="Calibri"/>
                <w:color w:val="000000"/>
                <w:sz w:val="18"/>
                <w:szCs w:val="18"/>
                <w:lang w:eastAsia="pl-PL"/>
              </w:rPr>
              <w:br w:type="page"/>
              <w:t>Funkcjonowanie systemu polega na ograniczeniu ilości dozowanych wód w okresie niskich przepływów, a nawet całkowite ich zatrzymanie i wykorzystanie w tym czasie pojemności retencyjnej zbiorników działających w systemie „Olza”. Dozowanie wód zgromadzonych w retencji następuje dopiero po opadach i w warunkach odpowiednio dużego przepływu rzeki Odry.</w:t>
            </w:r>
            <w:r w:rsidRPr="005E78BB">
              <w:rPr>
                <w:rFonts w:ascii="Calibri" w:eastAsia="Times New Roman" w:hAnsi="Calibri" w:cs="Calibri"/>
                <w:color w:val="000000"/>
                <w:sz w:val="18"/>
                <w:szCs w:val="18"/>
                <w:lang w:eastAsia="pl-PL"/>
              </w:rPr>
              <w:br w:type="page"/>
              <w:t xml:space="preserve">System „Olza” ochrania około 150 km małych rzek w zlewni Górnej Odry (Ruda, Szotkówka, Jastrzębianka, Ruptawka, Lesznica) i w zlewni Wisły (Pawłówka, Pszczynka), zbiornik „Rybnik” na rzece Rudzie oraz zbiornik „Łąka” na rzece Pszczynce. Funkcje retencyjno-dozujące oparte na precyzyjnym monitoringu pozwalają zmniejszyć maksymalne stężenia soli w Odrze o ponad 60%. </w:t>
            </w:r>
            <w:r w:rsidRPr="005E78BB">
              <w:rPr>
                <w:rFonts w:ascii="Calibri" w:eastAsia="Times New Roman" w:hAnsi="Calibri" w:cs="Calibri"/>
                <w:color w:val="000000"/>
                <w:sz w:val="18"/>
                <w:szCs w:val="18"/>
                <w:lang w:eastAsia="pl-PL"/>
              </w:rPr>
              <w:br w:type="page"/>
              <w:t xml:space="preserve">W Zakładzie Odsalania w Dębieńsku w wyniku odsalania z wykorzystaniem procesów termicznych, odwróconej osmozy i krystalizacji uzyskuje się sól spożywczą i przemysłową, a odsolone wody odprowadzane są do wód powierzchniowych. Odsalaniu poddawana jest całość wód silnie zasolonych i część wód miernie zasolonych przesyłanych z kopalni „Budryk”.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Jakie przyczyny tych zmian lub modyfikacji stanowią nadrzędny interes społeczny i/lub korzyści dla środowiska naturalnego i dla społeczeństwa płynące z osiągnięcia celów wymienionych w ust. 1, są mniejsze niż korzyści dla zdrowia ludzi, utrzymania bezpieczeństwa ludzi lub zrównoważonego rozwoju, wynikające ze zmian lub modyfikacji?:</w:t>
            </w:r>
            <w:r w:rsidRPr="005E78BB">
              <w:rPr>
                <w:rFonts w:ascii="Calibri" w:eastAsia="Times New Roman" w:hAnsi="Calibri" w:cs="Calibri"/>
                <w:color w:val="000000"/>
                <w:sz w:val="18"/>
                <w:szCs w:val="18"/>
                <w:lang w:eastAsia="pl-PL"/>
              </w:rPr>
              <w:br w:type="page"/>
              <w:t xml:space="preserve">"Kopalnie węgla kamiennego są inwestycją nadrzędnego interesu publicznego ze względu na to, że zapewniają bezpieczeństwo surowcowe i energetyczne kraju w tym również zapewnienie stabilności innym gałęziom przemysłu powiązanych z przemysłem wydobywczym. </w:t>
            </w:r>
            <w:r w:rsidRPr="005E78BB">
              <w:rPr>
                <w:rFonts w:ascii="Calibri" w:eastAsia="Times New Roman" w:hAnsi="Calibri" w:cs="Calibri"/>
                <w:color w:val="000000"/>
                <w:sz w:val="18"/>
                <w:szCs w:val="18"/>
                <w:lang w:eastAsia="pl-PL"/>
              </w:rPr>
              <w:br w:type="page"/>
              <w:t xml:space="preserve">Grupa Kapitałowa JSW jest największym producentem wysokiej jakości węgla koksowego hard w Unii Europejskiej i jednym z wiodących producentów koksu używanego do wytopu stali. </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ype="page"/>
              <w:t xml:space="preserve">Decyzja o eksploatacji jest uwarunkowana przez czynniki geologiczno-górnicze, techniczno-ekonomiczne, stan zurbanizowania terenu oraz czynniki społeczne. Nie podjęcie eksploatacji udokumentowanego złoża, przy którym istnieje już infrastruktura umożliwiająca jego wydobycie, byłoby sprzeczne z zasadą racjonalnego gospodarowania zasobami kopalin. </w:t>
            </w:r>
            <w:r w:rsidRPr="005E78BB">
              <w:rPr>
                <w:rFonts w:ascii="Calibri" w:eastAsia="Times New Roman" w:hAnsi="Calibri" w:cs="Calibri"/>
                <w:color w:val="000000"/>
                <w:sz w:val="18"/>
                <w:szCs w:val="18"/>
                <w:lang w:eastAsia="pl-PL"/>
              </w:rPr>
              <w:br w:type="page"/>
              <w:t>Górnictwo i związane z tą branżą sektory gospodarki mają również istotne znaczenie społeczno gospodarcze, gdyż stanowią kluczowych pracodawców w regionie.</w:t>
            </w:r>
            <w:r w:rsidRPr="005E78BB">
              <w:rPr>
                <w:rFonts w:ascii="Calibri" w:eastAsia="Times New Roman" w:hAnsi="Calibri" w:cs="Calibri"/>
                <w:color w:val="000000"/>
                <w:sz w:val="18"/>
                <w:szCs w:val="18"/>
                <w:lang w:eastAsia="pl-PL"/>
              </w:rPr>
              <w:br w:type="page"/>
              <w:t>Wobec powyższego należy uznać, że rozwój przemysłu wydobywczego leży w interesie społecznym."</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Dlaczego korzystne cele, którym służą te zmiany lub modyfikacje części wód, nie mogą (ze względu na możliwości techniczne czy nieproporcjonalne koszty) być osiągnięte za pomocą innych działań, znacznie korzystniejszych z punktu widzenia środowiska naturalnego?:</w:t>
            </w:r>
            <w:r w:rsidRPr="005E78BB">
              <w:rPr>
                <w:rFonts w:ascii="Calibri" w:eastAsia="Times New Roman" w:hAnsi="Calibri" w:cs="Calibri"/>
                <w:color w:val="000000"/>
                <w:sz w:val="18"/>
                <w:szCs w:val="18"/>
                <w:lang w:eastAsia="pl-PL"/>
              </w:rPr>
              <w:br w:type="page"/>
              <w:t>"Inwestycja polegająca na wydobywaniu węgla ze złóż ma duże znaczenie społeczne i gospodarcze. Jej realizacja odbędzie się z pożytkiem dla całego społeczeństwa. Inwestycja umożliwi nie tylko zatrudnienie miejscowej ludności w regionie ale również przejmie część pracowników sukcesywnie likwidowanych kopalni.</w:t>
            </w:r>
            <w:r w:rsidRPr="005E78BB">
              <w:rPr>
                <w:rFonts w:ascii="Calibri" w:eastAsia="Times New Roman" w:hAnsi="Calibri" w:cs="Calibri"/>
                <w:color w:val="000000"/>
                <w:sz w:val="18"/>
                <w:szCs w:val="18"/>
                <w:lang w:eastAsia="pl-PL"/>
              </w:rPr>
              <w:br w:type="page"/>
              <w:t>Węgiel koksowy, nazywany też metalurgicznym, został uznany za jeden z 30 surowców krytycznych dla Unii Europejskiej, co oznacza strategiczne znaczenie gospodarcze i wiąże się z wysokim ryzykiem dostaw dla przemysłu europejskiego. Węgiel koksowy to niezbędny składnik w produkcji stali - kluczowego  komponentu dla rozwoju innowacyjnej gospodarki i nowoczesnej infrastruktury. Obecnie nie ma alternatywnych i ekonomicznie uzasadnionych technologii wytopu stali bez użycia węgla koksowego.</w:t>
            </w:r>
            <w:r w:rsidRPr="005E78BB">
              <w:rPr>
                <w:rFonts w:ascii="Calibri" w:eastAsia="Times New Roman" w:hAnsi="Calibri" w:cs="Calibri"/>
                <w:color w:val="000000"/>
                <w:sz w:val="18"/>
                <w:szCs w:val="18"/>
                <w:lang w:eastAsia="pl-PL"/>
              </w:rPr>
              <w:br w:type="page"/>
              <w:t>Eksploatacja ze złóż będzie kontynuacją wydobycia prowadzonego przez JSW S.A w oparciu o istniejąca infrastrukturę nadziemną i podziemną zakładów górniczych. W związku z tym nie przewiduje się typowego dla inwestycji etapu budowy, a utrzymanie eksploatacji nie generuje dodatkowych kosztów i jest w tym miejscu ekonomicznie uzasadnione.</w:t>
            </w:r>
            <w:r w:rsidRPr="005E78BB">
              <w:rPr>
                <w:rFonts w:ascii="Calibri" w:eastAsia="Times New Roman" w:hAnsi="Calibri" w:cs="Calibri"/>
                <w:color w:val="000000"/>
                <w:sz w:val="18"/>
                <w:szCs w:val="18"/>
                <w:lang w:eastAsia="pl-PL"/>
              </w:rPr>
              <w:br w:type="page"/>
              <w:t>W związku z powyższym można stwierdzić, że wydobywanie węgla przez JSW S.A. w ściśle określonych terminach, umożliwi realizację surowcowego celu przedsięwzięcia i nie może być osiągnięte innymi, bardziej korzystnymi ze względów środowiskowych metodami, z uwagi na brak możliwości realizacji polityki surowcowej kraju, a tym samym zapewnienia bezpieczeństwa surowcowego Polski."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A2546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30EC1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81938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8734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FE4E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 nie może zawierać informacji o wszystkich przedsięwzięciach wpływających na stan wód, lecz tylko o takich nowych przedsięwzięciach, które uniemożliwią osiągnięcie celów środowiskowych i dla których potwierdzono spełnienie warunków odstępstwa (określonych w art. 4 ust. 7 Ramowej Dyrektywy Wodnej - w art. 68 ustawy Prawo wodne). Nie ma potrzeby (ani prawnej możliwości) wpisywanie do tego Wykazu informacji o pozostałych przedsięwzięciach.</w:t>
            </w:r>
          </w:p>
        </w:tc>
      </w:tr>
      <w:tr w:rsidR="0085319C" w:rsidRPr="005E78BB" w14:paraId="11BDF3DE" w14:textId="77777777" w:rsidTr="00E92AE6">
        <w:trPr>
          <w:trHeight w:val="454"/>
        </w:trPr>
        <w:tc>
          <w:tcPr>
            <w:tcW w:w="562" w:type="dxa"/>
            <w:shd w:val="clear" w:color="auto" w:fill="auto"/>
            <w:hideMark/>
          </w:tcPr>
          <w:p w14:paraId="6B5095C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299</w:t>
            </w:r>
          </w:p>
        </w:tc>
        <w:tc>
          <w:tcPr>
            <w:tcW w:w="1021" w:type="dxa"/>
          </w:tcPr>
          <w:p w14:paraId="56C89329" w14:textId="4E8088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E5CFC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05EDBD2" w14:textId="2C3E15E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ogólna</w:t>
            </w:r>
          </w:p>
        </w:tc>
        <w:tc>
          <w:tcPr>
            <w:tcW w:w="3377" w:type="dxa"/>
            <w:shd w:val="clear" w:color="auto" w:fill="auto"/>
            <w:hideMark/>
          </w:tcPr>
          <w:p w14:paraId="3223E0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255842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45FAE2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C906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F079A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58A1A114" w14:textId="77777777" w:rsidTr="00E92AE6">
        <w:trPr>
          <w:trHeight w:val="454"/>
        </w:trPr>
        <w:tc>
          <w:tcPr>
            <w:tcW w:w="562" w:type="dxa"/>
            <w:shd w:val="clear" w:color="auto" w:fill="auto"/>
            <w:hideMark/>
          </w:tcPr>
          <w:p w14:paraId="3F41524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300</w:t>
            </w:r>
          </w:p>
        </w:tc>
        <w:tc>
          <w:tcPr>
            <w:tcW w:w="1021" w:type="dxa"/>
          </w:tcPr>
          <w:p w14:paraId="28F66143" w14:textId="34025E5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2AF3A1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F74AB22" w14:textId="4EAEC4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p>
        </w:tc>
        <w:tc>
          <w:tcPr>
            <w:tcW w:w="3377" w:type="dxa"/>
            <w:shd w:val="clear" w:color="auto" w:fill="auto"/>
            <w:hideMark/>
          </w:tcPr>
          <w:p w14:paraId="19D616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4521CDA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3CDC59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C7227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5C43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w:t>
            </w:r>
            <w:r w:rsidRPr="005E78BB">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w:t>
            </w:r>
            <w:r w:rsidRPr="005E78BB">
              <w:rPr>
                <w:rFonts w:ascii="Calibri" w:eastAsia="Times New Roman" w:hAnsi="Calibri" w:cs="Calibri"/>
                <w:color w:val="000000"/>
                <w:sz w:val="18"/>
                <w:szCs w:val="18"/>
                <w:lang w:eastAsia="pl-PL"/>
              </w:rPr>
              <w:br/>
              <w:t>w ochronie środowiska oraz o ocenach oddziaływania na środowisko (Dz.U. z 2021 roku poz. 247</w:t>
            </w:r>
            <w:r w:rsidRPr="005E78BB">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z prognoz).</w:t>
            </w:r>
            <w:r w:rsidRPr="005E78BB">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2. Konsultacje społeczne w ramach SOOŚ wymagane ustawą o udostępnianiu informacji</w:t>
            </w:r>
            <w:r w:rsidRPr="005E78BB">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W związku z przygotowaniem i przeprowadzeniem konsultacji społecznych zgodnie</w:t>
            </w:r>
            <w:r w:rsidRPr="005E78BB">
              <w:rPr>
                <w:rFonts w:ascii="Calibri" w:eastAsia="Times New Roman" w:hAnsi="Calibri" w:cs="Calibri"/>
                <w:color w:val="000000"/>
                <w:sz w:val="18"/>
                <w:szCs w:val="18"/>
                <w:lang w:eastAsia="pl-PL"/>
              </w:rPr>
              <w:br/>
              <w:t>z przepisami prawa oraz przy zapewnieniu możliwie pełnego i aktywnego udziału społeczeństwa</w:t>
            </w:r>
            <w:r w:rsidRPr="005E78BB">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Jednocześnie zwracamy uwagę, iż zainteresowane strony miały możliwość zapoznania się</w:t>
            </w:r>
            <w:r w:rsidRPr="005E78BB">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85319C" w:rsidRPr="005E78BB" w14:paraId="5FC43664" w14:textId="77777777" w:rsidTr="00E92AE6">
        <w:trPr>
          <w:trHeight w:val="454"/>
        </w:trPr>
        <w:tc>
          <w:tcPr>
            <w:tcW w:w="562" w:type="dxa"/>
            <w:shd w:val="clear" w:color="auto" w:fill="auto"/>
            <w:hideMark/>
          </w:tcPr>
          <w:p w14:paraId="4BAD707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301</w:t>
            </w:r>
          </w:p>
        </w:tc>
        <w:tc>
          <w:tcPr>
            <w:tcW w:w="1021" w:type="dxa"/>
          </w:tcPr>
          <w:p w14:paraId="44014DC4" w14:textId="59E8F08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F75B0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10449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chaos</w:t>
            </w:r>
          </w:p>
        </w:tc>
        <w:tc>
          <w:tcPr>
            <w:tcW w:w="3377" w:type="dxa"/>
            <w:shd w:val="clear" w:color="auto" w:fill="auto"/>
            <w:hideMark/>
          </w:tcPr>
          <w:p w14:paraId="1C8499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26067F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245A2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48193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0C2A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w:t>
            </w:r>
            <w:r w:rsidRPr="005E78BB">
              <w:rPr>
                <w:rFonts w:ascii="Calibri" w:eastAsia="Times New Roman" w:hAnsi="Calibri" w:cs="Calibri"/>
                <w:color w:val="000000"/>
                <w:sz w:val="18"/>
                <w:szCs w:val="18"/>
                <w:lang w:eastAsia="pl-PL"/>
              </w:rPr>
              <w:br w:type="page"/>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w:t>
            </w:r>
            <w:r w:rsidRPr="005E78BB">
              <w:rPr>
                <w:rFonts w:ascii="Calibri" w:eastAsia="Times New Roman" w:hAnsi="Calibri" w:cs="Calibri"/>
                <w:color w:val="000000"/>
                <w:sz w:val="18"/>
                <w:szCs w:val="18"/>
                <w:lang w:eastAsia="pl-PL"/>
              </w:rPr>
              <w:br w:type="page"/>
              <w:t>w ochronie środowiska oraz o ocenach oddziaływania na środowisko (Dz.U. z 2021 roku poz. 247</w:t>
            </w:r>
            <w:r w:rsidRPr="005E78BB">
              <w:rPr>
                <w:rFonts w:ascii="Calibri" w:eastAsia="Times New Roman" w:hAnsi="Calibri" w:cs="Calibri"/>
                <w:color w:val="000000"/>
                <w:sz w:val="18"/>
                <w:szCs w:val="18"/>
                <w:lang w:eastAsia="pl-PL"/>
              </w:rPr>
              <w:br w:type="page"/>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ype="page"/>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ype="page"/>
              <w:t>z prognoz).</w:t>
            </w:r>
            <w:r w:rsidRPr="005E78BB">
              <w:rPr>
                <w:rFonts w:ascii="Calibri" w:eastAsia="Times New Roman" w:hAnsi="Calibri" w:cs="Calibri"/>
                <w:color w:val="000000"/>
                <w:sz w:val="18"/>
                <w:szCs w:val="18"/>
                <w:lang w:eastAsia="pl-PL"/>
              </w:rPr>
              <w:br w:type="page"/>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ype="page"/>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2. Konsultacje społeczne w ramach SOOŚ wymagane ustawą o udostępnianiu informacji</w:t>
            </w:r>
            <w:r w:rsidRPr="005E78BB">
              <w:rPr>
                <w:rFonts w:ascii="Calibri" w:eastAsia="Times New Roman" w:hAnsi="Calibri" w:cs="Calibri"/>
                <w:color w:val="000000"/>
                <w:sz w:val="18"/>
                <w:szCs w:val="18"/>
                <w:lang w:eastAsia="pl-PL"/>
              </w:rPr>
              <w:br w:type="page"/>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ype="page"/>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ype="page"/>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ype="page"/>
              <w:t>W związku z przygotowaniem i przeprowadzeniem konsultacji społecznych zgodnie</w:t>
            </w:r>
            <w:r w:rsidRPr="005E78BB">
              <w:rPr>
                <w:rFonts w:ascii="Calibri" w:eastAsia="Times New Roman" w:hAnsi="Calibri" w:cs="Calibri"/>
                <w:color w:val="000000"/>
                <w:sz w:val="18"/>
                <w:szCs w:val="18"/>
                <w:lang w:eastAsia="pl-PL"/>
              </w:rPr>
              <w:br w:type="page"/>
              <w:t>z przepisami prawa oraz przy zapewnieniu możliwie pełnego i aktywnego udziału społeczeństwa</w:t>
            </w:r>
            <w:r w:rsidRPr="005E78BB">
              <w:rPr>
                <w:rFonts w:ascii="Calibri" w:eastAsia="Times New Roman" w:hAnsi="Calibri" w:cs="Calibri"/>
                <w:color w:val="000000"/>
                <w:sz w:val="18"/>
                <w:szCs w:val="18"/>
                <w:lang w:eastAsia="pl-PL"/>
              </w:rPr>
              <w:br w:type="page"/>
              <w:t>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Jednocześnie zwracamy uwagę, iż zainteresowane strony miały możliwość zapoznania się</w:t>
            </w:r>
            <w:r w:rsidRPr="005E78BB">
              <w:rPr>
                <w:rFonts w:ascii="Calibri" w:eastAsia="Times New Roman" w:hAnsi="Calibri" w:cs="Calibri"/>
                <w:color w:val="000000"/>
                <w:sz w:val="18"/>
                <w:szCs w:val="18"/>
                <w:lang w:eastAsia="pl-PL"/>
              </w:rPr>
              <w:br w:type="page"/>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oraz ich prognozami oddziaływania na środowisko i zgłoszenie uwag w ramach obu wymienionych powyżej procedur.</w:t>
            </w:r>
          </w:p>
        </w:tc>
      </w:tr>
      <w:tr w:rsidR="0085319C" w:rsidRPr="005E78BB" w14:paraId="4DEAC2E6" w14:textId="77777777" w:rsidTr="00E92AE6">
        <w:trPr>
          <w:trHeight w:val="454"/>
        </w:trPr>
        <w:tc>
          <w:tcPr>
            <w:tcW w:w="562" w:type="dxa"/>
            <w:shd w:val="clear" w:color="auto" w:fill="auto"/>
            <w:hideMark/>
          </w:tcPr>
          <w:p w14:paraId="05678D4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302</w:t>
            </w:r>
          </w:p>
        </w:tc>
        <w:tc>
          <w:tcPr>
            <w:tcW w:w="1021" w:type="dxa"/>
          </w:tcPr>
          <w:p w14:paraId="0B29E823" w14:textId="5860B0E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60C1302" w14:textId="40D3730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8420C5E" w14:textId="5DD772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3377" w:type="dxa"/>
            <w:shd w:val="clear" w:color="auto" w:fill="auto"/>
            <w:hideMark/>
          </w:tcPr>
          <w:p w14:paraId="78E1476A" w14:textId="40EF934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757DA278" w14:textId="51118B5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r w:rsidRPr="005E78BB">
              <w:rPr>
                <w:rFonts w:ascii="Calibri" w:eastAsia="Times New Roman" w:hAnsi="Calibri" w:cs="Calibri"/>
                <w:color w:val="000000"/>
                <w:sz w:val="18"/>
                <w:szCs w:val="18"/>
                <w:lang w:eastAsia="pl-PL"/>
              </w:rPr>
              <w:br/>
            </w:r>
          </w:p>
        </w:tc>
        <w:tc>
          <w:tcPr>
            <w:tcW w:w="1918" w:type="dxa"/>
            <w:shd w:val="clear" w:color="auto" w:fill="auto"/>
            <w:hideMark/>
          </w:tcPr>
          <w:p w14:paraId="6FCEC4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4C23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5EC1B94" w14:textId="21248E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obszaerne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2EF200DF" w14:textId="77777777" w:rsidTr="00E92AE6">
        <w:trPr>
          <w:trHeight w:val="454"/>
        </w:trPr>
        <w:tc>
          <w:tcPr>
            <w:tcW w:w="562" w:type="dxa"/>
            <w:shd w:val="clear" w:color="auto" w:fill="auto"/>
            <w:hideMark/>
          </w:tcPr>
          <w:p w14:paraId="4243CBF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303</w:t>
            </w:r>
          </w:p>
        </w:tc>
        <w:tc>
          <w:tcPr>
            <w:tcW w:w="1021" w:type="dxa"/>
          </w:tcPr>
          <w:p w14:paraId="68C52F2D" w14:textId="107069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5C71F4E" w14:textId="682C92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3089E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3377" w:type="dxa"/>
            <w:shd w:val="clear" w:color="auto" w:fill="auto"/>
            <w:hideMark/>
          </w:tcPr>
          <w:p w14:paraId="4CA9BA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265584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39D2F6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D416F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4F15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46BAA07C" w14:textId="77777777" w:rsidTr="00E92AE6">
        <w:trPr>
          <w:trHeight w:val="454"/>
        </w:trPr>
        <w:tc>
          <w:tcPr>
            <w:tcW w:w="562" w:type="dxa"/>
            <w:shd w:val="clear" w:color="auto" w:fill="auto"/>
            <w:hideMark/>
          </w:tcPr>
          <w:p w14:paraId="15183E3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304</w:t>
            </w:r>
          </w:p>
        </w:tc>
        <w:tc>
          <w:tcPr>
            <w:tcW w:w="1021" w:type="dxa"/>
          </w:tcPr>
          <w:p w14:paraId="44BF5A26" w14:textId="4383F2A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E553611" w14:textId="7F0CBC5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607FE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formularz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BB189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24E4CE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Organy państwowe powinny ułatwiać składanie uwag w ramach konsultacji IIaPGW, a nie je utrudniać.</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8D050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9C6A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DB07D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projektów IIaPGW wraz z załącznikami.</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zróżnicowane kanały komunikacji dostępne dla zainteresowanych. Nie stosowano dodatkowych ograniczeń co do formy przedkładanych uwag.</w:t>
            </w:r>
          </w:p>
        </w:tc>
      </w:tr>
      <w:tr w:rsidR="0085319C" w:rsidRPr="005E78BB" w14:paraId="26A79B18" w14:textId="77777777" w:rsidTr="00E92AE6">
        <w:trPr>
          <w:trHeight w:val="454"/>
        </w:trPr>
        <w:tc>
          <w:tcPr>
            <w:tcW w:w="562" w:type="dxa"/>
            <w:shd w:val="clear" w:color="auto" w:fill="auto"/>
            <w:hideMark/>
          </w:tcPr>
          <w:p w14:paraId="00AB8E7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305</w:t>
            </w:r>
          </w:p>
        </w:tc>
        <w:tc>
          <w:tcPr>
            <w:tcW w:w="1021" w:type="dxa"/>
          </w:tcPr>
          <w:p w14:paraId="1608C211" w14:textId="3800E8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79BBD8C2" w14:textId="558C612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67788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3377" w:type="dxa"/>
            <w:shd w:val="clear" w:color="auto" w:fill="auto"/>
            <w:hideMark/>
          </w:tcPr>
          <w:p w14:paraId="22B40B1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701A88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50144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CA9ED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DFE7A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4EB8006B" w14:textId="77777777" w:rsidTr="00E92AE6">
        <w:trPr>
          <w:trHeight w:val="454"/>
        </w:trPr>
        <w:tc>
          <w:tcPr>
            <w:tcW w:w="562" w:type="dxa"/>
            <w:shd w:val="clear" w:color="auto" w:fill="auto"/>
            <w:hideMark/>
          </w:tcPr>
          <w:p w14:paraId="06F5B29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306</w:t>
            </w:r>
          </w:p>
        </w:tc>
        <w:tc>
          <w:tcPr>
            <w:tcW w:w="1021" w:type="dxa"/>
          </w:tcPr>
          <w:p w14:paraId="3615827A" w14:textId="15E09B4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A5E5F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217012D8" w14:textId="47024C9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Tresć uwagi</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Rozdz. 3</w:t>
            </w:r>
            <w:r w:rsidRPr="005E78BB">
              <w:rPr>
                <w:rFonts w:ascii="Calibri" w:eastAsia="Times New Roman" w:hAnsi="Calibri" w:cs="Calibri"/>
                <w:color w:val="000000"/>
                <w:sz w:val="18"/>
                <w:szCs w:val="18"/>
                <w:lang w:eastAsia="pl-PL"/>
              </w:rPr>
              <w:br/>
            </w:r>
          </w:p>
        </w:tc>
        <w:tc>
          <w:tcPr>
            <w:tcW w:w="3377" w:type="dxa"/>
            <w:shd w:val="clear" w:color="auto" w:fill="auto"/>
            <w:hideMark/>
          </w:tcPr>
          <w:p w14:paraId="638F9BA5" w14:textId="30521A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1752E51B" w14:textId="2FE5B68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622C00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1516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0D9FCB" w14:textId="7841D31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66C19686" w14:textId="77777777" w:rsidTr="005A77B7">
        <w:trPr>
          <w:trHeight w:val="454"/>
        </w:trPr>
        <w:tc>
          <w:tcPr>
            <w:tcW w:w="562" w:type="dxa"/>
            <w:shd w:val="clear" w:color="auto" w:fill="auto"/>
            <w:hideMark/>
          </w:tcPr>
          <w:p w14:paraId="03F4E244" w14:textId="77777777" w:rsidR="0085319C" w:rsidRPr="005A77B7" w:rsidRDefault="0085319C" w:rsidP="0085319C">
            <w:pPr>
              <w:ind w:firstLine="0"/>
              <w:jc w:val="center"/>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307</w:t>
            </w:r>
          </w:p>
        </w:tc>
        <w:tc>
          <w:tcPr>
            <w:tcW w:w="1021" w:type="dxa"/>
            <w:shd w:val="clear" w:color="auto" w:fill="auto"/>
          </w:tcPr>
          <w:p w14:paraId="6A17A4E4" w14:textId="64B29151"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hAnsi="Calibri" w:cs="Calibri"/>
                <w:color w:val="000000"/>
                <w:sz w:val="18"/>
                <w:szCs w:val="18"/>
              </w:rPr>
              <w:t>Ogólnopolskie Towarzystwo Ochrony Ptaków Marki k. Warszawy</w:t>
            </w:r>
          </w:p>
        </w:tc>
        <w:tc>
          <w:tcPr>
            <w:tcW w:w="1630" w:type="dxa"/>
            <w:shd w:val="clear" w:color="auto" w:fill="auto"/>
            <w:hideMark/>
          </w:tcPr>
          <w:p w14:paraId="5A9E706D"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0B4BF7F1" w14:textId="4E7012F1" w:rsidR="0085319C" w:rsidRPr="005A77B7" w:rsidRDefault="0085319C" w:rsidP="0085319C">
            <w:pPr>
              <w:spacing w:after="240"/>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Treść uwagi</w:t>
            </w:r>
            <w:r w:rsidRPr="005A77B7">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br/>
              <w:t>RWr Zbiornikowe</w:t>
            </w:r>
            <w:r w:rsidRPr="005A77B7">
              <w:rPr>
                <w:rFonts w:ascii="Calibri" w:eastAsia="Times New Roman" w:hAnsi="Calibri" w:cs="Calibri"/>
                <w:color w:val="000000"/>
                <w:sz w:val="18"/>
                <w:szCs w:val="18"/>
                <w:lang w:eastAsia="pl-PL"/>
              </w:rPr>
              <w:br/>
              <w:t>Rozdz. 3, 5.1. oraz 8.1.</w:t>
            </w:r>
            <w:r w:rsidRPr="005A77B7">
              <w:rPr>
                <w:rFonts w:ascii="Calibri" w:eastAsia="Times New Roman" w:hAnsi="Calibri" w:cs="Calibri"/>
                <w:color w:val="000000"/>
                <w:sz w:val="18"/>
                <w:szCs w:val="18"/>
                <w:lang w:eastAsia="pl-PL"/>
              </w:rPr>
              <w:br/>
              <w:t xml:space="preserve">Zał. 3.1. oraz 8. </w:t>
            </w:r>
            <w:r w:rsidRPr="005A77B7">
              <w:rPr>
                <w:rFonts w:ascii="Calibri" w:eastAsia="Times New Roman" w:hAnsi="Calibri" w:cs="Calibri"/>
                <w:color w:val="000000"/>
                <w:sz w:val="18"/>
                <w:szCs w:val="18"/>
                <w:lang w:eastAsia="pl-PL"/>
              </w:rPr>
              <w:br/>
              <w:t>Zał. mapowe</w:t>
            </w:r>
            <w:r w:rsidRPr="005A77B7">
              <w:rPr>
                <w:rFonts w:ascii="Calibri" w:eastAsia="Times New Roman" w:hAnsi="Calibri" w:cs="Calibri"/>
                <w:color w:val="000000"/>
                <w:sz w:val="18"/>
                <w:szCs w:val="18"/>
                <w:lang w:eastAsia="pl-PL"/>
              </w:rPr>
              <w:br/>
            </w:r>
          </w:p>
        </w:tc>
        <w:tc>
          <w:tcPr>
            <w:tcW w:w="3377" w:type="dxa"/>
            <w:shd w:val="clear" w:color="auto" w:fill="auto"/>
            <w:hideMark/>
          </w:tcPr>
          <w:p w14:paraId="7C739311" w14:textId="6C5A6802" w:rsidR="0085319C" w:rsidRPr="005A77B7" w:rsidRDefault="0085319C" w:rsidP="0085319C">
            <w:pPr>
              <w:spacing w:after="240"/>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78DDEE0E" w14:textId="525B7CD8"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wyznaczonych jako limniczne stosuje się klasyfikację jak dla jezior.</w:t>
            </w:r>
            <w:r w:rsidRPr="005A77B7">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75028B17"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 - </w:t>
            </w:r>
          </w:p>
        </w:tc>
        <w:tc>
          <w:tcPr>
            <w:tcW w:w="1276" w:type="dxa"/>
            <w:shd w:val="clear" w:color="auto" w:fill="auto"/>
            <w:hideMark/>
          </w:tcPr>
          <w:p w14:paraId="7D9EE2DE"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wyjaśnienie</w:t>
            </w:r>
          </w:p>
        </w:tc>
        <w:tc>
          <w:tcPr>
            <w:tcW w:w="3513" w:type="dxa"/>
            <w:shd w:val="clear" w:color="auto" w:fill="auto"/>
            <w:hideMark/>
          </w:tcPr>
          <w:p w14:paraId="5372660B" w14:textId="4C9054EA"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w:t>
            </w:r>
            <w:r w:rsidRPr="005A77B7">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CW.</w:t>
            </w:r>
            <w:r w:rsidRPr="005A77B7">
              <w:rPr>
                <w:rFonts w:ascii="Calibri" w:eastAsia="Times New Roman" w:hAnsi="Calibri" w:cs="Calibri"/>
                <w:color w:val="000000"/>
                <w:sz w:val="18"/>
                <w:szCs w:val="18"/>
                <w:lang w:eastAsia="pl-PL"/>
              </w:rPr>
              <w:br/>
              <w:t xml:space="preserve">W zał. </w:t>
            </w:r>
            <w:r w:rsidR="005A77B7" w:rsidRPr="005A77B7">
              <w:rPr>
                <w:rFonts w:ascii="Calibri" w:eastAsia="Times New Roman" w:hAnsi="Calibri" w:cs="Calibri"/>
                <w:color w:val="000000"/>
                <w:sz w:val="18"/>
                <w:szCs w:val="18"/>
                <w:lang w:eastAsia="pl-PL"/>
              </w:rPr>
              <w:t>Wartości graniczne SCW i SZCW</w:t>
            </w:r>
            <w:r w:rsidRPr="005A77B7">
              <w:rPr>
                <w:rFonts w:ascii="Calibri" w:eastAsia="Times New Roman" w:hAnsi="Calibri" w:cs="Calibri"/>
                <w:color w:val="000000"/>
                <w:sz w:val="18"/>
                <w:szCs w:val="18"/>
                <w:lang w:eastAsia="pl-PL"/>
              </w:rPr>
              <w:t xml:space="preserve">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66A99B1E" w14:textId="77777777" w:rsidTr="005A77B7">
        <w:trPr>
          <w:trHeight w:val="454"/>
        </w:trPr>
        <w:tc>
          <w:tcPr>
            <w:tcW w:w="562" w:type="dxa"/>
            <w:shd w:val="clear" w:color="auto" w:fill="auto"/>
            <w:hideMark/>
          </w:tcPr>
          <w:p w14:paraId="2BB88D6A" w14:textId="77777777" w:rsidR="0085319C" w:rsidRPr="004D1B72" w:rsidRDefault="0085319C" w:rsidP="0085319C">
            <w:pPr>
              <w:ind w:firstLine="0"/>
              <w:jc w:val="center"/>
              <w:rPr>
                <w:rFonts w:ascii="Calibri" w:eastAsia="Times New Roman" w:hAnsi="Calibri" w:cs="Calibri"/>
                <w:color w:val="000000"/>
                <w:sz w:val="18"/>
                <w:szCs w:val="18"/>
                <w:highlight w:val="red"/>
                <w:lang w:eastAsia="pl-PL"/>
              </w:rPr>
            </w:pPr>
            <w:r w:rsidRPr="005A77B7">
              <w:rPr>
                <w:rFonts w:ascii="Calibri" w:eastAsia="Times New Roman" w:hAnsi="Calibri" w:cs="Calibri"/>
                <w:color w:val="000000"/>
                <w:sz w:val="18"/>
                <w:szCs w:val="18"/>
                <w:lang w:eastAsia="pl-PL"/>
              </w:rPr>
              <w:t>308</w:t>
            </w:r>
          </w:p>
        </w:tc>
        <w:tc>
          <w:tcPr>
            <w:tcW w:w="1021" w:type="dxa"/>
            <w:shd w:val="clear" w:color="auto" w:fill="auto"/>
          </w:tcPr>
          <w:p w14:paraId="17C36CC1" w14:textId="317DC10B"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hAnsi="Calibri" w:cs="Calibri"/>
                <w:color w:val="000000"/>
                <w:sz w:val="18"/>
                <w:szCs w:val="18"/>
              </w:rPr>
              <w:t>Ogólnopolskie Towarzystwo Ochrony Ptaków Marki k. Warszawy</w:t>
            </w:r>
          </w:p>
        </w:tc>
        <w:tc>
          <w:tcPr>
            <w:tcW w:w="1630" w:type="dxa"/>
            <w:shd w:val="clear" w:color="auto" w:fill="auto"/>
            <w:hideMark/>
          </w:tcPr>
          <w:p w14:paraId="7CBA884C" w14:textId="717057F0"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B0BCB37" w14:textId="4B8C5DE5"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Treść uwagi</w:t>
            </w:r>
            <w:r w:rsidRPr="005A77B7">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 xml:space="preserve">Zgodnie z dokumentem  </w:t>
            </w:r>
            <w:r w:rsidRPr="005A77B7">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5A77B7">
              <w:rPr>
                <w:rFonts w:ascii="Calibri" w:eastAsia="Times New Roman" w:hAnsi="Calibri" w:cs="Calibri"/>
                <w:color w:val="000000"/>
                <w:sz w:val="18"/>
                <w:szCs w:val="18"/>
                <w:lang w:eastAsia="pl-PL"/>
              </w:rPr>
              <w:br w:type="page"/>
              <w:t>- dostępny np. na stronie konsultacji IIaPGW https://www.apgw.gov.pl/pl/news/show/90</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 xml:space="preserve">Zalecenie z 2012 r.: </w:t>
            </w:r>
            <w:r w:rsidRPr="005A77B7">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Powyższe zalecenie zostało wykonane w IIaPGW tylko częściowo.</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określone w projekcie IIaPGW.</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5A77B7">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5A77B7">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Część projektu planu, do którego zgłaszana jest uwaga (numer rozdziału, strona dokumentu, nr załącznika): Rozdz. 3.1.SZCW</w:t>
            </w:r>
            <w:r w:rsidRPr="005A77B7">
              <w:rPr>
                <w:rFonts w:ascii="Calibri" w:eastAsia="Times New Roman" w:hAnsi="Calibri" w:cs="Calibri"/>
                <w:color w:val="000000"/>
                <w:sz w:val="18"/>
                <w:szCs w:val="18"/>
                <w:lang w:eastAsia="pl-PL"/>
              </w:rPr>
              <w:br w:type="page"/>
            </w:r>
          </w:p>
        </w:tc>
        <w:tc>
          <w:tcPr>
            <w:tcW w:w="3377" w:type="dxa"/>
            <w:shd w:val="clear" w:color="auto" w:fill="auto"/>
            <w:hideMark/>
          </w:tcPr>
          <w:p w14:paraId="2E7FBD58" w14:textId="47E08F21"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5A77B7">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ustalenia KPRWP.</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5A77B7">
              <w:rPr>
                <w:rFonts w:ascii="Calibri" w:eastAsia="Times New Roman" w:hAnsi="Calibri" w:cs="Calibri"/>
                <w:color w:val="000000"/>
                <w:sz w:val="18"/>
                <w:szCs w:val="18"/>
                <w:lang w:eastAsia="pl-PL"/>
              </w:rPr>
              <w:br w:type="page"/>
            </w:r>
          </w:p>
        </w:tc>
        <w:tc>
          <w:tcPr>
            <w:tcW w:w="3401" w:type="dxa"/>
            <w:shd w:val="clear" w:color="auto" w:fill="auto"/>
            <w:hideMark/>
          </w:tcPr>
          <w:p w14:paraId="758FB3EE"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Jak w treści uwagi.</w:t>
            </w:r>
          </w:p>
        </w:tc>
        <w:tc>
          <w:tcPr>
            <w:tcW w:w="1918" w:type="dxa"/>
            <w:shd w:val="clear" w:color="auto" w:fill="auto"/>
            <w:hideMark/>
          </w:tcPr>
          <w:p w14:paraId="24F69EEF"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 - </w:t>
            </w:r>
          </w:p>
        </w:tc>
        <w:tc>
          <w:tcPr>
            <w:tcW w:w="1276" w:type="dxa"/>
            <w:shd w:val="clear" w:color="auto" w:fill="auto"/>
            <w:hideMark/>
          </w:tcPr>
          <w:p w14:paraId="243BF8D7"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wyjaśnienie</w:t>
            </w:r>
          </w:p>
        </w:tc>
        <w:tc>
          <w:tcPr>
            <w:tcW w:w="3513" w:type="dxa"/>
            <w:shd w:val="clear" w:color="auto" w:fill="auto"/>
            <w:hideMark/>
          </w:tcPr>
          <w:p w14:paraId="2BC6048F" w14:textId="7F945214"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5A77B7" w:rsidRPr="005A77B7">
              <w:rPr>
                <w:rFonts w:ascii="Calibri" w:eastAsia="Times New Roman" w:hAnsi="Calibri" w:cs="Calibri"/>
                <w:color w:val="000000"/>
                <w:sz w:val="18"/>
                <w:szCs w:val="18"/>
                <w:lang w:eastAsia="pl-PL"/>
              </w:rPr>
              <w:t xml:space="preserve">Wartości graniczne SCW i SZCW </w:t>
            </w:r>
            <w:r w:rsidRPr="005A77B7">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37FE7829" w14:textId="77777777" w:rsidTr="00E92AE6">
        <w:trPr>
          <w:trHeight w:val="454"/>
        </w:trPr>
        <w:tc>
          <w:tcPr>
            <w:tcW w:w="562" w:type="dxa"/>
            <w:shd w:val="clear" w:color="auto" w:fill="auto"/>
            <w:hideMark/>
          </w:tcPr>
          <w:p w14:paraId="13B0BE7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309</w:t>
            </w:r>
          </w:p>
        </w:tc>
        <w:tc>
          <w:tcPr>
            <w:tcW w:w="1021" w:type="dxa"/>
          </w:tcPr>
          <w:p w14:paraId="2BABAEA6" w14:textId="40639D0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3B91E24" w14:textId="2ACF46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3FC617BB" w14:textId="75CB151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5E78BB">
              <w:rPr>
                <w:rFonts w:ascii="Calibri" w:eastAsia="Times New Roman" w:hAnsi="Calibri" w:cs="Calibri"/>
                <w:color w:val="000000"/>
                <w:sz w:val="18"/>
                <w:szCs w:val="18"/>
                <w:lang w:val="en-US"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3377" w:type="dxa"/>
            <w:shd w:val="clear" w:color="auto" w:fill="auto"/>
            <w:hideMark/>
          </w:tcPr>
          <w:p w14:paraId="2D8933CE" w14:textId="5834B2B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03953BA2" w14:textId="0CF25712"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val="en-US"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0F1D68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63EEE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54B707" w14:textId="54A4558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7FF936E0" w14:textId="77777777" w:rsidTr="00E92AE6">
        <w:trPr>
          <w:trHeight w:val="454"/>
        </w:trPr>
        <w:tc>
          <w:tcPr>
            <w:tcW w:w="562" w:type="dxa"/>
            <w:shd w:val="clear" w:color="auto" w:fill="auto"/>
            <w:hideMark/>
          </w:tcPr>
          <w:p w14:paraId="385496F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310</w:t>
            </w:r>
          </w:p>
        </w:tc>
        <w:tc>
          <w:tcPr>
            <w:tcW w:w="1021" w:type="dxa"/>
          </w:tcPr>
          <w:p w14:paraId="68A53B27" w14:textId="488D2F0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709EF027" w14:textId="738D6ED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C6FFDE2" w14:textId="2FF4B13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3.1. SZCW</w:t>
            </w:r>
            <w:r w:rsidRPr="005E78BB">
              <w:rPr>
                <w:rFonts w:ascii="Calibri" w:eastAsia="Times New Roman" w:hAnsi="Calibri" w:cs="Calibri"/>
                <w:color w:val="000000"/>
                <w:sz w:val="18"/>
                <w:szCs w:val="18"/>
                <w:lang w:eastAsia="pl-PL"/>
              </w:rPr>
              <w:br/>
              <w:t>Wyznaczenie SZCW niezgodnie z metodyką</w:t>
            </w:r>
          </w:p>
        </w:tc>
        <w:tc>
          <w:tcPr>
            <w:tcW w:w="3377" w:type="dxa"/>
            <w:shd w:val="clear" w:color="auto" w:fill="auto"/>
            <w:hideMark/>
          </w:tcPr>
          <w:p w14:paraId="0F6B885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B5B39A5" w14:textId="7AC35E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65BF2A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DFE5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57FB96C" w14:textId="7FD1A8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3A170891" w14:textId="77777777" w:rsidTr="00E92AE6">
        <w:trPr>
          <w:trHeight w:val="454"/>
        </w:trPr>
        <w:tc>
          <w:tcPr>
            <w:tcW w:w="562" w:type="dxa"/>
            <w:shd w:val="clear" w:color="auto" w:fill="auto"/>
            <w:hideMark/>
          </w:tcPr>
          <w:p w14:paraId="16BB3CF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311</w:t>
            </w:r>
          </w:p>
        </w:tc>
        <w:tc>
          <w:tcPr>
            <w:tcW w:w="1021" w:type="dxa"/>
          </w:tcPr>
          <w:p w14:paraId="63E70BE1" w14:textId="6B51EC9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5F9AF6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56E5B191" w14:textId="4F1D42E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 5 Monitoring</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4D9E9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76F228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42F5CF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192A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F7657E7" w14:textId="549ADFB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14D0D993" w14:textId="77777777" w:rsidTr="00E92AE6">
        <w:trPr>
          <w:trHeight w:val="454"/>
        </w:trPr>
        <w:tc>
          <w:tcPr>
            <w:tcW w:w="562" w:type="dxa"/>
            <w:shd w:val="clear" w:color="auto" w:fill="auto"/>
            <w:hideMark/>
          </w:tcPr>
          <w:p w14:paraId="20B07FB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312</w:t>
            </w:r>
          </w:p>
        </w:tc>
        <w:tc>
          <w:tcPr>
            <w:tcW w:w="1021" w:type="dxa"/>
          </w:tcPr>
          <w:p w14:paraId="1DAA08F9" w14:textId="40ED6C6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CA38D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398442E6" w14:textId="0323AFFE"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p>
        </w:tc>
        <w:tc>
          <w:tcPr>
            <w:tcW w:w="3377" w:type="dxa"/>
            <w:shd w:val="clear" w:color="auto" w:fill="auto"/>
            <w:hideMark/>
          </w:tcPr>
          <w:p w14:paraId="22073F55" w14:textId="391BA1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0B1568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4F4AB7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792B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3970CBF" w14:textId="12B87B6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40552DF" w14:textId="77777777" w:rsidTr="00E92AE6">
        <w:trPr>
          <w:trHeight w:val="454"/>
        </w:trPr>
        <w:tc>
          <w:tcPr>
            <w:tcW w:w="562" w:type="dxa"/>
            <w:shd w:val="clear" w:color="auto" w:fill="auto"/>
            <w:hideMark/>
          </w:tcPr>
          <w:p w14:paraId="2B37A7B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313</w:t>
            </w:r>
          </w:p>
        </w:tc>
        <w:tc>
          <w:tcPr>
            <w:tcW w:w="1021" w:type="dxa"/>
          </w:tcPr>
          <w:p w14:paraId="36C258A1" w14:textId="6F63F99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03042A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51E97379" w14:textId="45BD05F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5E78BB">
              <w:rPr>
                <w:rFonts w:ascii="Calibri" w:eastAsia="Times New Roman" w:hAnsi="Calibri" w:cs="Calibri"/>
                <w:color w:val="000000"/>
                <w:sz w:val="18"/>
                <w:szCs w:val="18"/>
                <w:lang w:eastAsia="pl-PL"/>
              </w:rPr>
              <w:br/>
              <w:t xml:space="preserve">Presja, Cele środowiskowe, </w:t>
            </w:r>
          </w:p>
        </w:tc>
        <w:tc>
          <w:tcPr>
            <w:tcW w:w="3377" w:type="dxa"/>
            <w:shd w:val="clear" w:color="auto" w:fill="auto"/>
            <w:hideMark/>
          </w:tcPr>
          <w:p w14:paraId="03FFD3BC" w14:textId="41EA0F3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086A978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7C450E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4F33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84BAF5" w14:textId="59FC950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5EE3B597" w14:textId="77777777" w:rsidTr="00E92AE6">
        <w:trPr>
          <w:trHeight w:val="454"/>
        </w:trPr>
        <w:tc>
          <w:tcPr>
            <w:tcW w:w="562" w:type="dxa"/>
            <w:shd w:val="clear" w:color="auto" w:fill="auto"/>
            <w:hideMark/>
          </w:tcPr>
          <w:p w14:paraId="0B4925A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314</w:t>
            </w:r>
          </w:p>
        </w:tc>
        <w:tc>
          <w:tcPr>
            <w:tcW w:w="1021" w:type="dxa"/>
          </w:tcPr>
          <w:p w14:paraId="16728F58" w14:textId="696AF7B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6C6EC6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70C87D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9 </w:t>
            </w:r>
            <w:r w:rsidRPr="005E78BB">
              <w:rPr>
                <w:rFonts w:ascii="Calibri" w:eastAsia="Times New Roman" w:hAnsi="Calibri" w:cs="Calibri"/>
                <w:color w:val="000000"/>
                <w:sz w:val="18"/>
                <w:szCs w:val="18"/>
                <w:lang w:eastAsia="pl-PL"/>
              </w:rPr>
              <w:br w:type="page"/>
              <w:t>Postęp i wdrożenie działań 2016-2021</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67F35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925F7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709C57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C87E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E9CC2A2" w14:textId="2F3AD61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nieoiągniecia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Analizy znaczących oddziaływań antropogenicznych wraz z oceną ich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uwzględniajacych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zapewianjącym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62EB947B" w14:textId="77777777" w:rsidTr="00E92AE6">
        <w:trPr>
          <w:trHeight w:val="454"/>
        </w:trPr>
        <w:tc>
          <w:tcPr>
            <w:tcW w:w="562" w:type="dxa"/>
            <w:shd w:val="clear" w:color="auto" w:fill="auto"/>
            <w:hideMark/>
          </w:tcPr>
          <w:p w14:paraId="60BA3BB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315</w:t>
            </w:r>
          </w:p>
        </w:tc>
        <w:tc>
          <w:tcPr>
            <w:tcW w:w="1021" w:type="dxa"/>
          </w:tcPr>
          <w:p w14:paraId="33547BB4" w14:textId="47ADE3A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9EDD5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44297614" w14:textId="21DC9DD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5E78BB">
              <w:rPr>
                <w:rFonts w:ascii="Calibri" w:eastAsia="Times New Roman" w:hAnsi="Calibri" w:cs="Calibri"/>
                <w:color w:val="000000"/>
                <w:sz w:val="18"/>
                <w:szCs w:val="18"/>
                <w:lang w:eastAsia="pl-PL"/>
              </w:rPr>
              <w:br/>
              <w:t xml:space="preserve">Działania 2aPGW KPRWP – raport </w:t>
            </w:r>
          </w:p>
        </w:tc>
        <w:tc>
          <w:tcPr>
            <w:tcW w:w="3377" w:type="dxa"/>
            <w:shd w:val="clear" w:color="auto" w:fill="auto"/>
            <w:hideMark/>
          </w:tcPr>
          <w:p w14:paraId="05A3A906" w14:textId="49A0094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r>
          </w:p>
        </w:tc>
        <w:tc>
          <w:tcPr>
            <w:tcW w:w="3401" w:type="dxa"/>
            <w:shd w:val="clear" w:color="auto" w:fill="auto"/>
            <w:hideMark/>
          </w:tcPr>
          <w:p w14:paraId="7297F0CA" w14:textId="3364980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r>
          </w:p>
        </w:tc>
        <w:tc>
          <w:tcPr>
            <w:tcW w:w="1918" w:type="dxa"/>
            <w:shd w:val="clear" w:color="auto" w:fill="auto"/>
            <w:hideMark/>
          </w:tcPr>
          <w:p w14:paraId="49FD7C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A301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46D5F3E" w14:textId="78765B8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70B139D0" w14:textId="77777777" w:rsidTr="00E92AE6">
        <w:trPr>
          <w:trHeight w:val="454"/>
        </w:trPr>
        <w:tc>
          <w:tcPr>
            <w:tcW w:w="562" w:type="dxa"/>
            <w:shd w:val="clear" w:color="auto" w:fill="auto"/>
            <w:hideMark/>
          </w:tcPr>
          <w:p w14:paraId="02AC0D0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316</w:t>
            </w:r>
          </w:p>
        </w:tc>
        <w:tc>
          <w:tcPr>
            <w:tcW w:w="1021" w:type="dxa"/>
          </w:tcPr>
          <w:p w14:paraId="50C9BCB6" w14:textId="75032B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6E1035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7EDA72A3" w14:textId="162B06C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1D6CCE21" w14:textId="5B403CA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p>
        </w:tc>
        <w:tc>
          <w:tcPr>
            <w:tcW w:w="3401" w:type="dxa"/>
            <w:shd w:val="clear" w:color="auto" w:fill="auto"/>
            <w:hideMark/>
          </w:tcPr>
          <w:p w14:paraId="722C85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311044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8199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25F83D" w14:textId="2601E3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67A370CB" w14:textId="77777777" w:rsidTr="00E92AE6">
        <w:trPr>
          <w:trHeight w:val="454"/>
        </w:trPr>
        <w:tc>
          <w:tcPr>
            <w:tcW w:w="562" w:type="dxa"/>
            <w:shd w:val="clear" w:color="auto" w:fill="auto"/>
            <w:hideMark/>
          </w:tcPr>
          <w:p w14:paraId="5A03D1D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317</w:t>
            </w:r>
          </w:p>
        </w:tc>
        <w:tc>
          <w:tcPr>
            <w:tcW w:w="1021" w:type="dxa"/>
          </w:tcPr>
          <w:p w14:paraId="110AD69C" w14:textId="15AF538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2D506A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1136715" w14:textId="55AC365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06640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Usunąć z listy odstępstw te, dla których uzasadnienia stoją w sprzeczności z KPRWP i dla których możliwe są działania poprawiające stan fizykochemiczny wód.</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DBCF814" w14:textId="583DEED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6585E8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D267A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232732" w14:textId="73C0687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F899C57" w14:textId="77777777" w:rsidTr="00E92AE6">
        <w:trPr>
          <w:trHeight w:val="454"/>
        </w:trPr>
        <w:tc>
          <w:tcPr>
            <w:tcW w:w="562" w:type="dxa"/>
            <w:shd w:val="clear" w:color="auto" w:fill="auto"/>
            <w:hideMark/>
          </w:tcPr>
          <w:p w14:paraId="042B0E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318</w:t>
            </w:r>
          </w:p>
        </w:tc>
        <w:tc>
          <w:tcPr>
            <w:tcW w:w="1021" w:type="dxa"/>
          </w:tcPr>
          <w:p w14:paraId="5C8C1A26" w14:textId="022541F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7F1A71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347B3AD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16, Zał. 6 </w:t>
            </w:r>
          </w:p>
        </w:tc>
        <w:tc>
          <w:tcPr>
            <w:tcW w:w="3377" w:type="dxa"/>
            <w:shd w:val="clear" w:color="auto" w:fill="auto"/>
            <w:hideMark/>
          </w:tcPr>
          <w:p w14:paraId="768D8D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2F8395F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1918" w:type="dxa"/>
            <w:shd w:val="clear" w:color="auto" w:fill="auto"/>
            <w:hideMark/>
          </w:tcPr>
          <w:p w14:paraId="661D7D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6A1D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5F5BE12" w14:textId="2831A3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ECE0B8B" w14:textId="77777777" w:rsidTr="00E92AE6">
        <w:trPr>
          <w:trHeight w:val="454"/>
        </w:trPr>
        <w:tc>
          <w:tcPr>
            <w:tcW w:w="562" w:type="dxa"/>
            <w:shd w:val="clear" w:color="auto" w:fill="auto"/>
            <w:hideMark/>
          </w:tcPr>
          <w:p w14:paraId="5D3FB3B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319</w:t>
            </w:r>
          </w:p>
        </w:tc>
        <w:tc>
          <w:tcPr>
            <w:tcW w:w="1021" w:type="dxa"/>
          </w:tcPr>
          <w:p w14:paraId="33AD5279" w14:textId="6A611A6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36D46A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0E002502" w14:textId="28594B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Katalogi działań</w:t>
            </w:r>
          </w:p>
        </w:tc>
        <w:tc>
          <w:tcPr>
            <w:tcW w:w="3377" w:type="dxa"/>
            <w:shd w:val="clear" w:color="auto" w:fill="auto"/>
            <w:hideMark/>
          </w:tcPr>
          <w:p w14:paraId="369887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148BA3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4C08D8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A647D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C2CD4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54B81FB0" w14:textId="77777777" w:rsidTr="00E92AE6">
        <w:trPr>
          <w:trHeight w:val="454"/>
        </w:trPr>
        <w:tc>
          <w:tcPr>
            <w:tcW w:w="562" w:type="dxa"/>
            <w:shd w:val="clear" w:color="auto" w:fill="auto"/>
            <w:hideMark/>
          </w:tcPr>
          <w:p w14:paraId="719DC3E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320</w:t>
            </w:r>
          </w:p>
        </w:tc>
        <w:tc>
          <w:tcPr>
            <w:tcW w:w="1021" w:type="dxa"/>
          </w:tcPr>
          <w:p w14:paraId="432BCD5A" w14:textId="2A3E50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D8EA4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44BFB30" w14:textId="19B70D5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t xml:space="preserve">lub </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 xml:space="preserve">należy dokonać zmiany na </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„Monitoring skuteczności istniejących urządzeń do migracji ryb.” i/lub </w:t>
            </w:r>
            <w:r w:rsidRPr="005E78BB">
              <w:rPr>
                <w:rFonts w:ascii="Calibri" w:eastAsia="Times New Roman" w:hAnsi="Calibri" w:cs="Calibri"/>
                <w:color w:val="000000"/>
                <w:sz w:val="18"/>
                <w:szCs w:val="18"/>
                <w:lang w:eastAsia="pl-PL"/>
              </w:rPr>
              <w:br w:type="page"/>
              <w:t>„Kontrola funkcjonowania urządzeń do migracji ryb.”</w:t>
            </w:r>
            <w:r w:rsidRPr="005E78BB">
              <w:rPr>
                <w:rFonts w:ascii="Calibri" w:eastAsia="Times New Roman" w:hAnsi="Calibri" w:cs="Calibri"/>
                <w:color w:val="000000"/>
                <w:sz w:val="18"/>
                <w:szCs w:val="18"/>
                <w:lang w:eastAsia="pl-PL"/>
              </w:rPr>
              <w:br w:type="page"/>
              <w:t>należy dodać kolejne działanie (Działanie I lub Działanie II):</w:t>
            </w:r>
            <w:r w:rsidRPr="005E78BB">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Działania udrożnienia barier migracyjnych</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1F00F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19D90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34C39B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3184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9AA48D0" w14:textId="73E2C38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7FBA0F08" w14:textId="77777777" w:rsidTr="00E92AE6">
        <w:trPr>
          <w:trHeight w:val="454"/>
        </w:trPr>
        <w:tc>
          <w:tcPr>
            <w:tcW w:w="562" w:type="dxa"/>
            <w:shd w:val="clear" w:color="auto" w:fill="auto"/>
            <w:hideMark/>
          </w:tcPr>
          <w:p w14:paraId="36A491C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321</w:t>
            </w:r>
          </w:p>
        </w:tc>
        <w:tc>
          <w:tcPr>
            <w:tcW w:w="1021" w:type="dxa"/>
          </w:tcPr>
          <w:p w14:paraId="657DF20F" w14:textId="33B0F34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59641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05BDC43" w14:textId="41E541F9"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 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4F1DCD7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4560CB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D5A12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94F5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48F7CF8" w14:textId="08A4DD1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064D5064" w14:textId="77777777" w:rsidTr="00E92AE6">
        <w:trPr>
          <w:trHeight w:val="454"/>
        </w:trPr>
        <w:tc>
          <w:tcPr>
            <w:tcW w:w="562" w:type="dxa"/>
            <w:shd w:val="clear" w:color="auto" w:fill="auto"/>
            <w:hideMark/>
          </w:tcPr>
          <w:p w14:paraId="1FDF970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322</w:t>
            </w:r>
          </w:p>
        </w:tc>
        <w:tc>
          <w:tcPr>
            <w:tcW w:w="1021" w:type="dxa"/>
          </w:tcPr>
          <w:p w14:paraId="674451A4" w14:textId="2672694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5FB140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E07352C"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PIĘTRZEŃ</w:t>
            </w:r>
          </w:p>
        </w:tc>
        <w:tc>
          <w:tcPr>
            <w:tcW w:w="3377" w:type="dxa"/>
            <w:shd w:val="clear" w:color="auto" w:fill="auto"/>
            <w:hideMark/>
          </w:tcPr>
          <w:p w14:paraId="658FB6C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p>
        </w:tc>
        <w:tc>
          <w:tcPr>
            <w:tcW w:w="3401" w:type="dxa"/>
            <w:shd w:val="clear" w:color="auto" w:fill="auto"/>
            <w:hideMark/>
          </w:tcPr>
          <w:p w14:paraId="55647378" w14:textId="226E788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09AEA7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C662C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6C4C8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3693B883" w14:textId="77777777" w:rsidTr="00E92AE6">
        <w:trPr>
          <w:trHeight w:val="454"/>
        </w:trPr>
        <w:tc>
          <w:tcPr>
            <w:tcW w:w="562" w:type="dxa"/>
            <w:shd w:val="clear" w:color="auto" w:fill="auto"/>
            <w:hideMark/>
          </w:tcPr>
          <w:p w14:paraId="5F11B70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323</w:t>
            </w:r>
          </w:p>
        </w:tc>
        <w:tc>
          <w:tcPr>
            <w:tcW w:w="1021" w:type="dxa"/>
          </w:tcPr>
          <w:p w14:paraId="7D2E002E" w14:textId="0E3C90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4FE2D6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C4842E6" w14:textId="1C5D53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Zmiany prawne i administracyjne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0B3B59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7EED3AA9" w14:textId="57D29E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DF051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6B73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0332E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7EAC5207" w14:textId="77777777" w:rsidTr="00E92AE6">
        <w:trPr>
          <w:trHeight w:val="454"/>
        </w:trPr>
        <w:tc>
          <w:tcPr>
            <w:tcW w:w="562" w:type="dxa"/>
            <w:shd w:val="clear" w:color="auto" w:fill="auto"/>
            <w:hideMark/>
          </w:tcPr>
          <w:p w14:paraId="5C1A3C8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324</w:t>
            </w:r>
          </w:p>
        </w:tc>
        <w:tc>
          <w:tcPr>
            <w:tcW w:w="1021" w:type="dxa"/>
          </w:tcPr>
          <w:p w14:paraId="25318D3E" w14:textId="447C4BD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2AFFB1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E50EEC7" w14:textId="553829C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3377" w:type="dxa"/>
            <w:shd w:val="clear" w:color="auto" w:fill="auto"/>
            <w:hideMark/>
          </w:tcPr>
          <w:p w14:paraId="71E51E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DCE6A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2D32F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BEFC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BE0EB35" w14:textId="629527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6C45783A" w14:textId="77777777" w:rsidTr="00E92AE6">
        <w:trPr>
          <w:trHeight w:val="454"/>
        </w:trPr>
        <w:tc>
          <w:tcPr>
            <w:tcW w:w="562" w:type="dxa"/>
            <w:shd w:val="clear" w:color="auto" w:fill="auto"/>
            <w:hideMark/>
          </w:tcPr>
          <w:p w14:paraId="33D3C77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325</w:t>
            </w:r>
          </w:p>
        </w:tc>
        <w:tc>
          <w:tcPr>
            <w:tcW w:w="1021" w:type="dxa"/>
          </w:tcPr>
          <w:p w14:paraId="329662F9" w14:textId="6F76F03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001AAA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9F925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3377" w:type="dxa"/>
            <w:shd w:val="clear" w:color="auto" w:fill="auto"/>
            <w:hideMark/>
          </w:tcPr>
          <w:p w14:paraId="062E2A90" w14:textId="5FD3FF0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34239C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553D83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3EA80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4F538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prezentują informacje dotyczące organów właściwych w gospodarowaniu wodami na obszarze dorzeczy. Zakres odpowiedzialności poszczególnych organów wynika z przepisów ustawy prawo wodne. Plany gospodarowania wodami mają rangę rozporządzenia, są ogólnodostepne i powszechnie obowiązujące.</w:t>
            </w:r>
          </w:p>
        </w:tc>
      </w:tr>
      <w:tr w:rsidR="0085319C" w:rsidRPr="005E78BB" w14:paraId="1CA6C8C6" w14:textId="77777777" w:rsidTr="00E92AE6">
        <w:trPr>
          <w:trHeight w:val="454"/>
        </w:trPr>
        <w:tc>
          <w:tcPr>
            <w:tcW w:w="562" w:type="dxa"/>
            <w:shd w:val="clear" w:color="auto" w:fill="auto"/>
            <w:hideMark/>
          </w:tcPr>
          <w:p w14:paraId="40223CC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326</w:t>
            </w:r>
          </w:p>
        </w:tc>
        <w:tc>
          <w:tcPr>
            <w:tcW w:w="1021" w:type="dxa"/>
          </w:tcPr>
          <w:p w14:paraId="4A98ADAE" w14:textId="40EB52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 Marki k. Warszawy</w:t>
            </w:r>
          </w:p>
        </w:tc>
        <w:tc>
          <w:tcPr>
            <w:tcW w:w="1630" w:type="dxa"/>
            <w:shd w:val="clear" w:color="auto" w:fill="auto"/>
            <w:hideMark/>
          </w:tcPr>
          <w:p w14:paraId="1A23AF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60108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3377" w:type="dxa"/>
            <w:shd w:val="clear" w:color="auto" w:fill="auto"/>
            <w:hideMark/>
          </w:tcPr>
          <w:p w14:paraId="50A68B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05461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602256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064AA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0F687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75B5E0B4" w14:textId="77777777" w:rsidTr="00CD6FBC">
        <w:trPr>
          <w:trHeight w:val="454"/>
        </w:trPr>
        <w:tc>
          <w:tcPr>
            <w:tcW w:w="562" w:type="dxa"/>
            <w:shd w:val="clear" w:color="auto" w:fill="auto"/>
            <w:hideMark/>
          </w:tcPr>
          <w:p w14:paraId="4571145E" w14:textId="77777777" w:rsidR="0085319C" w:rsidRPr="005A77B7" w:rsidRDefault="0085319C" w:rsidP="0085319C">
            <w:pPr>
              <w:ind w:firstLine="0"/>
              <w:jc w:val="center"/>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327</w:t>
            </w:r>
          </w:p>
        </w:tc>
        <w:tc>
          <w:tcPr>
            <w:tcW w:w="1021" w:type="dxa"/>
            <w:shd w:val="clear" w:color="auto" w:fill="auto"/>
          </w:tcPr>
          <w:p w14:paraId="19E8CA31" w14:textId="1ECE286F"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hAnsi="Calibri" w:cs="Calibri"/>
                <w:color w:val="000000"/>
                <w:sz w:val="18"/>
                <w:szCs w:val="18"/>
              </w:rPr>
              <w:t xml:space="preserve">Starosta Sandomierski </w:t>
            </w:r>
          </w:p>
        </w:tc>
        <w:tc>
          <w:tcPr>
            <w:tcW w:w="1630" w:type="dxa"/>
            <w:shd w:val="clear" w:color="auto" w:fill="auto"/>
            <w:hideMark/>
          </w:tcPr>
          <w:p w14:paraId="6238B49D"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inne/pozostałe</w:t>
            </w:r>
          </w:p>
        </w:tc>
        <w:tc>
          <w:tcPr>
            <w:tcW w:w="5663" w:type="dxa"/>
            <w:shd w:val="clear" w:color="auto" w:fill="auto"/>
            <w:hideMark/>
          </w:tcPr>
          <w:p w14:paraId="3475D3B6"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Starosta Sandomierski zgłasza następujące uwagi, w ramach konsultacji społecznych, do drugiej aktualizacji planów gospodarowania wodami na obszarach dorzeczy (II aPGW).:</w:t>
            </w:r>
            <w:r w:rsidRPr="005A77B7">
              <w:rPr>
                <w:rFonts w:ascii="Calibri" w:eastAsia="Times New Roman" w:hAnsi="Calibri" w:cs="Calibri"/>
                <w:color w:val="000000"/>
                <w:sz w:val="18"/>
                <w:szCs w:val="18"/>
                <w:lang w:eastAsia="pl-PL"/>
              </w:rPr>
              <w:br w:type="page"/>
              <w:t>1. Monitoring i ocena stanu wód:</w:t>
            </w:r>
            <w:r w:rsidRPr="005A77B7">
              <w:rPr>
                <w:rFonts w:ascii="Calibri" w:eastAsia="Times New Roman" w:hAnsi="Calibri" w:cs="Calibri"/>
                <w:color w:val="000000"/>
                <w:sz w:val="18"/>
                <w:szCs w:val="18"/>
                <w:lang w:eastAsia="pl-PL"/>
              </w:rPr>
              <w:br w:type="page"/>
              <w:t>z uwagi na charakter zlewni, obszar o ogromnym udziale gruntów ornych o intensywnej produkcji rolniczo-sadowniczej, przekładających się na emisję z rolnictwa substancji biogennych w wodzie, jak też dość znaczącej ilości punktów odprowadzania oczyszczonych ścieków od podmiotów gospodarczych oraz nadal niewystarczającej pokryciu obszarów wiejskich zurbanizowanych /o intensywnej zabudowie siecią kanalizacji, przeważającej ilości dróg z powierzchniowym odprowadzaniem do środowiska (wód, ziemi) wód opadowych i roztopowych/ nie ujętym w szczelny zorganizowany system kanalizacyjny uwzględniającym podczyszczanie wód odprowadzanych do środowiska z zawiesiny cząstek stałych, związków chemicznych) zasadne jest zwiększenie ilości punktów monitoringowych wód powierzchniowych. Wskazane jest rozszerzenie monitoringu wskaźników decydujących o stanie chemicznym oraz rozpoczęcie monitoringu bioty. Przyczyni się to do zebrania danych stanowiących punkt odniesienia do wiarygodniejszej i precyzyjniejszej analizy stanu wód pod kątem warunków wprowadzania wód czy ścieków do środowiska jak i programowania czy projektowania przedsięwzięć koniecznych do uwzględnienia przy realizacji przedsięwzięć, inwestycji, czy te pod kątem możliwości wykorzystania wód powierzchniowych do celów gospodarki. Istotna jest również analiza dopływu czy chemizmu wód ze zlewni powyżej zlewni analizowanej, pod kątem uwarunkowań sorpcyjnych zlewni.</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2. Zasadne i właściwe są założenia aktualizacji planu gospodarowania wodami oraz środki służące temu celowi, jednak mając na uwadze niską efektywność osiągania celów dotychczasowych wersji planu czy opracowanych na jego podstawie warunków korzystania z wód regionu wodnego zasadnym zdaje się racjonalizacja i urealnienie tempa osiągania celów środowiskowych w odniesieniu do stopnia, charakteru i skali użytkowania gruntów w obszarze zlewni, stopnia ich zurbanizowania z jednoczesnym wskazaniem sposobów i metod ograniczania presji na stan wód, wskazaniem i egzekwowaniem sposobów ich ograniczania. Wiąże się to również z koniecznością zastosowania odstępstw w sytuacjach gdy osiąganie celów wymaga dłuższego niż założony czasookresu dostosowawczego. Nieodzownym w tym zakresie jest ocena stanu jcw, identyfikacja zagrożeń nieosiągnięcia celów środowiskowych, oddziaływań antropogenicznych i propozycja oraz konsekwentne wdrożenie działań wraz z oceną ich skuteczności, w tym egzekucja ich realizacji. Konieczna jest analiza stopnia realizacji oraz skuteczność dotychczasowych zatwierdzonych zestawów działań, stopnia ich wdrożenia i skuteczności z uwzględnieniem celu wykluczenia lub weryfikacji tych działań, które mimo zdrożenia nie przełożyły się na skuteczność i nie doprowadziły do obniżenia stężeń substancji chemicznych, poprawienia stanu/potencjału ekologicznego, stanu chemicznego wód.</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3. Zwiększanie zasobów wodnych, poprzez racjonalne ich wykorzystywanie, w tym podejmowanie decyzji w tym zakresie w ścisłym współdziałaniu organów i podmiotów posiadających właściwość kompetencyjną w tym zakresie.</w:t>
            </w:r>
            <w:r w:rsidRPr="005A77B7">
              <w:rPr>
                <w:rFonts w:ascii="Calibri" w:eastAsia="Times New Roman" w:hAnsi="Calibri" w:cs="Calibri"/>
                <w:color w:val="000000"/>
                <w:sz w:val="18"/>
                <w:szCs w:val="18"/>
                <w:lang w:eastAsia="pl-PL"/>
              </w:rPr>
              <w:br w:type="page"/>
              <w:t>Zwiększenie roli jednostek samorządu terytorialnego oraz wyposażenie ich w instrumenty prawne i finansowe w działaniach na rzecz poprawy stanu ilościowego jak i jakościowego wód.</w:t>
            </w:r>
            <w:r w:rsidRPr="005A77B7">
              <w:rPr>
                <w:rFonts w:ascii="Calibri" w:eastAsia="Times New Roman" w:hAnsi="Calibri" w:cs="Calibri"/>
                <w:color w:val="000000"/>
                <w:sz w:val="18"/>
                <w:szCs w:val="18"/>
                <w:lang w:eastAsia="pl-PL"/>
              </w:rPr>
              <w:br w:type="page"/>
              <w:t>Ewidencja zbiorników bezodpływowych, ścisła kontrola sposobu gospodarowania ściekami bytowymi. Każdy właściciel nieruchomości wyposażonej w zbiornik bezodpływowy winien mieć obowiązek złożenia w swojej gminie umowy na odbiór ścieków oraz o ilości domowników zamieszkujących daną posesję oraz raz w roku zestawienie o ilości ścieków przekazanych za pośrednictwem odbiorcy do punktu zlewnego w oczyszczalni ścieków. Jest to istotne z punktu widzenia niewywiązywania się właścicieli nieruchomości z obowiązku podpisania stosownych umów z przedsiębiorcami świadczącymi usługi asenizacyjne, a tym samym odprowadzania ścieków bezpośrednio do gruntu lub wód, bądź funkcjonowaniem nieszczelnych szamb. Reagowanie i zgłaszanie właściwym służbom w przypadku stwierdzenia powszechnego nielegalnego korzystania z zasobów wód podziemnych i powierzchniowych do celów nawadniania upraw rolno-sadowniczych bez uprzedniego przeprowadzenia stosownych procedur administracyjnych mających na celu weryfikację czy ustalenie zasad i warunków korzystania z zasobów wodnych w sposób właściwy, tj. z poszanowaniem prawa innych osób do korzystania z zasobów wodnych jak i z uwagi na potrzebę racjonalności gospodarowania zasobami wodnymi oraz niepogarszania ich stanu ilościowego i jakościowego.</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r>
          </w:p>
        </w:tc>
        <w:tc>
          <w:tcPr>
            <w:tcW w:w="3377" w:type="dxa"/>
            <w:shd w:val="clear" w:color="auto" w:fill="auto"/>
            <w:hideMark/>
          </w:tcPr>
          <w:p w14:paraId="2747BD71"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Propozycje działań:</w:t>
            </w:r>
            <w:r w:rsidRPr="005A77B7">
              <w:rPr>
                <w:rFonts w:ascii="Calibri" w:eastAsia="Times New Roman" w:hAnsi="Calibri" w:cs="Calibri"/>
                <w:color w:val="000000"/>
                <w:sz w:val="18"/>
                <w:szCs w:val="18"/>
                <w:lang w:eastAsia="pl-PL"/>
              </w:rPr>
              <w:br w:type="page"/>
              <w:t>- inwentaryzacja wszystkich ujęć wód podziemnych i powierzchniowych,</w:t>
            </w:r>
            <w:r w:rsidRPr="005A77B7">
              <w:rPr>
                <w:rFonts w:ascii="Calibri" w:eastAsia="Times New Roman" w:hAnsi="Calibri" w:cs="Calibri"/>
                <w:color w:val="000000"/>
                <w:sz w:val="18"/>
                <w:szCs w:val="18"/>
                <w:lang w:eastAsia="pl-PL"/>
              </w:rPr>
              <w:br w:type="page"/>
              <w:t>- stworzenie ewidencji ujęć wód podziemnych służących wszystkim celom, wprowadzenie obowiązku zgłaszania do ewidencji nowych ujęć wód podziemnych, okresowa cykliczna ich aktualizacja celem możliwości sprawowania nadzoru odpowiednich służb nad wielkością potencjalnego poboru, oceną wielkości zasobów wód podziemnych, możliwości i kierunków/celów ich wykorzystania, jak też w kontekście możliwości i zasadności budowy nowych ujęć wód podziemnych mając na względzie ochronę zasobów zarówno pod kątem jakościowym i ilościowym,możliwości zwiększenia zasobów dyspozycyjnych poprzez racjonalne nimi gospodarowanie, wprowadzenie zmian w zakresie efektywnego i racjonalnego uzasadnionego korzystania z zasobów wodnych, szczególnie wód podziemnych będących głównym źródłem zasilania ujęć komunalnych, wód przeznaczonych do spożycia i produkcji spożywczej,</w:t>
            </w:r>
            <w:r w:rsidRPr="005A77B7">
              <w:rPr>
                <w:rFonts w:ascii="Calibri" w:eastAsia="Times New Roman" w:hAnsi="Calibri" w:cs="Calibri"/>
                <w:color w:val="000000"/>
                <w:sz w:val="18"/>
                <w:szCs w:val="18"/>
                <w:lang w:eastAsia="pl-PL"/>
              </w:rPr>
              <w:br w:type="page"/>
              <w:t>- udrażnianie śródlądowych wód powierzchniowych oraz usuwanie zatorów utrudniających swobodny przepływ wód, usuwanie namułów i rumoszu, wykaszanie roślin z dna oraz brzegów w celu zwiększenia pojemności i przepustowości koryt cieków(zmniejszenie współczynnika szorstkości dna i brzegów koryt) a tym samym zapewnienie bezpieczeństwa powodziowego, systematyczne cykliczne okresowe remonty i konserwacje budowli regulacyjnych oraz ubezpieczeń w obrębie tych budowli i urządzeń wodnych,</w:t>
            </w:r>
            <w:r w:rsidRPr="005A77B7">
              <w:rPr>
                <w:rFonts w:ascii="Calibri" w:eastAsia="Times New Roman" w:hAnsi="Calibri" w:cs="Calibri"/>
                <w:color w:val="000000"/>
                <w:sz w:val="18"/>
                <w:szCs w:val="18"/>
                <w:lang w:eastAsia="pl-PL"/>
              </w:rPr>
              <w:br w:type="page"/>
              <w:t>- obniżenie emisyjności w obszarze gospodarki wodnej poprzez opracowanie i wdrożenie działań w sektorze gospodarki wodnej do zmian klimatu poprzez zwiększenie możliwości retencyjnych i renaturyzację cieków wodnych celem przywracania i utrzymania dobrego stanu wód.,poprawa retencji korytowej, dolinowej, normalizacja stosunków wodnych w zlewni, budowa bądź odtworzenie na obszarach wymagających wspomagania, systemu melioracyjnego o funkcji odwadniającej i nawadniającej (dwufunkcyjność urządzeń melioracyjnych zapewniających retencję wód na użytkach rolnych w okresach suszy oraz jej bezpieczne odprowadzanie w okresie wzmożonych opadów), renaturyzacja mokradeł, przywracanie ciągłości i różnorodności morfologicznej cieków, (niedostateczny potencjał naturalnej retencji skutkuje koniecznością realizacji inwestycji hydrotechnicznych ingerujących negatywnie w hydromorfologię rzek)</w:t>
            </w:r>
            <w:r w:rsidRPr="005A77B7">
              <w:rPr>
                <w:rFonts w:ascii="Calibri" w:eastAsia="Times New Roman" w:hAnsi="Calibri" w:cs="Calibri"/>
                <w:color w:val="000000"/>
                <w:sz w:val="18"/>
                <w:szCs w:val="18"/>
                <w:lang w:eastAsia="pl-PL"/>
              </w:rPr>
              <w:br w:type="page"/>
              <w:t>- określenie i realizacja działań z zakresu budowy zintegrowanego systemu naturalnej i sztucznej retencji wodnej,</w:t>
            </w:r>
            <w:r w:rsidRPr="005A77B7">
              <w:rPr>
                <w:rFonts w:ascii="Calibri" w:eastAsia="Times New Roman" w:hAnsi="Calibri" w:cs="Calibri"/>
                <w:color w:val="000000"/>
                <w:sz w:val="18"/>
                <w:szCs w:val="18"/>
                <w:lang w:eastAsia="pl-PL"/>
              </w:rPr>
              <w:br w:type="page"/>
              <w:t>- rozpowszechnianie i wzmocnienie  świadomości społecznej w zakresie potrzeb retencjonowania i oszczędzania wody,</w:t>
            </w:r>
            <w:r w:rsidRPr="005A77B7">
              <w:rPr>
                <w:rFonts w:ascii="Calibri" w:eastAsia="Times New Roman" w:hAnsi="Calibri" w:cs="Calibri"/>
                <w:color w:val="000000"/>
                <w:sz w:val="18"/>
                <w:szCs w:val="18"/>
                <w:lang w:eastAsia="pl-PL"/>
              </w:rPr>
              <w:br w:type="page"/>
              <w:t>- stworzenie warunków do zrównoważonego i racjonalnego wykorzystania zasobów wodnych,</w:t>
            </w:r>
            <w:r w:rsidRPr="005A77B7">
              <w:rPr>
                <w:rFonts w:ascii="Calibri" w:eastAsia="Times New Roman" w:hAnsi="Calibri" w:cs="Calibri"/>
                <w:color w:val="000000"/>
                <w:sz w:val="18"/>
                <w:szCs w:val="18"/>
                <w:lang w:eastAsia="pl-PL"/>
              </w:rPr>
              <w:br w:type="page"/>
            </w:r>
          </w:p>
        </w:tc>
        <w:tc>
          <w:tcPr>
            <w:tcW w:w="3401" w:type="dxa"/>
            <w:shd w:val="clear" w:color="auto" w:fill="auto"/>
            <w:hideMark/>
          </w:tcPr>
          <w:p w14:paraId="063B671B"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w:t>
            </w:r>
          </w:p>
        </w:tc>
        <w:tc>
          <w:tcPr>
            <w:tcW w:w="1918" w:type="dxa"/>
            <w:shd w:val="clear" w:color="auto" w:fill="auto"/>
            <w:hideMark/>
          </w:tcPr>
          <w:p w14:paraId="2FEF1C20"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 - </w:t>
            </w:r>
          </w:p>
        </w:tc>
        <w:tc>
          <w:tcPr>
            <w:tcW w:w="1276" w:type="dxa"/>
            <w:shd w:val="clear" w:color="auto" w:fill="auto"/>
            <w:hideMark/>
          </w:tcPr>
          <w:p w14:paraId="0316BCA3"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wyjaśnienie</w:t>
            </w:r>
          </w:p>
        </w:tc>
        <w:tc>
          <w:tcPr>
            <w:tcW w:w="3513" w:type="dxa"/>
            <w:shd w:val="clear" w:color="auto" w:fill="auto"/>
            <w:hideMark/>
          </w:tcPr>
          <w:p w14:paraId="1A4F77DC" w14:textId="44F4544A"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Ad. 1. Monitoring wód, w tym stanu fizykochemicznego i chemicznego, zaplanowany jest w taki sposób, aby w uzasadniony organizacyjnie i kosztowo sposób ocenić stan wód na obszarze dorzeczy. Monitoring diagnostyczny ma za zadanie umożliwić ocenę w wystarczającej liczbie jednolitych części wód powierzchniowych - w obrębie każdej zlewni lub podzlewni na obszarze dorzecza. Realizacja programów monitoringu wód dostarcza również informacji na temat długoterminowych zmian naturalnych i wynikających z działalności antropogenicznej. W przypadku występowania ryzyka, iż cele środowiskowe wyznaczone dla tych wód nie zostaną osiągnięte, bądź przekroczenia środowiskowych norm substancji priorytetowych - stosuje się monitoring operacyjny. Dalej, w sytuacjach gdy niezbędne jest określenie skutków przypadkowego zanieczyszczenia lub uzupełnienia informacji o stanie wód - stosowany jest monitoring badawczy. Kolejne cykle monitoringu stale poszerzają wiedzę i bazę danych o stanie chemicznym wód. Planowanie dalszych działań w tym zakresie realizowane jest przez organy Inspekcji Ochrony Środowiska - odpowiadając na potrzeby w zakresie kontroli i oceny stanu wód. Dane z Państwowego Monitoringu Środowiska oraz analizy wykonane w ramach opracowania " Analiza znaczących oddziaływań antropogenicznych wraz z oceną ich wpływu na stan wód oraz ryzykiem nieosiągnięcia celów środowiskowych” pozwalają w dokładny sposób określić źródło presji powodującej zły stan wód. Np. gdy dane o stanie wód wskazują, że azot lub fosfor przekraczają dopuszczalne wartości graniczne dla klasy II (umiarkowany stan/potencjał – czyli finalnie zły stan wód), to we wspomnianym opracowaniu zawarte są informacje o dominującym źródle zanieczyszczenia, w tym wspomnianych w uwadze obszarów rolniczych lub punktowych źródeł zanieczyszczeń ze zrzutów komunalnych lub przemysłowych, lub odpływ wód opadowych z terenów zurbanizowanych. Podobnie w przypadku zanieczyszczeń warunkujących stan chemiczny – ww. opracowanie oraz załącznik 4 ("Wykaz emisji i substancji priorytetowych") do IIaPGW pozwalają określić źródło pochodzenia zanieczyszczenia będącego przyczyną złego stanu wód. W analizach tych uwzględniany jest zarówno dopływ zanieczyszczeń z innych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oraz potencjał sorpcyjny poszczególnych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Wspomniane opracowanie jest kompleksową analizą zagadnień wymienionych w tej części uwagi, zatem będzie mogło być wykorzystywane w przyszłym cyklu planistycznym IIaPGW 2022-2027 przy wydawaniu wszystkich decyzji dotyczących wprowadzania wód czy ścieków do środowiska wodnego oraz precyzyjniejszego dobierania odpowiednich działań, programów czy projektów mających poprawić stan wód oraz ich potencjał do wykorzystania na cele gospodarki.</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 xml:space="preserve">Ad. 2 i 3. W dokumentacji IIaPGW znajduje się wiele działań odnoszących się wprost do zgłoszonych postulatów. Mając na celu racjonalne gospodarowanie zasobami wód podziemnych w IIaPGW przewidziano do realizacji szereg działań ukierunkowanych na ograniczenie presji ilościowej, w tym m.in.: dodatkowy przegląd pozwoleń wodnoprawnych, analizę możliwości pozyskania wody z alternatywnych źródeł, analizę możliwości odbudowy\przebudowy systemów melioracyjnych oraz ograniczenie zużycia wody w rolnictwie i przemyśle. Jednocześnie zaplanowano do realizacji działania związane z weryfikacją zasobów dyspozycyjnych wód podziemnych oraz zasobów eksploatacyjnych ujęć wód podziemnych, co umożliwi optymalizację zużycia wody w jednostce bilansowej. Niektóre ze zgłoszonych postulatów wydają się zasadne do przeprowadzenia pogłębionej analizy (poza procesem konsultacji IIaPGW) pod kątem celowości i możliwości wprowadzenia zmian prawnych. Dotyczy to na przykład obowiązku ewidencji wszystkich ujęć wód podziemnych, który wymagałby stworzenia odpowiednich podstaw prawnych (w świetle obecnie obowiązujących przepisów nie ma takiej możliwości, gdyż nie istnieje obowiązek zgłaszania wykonania studni o głębokości do 30 m z poborem mieszczącym się w ramach zwykłego korzystania z wód). W świetle obecnie obowiązujących przepisów takie działanie nie mogło być wprowadzone do IIaPGW (bowiem nie posiada ono podstawy prawnej). Prowadzony jest rejestr ujęć wód podziemnych funkcjonujących w ramach szczególnego korzystania z wód (baza POBORY PSH). Zawartość bazy jest jednak ograniczona do podmiotów raportujących wielkość poboru wód do PGW WP oraz do podmiotów prowadzących odwodnienie wyrobisk górniczych. Na potrzeby opracowania zestawów działań w IIaPGW dla wód powierzchniowych i podziemnych uwzględnione zostały wszystkie programy i projekty opracowane na potrzeby aktualizacji planów gospodarowania wodami na lata 2021-2027 w tym m.in.: „Przegląd i weryfikacja metodyk wyznaczania silnie zmienionych i sztucznych części wód powierzchniowych wraz ze wstępnym i ostatecznym wyznaczeniem”, „Ustalenie celów środowiskowych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d”, „Analiza znaczących oddziaływań antropogenicznych wraz z oceną ich wpływu na stan wód oraz ryzykiem nieosiągnięcia celów środowiskowych”. Programy takie jak PPSS, PRR zostały uwzględnione przy identyfikacji zagrożenia poszczególnych zlewni suszą i ocenie możliwości skuteczności działań naprawczych mających na celu umożliwienie spełnienia celów środowiskowych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d, dodatkowo dane z tych projektów wykorzystano przy identyfikacji działań nakierowanych na poprawę naturalnej retencji w zlewniach zagrożonych 4 typami suszy, w których stwierdzono na podstawie wyników monitoringu GIOŚ 2019 i „Analizy znaczących oddziaływań antropogenicznych wraz z oceną ich wpływu na stan wód oraz ryzykiem nieosiągnięcia celów środowiskowych” ryzyko nieosiągnięcia celów środowiskowych dla jcw. Działania nakierowane są zarówno na likwidację lub redukcję presji ilościowych i fizykochemicznych powodujących ryzyko nieosiągnięcia celów środowiskowych na jcw, jak i likwidacji presji hydromorfologicznych powodujących zły stan el. biologicznych. Zestawy działań IIaPGW zawierają działania naprawcze służące osiągnięciu celów środowiskowych jcw, w tym celów dla obszarów chronionych. Nakierowane są na redukcję presji znaczących powodujących zły stan wód jcw, w tym poprawę warunków hydromorfologicznych, fizykochemicznych, stanu chemicznego i ilościowego wód. Wskazane w uwadze działania wpisują się w aktualizowane plany zarządzania ryzykiem powodziowym a nie zestawy działań IIaPGW, ponieważ mogą potencjalnie negatywnie oddziaływać na stan wód i cele wg RDW, powodując pogorszenie stanu elementów hydromorfologicznych i biologicznych, zatem wymagają uzyskania decyzji środowiskowych, opracowania dokumentacji technicznych etc. W katalogu krajowym znajduje się działanie: Działania informacyjno-edukacyjne w zakresie zrównoważonego wykorzystania wody. W zakresie adaptacji do zmian klimatu dla zlewni zagrożonych 4 typami suszy, w których identyfikowano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zagrożone presją ilościową i fizykochemiczną wskazywano działania służące poprawie naturalnej retencji w zlewni rolniczych takie jak: Opracowanie programu poprawy retencji glebowej i krajobrazowej w obszarach rolniczych w zlewni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a także Realizacja przedsięwzięć zmierzających do zwiększenia ilości i czasu retencji wód na gruntach rolnych w zlewni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leśnych i zurbanizowanych.</w:t>
            </w:r>
            <w:r w:rsidRPr="005A77B7">
              <w:rPr>
                <w:rFonts w:ascii="Calibri" w:eastAsia="Times New Roman" w:hAnsi="Calibri" w:cs="Calibri"/>
                <w:color w:val="000000"/>
                <w:sz w:val="18"/>
                <w:szCs w:val="18"/>
                <w:lang w:eastAsia="pl-PL"/>
              </w:rPr>
              <w:br w:type="page"/>
            </w:r>
            <w:r w:rsidRPr="005A77B7">
              <w:rPr>
                <w:rFonts w:ascii="Calibri" w:eastAsia="Times New Roman" w:hAnsi="Calibri" w:cs="Calibri"/>
                <w:color w:val="000000"/>
                <w:sz w:val="18"/>
                <w:szCs w:val="18"/>
                <w:lang w:eastAsia="pl-PL"/>
              </w:rPr>
              <w:br w:type="page"/>
              <w:t>Ad. 2. W zakresie ewidencji zbiorników bezodpływowych oraz kontroli sposobu gospodarowania ściekami bytowymi. Zgodnie z ustawą z dnia 13 września 1996 r. o utrzymaniu czystości i porządku w gminach (Dz.U. z 2021 r. poz. 888 ze zm.) art. 3 ust. 3: „Gminy prowadzą (…) ewidencję: 1) zbiorników bezodpływowych w celu kontroli częstotliwości ich opróżniania oraz w celu opracowania planu rozwoju sieci kanalizacyjnej; 2) przydomowych oczyszczalni ścieków w celu kontroli częstotliwości i sposobu pozbywania się komunalnych osadów ściekowych oraz w celu opracowania planu rozwoju sieci kanalizacyjnej (…)”. Mając na uwadze, ze władze gminy mają informację o nieruchomościach przyłączonych do zbiorczego systemu kanalizacji oraz zgodnie z art. 3 ust. 3 pkt 1 i 2, gminy poprzez obowiązek kontroli mogą zweryfikować (w oparciu o dokumenty wspomniane w art. 6 ust. 1 pkt 1 ww. ustawy) czy właściciele nieruchomości niepodłączonych do kanalizacji wywiązują się z obowiązku wywożenia nieczystości, a w przypadku niewywiązania się z tego obowiązku – mogą podjąć stosowne działania administracyjne.</w:t>
            </w:r>
          </w:p>
        </w:tc>
      </w:tr>
      <w:tr w:rsidR="0085319C" w:rsidRPr="005E78BB" w14:paraId="7A364BF4" w14:textId="77777777" w:rsidTr="00E92AE6">
        <w:trPr>
          <w:trHeight w:val="454"/>
        </w:trPr>
        <w:tc>
          <w:tcPr>
            <w:tcW w:w="562" w:type="dxa"/>
            <w:shd w:val="clear" w:color="auto" w:fill="auto"/>
            <w:hideMark/>
          </w:tcPr>
          <w:p w14:paraId="5D7A498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328</w:t>
            </w:r>
          </w:p>
        </w:tc>
        <w:tc>
          <w:tcPr>
            <w:tcW w:w="1021" w:type="dxa"/>
          </w:tcPr>
          <w:p w14:paraId="5A3F9C8B" w14:textId="65F1EF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S.A.</w:t>
            </w:r>
          </w:p>
        </w:tc>
        <w:tc>
          <w:tcPr>
            <w:tcW w:w="1630" w:type="dxa"/>
            <w:shd w:val="clear" w:color="auto" w:fill="auto"/>
            <w:hideMark/>
          </w:tcPr>
          <w:p w14:paraId="309878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4531A11" w14:textId="745FFA2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Uwagi dotyczą niezgodności pomiędzy kartami charakterystyk a załącznikami do IIaPGW. </w:t>
            </w:r>
            <w:r w:rsidRPr="005E78BB">
              <w:rPr>
                <w:rFonts w:ascii="Calibri" w:eastAsia="Times New Roman" w:hAnsi="Calibri" w:cs="Calibri"/>
                <w:color w:val="000000"/>
                <w:sz w:val="18"/>
                <w:szCs w:val="18"/>
                <w:lang w:eastAsia="pl-PL"/>
              </w:rPr>
              <w:br/>
              <w:t xml:space="preserve">§ Kraków (Prądnik od Garliczki (bez Garliczki) do ujścia)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zmiana: RW20009213749 na RW200006213749</w:t>
            </w:r>
            <w:r w:rsidRPr="005E78BB">
              <w:rPr>
                <w:rFonts w:ascii="Calibri" w:eastAsia="Times New Roman" w:hAnsi="Calibri" w:cs="Calibri"/>
                <w:color w:val="000000"/>
                <w:sz w:val="18"/>
                <w:szCs w:val="18"/>
                <w:lang w:eastAsia="pl-PL"/>
              </w:rPr>
              <w:br/>
              <w:t>Stan wód (zły), w tym potencjał ekologiczny (umiarkowany) i stan chemiczny (dobry), pozostał bez zmian (lub zmianie uległ stan chemiczny).</w:t>
            </w:r>
            <w:r w:rsidRPr="005E78BB">
              <w:rPr>
                <w:rFonts w:ascii="Calibri" w:eastAsia="Times New Roman" w:hAnsi="Calibri" w:cs="Calibri"/>
                <w:color w:val="000000"/>
                <w:sz w:val="18"/>
                <w:szCs w:val="18"/>
                <w:lang w:eastAsia="pl-PL"/>
              </w:rPr>
              <w:br/>
              <w:t>W poprzedniej karcie charakterystyki i w załączniku nr 1 (do 2022) odnośnie oceny stanu chemicznego są rozbieżności (odpowiednio stan dobry vs. brak oceny);</w:t>
            </w:r>
            <w:r w:rsidRPr="005E78BB">
              <w:rPr>
                <w:rFonts w:ascii="Calibri" w:eastAsia="Times New Roman" w:hAnsi="Calibri" w:cs="Calibri"/>
                <w:color w:val="000000"/>
                <w:sz w:val="18"/>
                <w:szCs w:val="18"/>
                <w:lang w:eastAsia="pl-PL"/>
              </w:rPr>
              <w:br/>
              <w:t xml:space="preserve">§ Gdynia (Chylonka);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zmiana : RW2000234796 na RW2000154796</w:t>
            </w:r>
            <w:r w:rsidRPr="005E78BB">
              <w:rPr>
                <w:rFonts w:ascii="Calibri" w:eastAsia="Times New Roman" w:hAnsi="Calibri" w:cs="Calibri"/>
                <w:color w:val="000000"/>
                <w:sz w:val="18"/>
                <w:szCs w:val="18"/>
                <w:lang w:eastAsia="pl-PL"/>
              </w:rPr>
              <w:br/>
              <w:t>Stan wód (zły) pozostał bez zmian; potencjał ekologiczny (umiarkowany) i stan chemiczny (brak oceny).</w:t>
            </w:r>
            <w:r w:rsidRPr="005E78BB">
              <w:rPr>
                <w:rFonts w:ascii="Calibri" w:eastAsia="Times New Roman" w:hAnsi="Calibri" w:cs="Calibri"/>
                <w:color w:val="000000"/>
                <w:sz w:val="18"/>
                <w:szCs w:val="18"/>
                <w:lang w:eastAsia="pl-PL"/>
              </w:rPr>
              <w:br/>
              <w:t>W poprzedniej karcie charakterystyki i w załączniku nr 1 (do 2022) występują rozbieżności odnośnie oceny stanu chemicznego (odpowiednio stan dobry vs. brak oceny);</w:t>
            </w:r>
            <w:r w:rsidRPr="005E78BB">
              <w:rPr>
                <w:rFonts w:ascii="Calibri" w:eastAsia="Times New Roman" w:hAnsi="Calibri" w:cs="Calibri"/>
                <w:color w:val="000000"/>
                <w:sz w:val="18"/>
                <w:szCs w:val="18"/>
                <w:lang w:eastAsia="pl-PL"/>
              </w:rPr>
              <w:br/>
              <w:t xml:space="preserve">§ Gdynia (Zatoka Pucka)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zmiana: TWIIIWB3 na TW20003WB5</w:t>
            </w:r>
            <w:r w:rsidRPr="005E78BB">
              <w:rPr>
                <w:rFonts w:ascii="Calibri" w:eastAsia="Times New Roman" w:hAnsi="Calibri" w:cs="Calibri"/>
                <w:color w:val="000000"/>
                <w:sz w:val="18"/>
                <w:szCs w:val="18"/>
                <w:lang w:eastAsia="pl-PL"/>
              </w:rPr>
              <w:br/>
              <w:t xml:space="preserve">Stan wód (zły) pozostał bez zmian; potencjał ekologiczny (zły) i stan chemiczny (PSD); W poprzedniej karcie charakterystyki i w załączniku nr 1 (do 2022) występują rozbieżności odnośnie oceny potencjału ekologicznego (odpowiednio umiarkowany vs. zły) </w:t>
            </w:r>
            <w:r w:rsidRPr="005E78BB">
              <w:rPr>
                <w:rFonts w:ascii="Calibri" w:eastAsia="Times New Roman" w:hAnsi="Calibri" w:cs="Calibri"/>
                <w:color w:val="000000"/>
                <w:sz w:val="18"/>
                <w:szCs w:val="18"/>
                <w:lang w:eastAsia="pl-PL"/>
              </w:rPr>
              <w:br/>
              <w:t>Cel złagodzony dla azotu ogólnego, fosforu ogólnego;  ESMIz, SM1, Indeksu B, Indeksu SI, cynku; chlorofilu; Bromowanych difenyloeterów (b), Rtęci (b), Heptachloru (b) (wcześniej azot ogólny, biomasa fitoplanktonu, makrozoobentos, ichtiofauna, przesycenie wód tlenem) – (w załączeniu 1 cel jest złagodzony, ale równocześnie określony jako dobry).</w:t>
            </w:r>
            <w:r w:rsidRPr="005E78BB">
              <w:rPr>
                <w:rFonts w:ascii="Calibri" w:eastAsia="Times New Roman" w:hAnsi="Calibri" w:cs="Calibri"/>
                <w:color w:val="000000"/>
                <w:sz w:val="18"/>
                <w:szCs w:val="18"/>
                <w:lang w:eastAsia="pl-PL"/>
              </w:rPr>
              <w:br/>
              <w:t>W tym zakresie wnosimy o wyjaśnienie lub doprecyzowanie.</w:t>
            </w:r>
            <w:r w:rsidRPr="005E78BB">
              <w:rPr>
                <w:rFonts w:ascii="Calibri" w:eastAsia="Times New Roman" w:hAnsi="Calibri" w:cs="Calibri"/>
                <w:color w:val="000000"/>
                <w:sz w:val="18"/>
                <w:szCs w:val="18"/>
                <w:lang w:eastAsia="pl-PL"/>
              </w:rPr>
              <w:br/>
              <w:t xml:space="preserve">§ Kielce (Sufraganiec)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zmian: RW200062164869 na RW20000621648269</w:t>
            </w:r>
            <w:r w:rsidRPr="005E78BB">
              <w:rPr>
                <w:rFonts w:ascii="Calibri" w:eastAsia="Times New Roman" w:hAnsi="Calibri" w:cs="Calibri"/>
                <w:color w:val="000000"/>
                <w:sz w:val="18"/>
                <w:szCs w:val="18"/>
                <w:lang w:eastAsia="pl-PL"/>
              </w:rPr>
              <w:br/>
              <w:t xml:space="preserve">Stan wód (zły), w tym potencjał ekologiczny umiarkowany, ocena stanu chemicznego, poniżej dobrego, ocena ryzyka: zagrożona, według oceny osiągniecia celów: brak informacji w załączniku 5.1.1.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Lublin-Zalew Zemborzycki</w:t>
            </w:r>
            <w:r w:rsidRPr="005E78BB">
              <w:rPr>
                <w:rFonts w:ascii="Calibri" w:eastAsia="Times New Roman" w:hAnsi="Calibri" w:cs="Calibri"/>
                <w:color w:val="000000"/>
                <w:sz w:val="18"/>
                <w:szCs w:val="18"/>
                <w:lang w:eastAsia="pl-PL"/>
              </w:rPr>
              <w:br/>
              <w:t>Na hydrogeoportalu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RW2000024653), w załączniku 1 przy kodzie dla Zalewu Zemborzyckiego znajdują się inne RW2000624629, RW2000624649, RW2000924651, które w obecnych planach gospodarowania wód zostają połączone w jeden nowy kod RW20000624653. </w:t>
            </w:r>
            <w:r w:rsidRPr="005E78BB">
              <w:rPr>
                <w:rFonts w:ascii="Calibri" w:eastAsia="Times New Roman" w:hAnsi="Calibri" w:cs="Calibri"/>
                <w:color w:val="000000"/>
                <w:sz w:val="18"/>
                <w:szCs w:val="18"/>
                <w:lang w:eastAsia="pl-PL"/>
              </w:rPr>
              <w:br/>
              <w:t>Dodatkowo zmienia się klasyfikacja typu wodnego z (numer 0) Typ nieokreślony - kanały i zbiorniki na RW-wap Potok lub mała rzeka wyżynna na podłożu węglanowym, co powoduje duże zmiany względem sprawdzanych wskaźników.</w:t>
            </w:r>
            <w:r w:rsidRPr="005E78BB">
              <w:rPr>
                <w:rFonts w:ascii="Calibri" w:eastAsia="Times New Roman" w:hAnsi="Calibri" w:cs="Calibri"/>
                <w:color w:val="000000"/>
                <w:sz w:val="18"/>
                <w:szCs w:val="18"/>
                <w:lang w:eastAsia="pl-PL"/>
              </w:rPr>
              <w:br/>
              <w:t>Wnosimy o doprecyzowanie lub modyfikację.</w:t>
            </w:r>
          </w:p>
        </w:tc>
        <w:tc>
          <w:tcPr>
            <w:tcW w:w="3377" w:type="dxa"/>
            <w:shd w:val="clear" w:color="auto" w:fill="auto"/>
            <w:hideMark/>
          </w:tcPr>
          <w:p w14:paraId="631BE3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FE170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696E9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328_PGW_Wisła</w:t>
            </w:r>
          </w:p>
        </w:tc>
        <w:tc>
          <w:tcPr>
            <w:tcW w:w="1276" w:type="dxa"/>
            <w:shd w:val="clear" w:color="auto" w:fill="auto"/>
            <w:hideMark/>
          </w:tcPr>
          <w:p w14:paraId="2699A1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ED4F134" w14:textId="3C4B72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 IIaPGW nie zawiera kart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Opracowane w ramach IIaPGW dokumenty stanowiące elementy projektów IIaPGW udostępnione zostały jako komplet materiałów w ramach konsultacji społecznych IIaPGW. Informacje prezentowane w IIaPGW stanowią aktualizację danych aPGW, a tym samym kart charakterystyk aPGW (zakładając, iż o nich mowa w uwadze).</w:t>
            </w:r>
            <w:r w:rsidRPr="005E78BB">
              <w:rPr>
                <w:rFonts w:ascii="Calibri" w:eastAsia="Times New Roman" w:hAnsi="Calibri" w:cs="Calibri"/>
                <w:color w:val="000000"/>
                <w:sz w:val="18"/>
                <w:szCs w:val="18"/>
                <w:lang w:eastAsia="pl-PL"/>
              </w:rPr>
              <w:br/>
              <w:t xml:space="preserve">Jako materiał dodatkowy IIaPGW przygotowane zostaną karty charakterystyk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 będą prezentowały dane zawarte w IIaPGW przyjętym w formie rozporządzenia. Zaktualizowane dane IIaPGW udostępnione zostaną również na Hydroportalu.</w:t>
            </w:r>
          </w:p>
        </w:tc>
      </w:tr>
      <w:tr w:rsidR="0085319C" w:rsidRPr="005E78BB" w14:paraId="768693F5" w14:textId="77777777" w:rsidTr="00E92AE6">
        <w:trPr>
          <w:trHeight w:val="454"/>
        </w:trPr>
        <w:tc>
          <w:tcPr>
            <w:tcW w:w="562" w:type="dxa"/>
            <w:shd w:val="clear" w:color="auto" w:fill="auto"/>
            <w:hideMark/>
          </w:tcPr>
          <w:p w14:paraId="100CB76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329</w:t>
            </w:r>
          </w:p>
        </w:tc>
        <w:tc>
          <w:tcPr>
            <w:tcW w:w="1021" w:type="dxa"/>
          </w:tcPr>
          <w:p w14:paraId="2F49C442" w14:textId="0D7A54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hideMark/>
          </w:tcPr>
          <w:p w14:paraId="41D63C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2EE529B" w14:textId="55B22B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Fundacja WWF Polska w ramach konsultacji społecznych projektów drugiej aktualizacji Planów Gospodarowania Wodami w Dorzeczach (II aPGW), w załączeniu przesyła raport wraz z dwoma załącznikami, wykonany na zlecenie Fundacji, zatytułowany „Ocena stopnia uwzględnienia Krajowego Programu Renaturyzacji Wód Powierzchniowych w projektach drugiej aktualizacji Planów Gospodarowania Wodami (II aPGW) wraz z rekomendacjami do II aPGW”, zwany dalej Raportem WWF. </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Podsumowane w Raporcie WWF szczegółowe analizy obejmujące wszystkie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9 dorzeczy dobitnie wskazują, że poddane konsultacjom społecznym projekty II aPGW nie zapewnią terminowego, tj. do roku 2027, osiągnięcia celów środowiskowych Ramowej Dyrektywy Wodnej w naszym kraju, ze względu na niedostateczne uwzględnienie Krajowego Programu Renaturyzacji Wód Powierzchniowych (KPRWP) w projektach II aPGW oraz ze względu na nowe presje hydromorfologiczne, będące skutkiem planowanych inwestycji i innych przedsięwzięć hydrotechnicznych.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Podsumowanie przeprowadzonych analiz zawiera opisowa część Raportu WWF (plik PDF). Z analiz tych wynika, że w żadnej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nie wdrożono w projektach II aPGW wszystkich zapisów KPRWP. W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zapisy KPRWP wdrożono jedynie częściowo, a w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wymagających renaturyzacji dla osiągnięcia dobrego stanu/potencjału wód całkowicie brak wdrożenia zapisów KPRWP. </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Załącznik 1 (plik Excel) do Raportu WWF zawiera wyniki szczegółowych analiz dla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należących do 9 dorzeczy. W formie tabelarycznej zestawiono zapisy z projektów II aPGW w porównaniu z zapisami KPRWP oraz z informacjami o nowych presjach (o inwestycjach i innych przedsięwzięciach wymienionych w zał. 6 do II aPGW oraz w aktualizacji Planów Zarządzania Ryzykiem Powodziowym i w Planie Przeciwdziałania Skutkom Suszy). Dla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sformułowano szczegółowe rekomendacje odnośnie do zmian, jakie powinny być wprowadzone do II aPGW, aby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terminowo osiągnąć stan hydromorfologiczny niezbędny dla osiągnięcia dobrego stanu/potencjału wód wymaganego przez Ramową Dyrektywę Wodną. Rekomendacje te zawiera kolumna FV pliku Excel. W związku z tym proszę traktować załącznik 1 do Raportu WWF jako zbiorcze zestawienie 3116 szczegółowych uwag obejmujących wszystkie 9 dorzeczy, które to uwagi Fundacja WWF zgłasza w ramach konsultacji społecznych projektów II aPGW.  </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Raport WWF jest wkładem społecznym w działania na rzecz udoskonalenia projektów II aPGW. Mam nadzieję, że sposób przedstawienia szczegółowych rekomendacji dla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umożliwi łatwe usunięcie zidentyfikowanych w Raporcie WWF poważnych mankamentów projektów II aPGW – najpierw na poziomie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rzecznej, a docelowo na poziomie każdego z 9 dorzeczy.  </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Fundacja WWF Polska deklaruje współpracę w usuwaniu mankamentów projektów II aPGW, np. w postaci przekazania analiz GIS, które były podstawą sformułowania wzmiankowanych wyżej rekomendacji dla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t>
            </w:r>
          </w:p>
        </w:tc>
        <w:tc>
          <w:tcPr>
            <w:tcW w:w="3377" w:type="dxa"/>
            <w:shd w:val="clear" w:color="auto" w:fill="auto"/>
            <w:hideMark/>
          </w:tcPr>
          <w:p w14:paraId="1BE3F3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312A3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D2464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329_Raport_ocena_IIaPGW_KPRWP</w:t>
            </w:r>
          </w:p>
        </w:tc>
        <w:tc>
          <w:tcPr>
            <w:tcW w:w="1276" w:type="dxa"/>
            <w:shd w:val="clear" w:color="auto" w:fill="auto"/>
            <w:hideMark/>
          </w:tcPr>
          <w:p w14:paraId="083F6D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452C61A" w14:textId="44DC93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245453C0" w14:textId="77777777" w:rsidTr="00E92AE6">
        <w:trPr>
          <w:trHeight w:val="454"/>
        </w:trPr>
        <w:tc>
          <w:tcPr>
            <w:tcW w:w="562" w:type="dxa"/>
            <w:shd w:val="clear" w:color="auto" w:fill="auto"/>
            <w:hideMark/>
          </w:tcPr>
          <w:p w14:paraId="23E706E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330</w:t>
            </w:r>
          </w:p>
        </w:tc>
        <w:tc>
          <w:tcPr>
            <w:tcW w:w="1021" w:type="dxa"/>
          </w:tcPr>
          <w:p w14:paraId="208125A0" w14:textId="291240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Sobkowie</w:t>
            </w:r>
          </w:p>
        </w:tc>
        <w:tc>
          <w:tcPr>
            <w:tcW w:w="1630" w:type="dxa"/>
            <w:shd w:val="clear" w:color="auto" w:fill="auto"/>
            <w:hideMark/>
          </w:tcPr>
          <w:p w14:paraId="4298C1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943CB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Uwaga dotyczy zestawienia inwestycji kierunkowych - dokument towarzyszący. Brak w  zestawieniu projektu z zakresu zwiększenia retencji wód (budowy zbiornika wodnego) oraz przeciwdziałania skutkom suszy poprzez budowę zbiornika małej retencji na rzece Biała Nida w gminie Sobków oraz Chęciny.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poz. 1060 – budowlą jest stopień a nie jaz</w:t>
            </w:r>
            <w:r w:rsidRPr="005E78BB">
              <w:rPr>
                <w:rFonts w:ascii="Calibri" w:eastAsia="Times New Roman" w:hAnsi="Calibri" w:cs="Calibri"/>
                <w:color w:val="000000"/>
                <w:sz w:val="18"/>
                <w:szCs w:val="18"/>
                <w:lang w:eastAsia="pl-PL"/>
              </w:rPr>
              <w:br w:type="page"/>
              <w:t xml:space="preserve">- poz. 1109 – budowlą jest stopień a nie jaz </w:t>
            </w:r>
            <w:r w:rsidRPr="005E78BB">
              <w:rPr>
                <w:rFonts w:ascii="Calibri" w:eastAsia="Times New Roman" w:hAnsi="Calibri" w:cs="Calibri"/>
                <w:color w:val="000000"/>
                <w:sz w:val="18"/>
                <w:szCs w:val="18"/>
                <w:lang w:eastAsia="pl-PL"/>
              </w:rPr>
              <w:br w:type="page"/>
              <w:t>- poz. 1169 – taki obiekt nie istnieje, brak na mapie i w ewidencji PGW WP</w:t>
            </w:r>
            <w:r w:rsidRPr="005E78BB">
              <w:rPr>
                <w:rFonts w:ascii="Calibri" w:eastAsia="Times New Roman" w:hAnsi="Calibri" w:cs="Calibri"/>
                <w:color w:val="000000"/>
                <w:sz w:val="18"/>
                <w:szCs w:val="18"/>
                <w:lang w:eastAsia="pl-PL"/>
              </w:rPr>
              <w:br w:type="page"/>
              <w:t>- poz. 1404 – budowlą jest stopień z piętrzeniem a nie jaz</w:t>
            </w:r>
            <w:r w:rsidRPr="005E78BB">
              <w:rPr>
                <w:rFonts w:ascii="Calibri" w:eastAsia="Times New Roman" w:hAnsi="Calibri" w:cs="Calibri"/>
                <w:color w:val="000000"/>
                <w:sz w:val="18"/>
                <w:szCs w:val="18"/>
                <w:lang w:eastAsia="pl-PL"/>
              </w:rPr>
              <w:br w:type="page"/>
              <w:t>- poz. 1405 - budowlą jest stopień z piętrzeniem a nie jaz</w:t>
            </w:r>
            <w:r w:rsidRPr="005E78BB">
              <w:rPr>
                <w:rFonts w:ascii="Calibri" w:eastAsia="Times New Roman" w:hAnsi="Calibri" w:cs="Calibri"/>
                <w:color w:val="000000"/>
                <w:sz w:val="18"/>
                <w:szCs w:val="18"/>
                <w:lang w:eastAsia="pl-PL"/>
              </w:rPr>
              <w:br w:type="page"/>
              <w:t>- poz. 1422 – budowlą jest stopień z piętrzeniem a nie jaz</w:t>
            </w:r>
            <w:r w:rsidRPr="005E78BB">
              <w:rPr>
                <w:rFonts w:ascii="Calibri" w:eastAsia="Times New Roman" w:hAnsi="Calibri" w:cs="Calibri"/>
                <w:color w:val="000000"/>
                <w:sz w:val="18"/>
                <w:szCs w:val="18"/>
                <w:lang w:eastAsia="pl-PL"/>
              </w:rPr>
              <w:br w:type="page"/>
              <w:t>- poz. 1425 - budowlą jest stopień a nie jaz</w:t>
            </w:r>
            <w:r w:rsidRPr="005E78BB">
              <w:rPr>
                <w:rFonts w:ascii="Calibri" w:eastAsia="Times New Roman" w:hAnsi="Calibri" w:cs="Calibri"/>
                <w:color w:val="000000"/>
                <w:sz w:val="18"/>
                <w:szCs w:val="18"/>
                <w:lang w:eastAsia="pl-PL"/>
              </w:rPr>
              <w:br w:type="page"/>
              <w:t xml:space="preserve">- poz. 1426 – budowlą jest stopień z piętrzeniem a nie jaz </w:t>
            </w:r>
            <w:r w:rsidRPr="005E78BB">
              <w:rPr>
                <w:rFonts w:ascii="Calibri" w:eastAsia="Times New Roman" w:hAnsi="Calibri" w:cs="Calibri"/>
                <w:color w:val="000000"/>
                <w:sz w:val="18"/>
                <w:szCs w:val="18"/>
                <w:lang w:eastAsia="pl-PL"/>
              </w:rPr>
              <w:br w:type="page"/>
              <w:t>- poz. 1451 – taki obiekt nie istnieje, brak na mapie i w ewidencji PGW WP</w:t>
            </w:r>
            <w:r w:rsidRPr="005E78BB">
              <w:rPr>
                <w:rFonts w:ascii="Calibri" w:eastAsia="Times New Roman" w:hAnsi="Calibri" w:cs="Calibri"/>
                <w:color w:val="000000"/>
                <w:sz w:val="18"/>
                <w:szCs w:val="18"/>
                <w:lang w:eastAsia="pl-PL"/>
              </w:rPr>
              <w:br w:type="page"/>
              <w:t>- poz. 1452 – budowlą jest stopień z piętrzeniem a nie jaz</w:t>
            </w:r>
            <w:r w:rsidRPr="005E78BB">
              <w:rPr>
                <w:rFonts w:ascii="Calibri" w:eastAsia="Times New Roman" w:hAnsi="Calibri" w:cs="Calibri"/>
                <w:color w:val="000000"/>
                <w:sz w:val="18"/>
                <w:szCs w:val="18"/>
                <w:lang w:eastAsia="pl-PL"/>
              </w:rPr>
              <w:br w:type="page"/>
              <w:t>- poz. 1528 - taki obiekt nie istnieje, brak na mapie i w ewidencji PGW WP</w:t>
            </w:r>
            <w:r w:rsidRPr="005E78BB">
              <w:rPr>
                <w:rFonts w:ascii="Calibri" w:eastAsia="Times New Roman" w:hAnsi="Calibri" w:cs="Calibri"/>
                <w:color w:val="000000"/>
                <w:sz w:val="18"/>
                <w:szCs w:val="18"/>
                <w:lang w:eastAsia="pl-PL"/>
              </w:rPr>
              <w:br w:type="page"/>
              <w:t>- poz. 1529 - budowlą jest stopień z piętrzeniem a nie jaz</w:t>
            </w:r>
            <w:r w:rsidRPr="005E78BB">
              <w:rPr>
                <w:rFonts w:ascii="Calibri" w:eastAsia="Times New Roman" w:hAnsi="Calibri" w:cs="Calibri"/>
                <w:color w:val="000000"/>
                <w:sz w:val="18"/>
                <w:szCs w:val="18"/>
                <w:lang w:eastAsia="pl-PL"/>
              </w:rPr>
              <w:br w:type="page"/>
              <w:t>- poz. 1530 - budowlą jest stopień z piętrzeniem a nie jaz</w:t>
            </w:r>
            <w:r w:rsidRPr="005E78BB">
              <w:rPr>
                <w:rFonts w:ascii="Calibri" w:eastAsia="Times New Roman" w:hAnsi="Calibri" w:cs="Calibri"/>
                <w:color w:val="000000"/>
                <w:sz w:val="18"/>
                <w:szCs w:val="18"/>
                <w:lang w:eastAsia="pl-PL"/>
              </w:rPr>
              <w:br w:type="page"/>
              <w:t>- poz. 1531 – błedne współrzędne właściwe X:362287.93, Y:321940.56</w:t>
            </w:r>
            <w:r w:rsidRPr="005E78BB">
              <w:rPr>
                <w:rFonts w:ascii="Calibri" w:eastAsia="Times New Roman" w:hAnsi="Calibri" w:cs="Calibri"/>
                <w:color w:val="000000"/>
                <w:sz w:val="18"/>
                <w:szCs w:val="18"/>
                <w:lang w:eastAsia="pl-PL"/>
              </w:rPr>
              <w:br w:type="page"/>
              <w:t>- poz. 1532 – taki obiekt nie istnieje, brak na mapie i w ewidencji PGW WP</w:t>
            </w:r>
            <w:r w:rsidRPr="005E78BB">
              <w:rPr>
                <w:rFonts w:ascii="Calibri" w:eastAsia="Times New Roman" w:hAnsi="Calibri" w:cs="Calibri"/>
                <w:color w:val="000000"/>
                <w:sz w:val="18"/>
                <w:szCs w:val="18"/>
                <w:lang w:eastAsia="pl-PL"/>
              </w:rPr>
              <w:br w:type="page"/>
              <w:t>- poz. 1573 - taki obiekt nie istnieje, brak na mapie i w ewidencji PGW WP</w:t>
            </w:r>
            <w:r w:rsidRPr="005E78BB">
              <w:rPr>
                <w:rFonts w:ascii="Calibri" w:eastAsia="Times New Roman" w:hAnsi="Calibri" w:cs="Calibri"/>
                <w:color w:val="000000"/>
                <w:sz w:val="18"/>
                <w:szCs w:val="18"/>
                <w:lang w:eastAsia="pl-PL"/>
              </w:rPr>
              <w:br w:type="page"/>
              <w:t>- poz. 1574 - błedne współrzędne właściwe X:361592.42, Y:321111.79</w:t>
            </w:r>
            <w:r w:rsidRPr="005E78BB">
              <w:rPr>
                <w:rFonts w:ascii="Calibri" w:eastAsia="Times New Roman" w:hAnsi="Calibri" w:cs="Calibri"/>
                <w:color w:val="000000"/>
                <w:sz w:val="18"/>
                <w:szCs w:val="18"/>
                <w:lang w:eastAsia="pl-PL"/>
              </w:rPr>
              <w:br w:type="page"/>
              <w:t>- poz. 1608 - taki obiekt nie istnieje, brak na mapie i w ewidencji PGW WP</w:t>
            </w:r>
            <w:r w:rsidRPr="005E78BB">
              <w:rPr>
                <w:rFonts w:ascii="Calibri" w:eastAsia="Times New Roman" w:hAnsi="Calibri" w:cs="Calibri"/>
                <w:color w:val="000000"/>
                <w:sz w:val="18"/>
                <w:szCs w:val="18"/>
                <w:lang w:eastAsia="pl-PL"/>
              </w:rPr>
              <w:br w:type="page"/>
              <w:t>- poz. 1616 – jest to syfon, w tym miejscu nie ma stopnia</w:t>
            </w:r>
            <w:r w:rsidRPr="005E78BB">
              <w:rPr>
                <w:rFonts w:ascii="Calibri" w:eastAsia="Times New Roman" w:hAnsi="Calibri" w:cs="Calibri"/>
                <w:color w:val="000000"/>
                <w:sz w:val="18"/>
                <w:szCs w:val="18"/>
                <w:lang w:eastAsia="pl-PL"/>
              </w:rPr>
              <w:br w:type="page"/>
              <w:t xml:space="preserve">- poz. 1626 – taki obiekt nie istnieje, brak na mapie i w ewidencji PGW WP </w:t>
            </w:r>
            <w:r w:rsidRPr="005E78BB">
              <w:rPr>
                <w:rFonts w:ascii="Calibri" w:eastAsia="Times New Roman" w:hAnsi="Calibri" w:cs="Calibri"/>
                <w:color w:val="000000"/>
                <w:sz w:val="18"/>
                <w:szCs w:val="18"/>
                <w:lang w:eastAsia="pl-PL"/>
              </w:rPr>
              <w:br w:type="page"/>
              <w:t>- poz. 1646 - taki obiekt nie istnieje, brak na mapie i w ewidencji PGW WP</w:t>
            </w:r>
            <w:r w:rsidRPr="005E78BB">
              <w:rPr>
                <w:rFonts w:ascii="Calibri" w:eastAsia="Times New Roman" w:hAnsi="Calibri" w:cs="Calibri"/>
                <w:color w:val="000000"/>
                <w:sz w:val="18"/>
                <w:szCs w:val="18"/>
                <w:lang w:eastAsia="pl-PL"/>
              </w:rPr>
              <w:br w:type="page"/>
              <w:t>- poz. 1647 - taki obiekt nie istnieje, brak na mapie i w ewidencji PGW WP</w:t>
            </w:r>
            <w:r w:rsidRPr="005E78BB">
              <w:rPr>
                <w:rFonts w:ascii="Calibri" w:eastAsia="Times New Roman" w:hAnsi="Calibri" w:cs="Calibri"/>
                <w:color w:val="000000"/>
                <w:sz w:val="18"/>
                <w:szCs w:val="18"/>
                <w:lang w:eastAsia="pl-PL"/>
              </w:rPr>
              <w:br w:type="page"/>
              <w:t>- poz. 1666 - taki obiekt nie istnieje, brak na mapie i w ewidencji PGW WP</w:t>
            </w:r>
            <w:r w:rsidRPr="005E78BB">
              <w:rPr>
                <w:rFonts w:ascii="Calibri" w:eastAsia="Times New Roman" w:hAnsi="Calibri" w:cs="Calibri"/>
                <w:color w:val="000000"/>
                <w:sz w:val="18"/>
                <w:szCs w:val="18"/>
                <w:lang w:eastAsia="pl-PL"/>
              </w:rPr>
              <w:br w:type="page"/>
              <w:t>- poz. 1671 – błędne współrzędne - właściwe X: 363230.27 Y: 324776.56 - pozycja zdublowana z pozycją 1420</w:t>
            </w:r>
            <w:r w:rsidRPr="005E78BB">
              <w:rPr>
                <w:rFonts w:ascii="Calibri" w:eastAsia="Times New Roman" w:hAnsi="Calibri" w:cs="Calibri"/>
                <w:color w:val="000000"/>
                <w:sz w:val="18"/>
                <w:szCs w:val="18"/>
                <w:lang w:eastAsia="pl-PL"/>
              </w:rPr>
              <w:br w:type="page"/>
              <w:t>- poz. 1803 – budowlą jest stopień z piętrzeniem a nie jaz</w:t>
            </w:r>
            <w:r w:rsidRPr="005E78BB">
              <w:rPr>
                <w:rFonts w:ascii="Calibri" w:eastAsia="Times New Roman" w:hAnsi="Calibri" w:cs="Calibri"/>
                <w:color w:val="000000"/>
                <w:sz w:val="18"/>
                <w:szCs w:val="18"/>
                <w:lang w:eastAsia="pl-PL"/>
              </w:rPr>
              <w:br w:type="page"/>
              <w:t>- poz. 1872 - budowlą jest stopień a nie jaz</w:t>
            </w:r>
            <w:r w:rsidRPr="005E78BB">
              <w:rPr>
                <w:rFonts w:ascii="Calibri" w:eastAsia="Times New Roman" w:hAnsi="Calibri" w:cs="Calibri"/>
                <w:color w:val="000000"/>
                <w:sz w:val="18"/>
                <w:szCs w:val="18"/>
                <w:lang w:eastAsia="pl-PL"/>
              </w:rPr>
              <w:br w:type="page"/>
              <w:t>- poz. 2008 - budowlą jest stopień a nie jaz</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8EB66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Prosimy o włączenie inwestycji: </w:t>
            </w:r>
            <w:r w:rsidRPr="005E78BB">
              <w:rPr>
                <w:rFonts w:ascii="Calibri" w:eastAsia="Times New Roman" w:hAnsi="Calibri" w:cs="Calibri"/>
                <w:color w:val="000000"/>
                <w:sz w:val="18"/>
                <w:szCs w:val="18"/>
                <w:lang w:eastAsia="pl-PL"/>
              </w:rPr>
              <w:br w:type="page"/>
              <w:t>1.  Dokument strategiczny, w którym inwestycja została ujęta: Brak</w:t>
            </w:r>
            <w:r w:rsidRPr="005E78BB">
              <w:rPr>
                <w:rFonts w:ascii="Calibri" w:eastAsia="Times New Roman" w:hAnsi="Calibri" w:cs="Calibri"/>
                <w:color w:val="000000"/>
                <w:sz w:val="18"/>
                <w:szCs w:val="18"/>
                <w:lang w:eastAsia="pl-PL"/>
              </w:rPr>
              <w:br w:type="page"/>
              <w:t>2. Nazwa inwestycji: Budowa zbiornika małej retencji na rzece Biała Nida w gminie Sobków oraz Chęciny.</w:t>
            </w:r>
            <w:r w:rsidRPr="005E78BB">
              <w:rPr>
                <w:rFonts w:ascii="Calibri" w:eastAsia="Times New Roman" w:hAnsi="Calibri" w:cs="Calibri"/>
                <w:color w:val="000000"/>
                <w:sz w:val="18"/>
                <w:szCs w:val="18"/>
                <w:lang w:eastAsia="pl-PL"/>
              </w:rPr>
              <w:br w:type="page"/>
              <w:t>3. Główny cel inwestycji: Przeciwdziałanie skutkom suszy</w:t>
            </w:r>
            <w:r w:rsidRPr="005E78BB">
              <w:rPr>
                <w:rFonts w:ascii="Calibri" w:eastAsia="Times New Roman" w:hAnsi="Calibri" w:cs="Calibri"/>
                <w:color w:val="000000"/>
                <w:sz w:val="18"/>
                <w:szCs w:val="18"/>
                <w:lang w:eastAsia="pl-PL"/>
              </w:rPr>
              <w:br w:type="page"/>
              <w:t>4. Ciek: Biała Nida</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39D964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Jedną z niekorzystnych cech klimatu Polski jest częste występowanie susz. Pojawiają się one okresowo, w różnych porach roku i powodują niekiedy poważne straty gospodarcze. Bezpośrednim skutkiem suszy jest zakłócenie naturalnego bilansu wodnego danego obszaru. W Gminie Sobków w ostatnich sześciu latach susza występowała aż 3 krotnie – w 2019 r.  powierzchnia dotknięta suszą zgłoszona przez rolników wynosiła 469,13 ha, w 2018 r. powierzchnia zgłoszona to 891,04 ha, w 2015 r. powierzchnia wynosiła 109,71 ha. Podane powierzchnie wynikają ze złożonych wniosków o oszacowanie szkód w gospodarstwach, jednak powierzchnia gminy dotknięta suszą jest dużo większa. Zgodnie z Monitoringiem Warunków Glebowych w obszarze tym występują gleby podatne na suszę, w związku z czym zachodzi przesłanka  do wykonania zbiornika retencyjnego.</w:t>
            </w:r>
          </w:p>
        </w:tc>
        <w:tc>
          <w:tcPr>
            <w:tcW w:w="1918" w:type="dxa"/>
            <w:shd w:val="clear" w:color="auto" w:fill="auto"/>
            <w:hideMark/>
          </w:tcPr>
          <w:p w14:paraId="63E1FB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7B72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DD876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008A53C1" w14:textId="77777777" w:rsidTr="00E92AE6">
        <w:trPr>
          <w:trHeight w:val="454"/>
        </w:trPr>
        <w:tc>
          <w:tcPr>
            <w:tcW w:w="562" w:type="dxa"/>
            <w:shd w:val="clear" w:color="auto" w:fill="auto"/>
            <w:hideMark/>
          </w:tcPr>
          <w:p w14:paraId="521DBC6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331</w:t>
            </w:r>
          </w:p>
        </w:tc>
        <w:tc>
          <w:tcPr>
            <w:tcW w:w="1021" w:type="dxa"/>
          </w:tcPr>
          <w:p w14:paraId="6209C98C" w14:textId="3C33584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Sobkowie</w:t>
            </w:r>
          </w:p>
        </w:tc>
        <w:tc>
          <w:tcPr>
            <w:tcW w:w="1630" w:type="dxa"/>
            <w:shd w:val="clear" w:color="auto" w:fill="auto"/>
            <w:hideMark/>
          </w:tcPr>
          <w:p w14:paraId="5313B34D" w14:textId="72AE4C9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5D278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Uwaga dotyczy zestawienia inwestycji kierunkowych - dokument towarzyszący. Brak w  zestawieniu projektu z zakresu zwiększenia retencji wód (budowy zbiornika wodnego) oraz przeciwdziałania skutkom suszy poprzez budowę zbiornika małej retencji na rzece Biała Nida w gminie Sobków oraz Chęciny.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poz. 1060 – budowlą jest stopień a nie jaz</w:t>
            </w:r>
            <w:r w:rsidRPr="005E78BB">
              <w:rPr>
                <w:rFonts w:ascii="Calibri" w:eastAsia="Times New Roman" w:hAnsi="Calibri" w:cs="Calibri"/>
                <w:color w:val="000000"/>
                <w:sz w:val="18"/>
                <w:szCs w:val="18"/>
                <w:lang w:eastAsia="pl-PL"/>
              </w:rPr>
              <w:br/>
              <w:t xml:space="preserve">- poz. 1109 – budowlą jest stopień a nie jaz </w:t>
            </w:r>
            <w:r w:rsidRPr="005E78BB">
              <w:rPr>
                <w:rFonts w:ascii="Calibri" w:eastAsia="Times New Roman" w:hAnsi="Calibri" w:cs="Calibri"/>
                <w:color w:val="000000"/>
                <w:sz w:val="18"/>
                <w:szCs w:val="18"/>
                <w:lang w:eastAsia="pl-PL"/>
              </w:rPr>
              <w:br/>
              <w:t>- poz. 1169 – taki obiekt nie istnieje, brak na mapie i w ewidencji PGW WP</w:t>
            </w:r>
            <w:r w:rsidRPr="005E78BB">
              <w:rPr>
                <w:rFonts w:ascii="Calibri" w:eastAsia="Times New Roman" w:hAnsi="Calibri" w:cs="Calibri"/>
                <w:color w:val="000000"/>
                <w:sz w:val="18"/>
                <w:szCs w:val="18"/>
                <w:lang w:eastAsia="pl-PL"/>
              </w:rPr>
              <w:br/>
              <w:t>- poz. 1404 – budowlą jest stopień z piętrzeniem a nie jaz</w:t>
            </w:r>
            <w:r w:rsidRPr="005E78BB">
              <w:rPr>
                <w:rFonts w:ascii="Calibri" w:eastAsia="Times New Roman" w:hAnsi="Calibri" w:cs="Calibri"/>
                <w:color w:val="000000"/>
                <w:sz w:val="18"/>
                <w:szCs w:val="18"/>
                <w:lang w:eastAsia="pl-PL"/>
              </w:rPr>
              <w:br/>
              <w:t>- poz. 1405 - budowlą jest stopień z piętrzeniem a nie jaz</w:t>
            </w:r>
            <w:r w:rsidRPr="005E78BB">
              <w:rPr>
                <w:rFonts w:ascii="Calibri" w:eastAsia="Times New Roman" w:hAnsi="Calibri" w:cs="Calibri"/>
                <w:color w:val="000000"/>
                <w:sz w:val="18"/>
                <w:szCs w:val="18"/>
                <w:lang w:eastAsia="pl-PL"/>
              </w:rPr>
              <w:br/>
              <w:t>- poz. 1422 – budowlą jest stopień z piętrzeniem a nie jaz</w:t>
            </w:r>
            <w:r w:rsidRPr="005E78BB">
              <w:rPr>
                <w:rFonts w:ascii="Calibri" w:eastAsia="Times New Roman" w:hAnsi="Calibri" w:cs="Calibri"/>
                <w:color w:val="000000"/>
                <w:sz w:val="18"/>
                <w:szCs w:val="18"/>
                <w:lang w:eastAsia="pl-PL"/>
              </w:rPr>
              <w:br/>
              <w:t>- poz. 1425 - budowlą jest stopień a nie jaz</w:t>
            </w:r>
            <w:r w:rsidRPr="005E78BB">
              <w:rPr>
                <w:rFonts w:ascii="Calibri" w:eastAsia="Times New Roman" w:hAnsi="Calibri" w:cs="Calibri"/>
                <w:color w:val="000000"/>
                <w:sz w:val="18"/>
                <w:szCs w:val="18"/>
                <w:lang w:eastAsia="pl-PL"/>
              </w:rPr>
              <w:br/>
              <w:t xml:space="preserve">- poz. 1426 – budowlą jest stopień z piętrzeniem a nie jaz </w:t>
            </w:r>
            <w:r w:rsidRPr="005E78BB">
              <w:rPr>
                <w:rFonts w:ascii="Calibri" w:eastAsia="Times New Roman" w:hAnsi="Calibri" w:cs="Calibri"/>
                <w:color w:val="000000"/>
                <w:sz w:val="18"/>
                <w:szCs w:val="18"/>
                <w:lang w:eastAsia="pl-PL"/>
              </w:rPr>
              <w:br/>
              <w:t>- poz. 1451 – taki obiekt nie istnieje, brak na mapie i w ewidencji PGW WP</w:t>
            </w:r>
            <w:r w:rsidRPr="005E78BB">
              <w:rPr>
                <w:rFonts w:ascii="Calibri" w:eastAsia="Times New Roman" w:hAnsi="Calibri" w:cs="Calibri"/>
                <w:color w:val="000000"/>
                <w:sz w:val="18"/>
                <w:szCs w:val="18"/>
                <w:lang w:eastAsia="pl-PL"/>
              </w:rPr>
              <w:br/>
              <w:t>- poz. 1452 – budowlą jest stopień z piętrzeniem a nie jaz</w:t>
            </w:r>
            <w:r w:rsidRPr="005E78BB">
              <w:rPr>
                <w:rFonts w:ascii="Calibri" w:eastAsia="Times New Roman" w:hAnsi="Calibri" w:cs="Calibri"/>
                <w:color w:val="000000"/>
                <w:sz w:val="18"/>
                <w:szCs w:val="18"/>
                <w:lang w:eastAsia="pl-PL"/>
              </w:rPr>
              <w:br/>
              <w:t>- poz. 1528 - taki obiekt nie istnieje, brak na mapie i w ewidencji PGW WP</w:t>
            </w:r>
            <w:r w:rsidRPr="005E78BB">
              <w:rPr>
                <w:rFonts w:ascii="Calibri" w:eastAsia="Times New Roman" w:hAnsi="Calibri" w:cs="Calibri"/>
                <w:color w:val="000000"/>
                <w:sz w:val="18"/>
                <w:szCs w:val="18"/>
                <w:lang w:eastAsia="pl-PL"/>
              </w:rPr>
              <w:br/>
              <w:t>- poz. 1529 - budowlą jest stopień z piętrzeniem a nie jaz</w:t>
            </w:r>
            <w:r w:rsidRPr="005E78BB">
              <w:rPr>
                <w:rFonts w:ascii="Calibri" w:eastAsia="Times New Roman" w:hAnsi="Calibri" w:cs="Calibri"/>
                <w:color w:val="000000"/>
                <w:sz w:val="18"/>
                <w:szCs w:val="18"/>
                <w:lang w:eastAsia="pl-PL"/>
              </w:rPr>
              <w:br/>
              <w:t>- poz. 1530 - budowlą jest stopień z piętrzeniem a nie jaz</w:t>
            </w:r>
            <w:r w:rsidRPr="005E78BB">
              <w:rPr>
                <w:rFonts w:ascii="Calibri" w:eastAsia="Times New Roman" w:hAnsi="Calibri" w:cs="Calibri"/>
                <w:color w:val="000000"/>
                <w:sz w:val="18"/>
                <w:szCs w:val="18"/>
                <w:lang w:eastAsia="pl-PL"/>
              </w:rPr>
              <w:br/>
              <w:t>- poz. 1531 – błedne współrzędne właściwe X:362287.93, Y:321940.56</w:t>
            </w:r>
            <w:r w:rsidRPr="005E78BB">
              <w:rPr>
                <w:rFonts w:ascii="Calibri" w:eastAsia="Times New Roman" w:hAnsi="Calibri" w:cs="Calibri"/>
                <w:color w:val="000000"/>
                <w:sz w:val="18"/>
                <w:szCs w:val="18"/>
                <w:lang w:eastAsia="pl-PL"/>
              </w:rPr>
              <w:br/>
              <w:t>- poz. 1532 – taki obiekt nie istnieje, brak na mapie i w ewidencji PGW WP</w:t>
            </w:r>
            <w:r w:rsidRPr="005E78BB">
              <w:rPr>
                <w:rFonts w:ascii="Calibri" w:eastAsia="Times New Roman" w:hAnsi="Calibri" w:cs="Calibri"/>
                <w:color w:val="000000"/>
                <w:sz w:val="18"/>
                <w:szCs w:val="18"/>
                <w:lang w:eastAsia="pl-PL"/>
              </w:rPr>
              <w:br/>
              <w:t>- poz. 1573 - taki obiekt nie istnieje, brak na mapie i w ewidencji PGW WP</w:t>
            </w:r>
            <w:r w:rsidRPr="005E78BB">
              <w:rPr>
                <w:rFonts w:ascii="Calibri" w:eastAsia="Times New Roman" w:hAnsi="Calibri" w:cs="Calibri"/>
                <w:color w:val="000000"/>
                <w:sz w:val="18"/>
                <w:szCs w:val="18"/>
                <w:lang w:eastAsia="pl-PL"/>
              </w:rPr>
              <w:br/>
              <w:t>- poz. 1574 - błedne współrzędne właściwe X:361592.42, Y:321111.79</w:t>
            </w:r>
            <w:r w:rsidRPr="005E78BB">
              <w:rPr>
                <w:rFonts w:ascii="Calibri" w:eastAsia="Times New Roman" w:hAnsi="Calibri" w:cs="Calibri"/>
                <w:color w:val="000000"/>
                <w:sz w:val="18"/>
                <w:szCs w:val="18"/>
                <w:lang w:eastAsia="pl-PL"/>
              </w:rPr>
              <w:br/>
              <w:t>- poz. 1608 - taki obiekt nie istnieje, brak na mapie i w ewidencji PGW WP</w:t>
            </w:r>
            <w:r w:rsidRPr="005E78BB">
              <w:rPr>
                <w:rFonts w:ascii="Calibri" w:eastAsia="Times New Roman" w:hAnsi="Calibri" w:cs="Calibri"/>
                <w:color w:val="000000"/>
                <w:sz w:val="18"/>
                <w:szCs w:val="18"/>
                <w:lang w:eastAsia="pl-PL"/>
              </w:rPr>
              <w:br/>
              <w:t>- poz. 1616 – jest to syfon, w tym miejscu nie ma stopnia</w:t>
            </w:r>
            <w:r w:rsidRPr="005E78BB">
              <w:rPr>
                <w:rFonts w:ascii="Calibri" w:eastAsia="Times New Roman" w:hAnsi="Calibri" w:cs="Calibri"/>
                <w:color w:val="000000"/>
                <w:sz w:val="18"/>
                <w:szCs w:val="18"/>
                <w:lang w:eastAsia="pl-PL"/>
              </w:rPr>
              <w:br/>
              <w:t xml:space="preserve">- poz. 1626 – taki obiekt nie istnieje, brak na mapie i w ewidencji PGW WP </w:t>
            </w:r>
            <w:r w:rsidRPr="005E78BB">
              <w:rPr>
                <w:rFonts w:ascii="Calibri" w:eastAsia="Times New Roman" w:hAnsi="Calibri" w:cs="Calibri"/>
                <w:color w:val="000000"/>
                <w:sz w:val="18"/>
                <w:szCs w:val="18"/>
                <w:lang w:eastAsia="pl-PL"/>
              </w:rPr>
              <w:br/>
              <w:t>- poz. 1646 - taki obiekt nie istnieje, brak na mapie i w ewidencji PGW WP</w:t>
            </w:r>
            <w:r w:rsidRPr="005E78BB">
              <w:rPr>
                <w:rFonts w:ascii="Calibri" w:eastAsia="Times New Roman" w:hAnsi="Calibri" w:cs="Calibri"/>
                <w:color w:val="000000"/>
                <w:sz w:val="18"/>
                <w:szCs w:val="18"/>
                <w:lang w:eastAsia="pl-PL"/>
              </w:rPr>
              <w:br/>
              <w:t>- poz. 1647 - taki obiekt nie istnieje, brak na mapie i w ewidencji PGW WP</w:t>
            </w:r>
            <w:r w:rsidRPr="005E78BB">
              <w:rPr>
                <w:rFonts w:ascii="Calibri" w:eastAsia="Times New Roman" w:hAnsi="Calibri" w:cs="Calibri"/>
                <w:color w:val="000000"/>
                <w:sz w:val="18"/>
                <w:szCs w:val="18"/>
                <w:lang w:eastAsia="pl-PL"/>
              </w:rPr>
              <w:br/>
              <w:t>- poz. 1666 - taki obiekt nie istnieje, brak na mapie i w ewidencji PGW WP</w:t>
            </w:r>
            <w:r w:rsidRPr="005E78BB">
              <w:rPr>
                <w:rFonts w:ascii="Calibri" w:eastAsia="Times New Roman" w:hAnsi="Calibri" w:cs="Calibri"/>
                <w:color w:val="000000"/>
                <w:sz w:val="18"/>
                <w:szCs w:val="18"/>
                <w:lang w:eastAsia="pl-PL"/>
              </w:rPr>
              <w:br/>
              <w:t>- poz. 1671 – błędne współrzędne - właściwe X: 363230.27 Y: 324776.56 - pozycja zdublowana z pozycją 1420</w:t>
            </w:r>
            <w:r w:rsidRPr="005E78BB">
              <w:rPr>
                <w:rFonts w:ascii="Calibri" w:eastAsia="Times New Roman" w:hAnsi="Calibri" w:cs="Calibri"/>
                <w:color w:val="000000"/>
                <w:sz w:val="18"/>
                <w:szCs w:val="18"/>
                <w:lang w:eastAsia="pl-PL"/>
              </w:rPr>
              <w:br/>
              <w:t>- poz. 1803 – budowlą jest stopień z piętrzeniem a nie jaz</w:t>
            </w:r>
            <w:r w:rsidRPr="005E78BB">
              <w:rPr>
                <w:rFonts w:ascii="Calibri" w:eastAsia="Times New Roman" w:hAnsi="Calibri" w:cs="Calibri"/>
                <w:color w:val="000000"/>
                <w:sz w:val="18"/>
                <w:szCs w:val="18"/>
                <w:lang w:eastAsia="pl-PL"/>
              </w:rPr>
              <w:br/>
              <w:t>- poz. 1872 - budowlą jest stopień a nie jaz</w:t>
            </w:r>
            <w:r w:rsidRPr="005E78BB">
              <w:rPr>
                <w:rFonts w:ascii="Calibri" w:eastAsia="Times New Roman" w:hAnsi="Calibri" w:cs="Calibri"/>
                <w:color w:val="000000"/>
                <w:sz w:val="18"/>
                <w:szCs w:val="18"/>
                <w:lang w:eastAsia="pl-PL"/>
              </w:rPr>
              <w:br/>
              <w:t>- poz. 2008 - budowlą jest stopień a nie jaz</w:t>
            </w:r>
          </w:p>
        </w:tc>
        <w:tc>
          <w:tcPr>
            <w:tcW w:w="3377" w:type="dxa"/>
            <w:shd w:val="clear" w:color="auto" w:fill="auto"/>
            <w:hideMark/>
          </w:tcPr>
          <w:p w14:paraId="6677C6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Prosimy o włączenie inwestycji: </w:t>
            </w:r>
            <w:r w:rsidRPr="005E78BB">
              <w:rPr>
                <w:rFonts w:ascii="Calibri" w:eastAsia="Times New Roman" w:hAnsi="Calibri" w:cs="Calibri"/>
                <w:color w:val="000000"/>
                <w:sz w:val="18"/>
                <w:szCs w:val="18"/>
                <w:lang w:eastAsia="pl-PL"/>
              </w:rPr>
              <w:br/>
              <w:t>1.  Dokument strategiczny, w którym inwestycja została ujęta: Brak</w:t>
            </w:r>
            <w:r w:rsidRPr="005E78BB">
              <w:rPr>
                <w:rFonts w:ascii="Calibri" w:eastAsia="Times New Roman" w:hAnsi="Calibri" w:cs="Calibri"/>
                <w:color w:val="000000"/>
                <w:sz w:val="18"/>
                <w:szCs w:val="18"/>
                <w:lang w:eastAsia="pl-PL"/>
              </w:rPr>
              <w:br/>
              <w:t>2. Nazwa inwestycji: Budowa zbiornika małej retencji na rzece Biała Nida w gminie Sobków oraz Chęciny.</w:t>
            </w:r>
            <w:r w:rsidRPr="005E78BB">
              <w:rPr>
                <w:rFonts w:ascii="Calibri" w:eastAsia="Times New Roman" w:hAnsi="Calibri" w:cs="Calibri"/>
                <w:color w:val="000000"/>
                <w:sz w:val="18"/>
                <w:szCs w:val="18"/>
                <w:lang w:eastAsia="pl-PL"/>
              </w:rPr>
              <w:br/>
              <w:t>3. Główny cel inwestycji: Przeciwdziałanie skutkom suszy</w:t>
            </w:r>
            <w:r w:rsidRPr="005E78BB">
              <w:rPr>
                <w:rFonts w:ascii="Calibri" w:eastAsia="Times New Roman" w:hAnsi="Calibri" w:cs="Calibri"/>
                <w:color w:val="000000"/>
                <w:sz w:val="18"/>
                <w:szCs w:val="18"/>
                <w:lang w:eastAsia="pl-PL"/>
              </w:rPr>
              <w:br/>
              <w:t>4. Ciek: Biała Nida</w:t>
            </w:r>
          </w:p>
        </w:tc>
        <w:tc>
          <w:tcPr>
            <w:tcW w:w="3401" w:type="dxa"/>
            <w:shd w:val="clear" w:color="auto" w:fill="auto"/>
            <w:hideMark/>
          </w:tcPr>
          <w:p w14:paraId="1C1227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Jedną z niekorzystnych cech klimatu Polski jest częste występowanie susz. Pojawiają się one okresowo, w różnych porach roku i powodują niekiedy poważne straty gospodarcze. Bezpośrednim skutkiem suszy jest zakłócenie naturalnego bilansu wodnego danego obszaru. W Gminie Sobków w ostatnich sześciu latach susza występowała aż 3 krotnie – w 2019 r.  powierzchnia dotknięta suszą zgłoszona przez rolników wynosiła 469,13 ha, w 2018 r. powierzchnia zgłoszona to 891,04 ha, w 2015 r. powierzchnia wynosiła 109,71 ha. Podane powierzchnie wynikają ze złożonych wniosków o oszacowanie szkód w gospodarstwach, jednak powierzchnia gminy dotknięta suszą jest dużo większa. Zgodnie z Monitoringiem Warunków Glebowych w obszarze tym występują gleby podatne na suszę, w związku z czym zachodzi przesłanka  do wykonania zbiornika retencyjnego.</w:t>
            </w:r>
          </w:p>
        </w:tc>
        <w:tc>
          <w:tcPr>
            <w:tcW w:w="1918" w:type="dxa"/>
            <w:shd w:val="clear" w:color="auto" w:fill="auto"/>
            <w:hideMark/>
          </w:tcPr>
          <w:p w14:paraId="7F8307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0D633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78FC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1DA28117" w14:textId="77777777" w:rsidTr="00E92AE6">
        <w:trPr>
          <w:trHeight w:val="454"/>
        </w:trPr>
        <w:tc>
          <w:tcPr>
            <w:tcW w:w="562" w:type="dxa"/>
            <w:shd w:val="clear" w:color="auto" w:fill="auto"/>
            <w:hideMark/>
          </w:tcPr>
          <w:p w14:paraId="55BBCAE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332</w:t>
            </w:r>
          </w:p>
        </w:tc>
        <w:tc>
          <w:tcPr>
            <w:tcW w:w="1021" w:type="dxa"/>
          </w:tcPr>
          <w:p w14:paraId="278A27DB" w14:textId="18CD91C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Nie dla Kopalni Cynku i Ołowiu</w:t>
            </w:r>
          </w:p>
        </w:tc>
        <w:tc>
          <w:tcPr>
            <w:tcW w:w="1630" w:type="dxa"/>
            <w:shd w:val="clear" w:color="auto" w:fill="auto"/>
            <w:hideMark/>
          </w:tcPr>
          <w:p w14:paraId="617DFD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9750C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PGW zawiera wykaz inwestycji oraz działań, które mogą spowodować nieosiągnięcie dobrego stanu wód lub pogorszenie dobrego stanu wód, spełniających warunki, o których mowa w art. 4 ust. 7 Ramowej Dyrektywy Wodnej, wraz z uzasadnieniem spełnienia tych warunków (czyli: ze wskazaniem przesłanek wskazujących na dopuszczalność realizacji tych działań i przedsięwzięć). Jedną z inwestycji, która została wpisana do PGW przyjętego w 2016 roku jest Budowa podziemnej kopalni w celu wydobywania rud cynku i ołowiu ze złoża Zawiercie 3 ID dla II aPGW - A 549 _0/A_1810_W. W ocenie Stowarzyszenia przedstawione w PGW przesłanki mające przemawiać za realizacją tego projektu nie czynią zadość wymaganiom art.4 ust.7 lit. c RDW. </w:t>
            </w:r>
          </w:p>
        </w:tc>
        <w:tc>
          <w:tcPr>
            <w:tcW w:w="3377" w:type="dxa"/>
            <w:shd w:val="clear" w:color="auto" w:fill="auto"/>
            <w:hideMark/>
          </w:tcPr>
          <w:p w14:paraId="5A6E45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Wykreślenie z załącznika nr 6 do II aPGW projektu Budowa podziemnej kopalni w celu wydobywania rud cynku i ołowiu ze złoża Zawiercie 3 ID dla II aPGW - A_549_0/A_1810_W. </w:t>
            </w:r>
          </w:p>
        </w:tc>
        <w:tc>
          <w:tcPr>
            <w:tcW w:w="3401" w:type="dxa"/>
            <w:shd w:val="clear" w:color="auto" w:fill="auto"/>
            <w:hideMark/>
          </w:tcPr>
          <w:p w14:paraId="5372CA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załącznikiem. </w:t>
            </w:r>
          </w:p>
        </w:tc>
        <w:tc>
          <w:tcPr>
            <w:tcW w:w="1918" w:type="dxa"/>
            <w:shd w:val="clear" w:color="auto" w:fill="auto"/>
            <w:hideMark/>
          </w:tcPr>
          <w:p w14:paraId="75CB5D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Stow_NieDlaCynkuOłowiu_Wisła</w:t>
            </w:r>
          </w:p>
        </w:tc>
        <w:tc>
          <w:tcPr>
            <w:tcW w:w="1276" w:type="dxa"/>
            <w:shd w:val="clear" w:color="auto" w:fill="auto"/>
            <w:hideMark/>
          </w:tcPr>
          <w:p w14:paraId="15CB3B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0A3F95F" w14:textId="013AB30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78A3EE8" w14:textId="77777777" w:rsidTr="00E92AE6">
        <w:trPr>
          <w:trHeight w:val="454"/>
        </w:trPr>
        <w:tc>
          <w:tcPr>
            <w:tcW w:w="562" w:type="dxa"/>
            <w:shd w:val="clear" w:color="auto" w:fill="auto"/>
            <w:hideMark/>
          </w:tcPr>
          <w:p w14:paraId="7E3EFF1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333</w:t>
            </w:r>
          </w:p>
        </w:tc>
        <w:tc>
          <w:tcPr>
            <w:tcW w:w="1021" w:type="dxa"/>
          </w:tcPr>
          <w:p w14:paraId="608A9014" w14:textId="215E42C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Slawek Gorecki</w:t>
            </w:r>
          </w:p>
        </w:tc>
        <w:tc>
          <w:tcPr>
            <w:tcW w:w="1630" w:type="dxa"/>
            <w:shd w:val="clear" w:color="auto" w:fill="auto"/>
            <w:hideMark/>
          </w:tcPr>
          <w:p w14:paraId="368F58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44607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Jestem mieszkańcem wsi Rzyszczewo przesyłam zdjęcia zbiornika wodnego który służył jako zbiornik przeciw pożarowy został zaniedbany i zniszczony przez inne władze. Nazywam się Sławomir Henryk Górecki jestem mieszkańcem tego powiaty. Służyłem w jednostce wojskowej w Szczecinie JW2109. Muj zawód to Elektryk budowlany. Chciałbym żeby ten zbiornik wodny został zrewatelizjowany. </w:t>
            </w:r>
          </w:p>
        </w:tc>
        <w:tc>
          <w:tcPr>
            <w:tcW w:w="3377" w:type="dxa"/>
            <w:shd w:val="clear" w:color="auto" w:fill="auto"/>
            <w:hideMark/>
          </w:tcPr>
          <w:p w14:paraId="7D9F41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6192EE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CE2D7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56B5D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F762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w zakresie rewitalizacji zbiorników przeciwpożarowych są realizowane lokalnie, między innymi przez organizacje pozarządowe, często w ramach projektów finansowanych z wojewódzkich funduszy ochrony środowiska i gospodarki wodnej. Przykład stanowi Fundacja Zielona Akcja w Legnicy, która uczestniczyła w wielu rewitalizacjach realizowanych przez gminy lub w ścisłej wspólpracy z gminami. Warto zgłosić taką propozycję do Lokalnych grup działania i gminy bezpośrednio jako incjatywę mieszkańców gminy/miejscowosci. Działania z poprawy retencji wód opadowych wpisują się w adaptację do zmian klimatu i retencję wód opadowych na terenach zurbanizowanych. W IIaPGW działania w zakresie poprawy retencji wskazywano jedynie dla gmin zagrożonych 4 typami suszy, w których identyfikowano presje na stan ilościowy lub jakościowy wód powierzchniowych.</w:t>
            </w:r>
          </w:p>
        </w:tc>
      </w:tr>
      <w:tr w:rsidR="0085319C" w:rsidRPr="005E78BB" w14:paraId="5484C494" w14:textId="77777777" w:rsidTr="00E92AE6">
        <w:trPr>
          <w:trHeight w:val="454"/>
        </w:trPr>
        <w:tc>
          <w:tcPr>
            <w:tcW w:w="562" w:type="dxa"/>
            <w:shd w:val="clear" w:color="auto" w:fill="auto"/>
            <w:hideMark/>
          </w:tcPr>
          <w:p w14:paraId="3D9C40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334</w:t>
            </w:r>
          </w:p>
        </w:tc>
        <w:tc>
          <w:tcPr>
            <w:tcW w:w="1021" w:type="dxa"/>
          </w:tcPr>
          <w:p w14:paraId="52F5C48C" w14:textId="3835A59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Biebrzański Park Narodowy</w:t>
            </w:r>
          </w:p>
        </w:tc>
        <w:tc>
          <w:tcPr>
            <w:tcW w:w="1630" w:type="dxa"/>
            <w:shd w:val="clear" w:color="auto" w:fill="auto"/>
            <w:hideMark/>
          </w:tcPr>
          <w:p w14:paraId="774A1A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0E872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w:t>
            </w:r>
            <w:r w:rsidRPr="005E78BB">
              <w:rPr>
                <w:rFonts w:ascii="Calibri" w:eastAsia="Times New Roman" w:hAnsi="Calibri" w:cs="Calibri"/>
                <w:color w:val="000000"/>
                <w:sz w:val="18"/>
                <w:szCs w:val="18"/>
                <w:lang w:eastAsia="pl-PL"/>
              </w:rPr>
              <w:br/>
              <w:t xml:space="preserve">Załącznik nr 7.3 Zestaw działań_RW_ODWisła - wiersz 815, rzeka San, region wodny Górnej - Wschodniej Wisły, województwo podkarpackie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Treść uwagi: </w:t>
            </w:r>
            <w:r w:rsidRPr="005E78BB">
              <w:rPr>
                <w:rFonts w:ascii="Calibri" w:eastAsia="Times New Roman" w:hAnsi="Calibri" w:cs="Calibri"/>
                <w:color w:val="000000"/>
                <w:sz w:val="18"/>
                <w:szCs w:val="18"/>
                <w:lang w:eastAsia="pl-PL"/>
              </w:rPr>
              <w:br/>
              <w:t>Biebrzański Park Narodowy został wpisany jako jednostka odpowiedzialna za realizację. Park leży w regionie Narwi, woj. podlaskie. Błędnie wpisano jednostkę odpowiedzialną za realizację</w:t>
            </w:r>
            <w:r w:rsidRPr="005E78BB">
              <w:rPr>
                <w:rFonts w:ascii="Calibri" w:eastAsia="Times New Roman" w:hAnsi="Calibri" w:cs="Calibri"/>
                <w:color w:val="000000"/>
                <w:sz w:val="18"/>
                <w:szCs w:val="18"/>
                <w:lang w:eastAsia="pl-PL"/>
              </w:rPr>
              <w:br/>
              <w:t xml:space="preserve"> </w:t>
            </w:r>
          </w:p>
        </w:tc>
        <w:tc>
          <w:tcPr>
            <w:tcW w:w="3377" w:type="dxa"/>
            <w:shd w:val="clear" w:color="auto" w:fill="auto"/>
            <w:hideMark/>
          </w:tcPr>
          <w:p w14:paraId="207D81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do załącznika 7.3. Zestaw działań_RW_ODWisła działania realizowanego przez Biebrzański Park Narodowy. </w:t>
            </w:r>
            <w:r w:rsidRPr="005E78BB">
              <w:rPr>
                <w:rFonts w:ascii="Calibri" w:eastAsia="Times New Roman" w:hAnsi="Calibri" w:cs="Calibri"/>
                <w:color w:val="000000"/>
                <w:sz w:val="18"/>
                <w:szCs w:val="18"/>
                <w:lang w:eastAsia="pl-PL"/>
              </w:rPr>
              <w:br/>
              <w:t xml:space="preserve">Szczegóły w załączonej ankiecie. </w:t>
            </w:r>
          </w:p>
        </w:tc>
        <w:tc>
          <w:tcPr>
            <w:tcW w:w="3401" w:type="dxa"/>
            <w:shd w:val="clear" w:color="auto" w:fill="auto"/>
            <w:hideMark/>
          </w:tcPr>
          <w:p w14:paraId="09CBAC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art. 323 Prawa Wodnego </w:t>
            </w:r>
          </w:p>
        </w:tc>
        <w:tc>
          <w:tcPr>
            <w:tcW w:w="1918" w:type="dxa"/>
            <w:shd w:val="clear" w:color="auto" w:fill="auto"/>
            <w:hideMark/>
          </w:tcPr>
          <w:p w14:paraId="659280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334-335_BiebrzańskiPN_Wisła</w:t>
            </w:r>
          </w:p>
        </w:tc>
        <w:tc>
          <w:tcPr>
            <w:tcW w:w="1276" w:type="dxa"/>
            <w:shd w:val="clear" w:color="auto" w:fill="auto"/>
            <w:hideMark/>
          </w:tcPr>
          <w:p w14:paraId="405D40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490DD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Poprawne brzmienie: Bieszczadzki PN</w:t>
            </w:r>
          </w:p>
        </w:tc>
      </w:tr>
      <w:tr w:rsidR="0085319C" w:rsidRPr="005E78BB" w14:paraId="3178C32F" w14:textId="77777777" w:rsidTr="00E92AE6">
        <w:trPr>
          <w:trHeight w:val="454"/>
        </w:trPr>
        <w:tc>
          <w:tcPr>
            <w:tcW w:w="562" w:type="dxa"/>
            <w:shd w:val="clear" w:color="auto" w:fill="auto"/>
            <w:hideMark/>
          </w:tcPr>
          <w:p w14:paraId="047643E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335</w:t>
            </w:r>
          </w:p>
        </w:tc>
        <w:tc>
          <w:tcPr>
            <w:tcW w:w="1021" w:type="dxa"/>
          </w:tcPr>
          <w:p w14:paraId="50A51DE2" w14:textId="7D1D5F2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Biebrzański Park Narodowy</w:t>
            </w:r>
          </w:p>
        </w:tc>
        <w:tc>
          <w:tcPr>
            <w:tcW w:w="1630" w:type="dxa"/>
            <w:shd w:val="clear" w:color="auto" w:fill="auto"/>
            <w:hideMark/>
          </w:tcPr>
          <w:p w14:paraId="70D7B2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DE544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w:t>
            </w:r>
            <w:r w:rsidRPr="005E78BB">
              <w:rPr>
                <w:rFonts w:ascii="Calibri" w:eastAsia="Times New Roman" w:hAnsi="Calibri" w:cs="Calibri"/>
                <w:color w:val="000000"/>
                <w:sz w:val="18"/>
                <w:szCs w:val="18"/>
                <w:lang w:eastAsia="pl-PL"/>
              </w:rPr>
              <w:br w:type="page"/>
              <w:t xml:space="preserve">Załącznik nr 7.3 Zestaw działań_RW_ODWisła - wiersz 815, rzeka San, region wodny Górnej - Wschodniej Wisły, województwo podkarpackie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Treść uwagi: </w:t>
            </w:r>
            <w:r w:rsidRPr="005E78BB">
              <w:rPr>
                <w:rFonts w:ascii="Calibri" w:eastAsia="Times New Roman" w:hAnsi="Calibri" w:cs="Calibri"/>
                <w:color w:val="000000"/>
                <w:sz w:val="18"/>
                <w:szCs w:val="18"/>
                <w:lang w:eastAsia="pl-PL"/>
              </w:rPr>
              <w:br w:type="page"/>
              <w:t xml:space="preserve">Biebrzański Park Narodowy realizuje projekt LIFE13 NAT/PL/000050 "Renaturyzacja sieci hydrograficznej w Basenie Środkowym doliny Biebrzy. </w:t>
            </w:r>
            <w:r w:rsidRPr="005E78BB">
              <w:rPr>
                <w:rFonts w:ascii="Calibri" w:eastAsia="Times New Roman" w:hAnsi="Calibri" w:cs="Calibri"/>
                <w:color w:val="000000"/>
                <w:sz w:val="18"/>
                <w:szCs w:val="18"/>
                <w:lang w:eastAsia="pl-PL"/>
              </w:rPr>
              <w:br w:type="page"/>
              <w:t xml:space="preserve">Szczegóły treści uwagi tak jak w załączonym piśmie. </w:t>
            </w:r>
          </w:p>
        </w:tc>
        <w:tc>
          <w:tcPr>
            <w:tcW w:w="3377" w:type="dxa"/>
            <w:shd w:val="clear" w:color="auto" w:fill="auto"/>
            <w:hideMark/>
          </w:tcPr>
          <w:p w14:paraId="7F73B7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Dodanie do załącznika 7.3. Zestaw działań_RW_ODWisła działania realizowanego przez Biebrzański Park Narodowy. </w:t>
            </w:r>
            <w:r w:rsidRPr="005E78BB">
              <w:rPr>
                <w:rFonts w:ascii="Calibri" w:eastAsia="Times New Roman" w:hAnsi="Calibri" w:cs="Calibri"/>
                <w:color w:val="000000"/>
                <w:sz w:val="18"/>
                <w:szCs w:val="18"/>
                <w:lang w:eastAsia="pl-PL"/>
              </w:rPr>
              <w:br w:type="page"/>
              <w:t xml:space="preserve">Szczegóły w załączonej ankiecie. </w:t>
            </w:r>
          </w:p>
        </w:tc>
        <w:tc>
          <w:tcPr>
            <w:tcW w:w="3401" w:type="dxa"/>
            <w:shd w:val="clear" w:color="auto" w:fill="auto"/>
            <w:hideMark/>
          </w:tcPr>
          <w:p w14:paraId="154AD9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art. 323 Prawa Wodnego </w:t>
            </w:r>
          </w:p>
        </w:tc>
        <w:tc>
          <w:tcPr>
            <w:tcW w:w="1918" w:type="dxa"/>
            <w:shd w:val="clear" w:color="auto" w:fill="auto"/>
            <w:hideMark/>
          </w:tcPr>
          <w:p w14:paraId="739985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334-335_BiebrzańskiPN_Wisła</w:t>
            </w:r>
          </w:p>
        </w:tc>
        <w:tc>
          <w:tcPr>
            <w:tcW w:w="1276" w:type="dxa"/>
            <w:shd w:val="clear" w:color="auto" w:fill="auto"/>
            <w:hideMark/>
          </w:tcPr>
          <w:p w14:paraId="63A5F0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00957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Skorygowano. Poprawne brzmienie: Bieszczadzki PN</w:t>
            </w:r>
          </w:p>
        </w:tc>
      </w:tr>
      <w:tr w:rsidR="0085319C" w:rsidRPr="005E78BB" w14:paraId="47642D75" w14:textId="77777777" w:rsidTr="00E92AE6">
        <w:trPr>
          <w:trHeight w:val="454"/>
        </w:trPr>
        <w:tc>
          <w:tcPr>
            <w:tcW w:w="562" w:type="dxa"/>
            <w:shd w:val="clear" w:color="auto" w:fill="auto"/>
            <w:hideMark/>
          </w:tcPr>
          <w:p w14:paraId="00E4B8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336</w:t>
            </w:r>
          </w:p>
        </w:tc>
        <w:tc>
          <w:tcPr>
            <w:tcW w:w="1021" w:type="dxa"/>
          </w:tcPr>
          <w:p w14:paraId="45F5A87F" w14:textId="6AD82CD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72BD4D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3653A86" w14:textId="54B871C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3377" w:type="dxa"/>
            <w:shd w:val="clear" w:color="auto" w:fill="auto"/>
            <w:hideMark/>
          </w:tcPr>
          <w:p w14:paraId="3D8304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664779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5F0DD4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AAD0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074E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42AD53D9" w14:textId="77777777" w:rsidTr="00E92AE6">
        <w:trPr>
          <w:trHeight w:val="454"/>
        </w:trPr>
        <w:tc>
          <w:tcPr>
            <w:tcW w:w="562" w:type="dxa"/>
            <w:shd w:val="clear" w:color="auto" w:fill="auto"/>
            <w:hideMark/>
          </w:tcPr>
          <w:p w14:paraId="6930ACF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337</w:t>
            </w:r>
          </w:p>
        </w:tc>
        <w:tc>
          <w:tcPr>
            <w:tcW w:w="1021" w:type="dxa"/>
          </w:tcPr>
          <w:p w14:paraId="566612DA" w14:textId="023D0DA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314031F6" w14:textId="361542C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6C97D64" w14:textId="2DFBD3B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7ADC22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6A2BD7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p>
        </w:tc>
        <w:tc>
          <w:tcPr>
            <w:tcW w:w="1918" w:type="dxa"/>
            <w:shd w:val="clear" w:color="auto" w:fill="auto"/>
            <w:hideMark/>
          </w:tcPr>
          <w:p w14:paraId="2EF4B6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03C2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3B51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w:t>
            </w:r>
            <w:r w:rsidRPr="005E78BB">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w:t>
            </w:r>
            <w:r w:rsidRPr="005E78BB">
              <w:rPr>
                <w:rFonts w:ascii="Calibri" w:eastAsia="Times New Roman" w:hAnsi="Calibri" w:cs="Calibri"/>
                <w:color w:val="000000"/>
                <w:sz w:val="18"/>
                <w:szCs w:val="18"/>
                <w:lang w:eastAsia="pl-PL"/>
              </w:rPr>
              <w:br/>
              <w:t>w ochronie środowiska oraz o ocenach oddziaływania na środowisko (Dz.U. z 2021 roku poz. 247</w:t>
            </w:r>
            <w:r w:rsidRPr="005E78BB">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z prognoz).</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Konsultacje społeczne w ramach SOOŚ wymagane ustawą o udostępnianiu informacji</w:t>
            </w:r>
            <w:r w:rsidRPr="005E78BB">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związku z przygotowaniem i przeprowadzeniem konsultacji społecznych SOOŚ zgodnie</w:t>
            </w:r>
            <w:r w:rsidRPr="005E78BB">
              <w:rPr>
                <w:rFonts w:ascii="Calibri" w:eastAsia="Times New Roman" w:hAnsi="Calibri" w:cs="Calibri"/>
                <w:color w:val="000000"/>
                <w:sz w:val="18"/>
                <w:szCs w:val="18"/>
                <w:lang w:eastAsia="pl-PL"/>
              </w:rPr>
              <w:br/>
              <w:t>z przepisami prawa oraz przy zapewnieniu możliwie pełnego i aktywnego udziału społeczeństwa</w:t>
            </w:r>
            <w:r w:rsidRPr="005E78BB">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 SOOŚ.</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oraz przez 21 dni w przypadku Prognoz. Osoby zainteresowane projektem IIaPGW mają dostęp do bieżącej informacji</w:t>
            </w:r>
            <w:r w:rsidRPr="005E78BB">
              <w:rPr>
                <w:rFonts w:ascii="Calibri" w:eastAsia="Times New Roman" w:hAnsi="Calibri" w:cs="Calibri"/>
                <w:color w:val="000000"/>
                <w:sz w:val="18"/>
                <w:szCs w:val="18"/>
                <w:lang w:eastAsia="pl-PL"/>
              </w:rPr>
              <w:br/>
              <w:t>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85319C" w:rsidRPr="005E78BB" w14:paraId="176EC8D2" w14:textId="77777777" w:rsidTr="00E92AE6">
        <w:trPr>
          <w:trHeight w:val="454"/>
        </w:trPr>
        <w:tc>
          <w:tcPr>
            <w:tcW w:w="562" w:type="dxa"/>
            <w:shd w:val="clear" w:color="auto" w:fill="auto"/>
            <w:hideMark/>
          </w:tcPr>
          <w:p w14:paraId="0E7677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338</w:t>
            </w:r>
          </w:p>
        </w:tc>
        <w:tc>
          <w:tcPr>
            <w:tcW w:w="1021" w:type="dxa"/>
          </w:tcPr>
          <w:p w14:paraId="5AF4A740" w14:textId="7B414F2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025E7BCF" w14:textId="0D60772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DC061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5864B4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2A6904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19F071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3049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F7786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w:t>
            </w:r>
            <w:r w:rsidRPr="005E78BB">
              <w:rPr>
                <w:rFonts w:ascii="Calibri" w:eastAsia="Times New Roman" w:hAnsi="Calibri" w:cs="Calibri"/>
                <w:color w:val="000000"/>
                <w:sz w:val="18"/>
                <w:szCs w:val="18"/>
                <w:lang w:eastAsia="pl-PL"/>
              </w:rPr>
              <w:br w:type="page"/>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w:t>
            </w:r>
            <w:r w:rsidRPr="005E78BB">
              <w:rPr>
                <w:rFonts w:ascii="Calibri" w:eastAsia="Times New Roman" w:hAnsi="Calibri" w:cs="Calibri"/>
                <w:color w:val="000000"/>
                <w:sz w:val="18"/>
                <w:szCs w:val="18"/>
                <w:lang w:eastAsia="pl-PL"/>
              </w:rPr>
              <w:br w:type="page"/>
              <w:t>w ochronie środowiska oraz o ocenach oddziaływania na środowisko (Dz.U. z 2021 roku poz. 247</w:t>
            </w:r>
            <w:r w:rsidRPr="005E78BB">
              <w:rPr>
                <w:rFonts w:ascii="Calibri" w:eastAsia="Times New Roman" w:hAnsi="Calibri" w:cs="Calibri"/>
                <w:color w:val="000000"/>
                <w:sz w:val="18"/>
                <w:szCs w:val="18"/>
                <w:lang w:eastAsia="pl-PL"/>
              </w:rPr>
              <w:br w:type="page"/>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ype="page"/>
              <w:t>z prognoz).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Konsultacje społeczne w ramach SOOŚ wymagane ustawą o udostępnianiu informacji</w:t>
            </w:r>
            <w:r w:rsidRPr="005E78BB">
              <w:rPr>
                <w:rFonts w:ascii="Calibri" w:eastAsia="Times New Roman" w:hAnsi="Calibri" w:cs="Calibri"/>
                <w:color w:val="000000"/>
                <w:sz w:val="18"/>
                <w:szCs w:val="18"/>
                <w:lang w:eastAsia="pl-PL"/>
              </w:rPr>
              <w:br w:type="page"/>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związku z przygotowaniem i przeprowadzeniem konsultacji społecznych SOOŚ zgodnie</w:t>
            </w:r>
            <w:r w:rsidRPr="005E78BB">
              <w:rPr>
                <w:rFonts w:ascii="Calibri" w:eastAsia="Times New Roman" w:hAnsi="Calibri" w:cs="Calibri"/>
                <w:color w:val="000000"/>
                <w:sz w:val="18"/>
                <w:szCs w:val="18"/>
                <w:lang w:eastAsia="pl-PL"/>
              </w:rPr>
              <w:br w:type="page"/>
              <w:t>z przepisami prawa oraz przy zapewnieniu możliwie pełnego i aktywnego udziału społeczeństwa w konsultacjach społecznych (pomimo utrudnień wynikających z COVID-19) uznać należy, iż nie zaistniały przesłanki do przedłużenia przyjętego okresu konsultacji społecznych SOOŚ.</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oraz przez 21 dni w przypadku Prognoz. Osoby zainteresowane projektem IIaPGW mają dostęp do bieżącej informacji</w:t>
            </w:r>
            <w:r w:rsidRPr="005E78BB">
              <w:rPr>
                <w:rFonts w:ascii="Calibri" w:eastAsia="Times New Roman" w:hAnsi="Calibri" w:cs="Calibri"/>
                <w:color w:val="000000"/>
                <w:sz w:val="18"/>
                <w:szCs w:val="18"/>
                <w:lang w:eastAsia="pl-PL"/>
              </w:rPr>
              <w:br w:type="page"/>
              <w:t>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oraz ich prognozami oddziaływania na środowisko i zgłoszenie uwag w ramach obu wymienionych powyżej procedur.</w:t>
            </w:r>
          </w:p>
        </w:tc>
      </w:tr>
      <w:tr w:rsidR="0085319C" w:rsidRPr="005E78BB" w14:paraId="0487045D" w14:textId="77777777" w:rsidTr="00E92AE6">
        <w:trPr>
          <w:trHeight w:val="454"/>
        </w:trPr>
        <w:tc>
          <w:tcPr>
            <w:tcW w:w="562" w:type="dxa"/>
            <w:shd w:val="clear" w:color="auto" w:fill="auto"/>
            <w:hideMark/>
          </w:tcPr>
          <w:p w14:paraId="101AD33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339</w:t>
            </w:r>
          </w:p>
        </w:tc>
        <w:tc>
          <w:tcPr>
            <w:tcW w:w="1021" w:type="dxa"/>
          </w:tcPr>
          <w:p w14:paraId="6D87002D" w14:textId="138762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88BA088" w14:textId="05580B4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F9A4D29" w14:textId="0B6F80E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Konsultacje - geobaza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1D8EE9E0" w14:textId="42F8191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0EAEF0E6" w14:textId="6C6D1EC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p>
        </w:tc>
        <w:tc>
          <w:tcPr>
            <w:tcW w:w="1918" w:type="dxa"/>
            <w:shd w:val="clear" w:color="auto" w:fill="auto"/>
            <w:hideMark/>
          </w:tcPr>
          <w:p w14:paraId="685C55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50FC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FD8FEA" w14:textId="2C70A60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zostały przygotowane zgodnie z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obszaerne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6D55C578" w14:textId="77777777" w:rsidTr="00E92AE6">
        <w:trPr>
          <w:trHeight w:val="454"/>
        </w:trPr>
        <w:tc>
          <w:tcPr>
            <w:tcW w:w="562" w:type="dxa"/>
            <w:shd w:val="clear" w:color="auto" w:fill="auto"/>
            <w:hideMark/>
          </w:tcPr>
          <w:p w14:paraId="4ABF1D1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340</w:t>
            </w:r>
          </w:p>
        </w:tc>
        <w:tc>
          <w:tcPr>
            <w:tcW w:w="1021" w:type="dxa"/>
          </w:tcPr>
          <w:p w14:paraId="0525AB27" w14:textId="4BCED17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D7B8AF3" w14:textId="66050DB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78E77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 dokumenty źródłowe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3377" w:type="dxa"/>
            <w:shd w:val="clear" w:color="auto" w:fill="auto"/>
            <w:hideMark/>
          </w:tcPr>
          <w:p w14:paraId="5F93E0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470C14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358449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1172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B71F1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3B0E1A15" w14:textId="77777777" w:rsidTr="00E92AE6">
        <w:trPr>
          <w:trHeight w:val="454"/>
        </w:trPr>
        <w:tc>
          <w:tcPr>
            <w:tcW w:w="562" w:type="dxa"/>
            <w:shd w:val="clear" w:color="auto" w:fill="auto"/>
            <w:hideMark/>
          </w:tcPr>
          <w:p w14:paraId="0E858CC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341</w:t>
            </w:r>
          </w:p>
        </w:tc>
        <w:tc>
          <w:tcPr>
            <w:tcW w:w="1021" w:type="dxa"/>
          </w:tcPr>
          <w:p w14:paraId="1F7BD772" w14:textId="58475A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DD994EA" w14:textId="02FBF9F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F32C5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Konsultacje - formularz</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3377" w:type="dxa"/>
            <w:shd w:val="clear" w:color="auto" w:fill="auto"/>
            <w:hideMark/>
          </w:tcPr>
          <w:p w14:paraId="59CEA5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67ADF5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Organy państwowe powinny ułatwiać składanie uwag w ramach konsultacji IIaPGW, a nie je utrudniać.</w:t>
            </w:r>
          </w:p>
        </w:tc>
        <w:tc>
          <w:tcPr>
            <w:tcW w:w="1918" w:type="dxa"/>
            <w:shd w:val="clear" w:color="auto" w:fill="auto"/>
            <w:hideMark/>
          </w:tcPr>
          <w:p w14:paraId="17A5CB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6C6E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0D01D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projektów IIaPGW wraz z załącznikami.</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zróznicowane kanały komunikacji dostępne dla zainteresowanych. Nie stosuje się dodatkowych ograniczeń co do formy przedkładanych uwag, co widać po przeglądzie przedłożonych w ramach konsultacji społecznych uwagach i wnioskach przy wykorzystaniu różnych dostępnych kanałów komunikacji.</w:t>
            </w:r>
          </w:p>
        </w:tc>
      </w:tr>
      <w:tr w:rsidR="0085319C" w:rsidRPr="005E78BB" w14:paraId="06494C85" w14:textId="77777777" w:rsidTr="00E92AE6">
        <w:trPr>
          <w:trHeight w:val="454"/>
        </w:trPr>
        <w:tc>
          <w:tcPr>
            <w:tcW w:w="562" w:type="dxa"/>
            <w:shd w:val="clear" w:color="auto" w:fill="auto"/>
            <w:hideMark/>
          </w:tcPr>
          <w:p w14:paraId="270B7AF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342</w:t>
            </w:r>
          </w:p>
        </w:tc>
        <w:tc>
          <w:tcPr>
            <w:tcW w:w="1021" w:type="dxa"/>
          </w:tcPr>
          <w:p w14:paraId="7087A969" w14:textId="445AC81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260CC435" w14:textId="5510F1D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2CFFC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 dane ze strony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101E11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6C9352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AC5F0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6AB4D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C861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3B5B4BFB" w14:textId="77777777" w:rsidTr="00E92AE6">
        <w:trPr>
          <w:trHeight w:val="454"/>
        </w:trPr>
        <w:tc>
          <w:tcPr>
            <w:tcW w:w="562" w:type="dxa"/>
            <w:shd w:val="clear" w:color="auto" w:fill="auto"/>
            <w:hideMark/>
          </w:tcPr>
          <w:p w14:paraId="45094EB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343</w:t>
            </w:r>
          </w:p>
        </w:tc>
        <w:tc>
          <w:tcPr>
            <w:tcW w:w="1021" w:type="dxa"/>
          </w:tcPr>
          <w:p w14:paraId="4F7C3EF1" w14:textId="69BBC59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48536B8D" w14:textId="382456F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351D664" w14:textId="41E766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Rozdz. 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359A8FD3" w14:textId="09E1D3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058C4ECC" w14:textId="01A15C9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72B7A3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A1A8C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93C78D" w14:textId="5BCF057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76016F09" w14:textId="77777777" w:rsidTr="005A77B7">
        <w:trPr>
          <w:trHeight w:val="454"/>
        </w:trPr>
        <w:tc>
          <w:tcPr>
            <w:tcW w:w="562" w:type="dxa"/>
            <w:shd w:val="clear" w:color="auto" w:fill="auto"/>
            <w:hideMark/>
          </w:tcPr>
          <w:p w14:paraId="387EBB45" w14:textId="77777777" w:rsidR="0085319C" w:rsidRPr="005A77B7" w:rsidRDefault="0085319C" w:rsidP="0085319C">
            <w:pPr>
              <w:ind w:firstLine="0"/>
              <w:jc w:val="center"/>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344</w:t>
            </w:r>
          </w:p>
        </w:tc>
        <w:tc>
          <w:tcPr>
            <w:tcW w:w="1021" w:type="dxa"/>
            <w:shd w:val="clear" w:color="auto" w:fill="auto"/>
          </w:tcPr>
          <w:p w14:paraId="28A52BAD" w14:textId="63992A5E"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16ED9EE" w14:textId="3F0997CD"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KONSULTACJE SPOŁECZNE</w:t>
            </w:r>
          </w:p>
        </w:tc>
        <w:tc>
          <w:tcPr>
            <w:tcW w:w="5663" w:type="dxa"/>
            <w:shd w:val="clear" w:color="auto" w:fill="auto"/>
            <w:hideMark/>
          </w:tcPr>
          <w:p w14:paraId="24AB67FD" w14:textId="501E7633"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Dotyczy:</w:t>
            </w:r>
            <w:r w:rsidRPr="005A77B7">
              <w:rPr>
                <w:rFonts w:ascii="Calibri" w:eastAsia="Times New Roman" w:hAnsi="Calibri" w:cs="Calibri"/>
                <w:color w:val="000000"/>
                <w:sz w:val="18"/>
                <w:szCs w:val="18"/>
                <w:lang w:eastAsia="pl-PL"/>
              </w:rPr>
              <w:br/>
              <w:t xml:space="preserve">Podział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br/>
              <w:t>RWr Zbiornikowe</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Rozdz. 3, 5.1. oraz 8.1.</w:t>
            </w:r>
            <w:r w:rsidRPr="005A77B7">
              <w:rPr>
                <w:rFonts w:ascii="Calibri" w:eastAsia="Times New Roman" w:hAnsi="Calibri" w:cs="Calibri"/>
                <w:color w:val="000000"/>
                <w:sz w:val="18"/>
                <w:szCs w:val="18"/>
                <w:lang w:eastAsia="pl-PL"/>
              </w:rPr>
              <w:br/>
              <w:t xml:space="preserve">Zał. 3.1. oraz 8. </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Zał. mapowe</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 xml:space="preserve">Treść uwagi:W obecnym IIaPGW wyróżniono zbiornikowe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5EC1174C" w14:textId="29D28C3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30A795E7" w14:textId="098EDE58"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wyznaczonych jako limniczne stosuje się klasyfikację jak dla jezior.</w:t>
            </w:r>
            <w:r w:rsidRPr="005A77B7">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282E89D9"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 - </w:t>
            </w:r>
          </w:p>
        </w:tc>
        <w:tc>
          <w:tcPr>
            <w:tcW w:w="1276" w:type="dxa"/>
            <w:shd w:val="clear" w:color="auto" w:fill="auto"/>
            <w:hideMark/>
          </w:tcPr>
          <w:p w14:paraId="1C6B15E3" w14:textId="77777777"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wyjaśnienie</w:t>
            </w:r>
          </w:p>
        </w:tc>
        <w:tc>
          <w:tcPr>
            <w:tcW w:w="3513" w:type="dxa"/>
            <w:shd w:val="clear" w:color="auto" w:fill="auto"/>
            <w:hideMark/>
          </w:tcPr>
          <w:p w14:paraId="533366F4" w14:textId="29D98B9E" w:rsidR="0085319C" w:rsidRPr="005A77B7" w:rsidRDefault="0085319C" w:rsidP="0085319C">
            <w:pPr>
              <w:ind w:firstLine="0"/>
              <w:jc w:val="left"/>
              <w:rPr>
                <w:rFonts w:ascii="Calibri" w:eastAsia="Times New Roman" w:hAnsi="Calibri" w:cs="Calibri"/>
                <w:color w:val="000000"/>
                <w:sz w:val="18"/>
                <w:szCs w:val="18"/>
                <w:lang w:eastAsia="pl-PL"/>
              </w:rPr>
            </w:pPr>
            <w:r w:rsidRPr="005A77B7">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w:t>
            </w:r>
            <w:r w:rsidRPr="005A77B7">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CW.</w:t>
            </w:r>
            <w:r w:rsidRPr="005A77B7">
              <w:rPr>
                <w:rFonts w:ascii="Calibri" w:eastAsia="Times New Roman" w:hAnsi="Calibri" w:cs="Calibri"/>
                <w:color w:val="000000"/>
                <w:sz w:val="18"/>
                <w:szCs w:val="18"/>
                <w:lang w:eastAsia="pl-PL"/>
              </w:rPr>
              <w:br/>
              <w:t xml:space="preserve">W zał. </w:t>
            </w:r>
            <w:r w:rsidR="005A77B7" w:rsidRPr="005A77B7">
              <w:rPr>
                <w:rFonts w:ascii="Calibri" w:eastAsia="Times New Roman" w:hAnsi="Calibri" w:cs="Calibri"/>
                <w:color w:val="000000"/>
                <w:sz w:val="18"/>
                <w:szCs w:val="18"/>
                <w:lang w:eastAsia="pl-PL"/>
              </w:rPr>
              <w:t>Wartości graniczne SCW i SZCW</w:t>
            </w:r>
            <w:r w:rsidRPr="005A77B7">
              <w:rPr>
                <w:rFonts w:ascii="Calibri" w:eastAsia="Times New Roman" w:hAnsi="Calibri" w:cs="Calibri"/>
                <w:color w:val="000000"/>
                <w:sz w:val="18"/>
                <w:szCs w:val="18"/>
                <w:lang w:eastAsia="pl-PL"/>
              </w:rPr>
              <w:t xml:space="preserve">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5A77B7">
              <w:rPr>
                <w:rFonts w:ascii="Calibri" w:eastAsia="Times New Roman" w:hAnsi="Calibri" w:cs="Calibri"/>
                <w:color w:val="000000"/>
                <w:sz w:val="18"/>
                <w:szCs w:val="18"/>
                <w:lang w:eastAsia="pl-PL"/>
              </w:rPr>
              <w:br/>
            </w:r>
            <w:r w:rsidRPr="005A77B7">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5A77B7">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2FEC5B2A" w14:textId="77777777" w:rsidTr="005A77B7">
        <w:trPr>
          <w:trHeight w:val="454"/>
        </w:trPr>
        <w:tc>
          <w:tcPr>
            <w:tcW w:w="562" w:type="dxa"/>
            <w:shd w:val="clear" w:color="auto" w:fill="auto"/>
            <w:hideMark/>
          </w:tcPr>
          <w:p w14:paraId="300DA8A7"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345</w:t>
            </w:r>
          </w:p>
        </w:tc>
        <w:tc>
          <w:tcPr>
            <w:tcW w:w="1021" w:type="dxa"/>
            <w:shd w:val="clear" w:color="auto" w:fill="auto"/>
          </w:tcPr>
          <w:p w14:paraId="2914A25A" w14:textId="05FB4E8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3C263474" w14:textId="5DA0BF0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20B727A0" w14:textId="0D98FD7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w:t>
            </w:r>
            <w:r w:rsidRPr="00CD6FBC">
              <w:rPr>
                <w:rFonts w:ascii="Calibri" w:eastAsia="Times New Roman" w:hAnsi="Calibri" w:cs="Calibri"/>
                <w:color w:val="000000"/>
                <w:sz w:val="18"/>
                <w:szCs w:val="18"/>
                <w:lang w:eastAsia="pl-PL"/>
              </w:rPr>
              <w:br w:type="page"/>
              <w:t>Rozdz. 3.1.SZCW</w:t>
            </w:r>
            <w:r w:rsidRPr="00CD6FBC">
              <w:rPr>
                <w:rFonts w:ascii="Calibri" w:eastAsia="Times New Roman" w:hAnsi="Calibri" w:cs="Calibri"/>
                <w:color w:val="000000"/>
                <w:sz w:val="18"/>
                <w:szCs w:val="18"/>
                <w:lang w:eastAsia="pl-PL"/>
              </w:rPr>
              <w:br w:type="page"/>
              <w:t>Treść uwagi:</w:t>
            </w:r>
            <w:r w:rsidRPr="00CD6FBC">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2D77E4AA" w14:textId="490AC80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p>
        </w:tc>
        <w:tc>
          <w:tcPr>
            <w:tcW w:w="3401" w:type="dxa"/>
            <w:shd w:val="clear" w:color="auto" w:fill="auto"/>
            <w:hideMark/>
          </w:tcPr>
          <w:p w14:paraId="6B8C28CB"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r w:rsidRPr="00CD6FBC">
              <w:rPr>
                <w:rFonts w:ascii="Calibri" w:eastAsia="Times New Roman" w:hAnsi="Calibri" w:cs="Calibri"/>
                <w:color w:val="000000"/>
                <w:sz w:val="18"/>
                <w:szCs w:val="18"/>
                <w:lang w:eastAsia="pl-PL"/>
              </w:rPr>
              <w:br w:type="page"/>
            </w:r>
          </w:p>
        </w:tc>
        <w:tc>
          <w:tcPr>
            <w:tcW w:w="1918" w:type="dxa"/>
            <w:shd w:val="clear" w:color="auto" w:fill="auto"/>
            <w:hideMark/>
          </w:tcPr>
          <w:p w14:paraId="7B05E82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2CA93768"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72BF4CA5" w14:textId="6123C4A2" w:rsidR="0085319C" w:rsidRPr="005A77B7"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5A77B7" w:rsidRPr="00CD6FBC">
              <w:rPr>
                <w:rFonts w:ascii="Calibri" w:eastAsia="Times New Roman" w:hAnsi="Calibri" w:cs="Calibri"/>
                <w:color w:val="000000"/>
                <w:sz w:val="18"/>
                <w:szCs w:val="18"/>
                <w:lang w:eastAsia="pl-PL"/>
              </w:rPr>
              <w:t>Wartości graniczne SCW i SZCW</w:t>
            </w:r>
            <w:r w:rsidRPr="00CD6FBC">
              <w:rPr>
                <w:rFonts w:ascii="Calibri" w:eastAsia="Times New Roman" w:hAnsi="Calibri" w:cs="Calibri"/>
                <w:color w:val="000000"/>
                <w:sz w:val="18"/>
                <w:szCs w:val="18"/>
                <w:lang w:eastAsia="pl-PL"/>
              </w:rPr>
              <w:t xml:space="preserve">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7D77A35F" w14:textId="77777777" w:rsidTr="00E92AE6">
        <w:trPr>
          <w:trHeight w:val="454"/>
        </w:trPr>
        <w:tc>
          <w:tcPr>
            <w:tcW w:w="562" w:type="dxa"/>
            <w:shd w:val="clear" w:color="auto" w:fill="auto"/>
            <w:hideMark/>
          </w:tcPr>
          <w:p w14:paraId="197232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346</w:t>
            </w:r>
          </w:p>
        </w:tc>
        <w:tc>
          <w:tcPr>
            <w:tcW w:w="1021" w:type="dxa"/>
          </w:tcPr>
          <w:p w14:paraId="35F65872" w14:textId="1500B75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F1CA3B0" w14:textId="4E4BFB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8C08408" w14:textId="4B1B5A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3.1.SZCW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3C9612BB" w14:textId="2189B78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64595205" w14:textId="7C32266B" w:rsidR="0085319C" w:rsidRPr="005E78BB" w:rsidRDefault="0085319C" w:rsidP="0085319C">
            <w:pPr>
              <w:ind w:firstLine="0"/>
              <w:jc w:val="left"/>
              <w:rPr>
                <w:rFonts w:ascii="Calibri" w:eastAsia="Times New Roman" w:hAnsi="Calibri" w:cs="Calibri"/>
                <w:color w:val="000000"/>
                <w:sz w:val="18"/>
                <w:szCs w:val="18"/>
                <w:lang w:eastAsia="pl-PL"/>
              </w:rPr>
            </w:pP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51AC6B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EA8A7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41AC32" w14:textId="46F772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25F2E023" w14:textId="77777777" w:rsidTr="00E92AE6">
        <w:trPr>
          <w:trHeight w:val="454"/>
        </w:trPr>
        <w:tc>
          <w:tcPr>
            <w:tcW w:w="562" w:type="dxa"/>
            <w:shd w:val="clear" w:color="auto" w:fill="auto"/>
            <w:hideMark/>
          </w:tcPr>
          <w:p w14:paraId="71C36FF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347</w:t>
            </w:r>
          </w:p>
        </w:tc>
        <w:tc>
          <w:tcPr>
            <w:tcW w:w="1021" w:type="dxa"/>
          </w:tcPr>
          <w:p w14:paraId="48A8DEC1" w14:textId="57852DD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383B3F8" w14:textId="455D115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E9C15DE" w14:textId="3A78B0E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3.1. SZCW</w:t>
            </w:r>
            <w:r w:rsidRPr="005E78BB">
              <w:rPr>
                <w:rFonts w:ascii="Calibri" w:eastAsia="Times New Roman" w:hAnsi="Calibri" w:cs="Calibri"/>
                <w:color w:val="000000"/>
                <w:sz w:val="18"/>
                <w:szCs w:val="18"/>
                <w:lang w:eastAsia="pl-PL"/>
              </w:rPr>
              <w:br/>
              <w:t>Wyznaczenie SZCW niezgodnie z metodyką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44FFF1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p>
        </w:tc>
        <w:tc>
          <w:tcPr>
            <w:tcW w:w="3401" w:type="dxa"/>
            <w:shd w:val="clear" w:color="auto" w:fill="auto"/>
            <w:hideMark/>
          </w:tcPr>
          <w:p w14:paraId="29E4F991" w14:textId="7F4A1E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5046E7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B3A38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9DC09C" w14:textId="69FF60A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5853AE54" w14:textId="77777777" w:rsidTr="00E92AE6">
        <w:trPr>
          <w:trHeight w:val="454"/>
        </w:trPr>
        <w:tc>
          <w:tcPr>
            <w:tcW w:w="562" w:type="dxa"/>
            <w:shd w:val="clear" w:color="auto" w:fill="auto"/>
            <w:hideMark/>
          </w:tcPr>
          <w:p w14:paraId="718D72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348</w:t>
            </w:r>
          </w:p>
        </w:tc>
        <w:tc>
          <w:tcPr>
            <w:tcW w:w="1021" w:type="dxa"/>
          </w:tcPr>
          <w:p w14:paraId="08B62EB1" w14:textId="2B3D3AC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7CAD30DB" w14:textId="5DE86FC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B3846A2" w14:textId="6A17AA1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Rozdz. 5</w:t>
            </w:r>
            <w:r w:rsidRPr="005E78BB">
              <w:rPr>
                <w:rFonts w:ascii="Calibri" w:eastAsia="Times New Roman" w:hAnsi="Calibri" w:cs="Calibri"/>
                <w:color w:val="000000"/>
                <w:sz w:val="18"/>
                <w:szCs w:val="18"/>
                <w:lang w:eastAsia="pl-PL"/>
              </w:rPr>
              <w:br w:type="page"/>
              <w:t>Monitoring</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58FA7F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1CEB08E0" w14:textId="087535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FC03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C6E22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83D0773" w14:textId="6230493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15A25EB8" w14:textId="77777777" w:rsidTr="00E92AE6">
        <w:trPr>
          <w:trHeight w:val="454"/>
        </w:trPr>
        <w:tc>
          <w:tcPr>
            <w:tcW w:w="562" w:type="dxa"/>
            <w:shd w:val="clear" w:color="auto" w:fill="auto"/>
            <w:hideMark/>
          </w:tcPr>
          <w:p w14:paraId="1D53A78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349</w:t>
            </w:r>
          </w:p>
        </w:tc>
        <w:tc>
          <w:tcPr>
            <w:tcW w:w="1021" w:type="dxa"/>
          </w:tcPr>
          <w:p w14:paraId="76DD1490" w14:textId="670570D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679EF792" w14:textId="3B6623E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88C969F" w14:textId="78DF20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5</w:t>
            </w:r>
            <w:r w:rsidRPr="005E78BB">
              <w:rPr>
                <w:rFonts w:ascii="Calibri" w:eastAsia="Times New Roman" w:hAnsi="Calibri" w:cs="Calibri"/>
                <w:color w:val="000000"/>
                <w:sz w:val="18"/>
                <w:szCs w:val="18"/>
                <w:lang w:eastAsia="pl-PL"/>
              </w:rPr>
              <w:br/>
              <w:t>Monitoring</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247B31E6" w14:textId="5EE729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2535F9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22BB39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9DB6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474886B" w14:textId="34D4B1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obszary odpowiedzialności GIOŚ, IIaPGW nie jest dokumentem ustalającym sieć monitoringu.</w:t>
            </w:r>
          </w:p>
        </w:tc>
      </w:tr>
      <w:tr w:rsidR="0085319C" w:rsidRPr="005E78BB" w14:paraId="1CD15D5C" w14:textId="77777777" w:rsidTr="00E92AE6">
        <w:trPr>
          <w:trHeight w:val="454"/>
        </w:trPr>
        <w:tc>
          <w:tcPr>
            <w:tcW w:w="562" w:type="dxa"/>
            <w:shd w:val="clear" w:color="auto" w:fill="auto"/>
            <w:hideMark/>
          </w:tcPr>
          <w:p w14:paraId="1118774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350</w:t>
            </w:r>
          </w:p>
        </w:tc>
        <w:tc>
          <w:tcPr>
            <w:tcW w:w="1021" w:type="dxa"/>
          </w:tcPr>
          <w:p w14:paraId="0CA2B880" w14:textId="56C69B9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950874C" w14:textId="6202A8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16326E1" w14:textId="561EC62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Streszczenie niespecjalistyczne; IIaPGW Rozdział 7, 8,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Presja, Cele środowiskowe,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p>
        </w:tc>
        <w:tc>
          <w:tcPr>
            <w:tcW w:w="3377" w:type="dxa"/>
            <w:shd w:val="clear" w:color="auto" w:fill="auto"/>
            <w:hideMark/>
          </w:tcPr>
          <w:p w14:paraId="13D76F64" w14:textId="4850564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4AD907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02F423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EFD4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DAF6564" w14:textId="503EA48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14A70B82" w14:textId="77777777" w:rsidTr="00E92AE6">
        <w:trPr>
          <w:trHeight w:val="454"/>
        </w:trPr>
        <w:tc>
          <w:tcPr>
            <w:tcW w:w="562" w:type="dxa"/>
            <w:shd w:val="clear" w:color="auto" w:fill="auto"/>
            <w:hideMark/>
          </w:tcPr>
          <w:p w14:paraId="26F7567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351</w:t>
            </w:r>
          </w:p>
        </w:tc>
        <w:tc>
          <w:tcPr>
            <w:tcW w:w="1021" w:type="dxa"/>
          </w:tcPr>
          <w:p w14:paraId="090F033E" w14:textId="1C4B74C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53F8A64C" w14:textId="6311C86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51086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 xml:space="preserve">Rozdz. 9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Postęp i wdrożenie działań 2016-2021</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65F395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p>
        </w:tc>
        <w:tc>
          <w:tcPr>
            <w:tcW w:w="3401" w:type="dxa"/>
            <w:shd w:val="clear" w:color="auto" w:fill="auto"/>
            <w:hideMark/>
          </w:tcPr>
          <w:p w14:paraId="4CC529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42C43E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94DA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7CB134" w14:textId="3B7324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2D988BA6" w14:textId="77777777" w:rsidTr="00E92AE6">
        <w:trPr>
          <w:trHeight w:val="454"/>
        </w:trPr>
        <w:tc>
          <w:tcPr>
            <w:tcW w:w="562" w:type="dxa"/>
            <w:shd w:val="clear" w:color="auto" w:fill="auto"/>
            <w:hideMark/>
          </w:tcPr>
          <w:p w14:paraId="6771381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352</w:t>
            </w:r>
          </w:p>
        </w:tc>
        <w:tc>
          <w:tcPr>
            <w:tcW w:w="1021" w:type="dxa"/>
          </w:tcPr>
          <w:p w14:paraId="25C9C6A5" w14:textId="15CCB5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9F6D202" w14:textId="2CFB91F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CE34C4D" w14:textId="420C47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10</w:t>
            </w:r>
            <w:r w:rsidRPr="005E78BB">
              <w:rPr>
                <w:rFonts w:ascii="Calibri" w:eastAsia="Times New Roman" w:hAnsi="Calibri" w:cs="Calibri"/>
                <w:color w:val="000000"/>
                <w:sz w:val="18"/>
                <w:szCs w:val="18"/>
                <w:lang w:eastAsia="pl-PL"/>
              </w:rPr>
              <w:br/>
              <w:t xml:space="preserve">Działania 2aPGW KPRWP – raport </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3377" w:type="dxa"/>
            <w:shd w:val="clear" w:color="auto" w:fill="auto"/>
            <w:hideMark/>
          </w:tcPr>
          <w:p w14:paraId="26F2FAF1" w14:textId="3FEB221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5291C8A4" w14:textId="20D8E2F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3DCB14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2D65D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64CD2886" w14:textId="5762841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6934321E" w14:textId="77777777" w:rsidTr="00E92AE6">
        <w:trPr>
          <w:trHeight w:val="454"/>
        </w:trPr>
        <w:tc>
          <w:tcPr>
            <w:tcW w:w="562" w:type="dxa"/>
            <w:shd w:val="clear" w:color="auto" w:fill="auto"/>
            <w:hideMark/>
          </w:tcPr>
          <w:p w14:paraId="5032398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353</w:t>
            </w:r>
          </w:p>
        </w:tc>
        <w:tc>
          <w:tcPr>
            <w:tcW w:w="1021" w:type="dxa"/>
          </w:tcPr>
          <w:p w14:paraId="683AC775" w14:textId="6969AD8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646ECD60" w14:textId="678B29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9C9D257" w14:textId="6112D01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8.1. – 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Art. 4.4. i 4.5.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1E970DC1" w14:textId="13EE130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p>
        </w:tc>
        <w:tc>
          <w:tcPr>
            <w:tcW w:w="3401" w:type="dxa"/>
            <w:shd w:val="clear" w:color="auto" w:fill="auto"/>
            <w:hideMark/>
          </w:tcPr>
          <w:p w14:paraId="23F756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62C96D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47FA9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8569B0" w14:textId="0B3AAB7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CB1D7CB" w14:textId="77777777" w:rsidTr="00E92AE6">
        <w:trPr>
          <w:trHeight w:val="454"/>
        </w:trPr>
        <w:tc>
          <w:tcPr>
            <w:tcW w:w="562" w:type="dxa"/>
            <w:shd w:val="clear" w:color="auto" w:fill="auto"/>
            <w:hideMark/>
          </w:tcPr>
          <w:p w14:paraId="1273970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354</w:t>
            </w:r>
          </w:p>
        </w:tc>
        <w:tc>
          <w:tcPr>
            <w:tcW w:w="1021" w:type="dxa"/>
          </w:tcPr>
          <w:p w14:paraId="2C4DB44E" w14:textId="1632465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298D4A4" w14:textId="191F389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C22583F" w14:textId="22BBDCE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Rozdz. 8.1. – 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Art. 4.4. i 4.5.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1CA013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Usunąć z listy odstępstw te, dla których uzasadnienia stoją w sprzeczności z KPRWP i dla których możliwe są działania poprawiające stan fizykochemiczny wód.</w:t>
            </w:r>
          </w:p>
        </w:tc>
        <w:tc>
          <w:tcPr>
            <w:tcW w:w="3401" w:type="dxa"/>
            <w:shd w:val="clear" w:color="auto" w:fill="auto"/>
            <w:hideMark/>
          </w:tcPr>
          <w:p w14:paraId="44059D9F" w14:textId="0664590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267CC6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DA48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00BB880" w14:textId="30B4F1D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5E78BB">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ype="page"/>
              <w:t xml:space="preserve">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5E2149A" w14:textId="77777777" w:rsidTr="00E92AE6">
        <w:trPr>
          <w:trHeight w:val="454"/>
        </w:trPr>
        <w:tc>
          <w:tcPr>
            <w:tcW w:w="562" w:type="dxa"/>
            <w:shd w:val="clear" w:color="auto" w:fill="auto"/>
            <w:hideMark/>
          </w:tcPr>
          <w:p w14:paraId="4DB08A0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355</w:t>
            </w:r>
          </w:p>
        </w:tc>
        <w:tc>
          <w:tcPr>
            <w:tcW w:w="1021" w:type="dxa"/>
          </w:tcPr>
          <w:p w14:paraId="08CAB842" w14:textId="21C169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40A3DE2F" w14:textId="17FD85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98F8E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16,</w:t>
            </w:r>
            <w:r w:rsidRPr="005E78BB">
              <w:rPr>
                <w:rFonts w:ascii="Calibri" w:eastAsia="Times New Roman" w:hAnsi="Calibri" w:cs="Calibri"/>
                <w:color w:val="000000"/>
                <w:sz w:val="18"/>
                <w:szCs w:val="18"/>
                <w:lang w:eastAsia="pl-PL"/>
              </w:rPr>
              <w:br/>
              <w:t xml:space="preserve">Zał. 6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Budowa zbiornika wodnego Wierna Rzeka na rzece Łososinie, na terenie gm. Łopuszno, Piekoszów i Strawczyn – GDOŚ dnia 26 listopada 2020 r. uchylił dśu wydaną przez RDOŚ w Kielcach – decyzja przeoczona przez twórcówprojekty IIaPGW;</w:t>
            </w:r>
            <w:r w:rsidRPr="005E78BB">
              <w:rPr>
                <w:rFonts w:ascii="Calibri" w:eastAsia="Times New Roman" w:hAnsi="Calibri" w:cs="Calibri"/>
                <w:color w:val="000000"/>
                <w:sz w:val="18"/>
                <w:szCs w:val="18"/>
                <w:lang w:eastAsia="pl-PL"/>
              </w:rPr>
              <w:br/>
              <w:t>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4360BE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716E0F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26476C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12EE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A4E38B3" w14:textId="53613E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1131D018" w14:textId="77777777" w:rsidTr="00E92AE6">
        <w:trPr>
          <w:trHeight w:val="454"/>
        </w:trPr>
        <w:tc>
          <w:tcPr>
            <w:tcW w:w="562" w:type="dxa"/>
            <w:shd w:val="clear" w:color="auto" w:fill="auto"/>
            <w:hideMark/>
          </w:tcPr>
          <w:p w14:paraId="6D3D2F3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356</w:t>
            </w:r>
          </w:p>
        </w:tc>
        <w:tc>
          <w:tcPr>
            <w:tcW w:w="1021" w:type="dxa"/>
          </w:tcPr>
          <w:p w14:paraId="2685DDE4" w14:textId="140A49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353EF869" w14:textId="1EA881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BCC95A2" w14:textId="3AC62EF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Katalogi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p>
        </w:tc>
        <w:tc>
          <w:tcPr>
            <w:tcW w:w="3377" w:type="dxa"/>
            <w:shd w:val="clear" w:color="auto" w:fill="auto"/>
            <w:hideMark/>
          </w:tcPr>
          <w:p w14:paraId="0295384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319BC5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3FEBAF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BD69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0859F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0FB96418" w14:textId="77777777" w:rsidTr="00E92AE6">
        <w:trPr>
          <w:trHeight w:val="454"/>
        </w:trPr>
        <w:tc>
          <w:tcPr>
            <w:tcW w:w="562" w:type="dxa"/>
            <w:shd w:val="clear" w:color="auto" w:fill="auto"/>
            <w:hideMark/>
          </w:tcPr>
          <w:p w14:paraId="3F08DD5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357</w:t>
            </w:r>
          </w:p>
        </w:tc>
        <w:tc>
          <w:tcPr>
            <w:tcW w:w="1021" w:type="dxa"/>
          </w:tcPr>
          <w:p w14:paraId="69A6A6DB" w14:textId="69BDEBA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7C88E7F" w14:textId="7BDD25A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40F4B9F" w14:textId="4989789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Działania udrożnienia barier migracyjnych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t xml:space="preserve">lub </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 xml:space="preserve">należy dokonać zmiany na </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„Monitoring skuteczności istniejących urządzeń do migracji ryb.” i/lub </w:t>
            </w:r>
            <w:r w:rsidRPr="005E78BB">
              <w:rPr>
                <w:rFonts w:ascii="Calibri" w:eastAsia="Times New Roman" w:hAnsi="Calibri" w:cs="Calibri"/>
                <w:color w:val="000000"/>
                <w:sz w:val="18"/>
                <w:szCs w:val="18"/>
                <w:lang w:eastAsia="pl-PL"/>
              </w:rPr>
              <w:br w:type="page"/>
              <w:t>„Kontrola funkcjonowania urządzeń do migracji ryb.”</w:t>
            </w:r>
            <w:r w:rsidRPr="005E78BB">
              <w:rPr>
                <w:rFonts w:ascii="Calibri" w:eastAsia="Times New Roman" w:hAnsi="Calibri" w:cs="Calibri"/>
                <w:color w:val="000000"/>
                <w:sz w:val="18"/>
                <w:szCs w:val="18"/>
                <w:lang w:eastAsia="pl-PL"/>
              </w:rPr>
              <w:br w:type="page"/>
              <w:t>należy dodać kolejne działanie (Działanie I lub Działanie II):</w:t>
            </w:r>
            <w:r w:rsidRPr="005E78BB">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59D4D0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543E72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7ACA6B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288CD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153AE6EA" w14:textId="264932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40FAF208" w14:textId="77777777" w:rsidTr="00E92AE6">
        <w:trPr>
          <w:trHeight w:val="454"/>
        </w:trPr>
        <w:tc>
          <w:tcPr>
            <w:tcW w:w="562" w:type="dxa"/>
            <w:shd w:val="clear" w:color="auto" w:fill="auto"/>
            <w:hideMark/>
          </w:tcPr>
          <w:p w14:paraId="5641B25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358</w:t>
            </w:r>
          </w:p>
        </w:tc>
        <w:tc>
          <w:tcPr>
            <w:tcW w:w="1021" w:type="dxa"/>
          </w:tcPr>
          <w:p w14:paraId="1A363BD0" w14:textId="3605552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407E57AC" w14:textId="3DE7578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9F63DA5" w14:textId="626738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Działania -udrożnienia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Zał. 4 do erraty nr 1 Zaktualizowany wykaz budowli dla których zaplanowane zostały działania</w:t>
            </w:r>
            <w:r w:rsidRPr="005E78BB">
              <w:rPr>
                <w:rFonts w:ascii="Calibri" w:eastAsia="Times New Roman" w:hAnsi="Calibri" w:cs="Calibri"/>
                <w:color w:val="000000"/>
                <w:sz w:val="18"/>
                <w:szCs w:val="18"/>
                <w:lang w:eastAsia="pl-PL"/>
              </w:rPr>
              <w:br/>
              <w:t>w projekcie IIaPGW – obszar dorzecza Wisły</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p>
        </w:tc>
        <w:tc>
          <w:tcPr>
            <w:tcW w:w="3377" w:type="dxa"/>
            <w:shd w:val="clear" w:color="auto" w:fill="auto"/>
            <w:hideMark/>
          </w:tcPr>
          <w:p w14:paraId="06A7CCD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p>
        </w:tc>
        <w:tc>
          <w:tcPr>
            <w:tcW w:w="3401" w:type="dxa"/>
            <w:shd w:val="clear" w:color="auto" w:fill="auto"/>
            <w:hideMark/>
          </w:tcPr>
          <w:p w14:paraId="6E693A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55FBF2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D9336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3B0CED0" w14:textId="1C5B330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1194B9DD" w14:textId="77777777" w:rsidTr="00E92AE6">
        <w:trPr>
          <w:trHeight w:val="454"/>
        </w:trPr>
        <w:tc>
          <w:tcPr>
            <w:tcW w:w="562" w:type="dxa"/>
            <w:shd w:val="clear" w:color="auto" w:fill="auto"/>
            <w:hideMark/>
          </w:tcPr>
          <w:p w14:paraId="7623E90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359</w:t>
            </w:r>
          </w:p>
        </w:tc>
        <w:tc>
          <w:tcPr>
            <w:tcW w:w="1021" w:type="dxa"/>
          </w:tcPr>
          <w:p w14:paraId="22CB09D2" w14:textId="059FC46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246799ED" w14:textId="2A9F45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588D01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Działania -udrożnienia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Zał. 4 do erraty nr 1 Zaktualizowany wykaz budowli dla których zaplanowane zostały działania</w:t>
            </w:r>
            <w:r w:rsidRPr="005E78BB">
              <w:rPr>
                <w:rFonts w:ascii="Calibri" w:eastAsia="Times New Roman" w:hAnsi="Calibri" w:cs="Calibri"/>
                <w:color w:val="000000"/>
                <w:sz w:val="18"/>
                <w:szCs w:val="18"/>
                <w:lang w:eastAsia="pl-PL"/>
              </w:rPr>
              <w:br/>
              <w:t>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w:t>
            </w:r>
          </w:p>
        </w:tc>
        <w:tc>
          <w:tcPr>
            <w:tcW w:w="3377" w:type="dxa"/>
            <w:shd w:val="clear" w:color="auto" w:fill="auto"/>
            <w:hideMark/>
          </w:tcPr>
          <w:p w14:paraId="5CA40EFF"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p>
        </w:tc>
        <w:tc>
          <w:tcPr>
            <w:tcW w:w="3401" w:type="dxa"/>
            <w:shd w:val="clear" w:color="auto" w:fill="auto"/>
            <w:hideMark/>
          </w:tcPr>
          <w:p w14:paraId="1CE02428" w14:textId="12FB84A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5DD7CC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ABA02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CED95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586F4046" w14:textId="77777777" w:rsidTr="00E92AE6">
        <w:trPr>
          <w:trHeight w:val="454"/>
        </w:trPr>
        <w:tc>
          <w:tcPr>
            <w:tcW w:w="562" w:type="dxa"/>
            <w:shd w:val="clear" w:color="auto" w:fill="auto"/>
            <w:hideMark/>
          </w:tcPr>
          <w:p w14:paraId="11AB11D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360</w:t>
            </w:r>
          </w:p>
        </w:tc>
        <w:tc>
          <w:tcPr>
            <w:tcW w:w="1021" w:type="dxa"/>
          </w:tcPr>
          <w:p w14:paraId="79810006" w14:textId="5D3F89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144D0ACD" w14:textId="7F6BA75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AA4137E" w14:textId="42AB810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Zmiany prawne i administracyjne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38CAB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36978394" w14:textId="5E837C5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r w:rsidRPr="005E78BB">
              <w:rPr>
                <w:rFonts w:ascii="Calibri" w:eastAsia="Times New Roman" w:hAnsi="Calibri" w:cs="Calibri"/>
                <w:color w:val="000000"/>
                <w:sz w:val="18"/>
                <w:szCs w:val="18"/>
                <w:lang w:eastAsia="pl-PL"/>
              </w:rPr>
              <w:br w:type="page"/>
              <w:t xml:space="preserve">Inne odbudowy/przebudowy też wymagają weryfikacji, bo mogą wykazywać podobne znaczące negatywne oddziaływania.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D9F88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3EB8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34AA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zgodnie z uwagą, powinno stanowić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 Obecnie opracowany PPSS oraz aPZRP zawierają działania planowane których realizacja przyczynić się może do powstania potencjalnych źródeł presji będących uwzględnionymi w kolejnych pracach planistycznych.</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Zestawienie inwestycji kierunkowych stanowi zestawienie informacji o inwestycjach planowanych w obszarze gospodarki wodnej pełniąc rolę wyłącznie materiału dodatkowego, 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2E7C6475" w14:textId="77777777" w:rsidTr="00E92AE6">
        <w:trPr>
          <w:trHeight w:val="454"/>
        </w:trPr>
        <w:tc>
          <w:tcPr>
            <w:tcW w:w="562" w:type="dxa"/>
            <w:shd w:val="clear" w:color="auto" w:fill="auto"/>
            <w:hideMark/>
          </w:tcPr>
          <w:p w14:paraId="3F01B58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361</w:t>
            </w:r>
          </w:p>
        </w:tc>
        <w:tc>
          <w:tcPr>
            <w:tcW w:w="1021" w:type="dxa"/>
          </w:tcPr>
          <w:p w14:paraId="20E02302" w14:textId="699C0EE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375C5EE1" w14:textId="123421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DB0A9DD" w14:textId="2C2186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Konkretne zmiany prawne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2D7172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43342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6D7DFC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54330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D96D529" w14:textId="3597966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ustawy Prawo wodne.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ustawy Prawo wodne,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6E957025" w14:textId="77777777" w:rsidTr="00E92AE6">
        <w:trPr>
          <w:trHeight w:val="454"/>
        </w:trPr>
        <w:tc>
          <w:tcPr>
            <w:tcW w:w="562" w:type="dxa"/>
            <w:shd w:val="clear" w:color="auto" w:fill="auto"/>
            <w:hideMark/>
          </w:tcPr>
          <w:p w14:paraId="752698D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362</w:t>
            </w:r>
          </w:p>
        </w:tc>
        <w:tc>
          <w:tcPr>
            <w:tcW w:w="1021" w:type="dxa"/>
          </w:tcPr>
          <w:p w14:paraId="467D1696" w14:textId="22F3EB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7121B70B" w14:textId="5901A60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5781B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Zmiany w funkcjonowaniu zarządzania wód</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5BC11D4E" w14:textId="3C363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1A8E2B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5B176D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CDAC7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01DB4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54950CC4" w14:textId="77777777" w:rsidTr="00E92AE6">
        <w:trPr>
          <w:trHeight w:val="454"/>
        </w:trPr>
        <w:tc>
          <w:tcPr>
            <w:tcW w:w="562" w:type="dxa"/>
            <w:shd w:val="clear" w:color="auto" w:fill="auto"/>
            <w:hideMark/>
          </w:tcPr>
          <w:p w14:paraId="75FC20D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363</w:t>
            </w:r>
          </w:p>
        </w:tc>
        <w:tc>
          <w:tcPr>
            <w:tcW w:w="1021" w:type="dxa"/>
          </w:tcPr>
          <w:p w14:paraId="4E885352" w14:textId="02A2B50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Związek Stowarzyszeń Polska Zielona Sieć Alliance of Associations Polish</w:t>
            </w:r>
          </w:p>
        </w:tc>
        <w:tc>
          <w:tcPr>
            <w:tcW w:w="1630" w:type="dxa"/>
            <w:shd w:val="clear" w:color="auto" w:fill="auto"/>
            <w:hideMark/>
          </w:tcPr>
          <w:p w14:paraId="338DFD84" w14:textId="37DAE31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9436E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Zmiany w ocenie postępu działań – co 2 lata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p>
        </w:tc>
        <w:tc>
          <w:tcPr>
            <w:tcW w:w="3377" w:type="dxa"/>
            <w:shd w:val="clear" w:color="auto" w:fill="auto"/>
            <w:hideMark/>
          </w:tcPr>
          <w:p w14:paraId="5B05EF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3401" w:type="dxa"/>
            <w:shd w:val="clear" w:color="auto" w:fill="auto"/>
            <w:hideMark/>
          </w:tcPr>
          <w:p w14:paraId="0DBDEF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4AA64E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9182D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9790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 Coroczne sprawozdania ze stopnia realizacji działań zawartych w PGW stanowią podstawę do zweryfikowania oceny stopnia spełnienia celów środowiskowych.</w:t>
            </w:r>
          </w:p>
        </w:tc>
      </w:tr>
      <w:tr w:rsidR="0085319C" w:rsidRPr="005E78BB" w14:paraId="6C2F440A" w14:textId="77777777" w:rsidTr="00E92AE6">
        <w:trPr>
          <w:trHeight w:val="454"/>
        </w:trPr>
        <w:tc>
          <w:tcPr>
            <w:tcW w:w="562" w:type="dxa"/>
            <w:shd w:val="clear" w:color="auto" w:fill="auto"/>
            <w:hideMark/>
          </w:tcPr>
          <w:p w14:paraId="75179A9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364</w:t>
            </w:r>
          </w:p>
        </w:tc>
        <w:tc>
          <w:tcPr>
            <w:tcW w:w="1021" w:type="dxa"/>
          </w:tcPr>
          <w:p w14:paraId="6B136549" w14:textId="3706F8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Łomżyński Park Krajobrazowy Doliny Narwi</w:t>
            </w:r>
          </w:p>
        </w:tc>
        <w:tc>
          <w:tcPr>
            <w:tcW w:w="1630" w:type="dxa"/>
            <w:shd w:val="clear" w:color="auto" w:fill="auto"/>
            <w:hideMark/>
          </w:tcPr>
          <w:p w14:paraId="78F14D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C33EB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ype="page"/>
              <w:t>Narew (RW20001226539); Gać (RW20001626349) -  należy dodać działanie RWC_01.07.</w:t>
            </w:r>
          </w:p>
        </w:tc>
        <w:tc>
          <w:tcPr>
            <w:tcW w:w="3377" w:type="dxa"/>
            <w:shd w:val="clear" w:color="auto" w:fill="auto"/>
            <w:hideMark/>
          </w:tcPr>
          <w:p w14:paraId="4EEAAB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BB41B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załączniku 7.3 wskazano cele wynikające z planu ochrony Łomżyńskiego Parku Krajobrazowego Doliny Narwi jednak nie wskazano konkretnych działań mających na celu ich osiągnięcie. Np za działaniami „Zachowanie źródlisk, mokradeł, bagien oraz naturalnych i antropogenicznych oczek wodnych. (Łomżyński Park Krajobrazowy Doliny Narwi)”i „Zachowanie źródlisk, mokradeł, bagien oraz naturalnych i antropogenicznych oczek wodnych. (Łomżyński Park Krajobrazowy Doliny Narwi)” powinny stać inne działania inwestycyjne mające na celu likwidację rowów melioracyjnych lub budowę zastawek. Realizacja działań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w:t>
            </w:r>
          </w:p>
        </w:tc>
        <w:tc>
          <w:tcPr>
            <w:tcW w:w="1918" w:type="dxa"/>
            <w:shd w:val="clear" w:color="auto" w:fill="auto"/>
            <w:hideMark/>
          </w:tcPr>
          <w:p w14:paraId="677CE5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D7E69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58FE41F" w14:textId="59CE410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dokumentacji IIaPGW dokonano implementacji istniejących zapisów planów ochrony oraz planów zadań ochronnych, nie formułowano działań ochronnych dla obszarów, które posiadają obowiązujące obecnie dokumenty planistyczne. W celu określenia szczegółowych zabiegów ochronnych należy dokonać zmiany we wspomnianych aktach prawnych przeprowadzając stosowną procedurę administracyjną. Doszczegółowiono zapis w katalogu krajowym, aby jednoznacznie uwzględniał również potencjalne zmiany istniejących aktów prawnych. Obecne brzmienie zapisu: "Realizacja działań wynikających z planów ochrony i planów zadań ochronnych dla obszarów chronionych, dla których brak ustanowionego planu ochrony/planu zadań ochronnych na dzień sporządzenia IIaPGW, ale zostaną ustanowione w czasie jego obowiązywania bądź obowiązujący plan zadań ochronnych/plan ochrony zostanie zmieniony. Plan ochrony/ plan zadań ochronnych/zadania ochronne w odniesieniu do działań związanych z utrzymaniem lub poprawą stanu wód jest integralną częścią planu gospodarowania wodami na obszarze dorzecza na lata 2022 - 2027."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Proponowane w zestawach działanie RWC_01.07 (Realizacja przedsięwzięć zmierzających do zwiększenia ilości i czasu retencji wód na gruntach rolnych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związane jest z realizacją opracowanych programów retencji (realizacja dzialania RWC_01.06). W przypadku zgłoszonej uwagi, w pierwszej kolejności niezbędne jest odpowiednie zaplanowanie działań w kierunku poprawy warunków retencji, zgodnie z celami sformułowanymi w planach ochronnych. Dlatego brak podstawy do wprowadzenia do zestawu działań zadania inwestycyjnego, dla którego brak dokumentacji określającej cele i zakres działań.</w:t>
            </w:r>
          </w:p>
        </w:tc>
      </w:tr>
      <w:tr w:rsidR="0085319C" w:rsidRPr="005E78BB" w14:paraId="265BA928" w14:textId="77777777" w:rsidTr="00E92AE6">
        <w:trPr>
          <w:trHeight w:val="454"/>
        </w:trPr>
        <w:tc>
          <w:tcPr>
            <w:tcW w:w="562" w:type="dxa"/>
            <w:shd w:val="clear" w:color="auto" w:fill="auto"/>
            <w:hideMark/>
          </w:tcPr>
          <w:p w14:paraId="6C5218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365</w:t>
            </w:r>
          </w:p>
        </w:tc>
        <w:tc>
          <w:tcPr>
            <w:tcW w:w="1021" w:type="dxa"/>
          </w:tcPr>
          <w:p w14:paraId="3D2C8010" w14:textId="2183999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PKP Polskie Linie Kolejowe S.A. </w:t>
            </w:r>
          </w:p>
        </w:tc>
        <w:tc>
          <w:tcPr>
            <w:tcW w:w="1630" w:type="dxa"/>
            <w:shd w:val="clear" w:color="auto" w:fill="auto"/>
            <w:hideMark/>
          </w:tcPr>
          <w:p w14:paraId="0B8C124D" w14:textId="79D111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7A6CD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Rozdziałów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Wnosi się o wprowadzenie zmian w aPGW dla pozostałych obszarów dorzeczy w adekwatny sposób. </w:t>
            </w:r>
            <w:r w:rsidRPr="005E78BB">
              <w:rPr>
                <w:rFonts w:ascii="Calibri" w:eastAsia="Times New Roman" w:hAnsi="Calibri" w:cs="Calibri"/>
                <w:color w:val="000000"/>
                <w:sz w:val="18"/>
                <w:szCs w:val="18"/>
                <w:lang w:eastAsia="pl-PL"/>
              </w:rPr>
              <w:br/>
              <w:t>"Wykaz wielkości emisji i stężeń substancji priorytetowych określonych w przepisach wydanych na podstawie art.114 ustawy Prawo Wodne oraz innych substancji powodujących zanieczyszczenie, dla których zostały określone środowiskowe normy jakości."</w:t>
            </w:r>
            <w:r w:rsidRPr="005E78BB">
              <w:rPr>
                <w:rFonts w:ascii="Calibri" w:eastAsia="Times New Roman" w:hAnsi="Calibri" w:cs="Calibri"/>
                <w:color w:val="000000"/>
                <w:sz w:val="18"/>
                <w:szCs w:val="18"/>
                <w:lang w:eastAsia="pl-PL"/>
              </w:rPr>
              <w:br/>
              <w:t>"Podsumowanie identyfikacji znaczących oddziaływań antropogenicznych i oceny ich wpływu na stan pod powierzchniowych i podziemnych."</w:t>
            </w:r>
            <w:r w:rsidRPr="005E78BB">
              <w:rPr>
                <w:rFonts w:ascii="Calibri" w:eastAsia="Times New Roman" w:hAnsi="Calibri" w:cs="Calibri"/>
                <w:color w:val="000000"/>
                <w:sz w:val="18"/>
                <w:szCs w:val="18"/>
                <w:lang w:eastAsia="pl-PL"/>
              </w:rPr>
              <w:br/>
              <w:t>Kluczowe aspekty zostały zawarte w treści załączonego pisma</w:t>
            </w:r>
          </w:p>
        </w:tc>
        <w:tc>
          <w:tcPr>
            <w:tcW w:w="3377" w:type="dxa"/>
            <w:shd w:val="clear" w:color="auto" w:fill="auto"/>
            <w:hideMark/>
          </w:tcPr>
          <w:p w14:paraId="75272D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Kluczowe aspekty zostały zawarte w treści załączonego pisma. </w:t>
            </w:r>
          </w:p>
        </w:tc>
        <w:tc>
          <w:tcPr>
            <w:tcW w:w="3401" w:type="dxa"/>
            <w:shd w:val="clear" w:color="auto" w:fill="auto"/>
            <w:hideMark/>
          </w:tcPr>
          <w:p w14:paraId="7B1B8E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Kluczowe aspekty zostały zawarte w treści załączonego pisma. </w:t>
            </w:r>
          </w:p>
        </w:tc>
        <w:tc>
          <w:tcPr>
            <w:tcW w:w="1918" w:type="dxa"/>
            <w:shd w:val="clear" w:color="auto" w:fill="auto"/>
            <w:hideMark/>
          </w:tcPr>
          <w:p w14:paraId="6B2F59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365_PKP_Wisła</w:t>
            </w:r>
          </w:p>
        </w:tc>
        <w:tc>
          <w:tcPr>
            <w:tcW w:w="1276" w:type="dxa"/>
            <w:shd w:val="clear" w:color="auto" w:fill="auto"/>
            <w:hideMark/>
          </w:tcPr>
          <w:p w14:paraId="12864D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54FED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5E78BB">
              <w:rPr>
                <w:rFonts w:ascii="Calibri" w:eastAsia="Times New Roman" w:hAnsi="Calibri" w:cs="Calibri"/>
                <w:color w:val="000000"/>
                <w:sz w:val="18"/>
                <w:szCs w:val="18"/>
                <w:lang w:eastAsia="pl-PL"/>
              </w:rPr>
              <w:br/>
              <w:t>Dokumenty strategiczne wyznaczając ramy dla dalszych działań nie zastępują analiz i procedur wymaganych dla realizacji poszczególnych przedsięwzięć. Celem IIaPGW jest osiągnięcie celów środowiskowych jcw i obszarów chronionych. Elementami niezbędnymi dla prawidłowego określenia potrzeb poszczególnych jcw są analizy uwarunkowań w tym analizy presji, które identyfikują występujące presje wraz z dookreśleniem ich czynników sprawczych, dzięki czemu możliwe jest dobranie skutecznych działań dla ograniczania/eliminacji zidentyfikowanych presji.</w:t>
            </w:r>
            <w:r w:rsidRPr="005E78BB">
              <w:rPr>
                <w:rFonts w:ascii="Calibri" w:eastAsia="Times New Roman" w:hAnsi="Calibri" w:cs="Calibri"/>
                <w:color w:val="000000"/>
                <w:sz w:val="18"/>
                <w:szCs w:val="18"/>
                <w:lang w:eastAsia="pl-PL"/>
              </w:rPr>
              <w:br/>
              <w:t>Brak wskazania jako czynnik presji inwestycji kolejowych nie stanowi potwierdzenia braku potencjalnych negatywnych oddziaływań tego typu przedsięwzięć na cele środowiskowe jcw.</w:t>
            </w:r>
            <w:r w:rsidRPr="005E78BB">
              <w:rPr>
                <w:rFonts w:ascii="Calibri" w:eastAsia="Times New Roman" w:hAnsi="Calibri" w:cs="Calibri"/>
                <w:color w:val="000000"/>
                <w:sz w:val="18"/>
                <w:szCs w:val="18"/>
                <w:lang w:eastAsia="pl-PL"/>
              </w:rPr>
              <w:br/>
              <w:t>Przywołane w uwadze zagadnienia dotyczące przygotowania inwestycji kolejowych stanowią elementy procedur administracyjnych wymaganych dla tego typu przedsięwzięć na etapie przygotowania inwestycji. IIaPGW nie wprowadza dodatkowych ‘zwolnień’ czy też ‘zakazów’ w odniesieniu do specyficznych wymagań projektowych przedsięwzięć kolejowych. Każde przedsięwzięcie przygotowane musi zostać zgodnie z obowiązującymi przepisami w zakresie odpowiednim do swojej specyfiki (warunki realizacji, analizy oddziaływania na środowisko w tym analizy w zakresie oddziaływania na cele środowiskowe jcw i obszary chronione).</w:t>
            </w:r>
            <w:r w:rsidRPr="005E78BB">
              <w:rPr>
                <w:rFonts w:ascii="Calibri" w:eastAsia="Times New Roman" w:hAnsi="Calibri" w:cs="Calibri"/>
                <w:color w:val="000000"/>
                <w:sz w:val="18"/>
                <w:szCs w:val="18"/>
                <w:lang w:eastAsia="pl-PL"/>
              </w:rPr>
              <w:br/>
              <w:t>IIaPGW nie jest dokumentem strategicznym którego ustalenia ukierunkowane są na działania dot. przedsięwzięć kolejowych. IIaPGW dotyczy zagadnień poprawy stanu jcw a tym samym wskazuje działania naprawcze mające na celu zapewnienie osiągnięcia celów środowiskowych.</w:t>
            </w:r>
            <w:r w:rsidRPr="005E78BB">
              <w:rPr>
                <w:rFonts w:ascii="Calibri" w:eastAsia="Times New Roman" w:hAnsi="Calibri" w:cs="Calibri"/>
                <w:color w:val="000000"/>
                <w:sz w:val="18"/>
                <w:szCs w:val="18"/>
                <w:lang w:eastAsia="pl-PL"/>
              </w:rPr>
              <w:br/>
              <w:t>Wnioskowane w uwadze postulaty dotyczące uwzględnienia w IIaPGW konkretnych zapisów w zakresie potwierdzania braku negatywnego wpływu inwestycji kolejowych na cele środowiskowe jcw, czy tez uwzględnienie w zestawach działań naprawczych wyłączeń ich stosowania w odniesieniu do infrastruktury kolejowej nie mogą zostać wprowadzone z uwagi na brak podstaw do włączania tego typu zapisów do IIaPGW. Wskazane w uwadze zapisy znajdować się powinny w dokumentach strategicznych dot. infrastruktury transportowej i kolejowej, które wyznaczają ramy dla tego typu przedsięwzięć. W nich uprawnionym jest wprowadzanie w wyniku przeprowadzonej SOOŚ informacji o braku negatywnych oddziaływań dla określonego typu przedsięwzięć kolejowych. Każde przedsięwzięcie musi spełniać wymogi prawa z zakresie określonym przez przepisy – odpowiednio do swojej specyfiki, w tym ustawę Prawo wodne, Prawo ochrony środowiska, ustawę o ochronie przyrody oraz ustawę o udostępnianiu informacji o środowisku i ocenach oddziaływania na środowisko – o ile dotyczy.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 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p>
        </w:tc>
      </w:tr>
      <w:tr w:rsidR="0085319C" w:rsidRPr="005E78BB" w14:paraId="77AEB479" w14:textId="77777777" w:rsidTr="00E92AE6">
        <w:trPr>
          <w:trHeight w:val="454"/>
        </w:trPr>
        <w:tc>
          <w:tcPr>
            <w:tcW w:w="562" w:type="dxa"/>
            <w:shd w:val="clear" w:color="auto" w:fill="auto"/>
            <w:hideMark/>
          </w:tcPr>
          <w:p w14:paraId="2575267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366</w:t>
            </w:r>
          </w:p>
        </w:tc>
        <w:tc>
          <w:tcPr>
            <w:tcW w:w="1021" w:type="dxa"/>
          </w:tcPr>
          <w:p w14:paraId="15EA564D" w14:textId="50A8A4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Łomżyński Park Krajobrazowy Doliny Narwi</w:t>
            </w:r>
          </w:p>
        </w:tc>
        <w:tc>
          <w:tcPr>
            <w:tcW w:w="1630" w:type="dxa"/>
            <w:shd w:val="clear" w:color="auto" w:fill="auto"/>
            <w:hideMark/>
          </w:tcPr>
          <w:p w14:paraId="21E74C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17EC8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 xml:space="preserve">Gać (RW20001626349) - należy dopisać działanie RWHM_03.01 </w:t>
            </w:r>
          </w:p>
        </w:tc>
        <w:tc>
          <w:tcPr>
            <w:tcW w:w="3377" w:type="dxa"/>
            <w:shd w:val="clear" w:color="auto" w:fill="auto"/>
            <w:hideMark/>
          </w:tcPr>
          <w:p w14:paraId="37DB33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6F4D90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Gać wymaga renaturyzacji, co najmniej odcinka od m. Gać do ujścia do Narwi poprzez odtworzenie meandrów lub  odtworzenie starego przebiegu rzeki, co przyczyni się do wzrostu retencji korytowej oraz poprawi stosunki wodne w olszynie Pniewskiej a przede wszystkim w rezerwacie Wielki Dział – rezerwat ustanowiony do ochrony największych fragmentów łęgów w dolinie Narwi.</w:t>
            </w:r>
          </w:p>
        </w:tc>
        <w:tc>
          <w:tcPr>
            <w:tcW w:w="1918" w:type="dxa"/>
            <w:shd w:val="clear" w:color="auto" w:fill="auto"/>
            <w:hideMark/>
          </w:tcPr>
          <w:p w14:paraId="0DB087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41D4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08DB6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Dodano działanie.</w:t>
            </w:r>
          </w:p>
        </w:tc>
      </w:tr>
      <w:tr w:rsidR="0085319C" w:rsidRPr="005E78BB" w14:paraId="0CD269EE" w14:textId="77777777" w:rsidTr="00E92AE6">
        <w:trPr>
          <w:trHeight w:val="454"/>
        </w:trPr>
        <w:tc>
          <w:tcPr>
            <w:tcW w:w="562" w:type="dxa"/>
            <w:shd w:val="clear" w:color="auto" w:fill="auto"/>
            <w:hideMark/>
          </w:tcPr>
          <w:p w14:paraId="044E902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367</w:t>
            </w:r>
          </w:p>
        </w:tc>
        <w:tc>
          <w:tcPr>
            <w:tcW w:w="1021" w:type="dxa"/>
          </w:tcPr>
          <w:p w14:paraId="6B5089A3" w14:textId="70BE905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Łomżyński Park Krajobrazowy Doliny Narwi</w:t>
            </w:r>
          </w:p>
        </w:tc>
        <w:tc>
          <w:tcPr>
            <w:tcW w:w="1630" w:type="dxa"/>
            <w:shd w:val="clear" w:color="auto" w:fill="auto"/>
            <w:hideMark/>
          </w:tcPr>
          <w:p w14:paraId="60B42B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AF68D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Łojewek (RW200011263299) - W załączniku 7.3 należy dopisać działanie RWHM_02.06.</w:t>
            </w:r>
          </w:p>
        </w:tc>
        <w:tc>
          <w:tcPr>
            <w:tcW w:w="3377" w:type="dxa"/>
            <w:shd w:val="clear" w:color="auto" w:fill="auto"/>
            <w:hideMark/>
          </w:tcPr>
          <w:p w14:paraId="5F9A39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A930785" w14:textId="56B326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 Łojewku znajduje się przegroda o wysokości ok 1m (53.186683, 22.298165), dla której należy co najmniej wykonać ocenę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1918" w:type="dxa"/>
            <w:shd w:val="clear" w:color="auto" w:fill="auto"/>
            <w:hideMark/>
          </w:tcPr>
          <w:p w14:paraId="359446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6CAC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241F53" w14:textId="628713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IIaPGW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w:t>
            </w:r>
          </w:p>
        </w:tc>
      </w:tr>
      <w:tr w:rsidR="0085319C" w:rsidRPr="005E78BB" w14:paraId="64D52F10" w14:textId="77777777" w:rsidTr="00E92AE6">
        <w:trPr>
          <w:trHeight w:val="454"/>
        </w:trPr>
        <w:tc>
          <w:tcPr>
            <w:tcW w:w="562" w:type="dxa"/>
            <w:shd w:val="clear" w:color="auto" w:fill="auto"/>
            <w:hideMark/>
          </w:tcPr>
          <w:p w14:paraId="7F367A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368</w:t>
            </w:r>
          </w:p>
        </w:tc>
        <w:tc>
          <w:tcPr>
            <w:tcW w:w="1021" w:type="dxa"/>
          </w:tcPr>
          <w:p w14:paraId="73F3883C" w14:textId="59B52E6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Łomżyński Park Krajobrazowy Doliny Narwi</w:t>
            </w:r>
          </w:p>
        </w:tc>
        <w:tc>
          <w:tcPr>
            <w:tcW w:w="1630" w:type="dxa"/>
            <w:shd w:val="clear" w:color="auto" w:fill="auto"/>
            <w:hideMark/>
          </w:tcPr>
          <w:p w14:paraId="2A47CD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FACC3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krajowe „Prowadzenie prac utrzymaniowych zgodnie z Katalogiem dobrych praktyk prac utrzymaniowych i robót hydrotechnicznych” należy rozszerzyć o możliwość całkowitego lub częściowego zaprzestania realizacji prac utrzymaniowych.</w:t>
            </w:r>
          </w:p>
        </w:tc>
        <w:tc>
          <w:tcPr>
            <w:tcW w:w="3377" w:type="dxa"/>
            <w:shd w:val="clear" w:color="auto" w:fill="auto"/>
            <w:hideMark/>
          </w:tcPr>
          <w:p w14:paraId="41CB1D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284434F8" w14:textId="6C6EB3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Wiele cieków przepływających przez obszary rolnicze albo leśne (szczególnie te o niewielkich spadkach) nie powinny być poddawane pracom utrzymaniowym, lub prace powinny być ograniczone w znacznym stopniu ponieważ maja małe znaczenie w ochronie rolniczych gruntów przyległych przed podtopieniami, a powodują istotne ryzyko nieosiągnięcia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1918" w:type="dxa"/>
            <w:shd w:val="clear" w:color="auto" w:fill="auto"/>
            <w:hideMark/>
          </w:tcPr>
          <w:p w14:paraId="5BB0D7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4BE9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50EE5D" w14:textId="13D76A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Dziale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t>Odnośnie do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t xml:space="preserve">Działanie krajowe „Prowadzenie prac utrzymaniowych zgodnie z Katalogiem dobrych praktyk prac utrzymaniowych i robót hydrotechnicznych” jest działaniem obligatoryjnym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jego celem jest ograniczenie potencjalnych negatywnych oddziaływań prac utrzymaniowych na stan hydromorfologiczny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siedliska oraz przedmioty ochrony; dodatkowo na poziomie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presje znaczące prac utrzymaniowych powodujące ryzyko dla celów środowiskowych, w tym obszarów chronionych wskazano działanie polegające na rozpoznaniu możliwości wprowadzenia modyfikacji zgodnie z KPRWP związanych z pracami utrzymaniowymi, w przypadku stwierdzenia takiej potrzeby i zasadności wpisanie ich do PZO/PO/ZO, określając jednocześnie sposób ich prowadzenia.</w:t>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29848A43" w14:textId="77777777" w:rsidTr="00E92AE6">
        <w:trPr>
          <w:trHeight w:val="454"/>
        </w:trPr>
        <w:tc>
          <w:tcPr>
            <w:tcW w:w="562" w:type="dxa"/>
            <w:shd w:val="clear" w:color="auto" w:fill="auto"/>
            <w:hideMark/>
          </w:tcPr>
          <w:p w14:paraId="617B6B6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369</w:t>
            </w:r>
          </w:p>
        </w:tc>
        <w:tc>
          <w:tcPr>
            <w:tcW w:w="1021" w:type="dxa"/>
          </w:tcPr>
          <w:p w14:paraId="0461740F" w14:textId="16C11CF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 Oświęcim</w:t>
            </w:r>
          </w:p>
        </w:tc>
        <w:tc>
          <w:tcPr>
            <w:tcW w:w="1630" w:type="dxa"/>
            <w:shd w:val="clear" w:color="auto" w:fill="auto"/>
            <w:hideMark/>
          </w:tcPr>
          <w:p w14:paraId="000B3C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A2CB3C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Katalog działań powinien być rozszerzony o działania zapobiegające negatywnym skutkom odprowadzania do wód zanieczyszczeń termicznych oraz zapobiegające pozostałym problemom związanym z funkcjonowaniem układów chłodzenia bloków energetycznych.</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Rozdział 12 oraz Załącznik nr 7 </w:t>
            </w:r>
          </w:p>
        </w:tc>
        <w:tc>
          <w:tcPr>
            <w:tcW w:w="3377" w:type="dxa"/>
            <w:shd w:val="clear" w:color="auto" w:fill="auto"/>
            <w:hideMark/>
          </w:tcPr>
          <w:p w14:paraId="2FF999CF" w14:textId="512AEFF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Rozszerzenie katalogu działań o:</w:t>
            </w:r>
            <w:r w:rsidRPr="005E78BB">
              <w:rPr>
                <w:rFonts w:ascii="Calibri" w:eastAsia="Times New Roman" w:hAnsi="Calibri" w:cs="Calibri"/>
                <w:color w:val="000000"/>
                <w:sz w:val="18"/>
                <w:szCs w:val="18"/>
                <w:lang w:eastAsia="pl-PL"/>
              </w:rPr>
              <w:br/>
              <w:t xml:space="preserve">1) ciągły (stały) monitoring wód płynących w zakresie wskaźnika: temperatury wody, oraz dodanie tego działania do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w:t>
            </w:r>
            <w:r w:rsidRPr="005E78BB">
              <w:rPr>
                <w:rFonts w:ascii="Calibri" w:eastAsia="Times New Roman" w:hAnsi="Calibri" w:cs="Calibri"/>
                <w:color w:val="000000"/>
                <w:sz w:val="18"/>
                <w:szCs w:val="18"/>
                <w:lang w:eastAsia="pl-PL"/>
              </w:rPr>
              <w:br/>
              <w:t xml:space="preserve">2) ciągły (stały) monitoring temperatury odprowadzanych wód chłodniczych przez podmioty wprowadzające wody chłodnicze do środowiska, oraz ciągły pomiar temperatury wód odbiornika przez te podmioty: w miejscu poboru wód, oraz poniżej zrzutu ścieków termicznych na granicy strefy mieszania, a także dodanie tego działania do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do których odprowadzane są wody chłodnicze;</w:t>
            </w:r>
            <w:r w:rsidRPr="005E78BB">
              <w:rPr>
                <w:rFonts w:ascii="Calibri" w:eastAsia="Times New Roman" w:hAnsi="Calibri" w:cs="Calibri"/>
                <w:color w:val="000000"/>
                <w:sz w:val="18"/>
                <w:szCs w:val="18"/>
                <w:lang w:eastAsia="pl-PL"/>
              </w:rPr>
              <w:br/>
              <w:t>3) działania zapobiegające negatywnemu oddziaływaniu na wody i osiągnięciu celów środowiskowych w zakresie braków właściwych norm dotyczących kwestii:</w:t>
            </w:r>
            <w:r w:rsidRPr="005E78BB">
              <w:rPr>
                <w:rFonts w:ascii="Calibri" w:eastAsia="Times New Roman" w:hAnsi="Calibri" w:cs="Calibri"/>
                <w:color w:val="000000"/>
                <w:sz w:val="18"/>
                <w:szCs w:val="18"/>
                <w:lang w:eastAsia="pl-PL"/>
              </w:rPr>
              <w:br/>
              <w:t xml:space="preserve">a) termicznych zrzutu do środowiska wód chłodniczych, </w:t>
            </w:r>
            <w:r w:rsidRPr="005E78BB">
              <w:rPr>
                <w:rFonts w:ascii="Calibri" w:eastAsia="Times New Roman" w:hAnsi="Calibri" w:cs="Calibri"/>
                <w:color w:val="000000"/>
                <w:sz w:val="18"/>
                <w:szCs w:val="18"/>
                <w:lang w:eastAsia="pl-PL"/>
              </w:rPr>
              <w:br/>
              <w:t>b) bardzo dużych strat w ichtiofaunie wywołanych zasysaniem (wciąganiem) larw ryb (ichtioplanktonu) do systemów chłodzenia bloków energetycznych,</w:t>
            </w:r>
            <w:r w:rsidRPr="005E78BB">
              <w:rPr>
                <w:rFonts w:ascii="Calibri" w:eastAsia="Times New Roman" w:hAnsi="Calibri" w:cs="Calibri"/>
                <w:color w:val="000000"/>
                <w:sz w:val="18"/>
                <w:szCs w:val="18"/>
                <w:lang w:eastAsia="pl-PL"/>
              </w:rPr>
              <w:br/>
              <w:t>c) zanieczyszczenia wód biocydami pochodzącymi z układów chłodzenia bloków energetycznych,</w:t>
            </w:r>
            <w:r w:rsidRPr="005E78BB">
              <w:rPr>
                <w:rFonts w:ascii="Calibri" w:eastAsia="Times New Roman" w:hAnsi="Calibri" w:cs="Calibri"/>
                <w:color w:val="000000"/>
                <w:sz w:val="18"/>
                <w:szCs w:val="18"/>
                <w:lang w:eastAsia="pl-PL"/>
              </w:rPr>
              <w:br/>
              <w:t>d) niewłaściwych kryteriów sposobu klasyfikacji stanu/potencjału ekologicznego wód w zakresie zasolenia wód;</w:t>
            </w:r>
            <w:r w:rsidRPr="005E78BB">
              <w:rPr>
                <w:rFonts w:ascii="Calibri" w:eastAsia="Times New Roman" w:hAnsi="Calibri" w:cs="Calibri"/>
                <w:color w:val="000000"/>
                <w:sz w:val="18"/>
                <w:szCs w:val="18"/>
                <w:lang w:eastAsia="pl-PL"/>
              </w:rPr>
              <w:br/>
              <w:t>4) działania kompensujące luki w systemie opłat za wykorzystanie wód do celów chłodzenia bloków energetycznych, które naruszają zasadę „zanieczyszczający płaci”;</w:t>
            </w:r>
            <w:r w:rsidRPr="005E78BB">
              <w:rPr>
                <w:rFonts w:ascii="Calibri" w:eastAsia="Times New Roman" w:hAnsi="Calibri" w:cs="Calibri"/>
                <w:color w:val="000000"/>
                <w:sz w:val="18"/>
                <w:szCs w:val="18"/>
                <w:lang w:eastAsia="pl-PL"/>
              </w:rPr>
              <w:br/>
              <w:t>5) działania zapobiegające nielimitowanym poborom wody z rzek przez zakłady nieposiadające wyznaczonych przepływów nienaruszalnych.</w:t>
            </w:r>
          </w:p>
        </w:tc>
        <w:tc>
          <w:tcPr>
            <w:tcW w:w="3401" w:type="dxa"/>
            <w:shd w:val="clear" w:color="auto" w:fill="auto"/>
            <w:hideMark/>
          </w:tcPr>
          <w:p w14:paraId="158E6A60" w14:textId="150D6A3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1. </w:t>
            </w:r>
            <w:r w:rsidRPr="005E78BB">
              <w:rPr>
                <w:rFonts w:ascii="Calibri" w:eastAsia="Times New Roman" w:hAnsi="Calibri" w:cs="Calibri"/>
                <w:color w:val="000000"/>
                <w:sz w:val="18"/>
                <w:szCs w:val="18"/>
                <w:lang w:eastAsia="pl-PL"/>
              </w:rPr>
              <w:br/>
              <w:t xml:space="preserve">Temperatura wód powierzchniowych to jeden z podstawowych pa¬rametrów wpływających na możliwość przetrwania organizmów wodnych. Jej regularny pomiar pozwala określić trendy w zmianach klimatycznych, oraz skalę zanieczyszczeń termicznych wód otwartych. Z tych przyczyn aPGW powinna wśród zestawu działań przewidywać automatyczny, ciągły system monitoringu temperatury wód powierzchniowych na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okresie przejściowym pomiary mogłyby być dokonywane jak dotychczas przez obserwa¬torów IMGW na wybranych istniejących posterunkach. Niestety w ostat¬nich latach IMGW znacząco ograniczyło liczbę punktów, w których prowadzi się pomiary temperatury. Dotychczasowy system nie był idealny, gdyż ograniczał się głównie do jednego pomiaru w ciągu dnia, jednak pozwalał na określenie trendów zmian temperatury polskich rzek. Zestaw działań powinien przewidywać budowę sieci monitoringu temperatury wód w oparciu o istniejącą sieć posterunków wodowskazowych IMGW. Dane te powinny być powszechnie dostępne i udostępniane w portalu internetowym IMGW.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2. </w:t>
            </w:r>
            <w:r w:rsidRPr="005E78BB">
              <w:rPr>
                <w:rFonts w:ascii="Calibri" w:eastAsia="Times New Roman" w:hAnsi="Calibri" w:cs="Calibri"/>
                <w:color w:val="000000"/>
                <w:sz w:val="18"/>
                <w:szCs w:val="18"/>
                <w:lang w:eastAsia="pl-PL"/>
              </w:rPr>
              <w:br/>
              <w:t xml:space="preserve">Otwarte systemy chłodzenia bloków energetycznych powodują zanieczyszczenie termiczne wód wskutek odprowadzenia podgrzanych wód chłodniczych. Całkowite wymieszanie wód chłodniczych z wodami rzeki następuje w odległości 8-15 km od miejsca ich zrzutu. Rzeka uzyskuje zbliżoną do naturalnej temperaturę przeciętnie po kilkudziesięciu do kilkuset kilometrach o ile po drodze nie ma kolejnych punktów zrzutu ciepłych wód. Skutkami odprowadzenia ciepłych wód są: </w:t>
            </w:r>
            <w:r w:rsidRPr="005E78BB">
              <w:rPr>
                <w:rFonts w:ascii="Calibri" w:eastAsia="Times New Roman" w:hAnsi="Calibri" w:cs="Calibri"/>
                <w:color w:val="000000"/>
                <w:sz w:val="18"/>
                <w:szCs w:val="18"/>
                <w:lang w:eastAsia="pl-PL"/>
              </w:rPr>
              <w:br/>
              <w:t xml:space="preserve">• Zmniejszenie ilości tlenu w wodzie. </w:t>
            </w:r>
            <w:r w:rsidRPr="005E78BB">
              <w:rPr>
                <w:rFonts w:ascii="Calibri" w:eastAsia="Times New Roman" w:hAnsi="Calibri" w:cs="Calibri"/>
                <w:color w:val="000000"/>
                <w:sz w:val="18"/>
                <w:szCs w:val="18"/>
                <w:lang w:eastAsia="pl-PL"/>
              </w:rPr>
              <w:br/>
              <w:t>• Zwiększenie  prawdopodobieństwa zakwitów glonów i sinic.</w:t>
            </w:r>
            <w:r w:rsidRPr="005E78BB">
              <w:rPr>
                <w:rFonts w:ascii="Calibri" w:eastAsia="Times New Roman" w:hAnsi="Calibri" w:cs="Calibri"/>
                <w:color w:val="000000"/>
                <w:sz w:val="18"/>
                <w:szCs w:val="18"/>
                <w:lang w:eastAsia="pl-PL"/>
              </w:rPr>
              <w:br/>
              <w:t>• W podgrzanych wodach ryby nie przechodzą okresu zimowania, co w rezultacie zmienia ich cykl płciowy i termin rozrodu ze wszystkimi tego dalszymi konsekwencjami.</w:t>
            </w:r>
            <w:r w:rsidRPr="005E78BB">
              <w:rPr>
                <w:rFonts w:ascii="Calibri" w:eastAsia="Times New Roman" w:hAnsi="Calibri" w:cs="Calibri"/>
                <w:color w:val="000000"/>
                <w:sz w:val="18"/>
                <w:szCs w:val="18"/>
                <w:lang w:eastAsia="pl-PL"/>
              </w:rPr>
              <w:br/>
              <w:t>• Podwyższona temperatura sprzyja inwazjom i adaptacji gatunków inwazyjnych, zarówno ryb jak i bezkręgowców, w tym i pasożytów.</w:t>
            </w:r>
            <w:r w:rsidRPr="005E78BB">
              <w:rPr>
                <w:rFonts w:ascii="Calibri" w:eastAsia="Times New Roman" w:hAnsi="Calibri" w:cs="Calibri"/>
                <w:color w:val="000000"/>
                <w:sz w:val="18"/>
                <w:szCs w:val="18"/>
                <w:lang w:eastAsia="pl-PL"/>
              </w:rPr>
              <w:br/>
              <w:t xml:space="preserve">• Badania telemetryczne wykazały, że migrujące  łososie trafiając na pióropusz termiczny na całej szerokości rzeki zawracały i spływały w dół rzeki, często z powrotem do morza.  Pióropusz termiczny należy zatem traktować jako kolejną, obok przegród poprzecznych, barierę migracyjną dla ryb. </w:t>
            </w:r>
            <w:r w:rsidRPr="005E78BB">
              <w:rPr>
                <w:rFonts w:ascii="Calibri" w:eastAsia="Times New Roman" w:hAnsi="Calibri" w:cs="Calibri"/>
                <w:color w:val="000000"/>
                <w:sz w:val="18"/>
                <w:szCs w:val="18"/>
                <w:lang w:eastAsia="pl-PL"/>
              </w:rPr>
              <w:br/>
              <w:t>• Straty energetyczne u gatunków dwuśrodowiskowych, które ostatecznie mogą nie przystąpić do tarła.</w:t>
            </w:r>
            <w:r w:rsidRPr="005E78BB">
              <w:rPr>
                <w:rFonts w:ascii="Calibri" w:eastAsia="Times New Roman" w:hAnsi="Calibri" w:cs="Calibri"/>
                <w:color w:val="000000"/>
                <w:sz w:val="18"/>
                <w:szCs w:val="18"/>
                <w:lang w:eastAsia="pl-PL"/>
              </w:rPr>
              <w:br/>
              <w:t>• Tarło naturalne, które miało miejsce w strefie przybrzeżnej powyżej zrzutu gorących wód jest skazane na niepowodzenie.</w:t>
            </w:r>
            <w:r w:rsidRPr="005E78BB">
              <w:rPr>
                <w:rFonts w:ascii="Calibri" w:eastAsia="Times New Roman" w:hAnsi="Calibri" w:cs="Calibri"/>
                <w:color w:val="000000"/>
                <w:sz w:val="18"/>
                <w:szCs w:val="18"/>
                <w:lang w:eastAsia="pl-PL"/>
              </w:rPr>
              <w:br/>
              <w:t>• Rezultaty zdecydowanej większości prac naukowych dowodzą, że podgrzane fragmenty rzek  charakteryzują się zwiększoną biomasą i liczebnością ryb, przy jednoczesnym drastycznym obniżeniu bioróżnorodności.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powyższym kontekście niezwykle istotne jest zobowiązanie zakładów wprowadzających do środowiska wody chłodnicze do ciągłego (stałego) monitoringu temperatury odprowadzanych wód chłodniczych, oraz ciągłego pomiaru temperatury wód odbiornika przez te podmioty: w miejscu poboru wód, oraz poniżej zrzutu ścieków termicznych na granicy strefy mieszania. Aktualne przepisy nie wymagają prowadzenia takich pomiarów, chyba że dany zakład zostanie do tego zobowiązany w pozwoleniu wodnoprawnym/zintegrowanym. </w:t>
            </w:r>
            <w:r w:rsidRPr="005E78BB">
              <w:rPr>
                <w:rFonts w:ascii="Calibri" w:eastAsia="Times New Roman" w:hAnsi="Calibri" w:cs="Calibri"/>
                <w:color w:val="000000"/>
                <w:sz w:val="18"/>
                <w:szCs w:val="18"/>
                <w:lang w:eastAsia="pl-PL"/>
              </w:rPr>
              <w:br/>
              <w:t xml:space="preserve">Obecna aPGW powinna więc przewidywać działania obligujące zakłady do monitoringu w/w kryteriów termicznych co najmniej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Takie zapisy wymuszą na organach ochrony środowiska wprowadzenie stosownych warunków do pozwoleń zintegrowanych, które to decyzje muszą być zgodne z planami gospodarowania wodami.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3. a)</w:t>
            </w:r>
            <w:r w:rsidRPr="005E78BB">
              <w:rPr>
                <w:rFonts w:ascii="Calibri" w:eastAsia="Times New Roman" w:hAnsi="Calibri" w:cs="Calibri"/>
                <w:color w:val="000000"/>
                <w:sz w:val="18"/>
                <w:szCs w:val="18"/>
                <w:lang w:eastAsia="pl-PL"/>
              </w:rPr>
              <w:br/>
              <w:t>Aktualnie jedynym kryterium odprowadzania wód chłodniczych do wód otwartych jest nieprzekraczanie progu temperatury tych wód: 35 st. C. Kryterium to jest dalece niewystarczające. Aspekt zmian temperatury wód został dawno zauważony przez  Unię Europejską, która wprowadziła dyrektywę Parlamentu Europejskiego i Rady 2006/44/EC w sprawie w sprawie jakości słodkich wód wymagających ochrony lub poprawy w celu zachowania życia ryb. Przepisy te znalazły swoje odzwierciedlenie w jednym z krajowych, już nieobowiązujących rozporządzeń: rozporządzenie Ministra Środowiska z dn. 4.10.2002 r. w sprawie wymagań, jakim powinny odpowiadać wody śródlądowe będące środowiskiem życia ryb w warunkach naturalnych (Dz.U. z 2002 r. nr 176, poz. 1455). Zgodnie z powyższymi przepisami maksymalną dopuszczalną temperaturę wody w odbiorniku na granicy strefy mieszania ustalono na następujących poziomach:</w:t>
            </w:r>
            <w:r w:rsidRPr="005E78BB">
              <w:rPr>
                <w:rFonts w:ascii="Calibri" w:eastAsia="Times New Roman" w:hAnsi="Calibri" w:cs="Calibri"/>
                <w:color w:val="000000"/>
                <w:sz w:val="18"/>
                <w:szCs w:val="18"/>
                <w:lang w:eastAsia="pl-PL"/>
              </w:rPr>
              <w:br/>
              <w:t>- 21,5 stopni C – dla ryb łososiowatych,</w:t>
            </w:r>
            <w:r w:rsidRPr="005E78BB">
              <w:rPr>
                <w:rFonts w:ascii="Calibri" w:eastAsia="Times New Roman" w:hAnsi="Calibri" w:cs="Calibri"/>
                <w:color w:val="000000"/>
                <w:sz w:val="18"/>
                <w:szCs w:val="18"/>
                <w:lang w:eastAsia="pl-PL"/>
              </w:rPr>
              <w:br/>
              <w:t>- 28 stopni C – dla ryb karpiowatych.</w:t>
            </w:r>
            <w:r w:rsidRPr="005E78BB">
              <w:rPr>
                <w:rFonts w:ascii="Calibri" w:eastAsia="Times New Roman" w:hAnsi="Calibri" w:cs="Calibri"/>
                <w:color w:val="000000"/>
                <w:sz w:val="18"/>
                <w:szCs w:val="18"/>
                <w:lang w:eastAsia="pl-PL"/>
              </w:rPr>
              <w:br/>
              <w:t>Równocześnie ustalono dopuszczalne, maksymalne różnice temperatur (między wodą w rzece powyżej i poniżej zanieczyszczenia termicznego), które wyniosły:</w:t>
            </w:r>
            <w:r w:rsidRPr="005E78BB">
              <w:rPr>
                <w:rFonts w:ascii="Calibri" w:eastAsia="Times New Roman" w:hAnsi="Calibri" w:cs="Calibri"/>
                <w:color w:val="000000"/>
                <w:sz w:val="18"/>
                <w:szCs w:val="18"/>
                <w:lang w:eastAsia="pl-PL"/>
              </w:rPr>
              <w:br/>
              <w:t>- 1,5 stopnia C – dla ryb łososiowatych,</w:t>
            </w:r>
            <w:r w:rsidRPr="005E78BB">
              <w:rPr>
                <w:rFonts w:ascii="Calibri" w:eastAsia="Times New Roman" w:hAnsi="Calibri" w:cs="Calibri"/>
                <w:color w:val="000000"/>
                <w:sz w:val="18"/>
                <w:szCs w:val="18"/>
                <w:lang w:eastAsia="pl-PL"/>
              </w:rPr>
              <w:br/>
              <w:t xml:space="preserve">- 3 stopnie C - dla ryb karpiowatych. </w:t>
            </w:r>
            <w:r w:rsidRPr="005E78BB">
              <w:rPr>
                <w:rFonts w:ascii="Calibri" w:eastAsia="Times New Roman" w:hAnsi="Calibri" w:cs="Calibri"/>
                <w:color w:val="000000"/>
                <w:sz w:val="18"/>
                <w:szCs w:val="18"/>
                <w:lang w:eastAsia="pl-PL"/>
              </w:rPr>
              <w:br/>
              <w:t xml:space="preserve">Przyjęto także, że temperatura wód w okresie tarła dla ryb łososiowatych nie może być wyższa niż 10 stopni C. </w:t>
            </w:r>
            <w:r w:rsidRPr="005E78BB">
              <w:rPr>
                <w:rFonts w:ascii="Calibri" w:eastAsia="Times New Roman" w:hAnsi="Calibri" w:cs="Calibri"/>
                <w:color w:val="000000"/>
                <w:sz w:val="18"/>
                <w:szCs w:val="18"/>
                <w:lang w:eastAsia="pl-PL"/>
              </w:rPr>
              <w:br/>
              <w:t xml:space="preserve">Powyższe rozwiązania pozwalały na bezpieczne dla ichtiofauny odprowadzenie ścieków termicznych. W zasadzie brakowało wśród nich jedynie normy ustalającej maksymalną dopuszczal¬ną różnicę pomiędzy temperaturą wody ujmowanej i zrzucanej do odbiornika. Z uwagi na fakt, że przepisy te zostały uchylone aktualnie prawo wodne przewiduje, że można zrzucać wody chłodnicze o temp. do 35 st. C niezależnie od wpływu tego zrzutu na środowisko wodne. Taka sytuacja powoduje, że co jakiś czas dochodzi do masowych śnięć ryb na skutek wystąpienia zjawiska szoku termicznego (np. gdy pobierana jest woda o temp. kilku stopni C, a zrzucana o temp. ok. 35st. C). Obecna aPGW powinna więc przewidywać działania zapobiegające stratom w ichtiofaunie na tych JCPW, na których zlokalizowane są zakłady wprowadzające wody chłodnicze,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wody przed szkodliwym wpływem ścieków termicznych.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3. b) </w:t>
            </w:r>
            <w:r w:rsidRPr="005E78BB">
              <w:rPr>
                <w:rFonts w:ascii="Calibri" w:eastAsia="Times New Roman" w:hAnsi="Calibri" w:cs="Calibri"/>
                <w:color w:val="000000"/>
                <w:sz w:val="18"/>
                <w:szCs w:val="18"/>
                <w:lang w:eastAsia="pl-PL"/>
              </w:rPr>
              <w:br/>
              <w:t xml:space="preserve">Problem zasysania ryb przez elektrownie jest szeroko znany w literaturze zagranicznej. W warunkach polskich próby oszacowania ginących organizmów wodnych (ichtioplanktonu: larwy , narybek 0+) w dwóch elektrowniach z otwartym obiegiem chłodzenia wód (Kozienice bloki 1-10 oraz Ostrołęka B) podjął się zespół kierowany przez prof. Tomasza Mikołajczyka. Z przeprowadzonych badań wynika, że w Kozienicach w latach 2018 – 2019 zginęło blisko 300 mln larw i wczesnych form narybkowych, z kolei w elektrowni Ostrołęka B w roku 2019 – 37 mln. Organizmy wodne są zasysane wraz z pobieraną wodą do systemów chłodzenia, gdzie giną na skutek obrażeń mechanicznych, różnicy ciśnień  i szoku termicznego. Nie dotyczy to tylko wspomnianej grupy organizmów, ale również skorupiaków, mięczaków, etc. Na 34 elektrownie i elektrociepłownie o mocy powyżej 100 MW pozostające w Krajowym Systemie Energetycznym wchodzące w skład systemu 11 z nich posiada otwarty obieg chłodzenia. 7 z nich jest zlokalizowanych w dorzeczu Wisły. </w:t>
            </w:r>
            <w:r w:rsidRPr="005E78BB">
              <w:rPr>
                <w:rFonts w:ascii="Calibri" w:eastAsia="Times New Roman" w:hAnsi="Calibri" w:cs="Calibri"/>
                <w:color w:val="000000"/>
                <w:sz w:val="18"/>
                <w:szCs w:val="18"/>
                <w:lang w:eastAsia="pl-PL"/>
              </w:rPr>
              <w:br/>
              <w:t xml:space="preserve">Prawo nie odnosi się w żaden szczególny sposób do tego problemu. Art. 403 ustawy Prawo wodne przewiduje co prawda teoretyczną możliwość nakładania na właściciela instalacji w pozwoleniach wodnoprawnych obowiązku wykonania urządzeń zapobiegających szkodom lub zmniejszających negatywne skutki wykonywania tego pozwolenia wodnoprawnego, jak też podjęcia działań służących poprawie stanu zasobów ryb lub uczestniczenia w kosztach zarybiania wód powierzchniowych, jeżeli w związku z wykonywaniem pozwolenia wodnoprawnego nastąpi zmniejszenie populacji ryb, jednakże są to rozwiązania czysto teoretyczne, które jak dotąd nie zostały zastosowane przy żadnym pozwoleniu dla elektrowni. Wynika to z faktu, że pobór wody dla elektrowni jest zasadniczo regulowany przez pozwolenie zintegrowane, a nie pozwolenie wodnoprawne. </w:t>
            </w:r>
            <w:r w:rsidRPr="005E78BB">
              <w:rPr>
                <w:rFonts w:ascii="Calibri" w:eastAsia="Times New Roman" w:hAnsi="Calibri" w:cs="Calibri"/>
                <w:color w:val="000000"/>
                <w:sz w:val="18"/>
                <w:szCs w:val="18"/>
                <w:lang w:eastAsia="pl-PL"/>
              </w:rPr>
              <w:br/>
              <w:t xml:space="preserve">Obecna aPGW powinna więc przewidywać działania zapobiegające stratom w ichtiofaunie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ekosystem wodny przed zasysaniem ryb do systemów chłodzących, a tak duże straty w ichtiofaunie wpływają na realizację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3. c) </w:t>
            </w:r>
            <w:r w:rsidRPr="005E78BB">
              <w:rPr>
                <w:rFonts w:ascii="Calibri" w:eastAsia="Times New Roman" w:hAnsi="Calibri" w:cs="Calibri"/>
                <w:color w:val="000000"/>
                <w:sz w:val="18"/>
                <w:szCs w:val="18"/>
                <w:lang w:eastAsia="pl-PL"/>
              </w:rPr>
              <w:br/>
              <w:t>Kolejny pominięty w dokumencie aPGW istotny problem dotyczy stosowanych w instalacjach chłodzenia elektrowni biocydów (substancji biobójczych). Są one używane zarówno w  zamkniętych jak i otwartych obiegach chłodzenia w celu ochrony instalacji przed mikroorganizmami i/lub makroorganizmami. Powszechnie stosowaną substancją jest podchloryn sodu – bardzo toksyczny dla organizmów wodnych. Na 36 przeanalizowanych przez Towarzystwo pozwoleń zintegrowanych wydanych dla instalacji energetycznych w całej Polsce tylko w 9 przypadkach odnotowano fakt, że tego typu substancje są używane. Wśród nich najwięcej biocydów zużywa m. in. nowy blok 11 elektrowni Kozienice (7,5 tony/rok). Brak informacji o ilości i rodzajach oraz częstotliwości (nawet jeśli jest podana ilość) ich stosowania skutkuje brakiem możliwości ich monitoringu, a co za tym idzie możliwości pełnej oceny wpływu na środowisko, a także błędnego uznania przez krajowe prawo wód chłodniczych za wody o niezmienionym składzie chemicznym.</w:t>
            </w:r>
            <w:r w:rsidRPr="005E78BB">
              <w:rPr>
                <w:rFonts w:ascii="Calibri" w:eastAsia="Times New Roman" w:hAnsi="Calibri" w:cs="Calibri"/>
                <w:color w:val="000000"/>
                <w:sz w:val="18"/>
                <w:szCs w:val="18"/>
                <w:lang w:eastAsia="pl-PL"/>
              </w:rPr>
              <w:br/>
              <w:t xml:space="preserve">Zgodnie z art. 188 ust. 3 pkt 4 ustawy z dn. 27.04.2001 r. Prawo ochrony środowiska pozwolenie zintegrowane określa rodzaj i ilość wykorzystywanych w elektrowni surowców tylko wtedy, gdy przemawiają za tym szczególne względy ochrony środowiska. Problemem jest więc okoliczność, że wskazanie czy biocydy są używane nie jest obowiązkowym elementem pozwolenia zintegrowanego, co powinno ulec zmianie w stosunku do istniejących jak i planowanych instalacji Ponadto zgodnie z § 13 rozporządzenia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(Dz.U. z 2019 r. poz. 1311) wody chłodnicze z otwartych układów chłodzenia oraz z zamkniętych obiegów chłodzących mogą być wprowadzane do wód lub do ziemi pod warunkiem, że ich temperatura nie jest wyższa niż 35°C. Przepisy nie biorą więc pod uwagę obecności biocydów w ściekach chłodniczych, co prowadzi w praktyce do zrzutu takich zanieczyszczonych wód chłodniczych do odbiornika bez ich oczyszczenia. </w:t>
            </w:r>
            <w:r w:rsidRPr="005E78BB">
              <w:rPr>
                <w:rFonts w:ascii="Calibri" w:eastAsia="Times New Roman" w:hAnsi="Calibri" w:cs="Calibri"/>
                <w:color w:val="000000"/>
                <w:sz w:val="18"/>
                <w:szCs w:val="18"/>
                <w:lang w:eastAsia="pl-PL"/>
              </w:rPr>
              <w:br/>
              <w:t xml:space="preserve">Obecna aPGW powinna więc przewidywać działania monitorujące i redukujące obecność biocydów na tych JCPW, na których zlokalizowane są zakłady wprowadzające wody chłodnicze,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wody przed szkodliwym wpływem biocydów.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3. d) </w:t>
            </w:r>
            <w:r w:rsidRPr="005E78BB">
              <w:rPr>
                <w:rFonts w:ascii="Calibri" w:eastAsia="Times New Roman" w:hAnsi="Calibri" w:cs="Calibri"/>
                <w:color w:val="000000"/>
                <w:sz w:val="18"/>
                <w:szCs w:val="18"/>
                <w:lang w:eastAsia="pl-PL"/>
              </w:rPr>
              <w:br/>
              <w:t xml:space="preserve">Stan lub potencjał ekologiczny wód klasyfikuje się wg elementów biologicznych, hydromorfologicznych i fizykochemicznych. Wśród tych ostatnich jednym z elementów jakości dla klasyfikacji stanu/potencjału ekologicznego jest zasolenie wód. Aktualnie – do końca 2021 r. na większości typów wód powierzchniowych zasolenie jest klasyfikowane wg stężenia niektórych soli – w szczególności chlorków i siarczanów, a także przewodności elektrolitycznej (§ 19 oraz załącznik nr 21 do rozporządzenia Ministra Gospodarki Morskiej i Żeglugi Śródlądowej z dn. 11.10.2019 r. w sprawie klasyfikacji stanu ekologicznego, potencjału ekologicznego i stanu chemicznego oraz sposobu klasyfikacji stanu jednolitych części wód powierzchniowych, a także środowiskowych norm jakości dla substancji priorytetowych Dz.U. z 2019 r. poz. 2149). Od 2022 r. zasolenie wód będzie badane wyłącznie w oparciu o kryterium przewodności elektrolitycznej, bez badania rzeczywistego stężenia chlorków i siarczanów (§ 8 i załącznik nr 7 do w/w rozporządzenia). Pojawia się wiec problem polegający na tym, że substancje te nie będą już charakteryzowały klasy stanu/potencjału ekologicznego wód. Nie będą też charakteryzować stanu chemicznego wód. Tymczasem silne zasolenie chlorkami i siarczanami ma istotny wpływ na życie biologiczne w cieku, co znalazło odzwierciedlenie w zapisach rozporządzenia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(Dz.U. z 2019 r. poz. 1311). Zgodnie z § 12 tego rozporządzenia ścieki przemysłowe o sumarycznym stężeniu chlorków i siarczanów powyżej 1500 mg/l, oraz wody pochodzące z odwodnienia zakładów górniczych niezależnie od sumy stężeń chlorków i siarczanów, mogą być wprowadzane do (…) śródlądowych wód powierzchniowych płynących - jeżeli sumaryczna zawartość stężeń chlorków i siarczanów w tych wodach, wyliczona przy założeniu pełnego wymieszania, nie przekroczy 1000 mg/l. Tym samym przepisy dostrzegają pierwszorzędne zagrożenie związane z obecnością chlorków i siarczanów w wodach płynących, więc usunięcie tych substancji z elementów jakości wpływających na określenie stanu wód (np. pogorszenie stanu w razie emisji dużego stężenia chlorków lub siarczanów) jest nieuzasadnione i nie powinno mieć miejsca. </w:t>
            </w:r>
            <w:r w:rsidRPr="005E78BB">
              <w:rPr>
                <w:rFonts w:ascii="Calibri" w:eastAsia="Times New Roman" w:hAnsi="Calibri" w:cs="Calibri"/>
                <w:color w:val="000000"/>
                <w:sz w:val="18"/>
                <w:szCs w:val="18"/>
                <w:lang w:eastAsia="pl-PL"/>
              </w:rPr>
              <w:br/>
              <w:t>Ponadto, w związku z faktem, że od 2022 r. jedynym parametrem charakteryzującym zasolenie wód stanie się przewodność elektrolityczna, wystąpią problemy z jej obliczaniem i klasyfikacją wód. Przewodność  wprawdzie jest bardzo łatwa do zmierzenia (za pomocą konduktometru), ale relatywnie trudna do teoretycznego obliczenia (konieczna byłaby znajomość dokładnego składu chemicznego wody, z uwzględnieniem wszystkich możliwych kationów i anionów, w tym takich jak Na+, K+ i HCO3-, które z racji swojej nieszkodliwości na ogół nie są monitorowane przez organy inspekcji ochrony środowiska). W konsekwencji, przykładowo w sytuacji mieszania ścieków przemysłowych (których skład również nie jest zwykle znany w odniesieniu do wszystkich możliwych jonów) z wodą rzeczną nie będzie możliwe określenie z góry, o ile wzrośnie przewodność elektrolityczna danego cieku i czy dla tego wskaźnika jakości wód nie przekroczy odpowiednich wartości granicznych, np. dla klasy II. Uniemożliwi to, w ramach procedury oceny oddziaływania na środowisko lub wydawania pozwolenia zintegrowanego bądź wodnoprawnego, stwierdzenie czy dana inwestycja przemysłowa nie spowoduje pogorszenia stanu ekologicznego lub potencjału ekologicznego, a tym samym stanu jednolitej części wód powierzchniowych pełniącej rolę odbiornika.</w:t>
            </w:r>
            <w:r w:rsidRPr="005E78BB">
              <w:rPr>
                <w:rFonts w:ascii="Calibri" w:eastAsia="Times New Roman" w:hAnsi="Calibri" w:cs="Calibri"/>
                <w:color w:val="000000"/>
                <w:sz w:val="18"/>
                <w:szCs w:val="18"/>
                <w:lang w:eastAsia="pl-PL"/>
              </w:rPr>
              <w:br/>
              <w:t xml:space="preserve">Obecna aPGW powinna więc przewidywać działania monitorujące i redukujące obecność chlorków i siarczanów na wszystkich JCPW. W aPGW brak jakichkolwiek działań, które chroniłyby wody przed szkodliwym wpływem zasolenia wód, co wpływa m. in. na skład i ilość ichtiofauny – elementu biologicznego w ocenie stanu/potencjału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4. </w:t>
            </w:r>
            <w:r w:rsidRPr="005E78BB">
              <w:rPr>
                <w:rFonts w:ascii="Calibri" w:eastAsia="Times New Roman" w:hAnsi="Calibri" w:cs="Calibri"/>
                <w:color w:val="000000"/>
                <w:sz w:val="18"/>
                <w:szCs w:val="18"/>
                <w:lang w:eastAsia="pl-PL"/>
              </w:rPr>
              <w:br/>
              <w:t>Ustawa Prawo wodne przewiduje szereg zwolnień z opłat przy poborze i odprowadzaniu wód chłodniczych przez zakłady korzystające w tym zakresie ze środowiska. Zgodnie z art. 270 ust. 5 opłatę zmienną za pobór wód do celów zapewnienia funkcjonowania systemów chłodzenia elektrowni lub elektrociepłowni ponosi się wyłącznie za różnicę między ilością wód pobranych do tych celów a ilością wód z obiegów chłodzących elektrowni lub elektrociepłowni wprowadzanych do wód lub do ziemi. W przeciwieństwie więc do innych zakładów nie pobiera się opłaty za całość pobranej wody – pomimo, że odprowadzane ścieki zawierają zanieczyszczenie termiczne, są pozbawione życia biologicznego, zaś olbrzymi pobór wody drastycznie obniża poziom wody w korycie rzeki na odcinku derywacji – ale jedynie za różnice pomiędzy wodą pobraną, a odprowadzonym ściekiem. Ponadto odprowadzanie do wód ścieków z obiegów chłodzących elektrowni lub elektrociepłowni jest zwolnione z:</w:t>
            </w:r>
            <w:r w:rsidRPr="005E78BB">
              <w:rPr>
                <w:rFonts w:ascii="Calibri" w:eastAsia="Times New Roman" w:hAnsi="Calibri" w:cs="Calibri"/>
                <w:color w:val="000000"/>
                <w:sz w:val="18"/>
                <w:szCs w:val="18"/>
                <w:lang w:eastAsia="pl-PL"/>
              </w:rPr>
              <w:br/>
              <w:t>a) opłaty stałej (art. 270 ust. 12 Prawa wodnego),</w:t>
            </w:r>
            <w:r w:rsidRPr="005E78BB">
              <w:rPr>
                <w:rFonts w:ascii="Calibri" w:eastAsia="Times New Roman" w:hAnsi="Calibri" w:cs="Calibri"/>
                <w:color w:val="000000"/>
                <w:sz w:val="18"/>
                <w:szCs w:val="18"/>
                <w:lang w:eastAsia="pl-PL"/>
              </w:rPr>
              <w:br/>
              <w:t>b) opłaty zmiennej jeżeli ich temperatura nie przekracza +26°C albo różnica między temperaturą wód pobranych i wprowadzanych do wód lub do ziemi pochodzących z obiegów chłodzących elektrowni lub elektrociepłowni jest mniejsza niż 11°C (art. 279 pkt 2 Prawa wodnego).</w:t>
            </w:r>
            <w:r w:rsidRPr="005E78BB">
              <w:rPr>
                <w:rFonts w:ascii="Calibri" w:eastAsia="Times New Roman" w:hAnsi="Calibri" w:cs="Calibri"/>
                <w:color w:val="000000"/>
                <w:sz w:val="18"/>
                <w:szCs w:val="18"/>
                <w:lang w:eastAsia="pl-PL"/>
              </w:rPr>
              <w:br/>
              <w:t xml:space="preserve">Zwolnienia powyższe, w kontekście opisanej wyżej szkodliwości ścieków termicznych, są nieuzasadnione i nie odzwierciedlają zasady „zanieczyszczający płaci”. W szczególności sytuacja, w której elektrownia nie płaci za ścieki termiczne z uwagi na wskazane wyżej progi temperatury (przykładowo zrzut wody o temp. 35 st. C, gdy woda pobrana ma 24,1 st. C powoduje zwolnienie z opłaty za zrzut ścieków chłodniczych) jest nieakceptowalna. Jak to zostało wyżej wyjaśnione takie zrzuty mogą doprowadzić do przegrzania wód w odbiorniku ze skutkiem dla życia biologicznego w rzece. </w:t>
            </w:r>
            <w:r w:rsidRPr="005E78BB">
              <w:rPr>
                <w:rFonts w:ascii="Calibri" w:eastAsia="Times New Roman" w:hAnsi="Calibri" w:cs="Calibri"/>
                <w:color w:val="000000"/>
                <w:sz w:val="18"/>
                <w:szCs w:val="18"/>
                <w:lang w:eastAsia="pl-PL"/>
              </w:rPr>
              <w:br/>
              <w:t xml:space="preserve">Obecna aPGW powinna więc przewidywać działania kompensujące wpływ ścieków termicznych na zasoby ichtiofauny na tych JCPW, na których zlokalizowane są zakłady stosujące otwarte systemy chłodzenia bloków energetycznych, a w szczególności: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PLRW20001225999 Wisła od Wieprza do Narwi (Elektrownia Kozienice)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PLRW20002121799 Wisła od Dunajca do Wisłoki (Elektrownia Połaniec). W aPGW brak jakichkolwiek działań, które chroniłyby ekosystem wodny przed szkodliwym wpływem zrzutu wód termicznych do rzek.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5.</w:t>
            </w:r>
            <w:r w:rsidRPr="005E78BB">
              <w:rPr>
                <w:rFonts w:ascii="Calibri" w:eastAsia="Times New Roman" w:hAnsi="Calibri" w:cs="Calibri"/>
                <w:color w:val="000000"/>
                <w:sz w:val="18"/>
                <w:szCs w:val="18"/>
                <w:lang w:eastAsia="pl-PL"/>
              </w:rPr>
              <w:br/>
              <w:t>Kwestia zachowania przepływów nienaruszalnych dotyczy poborów wód na wszystkich instalacjach, choć w przypadku poboru wód chłodniczych nabiera szczególnego znaczenia z uwagi na wielkość tego poboru. Rekordzistami w tym zakresie w Polsce są:</w:t>
            </w:r>
            <w:r w:rsidRPr="005E78BB">
              <w:rPr>
                <w:rFonts w:ascii="Calibri" w:eastAsia="Times New Roman" w:hAnsi="Calibri" w:cs="Calibri"/>
                <w:color w:val="000000"/>
                <w:sz w:val="18"/>
                <w:szCs w:val="18"/>
                <w:lang w:eastAsia="pl-PL"/>
              </w:rPr>
              <w:br/>
              <w:t>Ø Elektrownia Kozienice bloki 1-10 z dopuszczalnym poborem w ilości 100 m3/s,</w:t>
            </w:r>
            <w:r w:rsidRPr="005E78BB">
              <w:rPr>
                <w:rFonts w:ascii="Calibri" w:eastAsia="Times New Roman" w:hAnsi="Calibri" w:cs="Calibri"/>
                <w:color w:val="000000"/>
                <w:sz w:val="18"/>
                <w:szCs w:val="18"/>
                <w:lang w:eastAsia="pl-PL"/>
              </w:rPr>
              <w:br/>
              <w:t>Ø Elektrownia Połaniec - pobór 66 m3/s,</w:t>
            </w:r>
            <w:r w:rsidRPr="005E78BB">
              <w:rPr>
                <w:rFonts w:ascii="Calibri" w:eastAsia="Times New Roman" w:hAnsi="Calibri" w:cs="Calibri"/>
                <w:color w:val="000000"/>
                <w:sz w:val="18"/>
                <w:szCs w:val="18"/>
                <w:lang w:eastAsia="pl-PL"/>
              </w:rPr>
              <w:br/>
              <w:t>Pierwsza z nich w latach 2018 do 2019 pobrała z Wisły 3 mld m sześciennych wody.</w:t>
            </w:r>
            <w:r w:rsidRPr="005E78BB">
              <w:rPr>
                <w:rFonts w:ascii="Calibri" w:eastAsia="Times New Roman" w:hAnsi="Calibri" w:cs="Calibri"/>
                <w:color w:val="000000"/>
                <w:sz w:val="18"/>
                <w:szCs w:val="18"/>
                <w:lang w:eastAsia="pl-PL"/>
              </w:rPr>
              <w:br/>
              <w:t xml:space="preserve">Niezachowanie przepływu nienaruszalnego stwarza poważne zagrożenie dla ekosystemu wodnego rzeki poniżej ujęcia wody w wyniku niezapewnienia biologicznego minimum wody dla przetrwania zdrowej i silnej populacji organizmów wodnych, a tym samym zagraża realizacji celów środowiskowych dla wód. Aktualnie przepisy Prawa wodnego (art. 403 ust. 2 pkt 11) nakładają obowiązek ustalenia w pozwoleniu wodnoprawnym/zintegrowanym wielkości przepływu nienaruszalnego, ograniczeń wynikających z konieczności jego zachowania oraz sposobu odczytywania jego wartości w miejscu korzystania z wód. Jednakże starsze pozwolenia często nie zawierają takich warunków poboru wody. Jest to szczególnie niebezpieczne przy pozwoleniach zintegrowanych dla istniejących elektrowni, które pobierają znaczne ilości wody. Sytuacja taka utrzymuje się przez wiele lat pomimo dokonywanych przez właściwe organy analiz pozwoleń zintegrowanych na podst. art. 216 Prawa ochrony środowiska, co wskazuje, że przepis ten nie spełnia do końca swojej roli. </w:t>
            </w:r>
            <w:r w:rsidRPr="005E78BB">
              <w:rPr>
                <w:rFonts w:ascii="Calibri" w:eastAsia="Times New Roman" w:hAnsi="Calibri" w:cs="Calibri"/>
                <w:color w:val="000000"/>
                <w:sz w:val="18"/>
                <w:szCs w:val="18"/>
                <w:lang w:eastAsia="pl-PL"/>
              </w:rPr>
              <w:br/>
              <w:t xml:space="preserve">Ponadto osobnym problemem jest nagminne nieprzestrzeganie przepływów nienaruszalnych przez zakłady pobierające wodę, które mają w pozwoleniach określoną jego wielkość. Zjawisko to jest powszechne, a skutki w postaci śladowych przepływów poniżej miejsca ujęcia są dramatyczne dla ekosystemów wodnych. </w:t>
            </w:r>
            <w:r w:rsidRPr="005E78BB">
              <w:rPr>
                <w:rFonts w:ascii="Calibri" w:eastAsia="Times New Roman" w:hAnsi="Calibri" w:cs="Calibri"/>
                <w:color w:val="000000"/>
                <w:sz w:val="18"/>
                <w:szCs w:val="18"/>
                <w:lang w:eastAsia="pl-PL"/>
              </w:rPr>
              <w:br/>
              <w:t>Obecna aPGW powinna więc przewidywać działania monitorujące zachowanie przepływów nienaruszalnych i zapobiegające skutkom naruszeń w tej materii na wszystkich JCPW. W aPGW brak jakichkolwiek działań, które chroniłyby wody przed szkodliwym wpływem niezachowywania przepływów nienaruszalnych.</w:t>
            </w:r>
          </w:p>
        </w:tc>
        <w:tc>
          <w:tcPr>
            <w:tcW w:w="1918" w:type="dxa"/>
            <w:shd w:val="clear" w:color="auto" w:fill="auto"/>
            <w:hideMark/>
          </w:tcPr>
          <w:p w14:paraId="1393A5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253AE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F66E5A3" w14:textId="757B5C2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Zestawy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wskazują działań ukierunkowanych bezpośrednio na zanieczyszczenie termiczne, gdyż zgodnie z obowiązującymi przepisami temperatura nie jest elementem oceny stanu wód.</w:t>
            </w:r>
            <w:r w:rsidRPr="005E78BB">
              <w:rPr>
                <w:rFonts w:ascii="Calibri" w:eastAsia="Times New Roman" w:hAnsi="Calibri" w:cs="Calibri"/>
                <w:color w:val="000000"/>
                <w:sz w:val="18"/>
                <w:szCs w:val="18"/>
                <w:lang w:eastAsia="pl-PL"/>
              </w:rPr>
              <w:br/>
              <w:t xml:space="preserve">Zgodnie z przyjętą metodyką działania w zestawach działań przypisywane są do zidentyfikowanych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które powodują przekroczenie wskaźników oceny stanu wód, czyli status złego stanu wód.</w:t>
            </w:r>
            <w:r w:rsidRPr="005E78BB">
              <w:rPr>
                <w:rFonts w:ascii="Calibri" w:eastAsia="Times New Roman" w:hAnsi="Calibri" w:cs="Calibri"/>
                <w:color w:val="000000"/>
                <w:sz w:val="18"/>
                <w:szCs w:val="18"/>
                <w:lang w:eastAsia="pl-PL"/>
              </w:rPr>
              <w:br/>
              <w:t xml:space="preserve">Zgodnie z opracowaniem IMGW-PIB i IOŚ-PIB pt. Aktualizacja metod oceny stanu ekologicznego wód powierzchniowych na podstawie elementów fizykochemicznych, Zadanie 2.2., Opracowanie nowych wartości granicznych dla wskaźników fizykochemicznych elementów oceny jakości wód powierzchniowych "temperatura i odczyn powinny być kontrolowane, ale bez wpływu na klasyfikację stanu rzek". Szersze wyjaśnienie można znaleźć w opracowaniu Wskaźniki fizykochemiczne w ocenie stanu ekologicznego wód powierzchniowych – weryfikacja standardów środowiskowych będącego podstawą do wyznaczenia wskaźników monitoringowych dobrego stanu wód obowiązujących od 2022 r. Monitoring temperatury będzie realizowany we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jednak nie będzie uwzględniany w ocenie stanu/potencjału: "monitoring temperatury wody należy kontynuować w całej Polsce, przy czym należałoby rozważyć odstąpienie od klasyfikacji tego parametru przy ocenie stanu rzek. Parametr ten może mieć wprawdzie istotne znaczenie dla niektórych elementów biologicznych, np. ryb, jednak powiązania takie wymagają dalszych analiz.".</w:t>
            </w:r>
            <w:r w:rsidRPr="005E78BB">
              <w:rPr>
                <w:rFonts w:ascii="Calibri" w:eastAsia="Times New Roman" w:hAnsi="Calibri" w:cs="Calibri"/>
                <w:color w:val="000000"/>
                <w:sz w:val="18"/>
                <w:szCs w:val="18"/>
                <w:lang w:eastAsia="pl-PL"/>
              </w:rPr>
              <w:br/>
              <w:t xml:space="preserve">IIaPGW dotyczy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które wyznaczane są w oparciu o wyniki monitoringu w punkcie pomiarowo-kontrolnym (ppk) zamykającym daną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Kwestie dodatkowego monitoringu powyżej/poniżej zrzutu regulują odrębne przepisy prawne.</w:t>
            </w:r>
          </w:p>
        </w:tc>
      </w:tr>
      <w:tr w:rsidR="0085319C" w:rsidRPr="005E78BB" w14:paraId="2EC4BBD3" w14:textId="77777777" w:rsidTr="00E92AE6">
        <w:trPr>
          <w:trHeight w:val="454"/>
        </w:trPr>
        <w:tc>
          <w:tcPr>
            <w:tcW w:w="562" w:type="dxa"/>
            <w:shd w:val="clear" w:color="auto" w:fill="auto"/>
            <w:hideMark/>
          </w:tcPr>
          <w:p w14:paraId="5CB9037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370</w:t>
            </w:r>
          </w:p>
        </w:tc>
        <w:tc>
          <w:tcPr>
            <w:tcW w:w="1021" w:type="dxa"/>
          </w:tcPr>
          <w:p w14:paraId="14428FD6" w14:textId="09815F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Dolina Wolbórki</w:t>
            </w:r>
          </w:p>
        </w:tc>
        <w:tc>
          <w:tcPr>
            <w:tcW w:w="1630" w:type="dxa"/>
            <w:shd w:val="clear" w:color="auto" w:fill="auto"/>
            <w:hideMark/>
          </w:tcPr>
          <w:p w14:paraId="3D1578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BCD03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Część projektu planu, do któregozgłaszana jest uwaga (numer rozdziału, strona dokumentu) ZESTAWIENIE KIERUNKOWYCH INWESTYCJI W GOSPODARCE WODNEJ LUB ZWIĄZANYCH Z WODAMI</w:t>
            </w:r>
          </w:p>
        </w:tc>
        <w:tc>
          <w:tcPr>
            <w:tcW w:w="3377" w:type="dxa"/>
            <w:shd w:val="clear" w:color="auto" w:fill="auto"/>
            <w:hideMark/>
          </w:tcPr>
          <w:p w14:paraId="030092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48130D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Wnosimy o usunięcie z ZESTAWIENIA KIERUNKOWYCH INWESTYCJI W GOSPODARCE WODNEJ LUB ZWIĄZANYCH Z WODAMI pozycji 1284 dotyczącej Budowa zbiornika na rzece Moszczanka, w km 8+400. Obiekt został wpisany w PSP, natomiast nie był ujęty w aPZRP, więc zapis w kolumnie nr 2 tabeli jest błędny. Ta rozbieżność w dokumentach aPGW może wynikać z tego, że nikt nie wie do końca do czego zbiornik ma służyć, a przewodnim celem jest to, żeby za wszelką cenę powstał. Realizacja budowy zbiornika rekreacyjnego na Moszczance w km 8+400 jest elementem obietnic wyborczych kolejnych kandydatów na włodarzy Wolborza od kilku kadencji. Powstał Plan zagospodarowania przestrzennego w obszarze planowanej inwestycji i zostało opracowane studium retencjonowania wody i studium wykonalności. Zbiornik w swoim założeniu jest multifunkcyjny -</w:t>
            </w:r>
            <w:r w:rsidRPr="005E78BB">
              <w:rPr>
                <w:rFonts w:ascii="Calibri" w:eastAsia="Times New Roman" w:hAnsi="Calibri" w:cs="Calibri"/>
                <w:color w:val="000000"/>
                <w:sz w:val="18"/>
                <w:szCs w:val="18"/>
                <w:lang w:eastAsia="pl-PL"/>
              </w:rPr>
              <w:br/>
              <w:t>przeciwpowodziowy, retencyjny (przeciwsuszowy), przeciwpożarowy, rekreacyjny, sedymentacyjny i oczyszczający wody melioracyjne. Szczegółowo zapoznaliśmy się z dokumentacją planowanego zbiornika zaporowego na rzece Moszczance. Poziom merytoryczny opracowania sprawia, że trudno jednoznacznie stwierdzić z jakiego rodzaju obiektem mamy do czynienia, jakie są jego parametry i faktyczna funkcja. Można sobie jedynie wyobrazić jaki zamysł kierował inicjatorem pomysłu budowy takiego obiektu. Opracowanie jest niespójne</w:t>
            </w:r>
            <w:r w:rsidRPr="005E78BB">
              <w:rPr>
                <w:rFonts w:ascii="Calibri" w:eastAsia="Times New Roman" w:hAnsi="Calibri" w:cs="Calibri"/>
                <w:color w:val="000000"/>
                <w:sz w:val="18"/>
                <w:szCs w:val="18"/>
                <w:lang w:eastAsia="pl-PL"/>
              </w:rPr>
              <w:br/>
              <w:t>na wielu poziomach, oparte na błędnych założeniach, a rozwiązania techniczne są albo niemożliwe do realizacji albo źle dobrane. Szereg błędów na podstawowym poziomie sprawia, że trudno jest przypisać temu dokumentowi rangę koncepcji czy studium. Mimo tego dokument został pozytywnie zaopiniowany na etapie strategicznej oceny oddziaływania na środowisko i został ujęty w Programie Przeciwdziałania Suszy. Jesteśmy pewni, że nikt nie przeczytał tego opracowania ze zrozumieniem. Dziwi nas fakt, że tego rodzaju obiekty są planowane do realizacji bez żadnej fachowej weryfikacji. Dokument nie przedstawia żadnego argumentu merytorycznego za realizacją inwestycji, poza tym, że opisane projektowe funkcje zbiornika zgodne są z dokumentami strategicznymi tj. istniejącymi planami i programami. Obiekt nie będzie pełnił żadnej z wymienionych w opracowaniu funkcji: retencyjnej, przeciwpowodziowej, przeciwpożarowej a w szczególności nie będzie pełnił roli obiektu rekreacyjnego. Będzie to zbiornik nieużyteczny z punktu widzenia wędkarstwa, niedostępny do kąpieli i rekreacji, i niebezpieczny z punktu widzenia powodziowego. Wykonanie w osi rurociągu gazu wysokiego ciśnienia (w strefie ochronnej gazociągu) przechodzącego przez środek zbiornika progu stałego - przelewu o stałym piętrzeniu NNP i długości 167 m w postaci wału z kamienia zastabilizowanego betonem, jak to zostało zaplanowane w dokumentacji, jest rozwiązaniem z pogranicza science fiction.</w:t>
            </w:r>
            <w:r w:rsidRPr="005E78BB">
              <w:rPr>
                <w:rFonts w:ascii="Calibri" w:eastAsia="Times New Roman" w:hAnsi="Calibri" w:cs="Calibri"/>
                <w:color w:val="000000"/>
                <w:sz w:val="18"/>
                <w:szCs w:val="18"/>
                <w:lang w:eastAsia="pl-PL"/>
              </w:rPr>
              <w:br/>
              <w:t>Wycena przedstawiona w studium wykonalności jest niekompletna, nawet jeśli chodzi o podstawowe składniki kosztotwórcze, a poza tym jest kilkukrotnie zaniżona. Wycena w 2016 roku opiewała na 12 milionów złotych. Uważamy, że na dzień dzisiejszy będzie to kwota kilkukrotnie wyższa, po pierwsze ze względu na znaczny wzrost cen robót i materiałów budowlanych od 2016 roku i choćby ze względu na nie ujęcie np. tak podstawowego kosztu jak uszczelnienie dna zbiornika, na co wskazuje projekt, natomiast nie uwzględnia wycena. Samo wykonanie uszczelniania dna szacujemy na kwotę 3 - 4 mln zł. Ze względu na wysoki poziom wód gruntowych, konieczne będzie dociążenie uszczelnienia, co pochłonie podobną kwotę. Zważyć należy, że ujęto natomiast obsadzenie dna zbiornika dla wzmocnienia naturalnych procesów sedymentacji roślinami specjalistycznymi kostrzewą</w:t>
            </w:r>
            <w:r w:rsidRPr="005E78BB">
              <w:rPr>
                <w:rFonts w:ascii="Calibri" w:eastAsia="Times New Roman" w:hAnsi="Calibri" w:cs="Calibri"/>
                <w:color w:val="000000"/>
                <w:sz w:val="18"/>
                <w:szCs w:val="18"/>
                <w:lang w:eastAsia="pl-PL"/>
              </w:rPr>
              <w:br/>
              <w:t>łąkową (!) i tatarakiem za kwotę prawie 1 mln złotych (!) co stanowi prawie 7% wartości całej inwestycji. Jest to jeszcze o tyle dziwne, że rzeka samoistnie mocno zarasta makrofitami, na skutek przenawożenia wody. Dokument w przyjętej przez Gminę formie nie powinien być podstawą dla dalszych rozważań na temat jego powstania, a tym bardziej powinien stanowić mocną podstawę do tego, żeby nie ujmować go w żadnych dokumentach strategicznych dotyczących gospodarowania wodami. Niezależnie od rażących błędów projektowych obiekt o takich gabarytach na rzece o takich niskich przepływach będzie po pierwsze stanowił zagrożenie dla utrzymania przepływu biologicznego w okresach niżówek i będzie</w:t>
            </w:r>
            <w:r w:rsidRPr="005E78BB">
              <w:rPr>
                <w:rFonts w:ascii="Calibri" w:eastAsia="Times New Roman" w:hAnsi="Calibri" w:cs="Calibri"/>
                <w:color w:val="000000"/>
                <w:sz w:val="18"/>
                <w:szCs w:val="18"/>
                <w:lang w:eastAsia="pl-PL"/>
              </w:rPr>
              <w:br/>
              <w:t>stanowił poważne zagrożenie dla m.in. dla ryb, które dostaną się do zbiornika. Dla przyjętej konstrukcji zbiornika planowanie przepławki dla ryb jest co najmniej zaskakujące, Przepławka powodowałaby eliminowanie populacji ryb, głównie płoci i szczupaka, które dostałyby się do zbiornika. Pozostałe gatunki ryb występujące w Moszczance, ze względu na przyjęty typ przepławki i jej parametry nie są w stanie jej pokonać. Na terenie zbiornika</w:t>
            </w:r>
            <w:r w:rsidRPr="005E78BB">
              <w:rPr>
                <w:rFonts w:ascii="Calibri" w:eastAsia="Times New Roman" w:hAnsi="Calibri" w:cs="Calibri"/>
                <w:color w:val="000000"/>
                <w:sz w:val="18"/>
                <w:szCs w:val="18"/>
                <w:lang w:eastAsia="pl-PL"/>
              </w:rPr>
              <w:br/>
              <w:t>będą występowały regularne przyduchy, podobnie jak to corocznie ma miejsce na zbiorniku w górnej części rzeki w Moszczenicy, gdzie aby zapobiegać temu zjawisku konieczna jest coroczna interwencja w postaci usuwania roślinności z całego lustra wody. W okresie letnim na zbiorniku będą występowały intensywne zakwity glonów nitkowatych. Duże kożuchy glonów nitkowatych można obserwować corocznie na rzece.</w:t>
            </w:r>
            <w:r w:rsidRPr="005E78BB">
              <w:rPr>
                <w:rFonts w:ascii="Calibri" w:eastAsia="Times New Roman" w:hAnsi="Calibri" w:cs="Calibri"/>
                <w:color w:val="000000"/>
                <w:sz w:val="18"/>
                <w:szCs w:val="18"/>
                <w:lang w:eastAsia="pl-PL"/>
              </w:rPr>
              <w:br/>
              <w:t>Budowa obiektu nie rozwiązuje żadnego problemu w zlewni a będzie jedynie generować kolejnych kilka problemów w tym niepotrzebne koszty. Cele przypisane do projektowanego zbiornika można osiągnąć poprzez inne, dużo skuteczniejsze, o wiele mniej kosztowne rozwiązania. Kwestię ochrony przed wezbraniami dla miasta (Wolbórz nie leży w strefie zagrożenia powodziowego) można rozwiązać przez odpowiednie sterowanie zastawkami na rowach i jazami na rzece w czasie wezbrań. Przebudowy na cele przeciwpowodziowe i przeciwsuszowe wymaga również system melioracyjny zlewni Moszczanki, który szacujemy odpowiada za ok. 30 - 50 % wód wezbraniowych. Możliwe jest również zaprojektowanie polderów na Moszczance od Białkowic do Moszczenicy. Budowa zbiornika przeciwpowodziowego jest tym bardziej zdumiewająca, że 10 lat wcześniej dokonano regulacji Moszczanki w jej górnym odcinku, który zniszczył naturalną retencję i przyspieszył spływ wód. Zbiornik będzie również stanowił zagrożenie powodziowe w okresach wczesnowiosennych ze względu na zjawisko zatorów lodowych. Poziom Max PP na zbiorniku zostanie osiągnięty po kilku godzinach wezbrania, stąd nasuwa się pytanie o skuteczność tego rozwiązania w kontekście przeciwdziałania wezbraniom. Niska pojemność "powodziowa" naszym zdaniem stanowi duże zagrożenie dla bezpieczeństwa budowli, jeśli nie jest prowadzony stały nadzór na zbiorniku, a ze względu na wielkość obiektu, taki nie będzie prowadzony. Należałoby w pierwszej kolejności zadbać o odtworzenie naturalnej retencji na niepotrzebnie wyregulowanym odcinku Moszczanki w okolicy Gościmowic. Niezrozumiałe jest dla nas przypisywanie zbiornikowi funkcji przeciwpożarowych, gdyż większość miejscowości jest zwodociągowana i posiada ochronę przeciwpożarową. Ewentualne zabezpieczenie wody w okresach suszy oraz na cele przeciwpożarowe można zrealizować poprzez budowę punktu czerpalnego przy rzece, co stanowić będzie ok. 0,2% kosztu budowy zbiornika retencyjnego.</w:t>
            </w:r>
            <w:r w:rsidRPr="005E78BB">
              <w:rPr>
                <w:rFonts w:ascii="Calibri" w:eastAsia="Times New Roman" w:hAnsi="Calibri" w:cs="Calibri"/>
                <w:color w:val="000000"/>
                <w:sz w:val="18"/>
                <w:szCs w:val="18"/>
                <w:lang w:eastAsia="pl-PL"/>
              </w:rPr>
              <w:br/>
              <w:t>Retencjonowanie wody w ilości jaka została zaprojektowana w szczelnym zbiorniku nie będzie miała żadnego znaczenia dla lokalnego rolnictwa, tym bardziej ,że zgodnie z zapisami projektu zbiornik ma posiadać uszczelnione dno, co nie przyczyni się do zasilania wód podziemnych. Będziemy mieli do czynienia tylko z intensywnym parowaniem, co w połączeniu z niskimi przepływami na rzece doprowadzi do katastrofy ekologicznej. W latach</w:t>
            </w:r>
            <w:r w:rsidRPr="005E78BB">
              <w:rPr>
                <w:rFonts w:ascii="Calibri" w:eastAsia="Times New Roman" w:hAnsi="Calibri" w:cs="Calibri"/>
                <w:color w:val="000000"/>
                <w:sz w:val="18"/>
                <w:szCs w:val="18"/>
                <w:lang w:eastAsia="pl-PL"/>
              </w:rPr>
              <w:br/>
              <w:t>suchych na rzece występowały okresy, gdzie przepływ był niższy niż nienaruszalny. W związku z tym, że zbiornik ma pełnić również funkcję rekreacyjną (w chwili obecnej trwają prace nad zmianą planu zagospodarowania dla dostosowania terenów przyległych do celów rekreacyjnych) należy się spodziewać, że w okresach letnich będzie presja na zachowanie funkcji rekreacyjnej kosztem zachowania przepływu w rzece. W zlewni Wolbórki mieliśmy już doświadczenia ze wstrzymaniem przepływu na rzece poniżej zbiornika retencyjnego dla zachowania rybostanu w okresie suszy. Na planowanym zbiorniku spodziewamy się podobnych sytuacji. Uważamy, że za 1/4 kosztu budowy zbiornika można wybudować nowoczesny, niskoenergetyczny basen. Zbiornik nie będzie miał również funkcji oczyszczania czy też polepszania parametrów wody, a wręcz przeciwnie będzie się przyczyniał do poważnego zachwiania termiki w rzece poniżej zbiornika.</w:t>
            </w:r>
            <w:r w:rsidRPr="005E78BB">
              <w:rPr>
                <w:rFonts w:ascii="Calibri" w:eastAsia="Times New Roman" w:hAnsi="Calibri" w:cs="Calibri"/>
                <w:color w:val="000000"/>
                <w:sz w:val="18"/>
                <w:szCs w:val="18"/>
                <w:lang w:eastAsia="pl-PL"/>
              </w:rPr>
              <w:br/>
              <w:t>Na życzenie udostępnimy opracowaną przez nas szczegółową opinię techniczno-przyrodniczą dokumentów będących podstawą dla planowanego zbiornika.</w:t>
            </w:r>
          </w:p>
        </w:tc>
        <w:tc>
          <w:tcPr>
            <w:tcW w:w="1918" w:type="dxa"/>
            <w:shd w:val="clear" w:color="auto" w:fill="auto"/>
            <w:hideMark/>
          </w:tcPr>
          <w:p w14:paraId="1DE7DD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31810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4AEF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4DFDB177" w14:textId="77777777" w:rsidTr="00E92AE6">
        <w:trPr>
          <w:trHeight w:val="454"/>
        </w:trPr>
        <w:tc>
          <w:tcPr>
            <w:tcW w:w="562" w:type="dxa"/>
            <w:shd w:val="clear" w:color="auto" w:fill="auto"/>
            <w:hideMark/>
          </w:tcPr>
          <w:p w14:paraId="4C666AA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371</w:t>
            </w:r>
          </w:p>
        </w:tc>
        <w:tc>
          <w:tcPr>
            <w:tcW w:w="1021" w:type="dxa"/>
          </w:tcPr>
          <w:p w14:paraId="5E23DA3A" w14:textId="432E83E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Jan Strękowski</w:t>
            </w:r>
          </w:p>
        </w:tc>
        <w:tc>
          <w:tcPr>
            <w:tcW w:w="1630" w:type="dxa"/>
            <w:shd w:val="clear" w:color="auto" w:fill="auto"/>
            <w:hideMark/>
          </w:tcPr>
          <w:p w14:paraId="313334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466D9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Chcę skorzystać z okazji i zgłosić uwagi do projektów IIaPGW, dotyczące rzeczki (Kanał Jeziorki, dawniej Zgorzała), położonej w miejscowości, w której mieszkam.</w:t>
            </w:r>
            <w:r w:rsidRPr="005E78BB">
              <w:rPr>
                <w:rFonts w:ascii="Calibri" w:eastAsia="Times New Roman" w:hAnsi="Calibri" w:cs="Calibri"/>
                <w:color w:val="000000"/>
                <w:sz w:val="18"/>
                <w:szCs w:val="18"/>
                <w:lang w:eastAsia="pl-PL"/>
              </w:rPr>
              <w:br w:type="page"/>
              <w:t xml:space="preserve">Rzeczka położona jest w obszarze dorzecza Wisły w jej środkowym biegu. Nosi nazwę Kanał Jeziorki, ale jest to nazwa myląca, bo jest to naturalny ciek wodny, mający swój początek w leżącym na terenie warszawskiej dzielnicy Ursynów jeziorze Zgorzała. I taką też kiedyś nosiła nazwę. Rzeczka w końcowej części została uregulowana w l.70 wieku XX i wpada do przepływającej przez uzdrowisko Konstancin - Jeziorna rzeki Jeziorki, która jest poprzez Wilanówkę dopływem Wisły. Rzeczka przepływa przez kilka miejscowości: Warszawę - Ursynów, Józefosław i  Piaseczno, a następnie na dość długim odcinku przez Konstancin - Jeziornę, jedyne uzdrowisko położone na Mazowszu. </w:t>
            </w:r>
            <w:r w:rsidRPr="005E78BB">
              <w:rPr>
                <w:rFonts w:ascii="Calibri" w:eastAsia="Times New Roman" w:hAnsi="Calibri" w:cs="Calibri"/>
                <w:color w:val="000000"/>
                <w:sz w:val="18"/>
                <w:szCs w:val="18"/>
                <w:lang w:eastAsia="pl-PL"/>
              </w:rPr>
              <w:br w:type="page"/>
              <w:t>W Uzdrowisku Konstancin - Jeziorna obowiązują pewne rygory, mające chronić środowisko i wody, co wiąże się z jego statusem uzdrowiska. Chodzi np. o zakaz budowy przydomowych oczyszczalni i obowiązek przyłączania się do miejskiej kanalizacji dla nowo uchwalanych planów zagospodarowania. Tymczasem inne gminy takich wymogów nie mają, co powoduje napływ zanieczyszczeń na teren uzdrowiska. Wpływają one do rzeki Jeziorki, która przepływa przez strefę A Uzdrowiska, a potem do Wisły. Ostatnio dowiedzieliśmy się o próbie wpuszczenia takich ścieków z Ursynowa, gdzie deweloper planuje budowę kilkudziesięciu domów (miałoby to na dodatek mieć miejsce na odcinku Kanału Jeziorki leżącym w naszej miejscowości).</w:t>
            </w:r>
            <w:r w:rsidRPr="005E78BB">
              <w:rPr>
                <w:rFonts w:ascii="Calibri" w:eastAsia="Times New Roman" w:hAnsi="Calibri" w:cs="Calibri"/>
                <w:color w:val="000000"/>
                <w:sz w:val="18"/>
                <w:szCs w:val="18"/>
                <w:lang w:eastAsia="pl-PL"/>
              </w:rPr>
              <w:br w:type="page"/>
              <w:t>Dlatego wnoszę o wprowadzenie i egzekwowanie zakazu wprowadzania ścieków (także oczyszczonych w przydomowych oczyszczalniach) do Kanału Jeziorki. A także o pomoc w zachowaniu i ochronie znajdujących się w pobliżu rzeczki terenów podmokłych i bagien, które bywają zabudowywane i zasypywane, często przy cichej zgodzie władz gminnych i nadzoru budowlanego powiatu.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8B5D4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29546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3C70A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5D8EB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DCFF52E" w14:textId="55CB26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Rzeczywisty stan wód zależy od warunków użytkowania instalacji oczyszczalni ścieków oraz dotrzymania wymagań określonych w pozwoleniach wodnoprawnych. W przypadku stwierdzenia zagrożenia osiągnięcia dobrego stanu wód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przepisy prawa wodnego dysponują narzędziami umożliwiającymi przegląd i kontrolę pozwoleń wodnoprawnych. Są one również ujęte w katalogu działań krajowych IIaPGW, jako jedno z narzędzi w ramach działań podstawowych.</w:t>
            </w:r>
            <w:r w:rsidRPr="005E78BB">
              <w:rPr>
                <w:rFonts w:ascii="Calibri" w:eastAsia="Times New Roman" w:hAnsi="Calibri" w:cs="Calibri"/>
                <w:color w:val="000000"/>
                <w:sz w:val="18"/>
                <w:szCs w:val="18"/>
                <w:lang w:eastAsia="pl-PL"/>
              </w:rPr>
              <w:br w:type="page"/>
              <w:t>W granicach aglomeracji kanalizacyjnej m.st. Warszawy, gdzie leży Kanał Jeziorki, możliwy jest zrzut ścieków do wód przy spełnieniu standardów oczyszczania, jak dla całej aglomeracji. Zatem standardy oczyszczania ścieków są odpowiednio takie same, jak dla dużej oczyszczalni obsługującej aglomerację. Tym samym jakość odprowadzanych ścieków nie powinna pogarszać stanu wód w odbiorniku.</w:t>
            </w:r>
            <w:r w:rsidRPr="005E78BB">
              <w:rPr>
                <w:rFonts w:ascii="Calibri" w:eastAsia="Times New Roman" w:hAnsi="Calibri" w:cs="Calibri"/>
                <w:color w:val="000000"/>
                <w:sz w:val="18"/>
                <w:szCs w:val="18"/>
                <w:lang w:eastAsia="pl-PL"/>
              </w:rPr>
              <w:br w:type="page"/>
              <w:t xml:space="preserve">Generalnie odprowadzanie ścieków do wód określają przepisy prawne definiujące wymagania i standardy korzystania z wód. Zasady gospodarowania ściekami na obszarze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na terenie gminy określone są zarówno w prawie wodnym, ale też przepisami dotyczącymi zaopatrzenia w wodę i odprowadzania ścieków, jak również prawem miejscowym, które regulują przepisy o zagospodarowaniu przestrzennym.</w:t>
            </w:r>
            <w:r w:rsidRPr="005E78BB">
              <w:rPr>
                <w:rFonts w:ascii="Calibri" w:eastAsia="Times New Roman" w:hAnsi="Calibri" w:cs="Calibri"/>
                <w:color w:val="000000"/>
                <w:sz w:val="18"/>
                <w:szCs w:val="18"/>
                <w:lang w:eastAsia="pl-PL"/>
              </w:rPr>
              <w:br w:type="page"/>
              <w:t>W gminie położonej w aglomeracji kanalizacyjnej istnieje obowiązek zagospodarowania ścieków poprzez systemy kanalizacyjne lub w przypadku ich braku należy zagospodarować ścieki w inny sposób, dopuszczalny przepisami prawa miejscowego (do zbiorników bezodpływowych lub poprzez instalacje oczyszczalni bytowych do odbiornika). Zakaz odprowadzania ścieków jest możliwy do wprowadzenia w planach miejscowych, szczególnie w przypadku ochrony zbiorników wód podzemnych i ujęć wód. Wymagania w zakresie odprowadzania ścieków z oczyszczalni bytowych do wód i do ziemi wynikają z przepisów szczegółowych ustawy prawo wodne.</w:t>
            </w:r>
          </w:p>
        </w:tc>
      </w:tr>
      <w:tr w:rsidR="0085319C" w:rsidRPr="005E78BB" w14:paraId="5D5AD808" w14:textId="77777777" w:rsidTr="00E92AE6">
        <w:trPr>
          <w:trHeight w:val="454"/>
        </w:trPr>
        <w:tc>
          <w:tcPr>
            <w:tcW w:w="562" w:type="dxa"/>
            <w:shd w:val="clear" w:color="auto" w:fill="auto"/>
            <w:hideMark/>
          </w:tcPr>
          <w:p w14:paraId="188DEE3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372</w:t>
            </w:r>
          </w:p>
        </w:tc>
        <w:tc>
          <w:tcPr>
            <w:tcW w:w="1021" w:type="dxa"/>
          </w:tcPr>
          <w:p w14:paraId="2FC483B8" w14:textId="6A86A38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Karaszewski</w:t>
            </w:r>
          </w:p>
        </w:tc>
        <w:tc>
          <w:tcPr>
            <w:tcW w:w="1630" w:type="dxa"/>
            <w:shd w:val="clear" w:color="auto" w:fill="auto"/>
            <w:hideMark/>
          </w:tcPr>
          <w:p w14:paraId="2AF43B3C" w14:textId="20A97B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Cele środowiskowe </w:t>
            </w:r>
            <w:r w:rsidR="00513278">
              <w:rPr>
                <w:rFonts w:ascii="Calibri" w:eastAsia="Times New Roman" w:hAnsi="Calibri" w:cs="Calibri"/>
                <w:color w:val="000000"/>
                <w:sz w:val="18"/>
                <w:szCs w:val="18"/>
                <w:lang w:eastAsia="pl-PL"/>
              </w:rPr>
              <w:t>JCWP</w:t>
            </w:r>
          </w:p>
        </w:tc>
        <w:tc>
          <w:tcPr>
            <w:tcW w:w="5663" w:type="dxa"/>
            <w:shd w:val="clear" w:color="auto" w:fill="auto"/>
            <w:hideMark/>
          </w:tcPr>
          <w:p w14:paraId="769142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Szanowni Państwo składam uzupełnienie do uwag złożonych osobiście w siedzibie Ministerstwa Infrastruktury w dniu 12.10.21 r.</w:t>
            </w:r>
            <w:r w:rsidRPr="005E78BB">
              <w:rPr>
                <w:rFonts w:ascii="Calibri" w:eastAsia="Times New Roman" w:hAnsi="Calibri" w:cs="Calibri"/>
                <w:color w:val="000000"/>
                <w:sz w:val="18"/>
                <w:szCs w:val="18"/>
                <w:lang w:eastAsia="pl-PL"/>
              </w:rPr>
              <w:br/>
              <w:t>Odnośnie rzeki Bełcząc pozbawionej przepływu naturalnego przez człowieka, jest to rzeka do której odprowadzana jest woda z torfowiska, a raczej bagna w Górkach Bożych, gmina Korytnica na wysokości miejscowości Paplin. Dla osiągnięcia celów środowiskowych potrzebna jest renaturalizacja rzeki poprzez udrożnienie początkowego odcinka ok. 100 metrów od rozwidlenia od rzeki Liwiec. Rzeka Bełcząc była naturalną przepławką dla ryb i alternatywą dla zamkniętego jazu z MEW w Kalinowcu. Korzyści środowiskowe będą nieocenione dla całego ekosystemu i biocenozy. ponownie wspomnę o występowaniu w rzece Liwiec minogów ukraińskich ( Eudontomyzon mariae), posiadam zdjęcia minogów i potwierdzone oznaczenie gatunku przez ichtiologa Panią dr. Lidię Marszał. Wklejam skopiowaną odpowiedź Pani ichtiolog wraz z adresem email: "czw, 9 lip 2020 o 22:39 Lidia Marszał lidia.marszal@biol.uni.lodz.pl napisał(a):</w:t>
            </w:r>
            <w:r w:rsidRPr="005E78BB">
              <w:rPr>
                <w:rFonts w:ascii="Calibri" w:eastAsia="Times New Roman" w:hAnsi="Calibri" w:cs="Calibri"/>
                <w:color w:val="000000"/>
                <w:sz w:val="18"/>
                <w:szCs w:val="18"/>
                <w:lang w:eastAsia="pl-PL"/>
              </w:rPr>
              <w:br/>
              <w:t>Panie Ryszardzie,</w:t>
            </w:r>
            <w:r w:rsidRPr="005E78BB">
              <w:rPr>
                <w:rFonts w:ascii="Calibri" w:eastAsia="Times New Roman" w:hAnsi="Calibri" w:cs="Calibri"/>
                <w:color w:val="000000"/>
                <w:sz w:val="18"/>
                <w:szCs w:val="18"/>
                <w:lang w:eastAsia="pl-PL"/>
              </w:rPr>
              <w:br/>
              <w:t>Zdjęcia są dobrej jakości, więc od razu widać cechy gatunkowe. Z całkowitą pewnością jest to minóg ukraiński Eudontomyzon mariae ( formy larwalne). Mam nadzieję, że te okazy dzięki Panu przeżyją, przeobrażą się i wydadzą na świat potomstwo.</w:t>
            </w:r>
            <w:r w:rsidRPr="005E78BB">
              <w:rPr>
                <w:rFonts w:ascii="Calibri" w:eastAsia="Times New Roman" w:hAnsi="Calibri" w:cs="Calibri"/>
                <w:color w:val="000000"/>
                <w:sz w:val="18"/>
                <w:szCs w:val="18"/>
                <w:lang w:eastAsia="pl-PL"/>
              </w:rPr>
              <w:br/>
              <w:t>Pozdrawiam serdecznie</w:t>
            </w:r>
            <w:r w:rsidRPr="005E78BB">
              <w:rPr>
                <w:rFonts w:ascii="Calibri" w:eastAsia="Times New Roman" w:hAnsi="Calibri" w:cs="Calibri"/>
                <w:color w:val="000000"/>
                <w:sz w:val="18"/>
                <w:szCs w:val="18"/>
                <w:lang w:eastAsia="pl-PL"/>
              </w:rPr>
              <w:br/>
              <w:t>LM oznaczenie gatunku, którego siedlisko zgłaszałem wielokrotnie znajduje się za jazem piętrzącym wodę dla celów energetycznych, który nie posiada przepławki dla ryb i jest przeszkodą nie do pokonania dla wielu gatunków ryb mających siedliska w okolicach rzeki Bełcząc np. różanki (Rhodeus sericeus), kozy pospolitej ( Cobitis taenia) oraz wstępowaniu do rzeki celem odbycia tarła ryby certa (Vimba vimba), dla której idealne warunki dla odbycia tarła znajdują się powyżej jazu z MEW w Kalinowcu na wysokości m. Paplin i Górki Boże w pobliżu znajdują się starorzecza, które z powodu braku przepływu wody w rzece Bełcząc oddają swoje wody do wód gruntowych, które raptownie obniżają swój poziom.</w:t>
            </w:r>
          </w:p>
        </w:tc>
        <w:tc>
          <w:tcPr>
            <w:tcW w:w="3377" w:type="dxa"/>
            <w:shd w:val="clear" w:color="auto" w:fill="auto"/>
            <w:hideMark/>
          </w:tcPr>
          <w:p w14:paraId="3DAEB4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Zmienić klasyfikację cieku z poza istotnymi i szczególnie istotnymi na odcinku powyżej miejscowości Łochów na ciek istotny po udrożnieniu rzeki Bełcząc cel środowiskowy zostanie osiągnięty.</w:t>
            </w:r>
          </w:p>
        </w:tc>
        <w:tc>
          <w:tcPr>
            <w:tcW w:w="3401" w:type="dxa"/>
            <w:shd w:val="clear" w:color="auto" w:fill="auto"/>
            <w:hideMark/>
          </w:tcPr>
          <w:p w14:paraId="724130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Rzeka Liwiec znajduje się w Obszarze Natura 2000 Dolina Liwca, Ostoja Nadliwiecka Dyrektywa ptasia oraz siedliskowa po udrożnieniu rzeki Bełcząc cel środowiskowy zostanie osiągnięty, a korzyści zarówno dla środowiska, rolnictwa a także turystyki i społeczeństwa będą ogromne.</w:t>
            </w:r>
          </w:p>
        </w:tc>
        <w:tc>
          <w:tcPr>
            <w:tcW w:w="1918" w:type="dxa"/>
            <w:shd w:val="clear" w:color="auto" w:fill="auto"/>
            <w:hideMark/>
          </w:tcPr>
          <w:p w14:paraId="49E029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9846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C3CB4B" w14:textId="4344F4C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Rzeka Bełcząc nie została wyznaczona jako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Niemniej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Liwiec od Dopływu z Zalesia do ujścia (RW20001126714899) oraz Korycianka (RW200010267148749) wskazane zostały działania związane z realizacją działań ochronnych dla obszarów chronionych (działania z PZO i PO).</w:t>
            </w:r>
          </w:p>
        </w:tc>
      </w:tr>
      <w:tr w:rsidR="0085319C" w:rsidRPr="005E78BB" w14:paraId="6421338D" w14:textId="77777777" w:rsidTr="00E92AE6">
        <w:trPr>
          <w:trHeight w:val="454"/>
        </w:trPr>
        <w:tc>
          <w:tcPr>
            <w:tcW w:w="562" w:type="dxa"/>
            <w:shd w:val="clear" w:color="auto" w:fill="auto"/>
            <w:hideMark/>
          </w:tcPr>
          <w:p w14:paraId="011E984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373</w:t>
            </w:r>
          </w:p>
        </w:tc>
        <w:tc>
          <w:tcPr>
            <w:tcW w:w="1021" w:type="dxa"/>
          </w:tcPr>
          <w:p w14:paraId="49819D89" w14:textId="4A3C93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7216BF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DB5DB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zlewni rzeki Czarnej Malenieckiej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1. Ujęcia wód dla celów gospodarczych (stawy hodowlane, MEW, zbiorniki retencyjne nie są opomiarowane, przez co niemożliwe jest śledzenie poboru wód ani stanu rzeki poniżej. Powoduje to w okresach niżówek bardzo duże zagrożenie dla fauny wodnej (przepływy są nierzadko 2-3 razy mniejsze od przepływu biologicznego). Zagrożone jest tym samym funkcjonowanie rzeki i ostoi Natura 2000 Dolina Czarnej. </w:t>
            </w:r>
            <w:r w:rsidRPr="005E78BB">
              <w:rPr>
                <w:rFonts w:ascii="Calibri" w:eastAsia="Times New Roman" w:hAnsi="Calibri" w:cs="Calibri"/>
                <w:color w:val="000000"/>
                <w:sz w:val="18"/>
                <w:szCs w:val="18"/>
                <w:lang w:eastAsia="pl-PL"/>
              </w:rPr>
              <w:br/>
              <w:t xml:space="preserve">2. Większość piętrze na rzece Czarnej nie jest udrożniona. Żadna z istniejących przepławek nie spełnia norm dla przedmiotów ochrony w ostoi Natura 2000 Dolina Czarnej. Przedmiotami ochrony sa m.in. minogi i głowacz białopłetwy. Tymczasem zgodnie z zapisami w "warunki korzystania z wód zlewni rzeki Czarnej Malenieckiej": "Dla wszystkich jednolitych części wód powierzchniowych rzecznych w zlewni rzeki Czarnej Malenieckiej jako reprezentatywny gatunek ryb ustala sie certę. Wymagania certy dotyczące minimalnych warunków technicznych dla urządzeń udrażniających przyjmuje się za wystarczające dla pozostałych gatunków ryb występujących w jednolitych częściach wód powierzchniowych zlewni" Oznacza to że progi przepławek mogą mieć wysokość 20-30 cm. Tymczasem dla występujących tu przedmiotów ochrony nie mogą być wyższe niż 10 cm. </w:t>
            </w:r>
          </w:p>
        </w:tc>
        <w:tc>
          <w:tcPr>
            <w:tcW w:w="3377" w:type="dxa"/>
            <w:shd w:val="clear" w:color="auto" w:fill="auto"/>
            <w:hideMark/>
          </w:tcPr>
          <w:p w14:paraId="74BC57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Zamontowanie urządzeń wskazujących poziom i przepływ wód poniżej każdego ujęcia/piętrzenia. Zmiana zapisów z analizy możliwości udrożnienia przegród poprzecznych na opracowanie sposobu udrożnienia, zmiana wymagań technicznych dla przepławek (wysokość progów do 10 cm).</w:t>
            </w:r>
          </w:p>
        </w:tc>
        <w:tc>
          <w:tcPr>
            <w:tcW w:w="3401" w:type="dxa"/>
            <w:shd w:val="clear" w:color="auto" w:fill="auto"/>
            <w:hideMark/>
          </w:tcPr>
          <w:p w14:paraId="786A22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Zamontowanie urządzeń pomiarowych pozwoli na lepsze kontrole wykorzystywania wód rzeki, zmniejszy możliwość nadmiernego jej wykorzystania i zagrożenia występowania przepływów poniżej biologicznego. Poprawi się tym samym stan rzeki i warunki siedliskowe przedmiotów ochrony, zmiana wymogów dla przepławek umożliwi ich wykorzystanie przez przedmioty ochrony. </w:t>
            </w:r>
          </w:p>
        </w:tc>
        <w:tc>
          <w:tcPr>
            <w:tcW w:w="1918" w:type="dxa"/>
            <w:shd w:val="clear" w:color="auto" w:fill="auto"/>
            <w:hideMark/>
          </w:tcPr>
          <w:p w14:paraId="1ABAAD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69034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532ACEF" w14:textId="41065A9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1. Aby nie dublować działań ujętych w Planie Przeciwdziałanie Skutkom Suszy (PPSS) w ramach IIaPGW przewidziano jedynie monitoring wód rzecznych zagrożonych zanikiem przepływu. Działanie przypisano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wymienionych w zestawieniu RZGW wód z obserwowanym stale lub okresowo brakiem przepływu oraz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którym grozi zanik przepływu na skutek zaprzestania wydobycia w kopalniach a tym samym zaprzestania odwodnienia szybów wydobywczych.</w:t>
            </w:r>
            <w:r w:rsidRPr="005E78BB">
              <w:rPr>
                <w:rFonts w:ascii="Calibri" w:eastAsia="Times New Roman" w:hAnsi="Calibri" w:cs="Calibri"/>
                <w:color w:val="000000"/>
                <w:sz w:val="18"/>
                <w:szCs w:val="18"/>
                <w:lang w:eastAsia="pl-PL"/>
              </w:rPr>
              <w:br/>
              <w:t xml:space="preserve">Monitoring wód zagrożonych suszą jest elementem PPSS i w ramach tego programu przewiduje się działanie obejmujące te przypadki. Dodatkowo w ramach PPSS przewidziano działanie odnoszące się do przeglądu instrukcji gospodarowania wodą co również wpisuje się w troskę o rzeczoną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2. Działania z zakresu udrożnienia budowli poprzecznych odnoszą się do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np. RWHM_02.01 Analiza możliwości przebudowy budowli piętrzących w zakresie zapewniającym ciągłość biologiczną i spełnienie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obejmującej dolinę Czarnej wskazano cele środowiskowe w zakresie zapewnienia drożności wg wymagań gatunków chronionych: drożność wg wymagań minogów (brak przeszkód &gt;0,15m), drożność wg wymagań: kiełbia Kesslera, kiełbia białopletwego, głowacza białopletwego, kozy, kozy złotawej, piskorza lub różanki (brak przeszkód &gt;0,1m). Wskazane działania uwzględniają więc wymagania przedmiotów ochrony w obrębie wskazanego obszaru chronionego.</w:t>
            </w:r>
          </w:p>
        </w:tc>
      </w:tr>
      <w:tr w:rsidR="0085319C" w:rsidRPr="005E78BB" w14:paraId="3AABA1D3" w14:textId="77777777" w:rsidTr="00E92AE6">
        <w:trPr>
          <w:trHeight w:val="454"/>
        </w:trPr>
        <w:tc>
          <w:tcPr>
            <w:tcW w:w="562" w:type="dxa"/>
            <w:shd w:val="clear" w:color="auto" w:fill="auto"/>
            <w:hideMark/>
          </w:tcPr>
          <w:p w14:paraId="68C3832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374</w:t>
            </w:r>
          </w:p>
        </w:tc>
        <w:tc>
          <w:tcPr>
            <w:tcW w:w="1021" w:type="dxa"/>
          </w:tcPr>
          <w:p w14:paraId="735AEB3B" w14:textId="10E873A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3E6BAFCC" w14:textId="521B83B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443F8F4" w14:textId="1F78BBA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w:t>
            </w:r>
            <w:r w:rsidRPr="005E78BB">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w:t>
            </w:r>
            <w:r w:rsidRPr="005E78BB">
              <w:rPr>
                <w:rFonts w:ascii="Calibri" w:eastAsia="Times New Roman" w:hAnsi="Calibri" w:cs="Calibri"/>
                <w:color w:val="000000"/>
                <w:sz w:val="18"/>
                <w:szCs w:val="18"/>
                <w:lang w:eastAsia="pl-PL"/>
              </w:rPr>
              <w:br w:type="page"/>
              <w:t>. Zmiany wymagają m.in. ponownej analizy działań zaplanowanych w dorzeczach, a odnoszących się do</w:t>
            </w:r>
            <w:r w:rsidRPr="005E78BB">
              <w:rPr>
                <w:rFonts w:ascii="Calibri" w:eastAsia="Times New Roman" w:hAnsi="Calibri" w:cs="Calibri"/>
                <w:color w:val="000000"/>
                <w:sz w:val="18"/>
                <w:szCs w:val="18"/>
                <w:lang w:eastAsia="pl-PL"/>
              </w:rPr>
              <w:br w:type="page"/>
              <w:t>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 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7EB28C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p>
        </w:tc>
        <w:tc>
          <w:tcPr>
            <w:tcW w:w="3401" w:type="dxa"/>
            <w:shd w:val="clear" w:color="auto" w:fill="auto"/>
            <w:hideMark/>
          </w:tcPr>
          <w:p w14:paraId="22BD09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w:t>
            </w:r>
            <w:r w:rsidRPr="005E78BB">
              <w:rPr>
                <w:rFonts w:ascii="Calibri" w:eastAsia="Times New Roman" w:hAnsi="Calibri" w:cs="Calibri"/>
                <w:color w:val="000000"/>
                <w:sz w:val="18"/>
                <w:szCs w:val="18"/>
                <w:lang w:eastAsia="pl-PL"/>
              </w:rPr>
              <w:br w:type="page"/>
              <w:t>ale zdecydowanie zbyt późno.</w:t>
            </w:r>
            <w:r w:rsidRPr="005E78BB">
              <w:rPr>
                <w:rFonts w:ascii="Calibri" w:eastAsia="Times New Roman" w:hAnsi="Calibri" w:cs="Calibri"/>
                <w:color w:val="000000"/>
                <w:sz w:val="18"/>
                <w:szCs w:val="18"/>
                <w:lang w:eastAsia="pl-PL"/>
              </w:rPr>
              <w:br w:type="page"/>
              <w:t>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w:t>
            </w:r>
          </w:p>
        </w:tc>
        <w:tc>
          <w:tcPr>
            <w:tcW w:w="1918" w:type="dxa"/>
            <w:shd w:val="clear" w:color="auto" w:fill="auto"/>
            <w:hideMark/>
          </w:tcPr>
          <w:p w14:paraId="491EFE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50ACA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A04F1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1709C1B5" w14:textId="77777777" w:rsidTr="00E92AE6">
        <w:trPr>
          <w:trHeight w:val="454"/>
        </w:trPr>
        <w:tc>
          <w:tcPr>
            <w:tcW w:w="562" w:type="dxa"/>
            <w:shd w:val="clear" w:color="auto" w:fill="auto"/>
            <w:hideMark/>
          </w:tcPr>
          <w:p w14:paraId="656BE1D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375</w:t>
            </w:r>
          </w:p>
        </w:tc>
        <w:tc>
          <w:tcPr>
            <w:tcW w:w="1021" w:type="dxa"/>
          </w:tcPr>
          <w:p w14:paraId="36E2BCC2" w14:textId="40A9C3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6EC7F372" w14:textId="5FB2838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7D362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chaos</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coś oraz projekty wraz z „erratami” i do tych wszystkich dokumentów można składać</w:t>
            </w:r>
            <w:r w:rsidRPr="005E78BB">
              <w:rPr>
                <w:rFonts w:ascii="Calibri" w:eastAsia="Times New Roman" w:hAnsi="Calibri" w:cs="Calibri"/>
                <w:color w:val="000000"/>
                <w:sz w:val="18"/>
                <w:szCs w:val="18"/>
                <w:lang w:eastAsia="pl-PL"/>
              </w:rPr>
              <w:br/>
              <w:t xml:space="preserve"> uwagi do 20 października.</w:t>
            </w:r>
            <w:r w:rsidRPr="005E78BB">
              <w:rPr>
                <w:rFonts w:ascii="Calibri" w:eastAsia="Times New Roman" w:hAnsi="Calibri" w:cs="Calibri"/>
                <w:color w:val="000000"/>
                <w:sz w:val="18"/>
                <w:szCs w:val="18"/>
                <w:lang w:eastAsia="pl-PL"/>
              </w:rPr>
              <w:br/>
              <w:t>to ostatni dzwonek, by wziąć udział w konsultacjach społecznych w ramach drugiej</w:t>
            </w:r>
            <w:r w:rsidRPr="005E78BB">
              <w:rPr>
                <w:rFonts w:ascii="Calibri" w:eastAsia="Times New Roman" w:hAnsi="Calibri" w:cs="Calibri"/>
                <w:color w:val="000000"/>
                <w:sz w:val="18"/>
                <w:szCs w:val="18"/>
                <w:lang w:eastAsia="pl-PL"/>
              </w:rPr>
              <w:br/>
              <w:t>aktualizacji planów gospodarowania wodami, które trwają tylko do 14 października”.</w:t>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5363E1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w:t>
            </w:r>
          </w:p>
        </w:tc>
        <w:tc>
          <w:tcPr>
            <w:tcW w:w="3401" w:type="dxa"/>
            <w:shd w:val="clear" w:color="auto" w:fill="auto"/>
            <w:hideMark/>
          </w:tcPr>
          <w:p w14:paraId="39DB92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w:t>
            </w:r>
            <w:r w:rsidRPr="005E78BB">
              <w:rPr>
                <w:rFonts w:ascii="Calibri" w:eastAsia="Times New Roman" w:hAnsi="Calibri" w:cs="Calibri"/>
                <w:color w:val="000000"/>
                <w:sz w:val="18"/>
                <w:szCs w:val="18"/>
                <w:lang w:eastAsia="pl-PL"/>
              </w:rPr>
              <w:br/>
              <w:t>Jedynym rozwiązaniem jest ujednolicenie trybu składania uwag i rozszerzenie terminów ich składania.</w:t>
            </w:r>
            <w:r w:rsidRPr="005E78BB">
              <w:rPr>
                <w:rFonts w:ascii="Calibri" w:eastAsia="Times New Roman" w:hAnsi="Calibri" w:cs="Calibri"/>
                <w:color w:val="000000"/>
                <w:sz w:val="18"/>
                <w:szCs w:val="18"/>
                <w:lang w:eastAsia="pl-PL"/>
              </w:rPr>
              <w:br/>
              <w:t xml:space="preserve">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 </w:t>
            </w:r>
          </w:p>
        </w:tc>
        <w:tc>
          <w:tcPr>
            <w:tcW w:w="1918" w:type="dxa"/>
            <w:shd w:val="clear" w:color="auto" w:fill="auto"/>
            <w:hideMark/>
          </w:tcPr>
          <w:p w14:paraId="37A073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6F60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D463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26242A19" w14:textId="77777777" w:rsidTr="00E92AE6">
        <w:trPr>
          <w:trHeight w:val="454"/>
        </w:trPr>
        <w:tc>
          <w:tcPr>
            <w:tcW w:w="562" w:type="dxa"/>
            <w:shd w:val="clear" w:color="auto" w:fill="auto"/>
            <w:hideMark/>
          </w:tcPr>
          <w:p w14:paraId="6C58EAF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376</w:t>
            </w:r>
          </w:p>
        </w:tc>
        <w:tc>
          <w:tcPr>
            <w:tcW w:w="1021" w:type="dxa"/>
          </w:tcPr>
          <w:p w14:paraId="727E0BFD" w14:textId="4BB3880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CC8C5DA" w14:textId="02A49D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D5B168F" w14:textId="51DA090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Greobaza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3A7D4809" w14:textId="1311307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w:t>
            </w:r>
          </w:p>
        </w:tc>
        <w:tc>
          <w:tcPr>
            <w:tcW w:w="3401" w:type="dxa"/>
            <w:shd w:val="clear" w:color="auto" w:fill="auto"/>
            <w:hideMark/>
          </w:tcPr>
          <w:p w14:paraId="7341642C" w14:textId="04A0A5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w:t>
            </w:r>
            <w:r w:rsidRPr="005E78BB">
              <w:rPr>
                <w:rFonts w:ascii="Calibri" w:eastAsia="Times New Roman" w:hAnsi="Calibri" w:cs="Calibri"/>
                <w:color w:val="000000"/>
                <w:sz w:val="18"/>
                <w:szCs w:val="18"/>
                <w:lang w:eastAsia="pl-PL"/>
              </w:rPr>
              <w:br/>
              <w:t>Mapy udostępnione wraz z projektem IIaPGW nie są ani czytelne ani możliwe do wykorzystania przez osoby uczestniczące w konsultacjach.</w:t>
            </w:r>
            <w:r w:rsidRPr="005E78BB">
              <w:rPr>
                <w:rFonts w:ascii="Calibri" w:eastAsia="Times New Roman" w:hAnsi="Calibri" w:cs="Calibri"/>
                <w:color w:val="000000"/>
                <w:sz w:val="18"/>
                <w:szCs w:val="18"/>
                <w:lang w:eastAsia="pl-PL"/>
              </w:rPr>
              <w:br/>
              <w:t>Działanie Wód Polskich w tym zakresie jest sprzeczne z:</w:t>
            </w:r>
            <w:r w:rsidRPr="005E78BB">
              <w:rPr>
                <w:rFonts w:ascii="Calibri" w:eastAsia="Times New Roman" w:hAnsi="Calibri" w:cs="Calibri"/>
                <w:color w:val="000000"/>
                <w:sz w:val="18"/>
                <w:szCs w:val="18"/>
                <w:lang w:eastAsia="pl-PL"/>
              </w:rPr>
              <w:br/>
              <w:t>art. 14 RDW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 xml:space="preserve">Zał. VII – pkt 1, 3, 4 </w:t>
            </w:r>
          </w:p>
        </w:tc>
        <w:tc>
          <w:tcPr>
            <w:tcW w:w="1918" w:type="dxa"/>
            <w:shd w:val="clear" w:color="auto" w:fill="auto"/>
            <w:hideMark/>
          </w:tcPr>
          <w:p w14:paraId="2EACE3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94CE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CCAAB8E" w14:textId="6731551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77EDA2A8" w14:textId="77777777" w:rsidTr="00E92AE6">
        <w:trPr>
          <w:trHeight w:val="454"/>
        </w:trPr>
        <w:tc>
          <w:tcPr>
            <w:tcW w:w="562" w:type="dxa"/>
            <w:shd w:val="clear" w:color="auto" w:fill="auto"/>
            <w:hideMark/>
          </w:tcPr>
          <w:p w14:paraId="546FCDC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377</w:t>
            </w:r>
          </w:p>
        </w:tc>
        <w:tc>
          <w:tcPr>
            <w:tcW w:w="1021" w:type="dxa"/>
          </w:tcPr>
          <w:p w14:paraId="2F627D53" w14:textId="417717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639494E" w14:textId="0BBB218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EBE0E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Konsultacje dokumenty źródłowe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ype="page"/>
              <w:t>Takie podejście jest niezgodne z przepisami prawa krajowego i wspólnotowego.</w:t>
            </w:r>
            <w:r w:rsidRPr="005E78BB">
              <w:rPr>
                <w:rFonts w:ascii="Calibri" w:eastAsia="Times New Roman" w:hAnsi="Calibri" w:cs="Calibri"/>
                <w:color w:val="000000"/>
                <w:sz w:val="18"/>
                <w:szCs w:val="18"/>
                <w:lang w:eastAsia="pl-PL"/>
              </w:rPr>
              <w:br w:type="page"/>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w:t>
            </w:r>
            <w:r w:rsidRPr="005E78BB">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ype="page"/>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3377" w:type="dxa"/>
            <w:shd w:val="clear" w:color="auto" w:fill="auto"/>
            <w:hideMark/>
          </w:tcPr>
          <w:p w14:paraId="7C47C3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682F34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760BCE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DF7A1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EBE6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ype="page"/>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1DDE36B7" w14:textId="77777777" w:rsidTr="00E92AE6">
        <w:trPr>
          <w:trHeight w:val="454"/>
        </w:trPr>
        <w:tc>
          <w:tcPr>
            <w:tcW w:w="562" w:type="dxa"/>
            <w:shd w:val="clear" w:color="auto" w:fill="auto"/>
            <w:hideMark/>
          </w:tcPr>
          <w:p w14:paraId="7285ECB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378</w:t>
            </w:r>
          </w:p>
        </w:tc>
        <w:tc>
          <w:tcPr>
            <w:tcW w:w="1021" w:type="dxa"/>
          </w:tcPr>
          <w:p w14:paraId="5E7452DF" w14:textId="10CCFC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8CFF9A2" w14:textId="0C25B4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DA8A1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formularz</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w:t>
            </w:r>
          </w:p>
        </w:tc>
        <w:tc>
          <w:tcPr>
            <w:tcW w:w="3377" w:type="dxa"/>
            <w:shd w:val="clear" w:color="auto" w:fill="auto"/>
            <w:hideMark/>
          </w:tcPr>
          <w:p w14:paraId="795244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Umożliwić składanie uwag również w innych formach niż załączony na stronach konsultacji formularz, w tym w formie tabelarycznej. Stosowna informacja powinna znaleźć się na stronie https://apgw.gov.pl/pl/konsultacje</w:t>
            </w:r>
          </w:p>
        </w:tc>
        <w:tc>
          <w:tcPr>
            <w:tcW w:w="3401" w:type="dxa"/>
            <w:shd w:val="clear" w:color="auto" w:fill="auto"/>
            <w:hideMark/>
          </w:tcPr>
          <w:p w14:paraId="640D5A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6F4EC0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4177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8D54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85319C" w:rsidRPr="005E78BB" w14:paraId="02DE7CAD" w14:textId="77777777" w:rsidTr="00E92AE6">
        <w:trPr>
          <w:trHeight w:val="454"/>
        </w:trPr>
        <w:tc>
          <w:tcPr>
            <w:tcW w:w="562" w:type="dxa"/>
            <w:shd w:val="clear" w:color="auto" w:fill="auto"/>
            <w:hideMark/>
          </w:tcPr>
          <w:p w14:paraId="70E5C29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379</w:t>
            </w:r>
          </w:p>
        </w:tc>
        <w:tc>
          <w:tcPr>
            <w:tcW w:w="1021" w:type="dxa"/>
          </w:tcPr>
          <w:p w14:paraId="12CFBD67" w14:textId="22F2A45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F4D3875" w14:textId="625A05A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07BC5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Konsultacje – dane ze strony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07661F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dane z poprzedniego okresu planistycznego, dostępne pod starym adresem konsultacji www.apgw.kzgw.gov.pl</w:t>
            </w:r>
          </w:p>
        </w:tc>
        <w:tc>
          <w:tcPr>
            <w:tcW w:w="3401" w:type="dxa"/>
            <w:shd w:val="clear" w:color="auto" w:fill="auto"/>
            <w:hideMark/>
          </w:tcPr>
          <w:p w14:paraId="73D6F1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17E92E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7B33E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7D7A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04661A85" w14:textId="77777777" w:rsidTr="00E92AE6">
        <w:trPr>
          <w:trHeight w:val="454"/>
        </w:trPr>
        <w:tc>
          <w:tcPr>
            <w:tcW w:w="562" w:type="dxa"/>
            <w:shd w:val="clear" w:color="auto" w:fill="auto"/>
            <w:hideMark/>
          </w:tcPr>
          <w:p w14:paraId="2C61A1E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380</w:t>
            </w:r>
          </w:p>
        </w:tc>
        <w:tc>
          <w:tcPr>
            <w:tcW w:w="1021" w:type="dxa"/>
          </w:tcPr>
          <w:p w14:paraId="48FDD784" w14:textId="519833B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1B6FB93F" w14:textId="268FFC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8225D56" w14:textId="7C90581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Rozdz. 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49636F9A" w14:textId="6BB4BE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06BD4C1A" w14:textId="1B0D2B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w:t>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w:t>
            </w:r>
          </w:p>
        </w:tc>
        <w:tc>
          <w:tcPr>
            <w:tcW w:w="1918" w:type="dxa"/>
            <w:shd w:val="clear" w:color="auto" w:fill="auto"/>
            <w:hideMark/>
          </w:tcPr>
          <w:p w14:paraId="271D3D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7C045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62AD626" w14:textId="5A90A6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1E4D6DA7" w14:textId="77777777" w:rsidTr="00CD6FBC">
        <w:trPr>
          <w:trHeight w:val="454"/>
        </w:trPr>
        <w:tc>
          <w:tcPr>
            <w:tcW w:w="562" w:type="dxa"/>
            <w:shd w:val="clear" w:color="auto" w:fill="auto"/>
            <w:hideMark/>
          </w:tcPr>
          <w:p w14:paraId="5C1401F5"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381</w:t>
            </w:r>
          </w:p>
        </w:tc>
        <w:tc>
          <w:tcPr>
            <w:tcW w:w="1021" w:type="dxa"/>
            <w:shd w:val="clear" w:color="auto" w:fill="auto"/>
          </w:tcPr>
          <w:p w14:paraId="70392F4B" w14:textId="5705BD1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Ryszard Babiasz</w:t>
            </w:r>
          </w:p>
        </w:tc>
        <w:tc>
          <w:tcPr>
            <w:tcW w:w="1630" w:type="dxa"/>
            <w:shd w:val="clear" w:color="auto" w:fill="auto"/>
            <w:hideMark/>
          </w:tcPr>
          <w:p w14:paraId="2A338449" w14:textId="0E190E0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1566A64F" w14:textId="43E7D8C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w:t>
            </w:r>
            <w:r w:rsidRPr="00CD6FBC">
              <w:rPr>
                <w:rFonts w:ascii="Calibri" w:eastAsia="Times New Roman" w:hAnsi="Calibri" w:cs="Calibri"/>
                <w:color w:val="000000"/>
                <w:sz w:val="18"/>
                <w:szCs w:val="18"/>
                <w:lang w:eastAsia="pl-PL"/>
              </w:rPr>
              <w:br w:type="page"/>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Zbiornikowe</w:t>
            </w:r>
            <w:r w:rsidRPr="00CD6FBC">
              <w:rPr>
                <w:rFonts w:ascii="Calibri" w:eastAsia="Times New Roman" w:hAnsi="Calibri" w:cs="Calibri"/>
                <w:color w:val="000000"/>
                <w:sz w:val="18"/>
                <w:szCs w:val="18"/>
                <w:lang w:eastAsia="pl-PL"/>
              </w:rPr>
              <w:br w:type="page"/>
              <w:t>Rozdz. 3, 5.1. oraz 8.1.</w:t>
            </w:r>
            <w:r w:rsidRPr="00CD6FBC">
              <w:rPr>
                <w:rFonts w:ascii="Calibri" w:eastAsia="Times New Roman" w:hAnsi="Calibri" w:cs="Calibri"/>
                <w:color w:val="000000"/>
                <w:sz w:val="18"/>
                <w:szCs w:val="18"/>
                <w:lang w:eastAsia="pl-PL"/>
              </w:rPr>
              <w:br w:type="page"/>
              <w:t>Zał. 3.1. oraz 8.</w:t>
            </w:r>
            <w:r w:rsidRPr="00CD6FBC">
              <w:rPr>
                <w:rFonts w:ascii="Calibri" w:eastAsia="Times New Roman" w:hAnsi="Calibri" w:cs="Calibri"/>
                <w:color w:val="000000"/>
                <w:sz w:val="18"/>
                <w:szCs w:val="18"/>
                <w:lang w:eastAsia="pl-PL"/>
              </w:rPr>
              <w:br w:type="page"/>
              <w:t>Zał. mapowe</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Treść uwagi:</w:t>
            </w:r>
            <w:r w:rsidRPr="00CD6FBC">
              <w:rPr>
                <w:rFonts w:ascii="Calibri" w:eastAsia="Times New Roman" w:hAnsi="Calibri" w:cs="Calibri"/>
                <w:color w:val="000000"/>
                <w:sz w:val="18"/>
                <w:szCs w:val="18"/>
                <w:lang w:eastAsia="pl-PL"/>
              </w:rPr>
              <w:br w:type="page"/>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1E06EA9C" w14:textId="4468B5F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0A632835" w14:textId="520FE75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ype="page"/>
              <w:t>Takie podejście nie może być usprawiedliwieniem dla znaczących negatywnych zmian w cennych siedliskach związanych z cofkami niektórych zbiorników wodnych.</w:t>
            </w:r>
          </w:p>
        </w:tc>
        <w:tc>
          <w:tcPr>
            <w:tcW w:w="1918" w:type="dxa"/>
            <w:shd w:val="clear" w:color="auto" w:fill="auto"/>
            <w:hideMark/>
          </w:tcPr>
          <w:p w14:paraId="190A425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399EAE5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1793DB36" w14:textId="24FE8B29" w:rsidR="0085319C" w:rsidRPr="00D426D9"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ype="page"/>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ype="page"/>
              <w:t xml:space="preserve">W zał. </w:t>
            </w:r>
            <w:r w:rsidR="00D426D9" w:rsidRPr="00CD6FBC">
              <w:rPr>
                <w:rFonts w:ascii="Calibri" w:eastAsia="Times New Roman" w:hAnsi="Calibri" w:cs="Calibri"/>
                <w:color w:val="000000"/>
                <w:sz w:val="18"/>
                <w:szCs w:val="18"/>
                <w:lang w:eastAsia="pl-PL"/>
              </w:rPr>
              <w:t>Wartoci graniczne SCW i SZCW</w:t>
            </w:r>
            <w:r w:rsidRPr="00CD6FBC">
              <w:rPr>
                <w:rFonts w:ascii="Calibri" w:eastAsia="Times New Roman" w:hAnsi="Calibri" w:cs="Calibri"/>
                <w:color w:val="000000"/>
                <w:sz w:val="18"/>
                <w:szCs w:val="18"/>
                <w:lang w:eastAsia="pl-PL"/>
              </w:rPr>
              <w:t xml:space="preserve">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547BC548" w14:textId="77777777" w:rsidTr="00CD6FBC">
        <w:trPr>
          <w:trHeight w:val="454"/>
        </w:trPr>
        <w:tc>
          <w:tcPr>
            <w:tcW w:w="562" w:type="dxa"/>
            <w:shd w:val="clear" w:color="auto" w:fill="auto"/>
            <w:hideMark/>
          </w:tcPr>
          <w:p w14:paraId="1B745AA4"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382</w:t>
            </w:r>
          </w:p>
        </w:tc>
        <w:tc>
          <w:tcPr>
            <w:tcW w:w="1021" w:type="dxa"/>
            <w:shd w:val="clear" w:color="auto" w:fill="auto"/>
          </w:tcPr>
          <w:p w14:paraId="6D7CCC99" w14:textId="1233F69F"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Ryszard Babiasz</w:t>
            </w:r>
          </w:p>
        </w:tc>
        <w:tc>
          <w:tcPr>
            <w:tcW w:w="1630" w:type="dxa"/>
            <w:shd w:val="clear" w:color="auto" w:fill="auto"/>
            <w:hideMark/>
          </w:tcPr>
          <w:p w14:paraId="1AA882FE" w14:textId="7923E38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4DB61799" w14:textId="05677A5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w:t>
            </w:r>
            <w:r w:rsidRPr="00CD6FBC">
              <w:rPr>
                <w:rFonts w:ascii="Calibri" w:eastAsia="Times New Roman" w:hAnsi="Calibri" w:cs="Calibri"/>
                <w:color w:val="000000"/>
                <w:sz w:val="18"/>
                <w:szCs w:val="18"/>
                <w:lang w:eastAsia="pl-PL"/>
              </w:rPr>
              <w:br/>
              <w:t>Rozdz. 3.1.SZCW</w:t>
            </w:r>
            <w:r w:rsidRPr="00CD6FBC">
              <w:rPr>
                <w:rFonts w:ascii="Calibri" w:eastAsia="Times New Roman" w:hAnsi="Calibri" w:cs="Calibri"/>
                <w:color w:val="000000"/>
                <w:sz w:val="18"/>
                <w:szCs w:val="18"/>
                <w:lang w:eastAsia="pl-PL"/>
              </w:rPr>
              <w:br/>
              <w:t>Treść uwagi:</w:t>
            </w:r>
            <w:r w:rsidRPr="00CD6FBC">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Zgodnie z dokumentem</w:t>
            </w:r>
            <w:r w:rsidRPr="00CD6FBC">
              <w:rPr>
                <w:rFonts w:ascii="Calibri" w:eastAsia="Times New Roman" w:hAnsi="Calibri" w:cs="Calibri"/>
                <w:color w:val="000000"/>
                <w:sz w:val="18"/>
                <w:szCs w:val="18"/>
                <w:lang w:eastAsia="pl-PL"/>
              </w:rPr>
              <w:br/>
              <w:t>DOKUMENT ROBOCZY SŁUŻB KOMISJI Drugie plany gospodarowania wodami w dorzeczu – państwo członkowskie: Polska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t>Zalecenie z 2012 r.:</w:t>
            </w:r>
            <w:r w:rsidRPr="00CD6FBC">
              <w:rPr>
                <w:rFonts w:ascii="Calibri" w:eastAsia="Times New Roman" w:hAnsi="Calibri" w:cs="Calibri"/>
                <w:color w:val="000000"/>
                <w:sz w:val="18"/>
                <w:szCs w:val="18"/>
                <w:lang w:eastAsia="pl-PL"/>
              </w:rPr>
              <w:br/>
              <w:t>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w:t>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Jeśli zaś, zachodzi niepewność, co do możliwości wyznaczenia SZCW, wyznaczenie takie było nieuprawnione.</w:t>
            </w:r>
          </w:p>
        </w:tc>
        <w:tc>
          <w:tcPr>
            <w:tcW w:w="3377" w:type="dxa"/>
            <w:shd w:val="clear" w:color="auto" w:fill="auto"/>
            <w:hideMark/>
          </w:tcPr>
          <w:p w14:paraId="5DB433CE" w14:textId="1D5B573B"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 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401" w:type="dxa"/>
            <w:shd w:val="clear" w:color="auto" w:fill="auto"/>
            <w:hideMark/>
          </w:tcPr>
          <w:p w14:paraId="65343CE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2011464F"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1C2F6C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F810A7A" w14:textId="0B2619AA" w:rsidR="0085319C" w:rsidRPr="00D426D9"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D426D9" w:rsidRPr="00CD6FBC">
              <w:rPr>
                <w:rFonts w:ascii="Calibri" w:eastAsia="Times New Roman" w:hAnsi="Calibri" w:cs="Calibri"/>
                <w:color w:val="000000"/>
                <w:sz w:val="18"/>
                <w:szCs w:val="18"/>
                <w:lang w:eastAsia="pl-PL"/>
              </w:rPr>
              <w:t>Wartości graniczne SCW i SZCW</w:t>
            </w:r>
            <w:r w:rsidRPr="00CD6FBC">
              <w:rPr>
                <w:rFonts w:ascii="Calibri" w:eastAsia="Times New Roman" w:hAnsi="Calibri" w:cs="Calibri"/>
                <w:color w:val="000000"/>
                <w:sz w:val="18"/>
                <w:szCs w:val="18"/>
                <w:lang w:eastAsia="pl-PL"/>
              </w:rPr>
              <w:t xml:space="preserve">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295907F7" w14:textId="77777777" w:rsidTr="00E92AE6">
        <w:trPr>
          <w:trHeight w:val="454"/>
        </w:trPr>
        <w:tc>
          <w:tcPr>
            <w:tcW w:w="562" w:type="dxa"/>
            <w:shd w:val="clear" w:color="auto" w:fill="auto"/>
            <w:hideMark/>
          </w:tcPr>
          <w:p w14:paraId="2B4C48A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383</w:t>
            </w:r>
          </w:p>
        </w:tc>
        <w:tc>
          <w:tcPr>
            <w:tcW w:w="1021" w:type="dxa"/>
          </w:tcPr>
          <w:p w14:paraId="15CE0615" w14:textId="6E88EE6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791BCB70" w14:textId="555955E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A5891B5" w14:textId="455ABAD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3.1.SZCW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2.1.) nie jest prawidłowym utworzenie jednej dużej SZCW z mniejszych o mieszanym statucie.</w:t>
            </w:r>
            <w:r w:rsidRPr="005E78BB">
              <w:rPr>
                <w:rFonts w:ascii="Calibri" w:eastAsia="Times New Roman" w:hAnsi="Calibri" w:cs="Calibri"/>
                <w:color w:val="000000"/>
                <w:sz w:val="18"/>
                <w:szCs w:val="18"/>
                <w:lang w:eastAsia="pl-PL"/>
              </w:rPr>
              <w:br/>
              <w:t xml:space="preserve">Przykładem mogą być tutaj dwie górskie rzeki Łososina i Stradomka.Obie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72DA96B5" w14:textId="0A63C68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46D4824F" w14:textId="1670AE6F" w:rsidR="0085319C" w:rsidRPr="005E78BB" w:rsidRDefault="0085319C" w:rsidP="0085319C">
            <w:pPr>
              <w:ind w:firstLine="0"/>
              <w:jc w:val="left"/>
              <w:rPr>
                <w:rFonts w:ascii="Calibri" w:eastAsia="Times New Roman" w:hAnsi="Calibri" w:cs="Calibri"/>
                <w:color w:val="000000"/>
                <w:sz w:val="18"/>
                <w:szCs w:val="18"/>
                <w:lang w:eastAsia="pl-PL"/>
              </w:rPr>
            </w:pP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6197E1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AB491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C37F259" w14:textId="345DB1B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1196F98B" w14:textId="77777777" w:rsidTr="00E92AE6">
        <w:trPr>
          <w:trHeight w:val="454"/>
        </w:trPr>
        <w:tc>
          <w:tcPr>
            <w:tcW w:w="562" w:type="dxa"/>
            <w:shd w:val="clear" w:color="auto" w:fill="auto"/>
            <w:hideMark/>
          </w:tcPr>
          <w:p w14:paraId="57935B1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384</w:t>
            </w:r>
          </w:p>
        </w:tc>
        <w:tc>
          <w:tcPr>
            <w:tcW w:w="1021" w:type="dxa"/>
          </w:tcPr>
          <w:p w14:paraId="7FA36CAC" w14:textId="162DD70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230FD30" w14:textId="7F2E0E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C6DF1F4" w14:textId="3DF2D8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Rozdz 3.1. SZCW Wyznaczenie SZCW niezgodnie z metodyką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w:t>
            </w:r>
            <w:r w:rsidRPr="005E78BB">
              <w:rPr>
                <w:rFonts w:ascii="Calibri" w:eastAsia="Times New Roman" w:hAnsi="Calibri" w:cs="Calibri"/>
                <w:color w:val="000000"/>
                <w:sz w:val="18"/>
                <w:szCs w:val="18"/>
                <w:lang w:eastAsia="pl-PL"/>
              </w:rPr>
              <w:br w:type="page"/>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RW20001229199Wisła od Zgłowiączki do Brdy RW2000122939 Wisła od Brdy do Wdy RW20001229991Wisła od Wdy do Przekopu Wisły</w:t>
            </w:r>
            <w:r w:rsidRPr="005E78BB">
              <w:rPr>
                <w:rFonts w:ascii="Calibri" w:eastAsia="Times New Roman" w:hAnsi="Calibri" w:cs="Calibri"/>
                <w:color w:val="000000"/>
                <w:sz w:val="18"/>
                <w:szCs w:val="18"/>
                <w:lang w:eastAsia="pl-PL"/>
              </w:rPr>
              <w:br w:type="page"/>
              <w:t>W opisie przyczyny wyznaczenia (Zal. 1 Zestawienie Główne) widnieje: „Korekta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type="page"/>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w:t>
            </w:r>
            <w:r w:rsidRPr="005E78BB">
              <w:rPr>
                <w:rFonts w:ascii="Calibri" w:eastAsia="Times New Roman" w:hAnsi="Calibri" w:cs="Calibri"/>
                <w:color w:val="000000"/>
                <w:sz w:val="18"/>
                <w:szCs w:val="18"/>
                <w:lang w:eastAsia="pl-PL"/>
              </w:rPr>
              <w:br w:type="page"/>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50E7FD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 RW20001229199Wisła od Zgłowiączki do Brdy RW2000122939 Wisła od Brdy do Wdy</w:t>
            </w:r>
            <w:r w:rsidRPr="005E78BB">
              <w:rPr>
                <w:rFonts w:ascii="Calibri" w:eastAsia="Times New Roman" w:hAnsi="Calibri" w:cs="Calibri"/>
                <w:color w:val="000000"/>
                <w:sz w:val="18"/>
                <w:szCs w:val="18"/>
                <w:lang w:eastAsia="pl-PL"/>
              </w:rPr>
              <w:br w:type="page"/>
              <w:t>RW20001229991Wisła od Wdy do Przekopu Wisły</w:t>
            </w:r>
            <w:r w:rsidRPr="005E78BB">
              <w:rPr>
                <w:rFonts w:ascii="Calibri" w:eastAsia="Times New Roman" w:hAnsi="Calibri" w:cs="Calibri"/>
                <w:color w:val="000000"/>
                <w:sz w:val="18"/>
                <w:szCs w:val="18"/>
                <w:lang w:eastAsia="pl-PL"/>
              </w:rPr>
              <w:br w:type="page"/>
              <w:t>naturalny status wody (NAT).</w:t>
            </w:r>
          </w:p>
        </w:tc>
        <w:tc>
          <w:tcPr>
            <w:tcW w:w="3401" w:type="dxa"/>
            <w:shd w:val="clear" w:color="auto" w:fill="auto"/>
            <w:hideMark/>
          </w:tcPr>
          <w:p w14:paraId="6EF3F115" w14:textId="389A126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type="page"/>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1F74A2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88DA3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CBD3494" w14:textId="420808A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429E8D6F" w14:textId="77777777" w:rsidTr="00E92AE6">
        <w:trPr>
          <w:trHeight w:val="454"/>
        </w:trPr>
        <w:tc>
          <w:tcPr>
            <w:tcW w:w="562" w:type="dxa"/>
            <w:shd w:val="clear" w:color="auto" w:fill="auto"/>
            <w:hideMark/>
          </w:tcPr>
          <w:p w14:paraId="67F012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385</w:t>
            </w:r>
          </w:p>
        </w:tc>
        <w:tc>
          <w:tcPr>
            <w:tcW w:w="1021" w:type="dxa"/>
          </w:tcPr>
          <w:p w14:paraId="2B0ED2B9" w14:textId="77A0096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70643357" w14:textId="29870D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F127FE0" w14:textId="6CA8686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5 Monitoring</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w:t>
            </w:r>
          </w:p>
        </w:tc>
        <w:tc>
          <w:tcPr>
            <w:tcW w:w="3377" w:type="dxa"/>
            <w:shd w:val="clear" w:color="auto" w:fill="auto"/>
            <w:hideMark/>
          </w:tcPr>
          <w:p w14:paraId="13C091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5DA69F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5C3FAB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AF04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48EC51" w14:textId="7B171B2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54214E4F" w14:textId="77777777" w:rsidTr="00E92AE6">
        <w:trPr>
          <w:trHeight w:val="454"/>
        </w:trPr>
        <w:tc>
          <w:tcPr>
            <w:tcW w:w="562" w:type="dxa"/>
            <w:shd w:val="clear" w:color="auto" w:fill="auto"/>
            <w:hideMark/>
          </w:tcPr>
          <w:p w14:paraId="57A4A30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386</w:t>
            </w:r>
          </w:p>
        </w:tc>
        <w:tc>
          <w:tcPr>
            <w:tcW w:w="1021" w:type="dxa"/>
          </w:tcPr>
          <w:p w14:paraId="6BB28DE2" w14:textId="5196968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011F2B9C" w14:textId="7E67A4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3D8C0C9" w14:textId="708211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5 Monitoring</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1⁄4 jezior nie jest monitorowana.</w:t>
            </w:r>
          </w:p>
        </w:tc>
        <w:tc>
          <w:tcPr>
            <w:tcW w:w="3377" w:type="dxa"/>
            <w:shd w:val="clear" w:color="auto" w:fill="auto"/>
            <w:hideMark/>
          </w:tcPr>
          <w:p w14:paraId="4D68B2F1" w14:textId="6921FC3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44A597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1FAAAC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A5E6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476943B" w14:textId="24AF0C1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 xml:space="preserve">Monitoring, w tym ustalenia sieci monitoringu to obszary odpowiedzialności GIOŚ, IIaPGW nie jest dokumentem ustalającym sieć monitoringu.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Przy projektowaniu sieci monitoringu wykorzystuje się także aktualne wykazy obszarów chronionych. 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w:t>
            </w:r>
          </w:p>
        </w:tc>
      </w:tr>
      <w:tr w:rsidR="0085319C" w:rsidRPr="005E78BB" w14:paraId="2BF3EB3A" w14:textId="77777777" w:rsidTr="00E92AE6">
        <w:trPr>
          <w:trHeight w:val="454"/>
        </w:trPr>
        <w:tc>
          <w:tcPr>
            <w:tcW w:w="562" w:type="dxa"/>
            <w:shd w:val="clear" w:color="auto" w:fill="auto"/>
            <w:hideMark/>
          </w:tcPr>
          <w:p w14:paraId="1CC6135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387</w:t>
            </w:r>
          </w:p>
        </w:tc>
        <w:tc>
          <w:tcPr>
            <w:tcW w:w="1021" w:type="dxa"/>
          </w:tcPr>
          <w:p w14:paraId="028B320A" w14:textId="1919A3A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5C224C87" w14:textId="70CF3C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ADEBEF8" w14:textId="67C14DB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5 Monitoring</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1⁄4 jezior nie jest monitorowana.</w:t>
            </w:r>
          </w:p>
        </w:tc>
        <w:tc>
          <w:tcPr>
            <w:tcW w:w="3377" w:type="dxa"/>
            <w:shd w:val="clear" w:color="auto" w:fill="auto"/>
            <w:hideMark/>
          </w:tcPr>
          <w:p w14:paraId="3E510776" w14:textId="1248E7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45980B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750826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4ABCE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20D0B7" w14:textId="53968A4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65CE08D" w14:textId="77777777" w:rsidTr="00E92AE6">
        <w:trPr>
          <w:trHeight w:val="454"/>
        </w:trPr>
        <w:tc>
          <w:tcPr>
            <w:tcW w:w="562" w:type="dxa"/>
            <w:shd w:val="clear" w:color="auto" w:fill="auto"/>
            <w:hideMark/>
          </w:tcPr>
          <w:p w14:paraId="4793D56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388</w:t>
            </w:r>
          </w:p>
        </w:tc>
        <w:tc>
          <w:tcPr>
            <w:tcW w:w="1021" w:type="dxa"/>
          </w:tcPr>
          <w:p w14:paraId="198A492C" w14:textId="07A89CC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721E3C6" w14:textId="1E5FDFA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A2BFD97" w14:textId="16FD329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Streszczenie niespecjalistyczne; IIaPGW Rozdział 7, 8, 9</w:t>
            </w:r>
            <w:r w:rsidRPr="005E78BB">
              <w:rPr>
                <w:rFonts w:ascii="Calibri" w:eastAsia="Times New Roman" w:hAnsi="Calibri" w:cs="Calibri"/>
                <w:color w:val="000000"/>
                <w:sz w:val="18"/>
                <w:szCs w:val="18"/>
                <w:lang w:eastAsia="pl-PL"/>
              </w:rPr>
              <w:br w:type="page"/>
              <w:t>Presja, Cele środowiskowe,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04AC81D2" w14:textId="1752923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w:t>
            </w:r>
            <w:r w:rsidRPr="005E78BB">
              <w:rPr>
                <w:rFonts w:ascii="Calibri" w:eastAsia="Times New Roman" w:hAnsi="Calibri" w:cs="Calibri"/>
                <w:color w:val="000000"/>
                <w:sz w:val="18"/>
                <w:szCs w:val="18"/>
                <w:lang w:eastAsia="pl-PL"/>
              </w:rPr>
              <w:br w:type="page"/>
              <w:t>Należy wykreślić z planów IIaPGW, PPSS i aPZRP, i im podobnych z zakresu gospodarki wodnej, te działania które powodują dalsze przekształcenia hydromorfologiczne, a które już teraz nie zostały zweryfikowane pod kątem oddziaływania na stan wód. Bezwzględnie należy usunąć tego typu działania z listy działań ochronnych IIaPGW (PPSS, mała retencja leśna).</w:t>
            </w:r>
          </w:p>
        </w:tc>
        <w:tc>
          <w:tcPr>
            <w:tcW w:w="3401" w:type="dxa"/>
            <w:shd w:val="clear" w:color="auto" w:fill="auto"/>
            <w:hideMark/>
          </w:tcPr>
          <w:p w14:paraId="68FD01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4D2C65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4099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84CD38F" w14:textId="5E209FF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ype="page"/>
              <w:t>• dokonanych zmian legislacyjnych w zakresie klasyfikacji stanu jcw w okresie 2011-2019;</w:t>
            </w:r>
            <w:r w:rsidRPr="005E78BB">
              <w:rPr>
                <w:rFonts w:ascii="Calibri" w:eastAsia="Times New Roman" w:hAnsi="Calibri" w:cs="Calibri"/>
                <w:color w:val="000000"/>
                <w:sz w:val="18"/>
                <w:szCs w:val="18"/>
                <w:lang w:eastAsia="pl-PL"/>
              </w:rPr>
              <w:br w:type="page"/>
              <w:t>• celów środowiskowych przydzielonych do poszczególnych jcw w poprzednich cyklach planistycznych;</w:t>
            </w:r>
            <w:r w:rsidRPr="005E78BB">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ype="page"/>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ype="page"/>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ype="page"/>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ype="page"/>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353EEA86" w14:textId="77777777" w:rsidTr="00E92AE6">
        <w:trPr>
          <w:trHeight w:val="454"/>
        </w:trPr>
        <w:tc>
          <w:tcPr>
            <w:tcW w:w="562" w:type="dxa"/>
            <w:shd w:val="clear" w:color="auto" w:fill="auto"/>
            <w:hideMark/>
          </w:tcPr>
          <w:p w14:paraId="641F65A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389</w:t>
            </w:r>
          </w:p>
        </w:tc>
        <w:tc>
          <w:tcPr>
            <w:tcW w:w="1021" w:type="dxa"/>
          </w:tcPr>
          <w:p w14:paraId="6B61C909" w14:textId="6A9461D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16662F06" w14:textId="0B9A746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926AF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9</w:t>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0C27B5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IIaPGW należy uzupełnić o stopień wykonania działań z aPWŚK w dorzeczu Wisły w odniesieniu do wszystkich kategorii i grup.</w:t>
            </w:r>
          </w:p>
        </w:tc>
        <w:tc>
          <w:tcPr>
            <w:tcW w:w="3401" w:type="dxa"/>
            <w:shd w:val="clear" w:color="auto" w:fill="auto"/>
            <w:hideMark/>
          </w:tcPr>
          <w:p w14:paraId="6A75DC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469DC2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D3ED3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531AFB" w14:textId="4EB8332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11CA1E63" w14:textId="77777777" w:rsidTr="00E92AE6">
        <w:trPr>
          <w:trHeight w:val="454"/>
        </w:trPr>
        <w:tc>
          <w:tcPr>
            <w:tcW w:w="562" w:type="dxa"/>
            <w:shd w:val="clear" w:color="auto" w:fill="auto"/>
            <w:hideMark/>
          </w:tcPr>
          <w:p w14:paraId="49B7DA4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390</w:t>
            </w:r>
          </w:p>
        </w:tc>
        <w:tc>
          <w:tcPr>
            <w:tcW w:w="1021" w:type="dxa"/>
          </w:tcPr>
          <w:p w14:paraId="0752A9BE" w14:textId="5979D76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205CBCC6" w14:textId="1DDD80D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0C2C9FA" w14:textId="7527AC3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10 Działania 2aPGW KPRWP – raport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w:t>
            </w:r>
            <w:r w:rsidRPr="005E78BB">
              <w:rPr>
                <w:rFonts w:ascii="Calibri" w:eastAsia="Times New Roman" w:hAnsi="Calibri" w:cs="Calibri"/>
                <w:color w:val="000000"/>
                <w:sz w:val="18"/>
                <w:szCs w:val="18"/>
                <w:lang w:eastAsia="pl-PL"/>
              </w:rPr>
              <w:br/>
              <w:t xml:space="preserve">  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w:t>
            </w:r>
            <w:r w:rsidRPr="005E78BB">
              <w:rPr>
                <w:rFonts w:ascii="Calibri" w:eastAsia="Times New Roman" w:hAnsi="Calibri" w:cs="Calibri"/>
                <w:color w:val="000000"/>
                <w:sz w:val="18"/>
                <w:szCs w:val="18"/>
                <w:lang w:eastAsia="pl-PL"/>
              </w:rPr>
              <w:br/>
              <w:t xml:space="preserve">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w:t>
            </w:r>
            <w:r w:rsidRPr="005E78BB">
              <w:rPr>
                <w:rFonts w:ascii="Calibri" w:eastAsia="Times New Roman" w:hAnsi="Calibri" w:cs="Calibri"/>
                <w:color w:val="000000"/>
                <w:sz w:val="18"/>
                <w:szCs w:val="18"/>
                <w:lang w:eastAsia="pl-PL"/>
              </w:rPr>
              <w:br/>
              <w:t xml:space="preserve">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w:t>
            </w:r>
            <w:r w:rsidRPr="005E78BB">
              <w:rPr>
                <w:rFonts w:ascii="Calibri" w:eastAsia="Times New Roman" w:hAnsi="Calibri" w:cs="Calibri"/>
                <w:color w:val="000000"/>
                <w:sz w:val="18"/>
                <w:szCs w:val="18"/>
                <w:lang w:eastAsia="pl-PL"/>
              </w:rPr>
              <w:br/>
              <w:t xml:space="preserve"> wdrożono w IIaPGW jedynie częściowo. Ponadto, w wyniku</w:t>
            </w:r>
            <w:r w:rsidRPr="005E78BB">
              <w:rPr>
                <w:rFonts w:ascii="Calibri" w:eastAsia="Times New Roman" w:hAnsi="Calibri" w:cs="Calibri"/>
                <w:color w:val="000000"/>
                <w:sz w:val="18"/>
                <w:szCs w:val="18"/>
                <w:lang w:eastAsia="pl-PL"/>
              </w:rPr>
              <w:br/>
              <w:t xml:space="preserve"> planowanych działań w ramach IIaPGW (inwestycje uznane za</w:t>
            </w:r>
            <w:r w:rsidRPr="005E78BB">
              <w:rPr>
                <w:rFonts w:ascii="Calibri" w:eastAsia="Times New Roman" w:hAnsi="Calibri" w:cs="Calibri"/>
                <w:color w:val="000000"/>
                <w:sz w:val="18"/>
                <w:szCs w:val="18"/>
                <w:lang w:eastAsia="pl-PL"/>
              </w:rPr>
              <w:br/>
              <w:t xml:space="preserve"> spełniające przesłanki art. 4.7 RDW), PPSS i aPZRP, dodatkowa presja</w:t>
            </w:r>
            <w:r w:rsidRPr="005E78BB">
              <w:rPr>
                <w:rFonts w:ascii="Calibri" w:eastAsia="Times New Roman" w:hAnsi="Calibri" w:cs="Calibri"/>
                <w:color w:val="000000"/>
                <w:sz w:val="18"/>
                <w:szCs w:val="18"/>
                <w:lang w:eastAsia="pl-PL"/>
              </w:rPr>
              <w:br/>
              <w:t xml:space="preserve">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w:t>
            </w:r>
            <w:r w:rsidRPr="005E78BB">
              <w:rPr>
                <w:rFonts w:ascii="Calibri" w:eastAsia="Times New Roman" w:hAnsi="Calibri" w:cs="Calibri"/>
                <w:color w:val="000000"/>
                <w:sz w:val="18"/>
                <w:szCs w:val="18"/>
                <w:lang w:eastAsia="pl-PL"/>
              </w:rPr>
              <w:br/>
              <w:t xml:space="preserve"> utrzymaniowych. Taki stan rzeczy wymaga nie tylko pełnego wdrożenia</w:t>
            </w:r>
            <w:r w:rsidRPr="005E78BB">
              <w:rPr>
                <w:rFonts w:ascii="Calibri" w:eastAsia="Times New Roman" w:hAnsi="Calibri" w:cs="Calibri"/>
                <w:color w:val="000000"/>
                <w:sz w:val="18"/>
                <w:szCs w:val="18"/>
                <w:lang w:eastAsia="pl-PL"/>
              </w:rPr>
              <w:br/>
              <w:t xml:space="preserve"> KPRWP, ale i jego uzupełnienia.</w:t>
            </w:r>
            <w:r w:rsidRPr="005E78BB">
              <w:rPr>
                <w:rFonts w:ascii="Calibri" w:eastAsia="Times New Roman" w:hAnsi="Calibri" w:cs="Calibri"/>
                <w:color w:val="000000"/>
                <w:sz w:val="18"/>
                <w:szCs w:val="18"/>
                <w:lang w:eastAsia="pl-PL"/>
              </w:rPr>
              <w:br/>
              <w:t xml:space="preserve"> Z powyższego wynika, że KPRWP został potraktowany jako „zestaw</w:t>
            </w:r>
            <w:r w:rsidRPr="005E78BB">
              <w:rPr>
                <w:rFonts w:ascii="Calibri" w:eastAsia="Times New Roman" w:hAnsi="Calibri" w:cs="Calibri"/>
                <w:color w:val="000000"/>
                <w:sz w:val="18"/>
                <w:szCs w:val="18"/>
                <w:lang w:eastAsia="pl-PL"/>
              </w:rPr>
              <w:br/>
              <w:t xml:space="preserve"> działań zalecanych”, a nie podstawa do likwidacji znaczących presji. Jest</w:t>
            </w:r>
            <w:r w:rsidRPr="005E78BB">
              <w:rPr>
                <w:rFonts w:ascii="Calibri" w:eastAsia="Times New Roman" w:hAnsi="Calibri" w:cs="Calibri"/>
                <w:color w:val="000000"/>
                <w:sz w:val="18"/>
                <w:szCs w:val="18"/>
                <w:lang w:eastAsia="pl-PL"/>
              </w:rPr>
              <w:br/>
              <w:t xml:space="preserve"> to niedopuszczalne, szczególnie, że jest to dokument późniejszy,</w:t>
            </w:r>
            <w:r w:rsidRPr="005E78BB">
              <w:rPr>
                <w:rFonts w:ascii="Calibri" w:eastAsia="Times New Roman" w:hAnsi="Calibri" w:cs="Calibri"/>
                <w:color w:val="000000"/>
                <w:sz w:val="18"/>
                <w:szCs w:val="18"/>
                <w:lang w:eastAsia="pl-PL"/>
              </w:rPr>
              <w:br/>
              <w:t xml:space="preserve"> Przegląd i weryfikacja metodyk wyznaczania silnie zmienionych i sztucznych części wód</w:t>
            </w:r>
            <w:r w:rsidRPr="005E78BB">
              <w:rPr>
                <w:rFonts w:ascii="Calibri" w:eastAsia="Times New Roman" w:hAnsi="Calibri" w:cs="Calibri"/>
                <w:color w:val="000000"/>
                <w:sz w:val="18"/>
                <w:szCs w:val="18"/>
                <w:lang w:eastAsia="pl-PL"/>
              </w:rPr>
              <w:br/>
              <w:t xml:space="preserve">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 https://hektarydlanatury.pl/downloads/Raport_dla_WWF_zalaczniki.pdf</w:t>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6BCB51B0" w14:textId="41194D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7209ACEB" w14:textId="1CD0E49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783BA7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9335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6168EFF3" w14:textId="167DF67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21F6E7E4" w14:textId="77777777" w:rsidTr="00E92AE6">
        <w:trPr>
          <w:trHeight w:val="454"/>
        </w:trPr>
        <w:tc>
          <w:tcPr>
            <w:tcW w:w="562" w:type="dxa"/>
            <w:shd w:val="clear" w:color="auto" w:fill="auto"/>
            <w:hideMark/>
          </w:tcPr>
          <w:p w14:paraId="11FC7F0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391</w:t>
            </w:r>
          </w:p>
        </w:tc>
        <w:tc>
          <w:tcPr>
            <w:tcW w:w="1021" w:type="dxa"/>
          </w:tcPr>
          <w:p w14:paraId="761A2CB5" w14:textId="324A99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46D382DB" w14:textId="11970D9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B4FDAFC" w14:textId="0BBD14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Rozdz. 8.1. – 8.4.</w:t>
            </w:r>
            <w:r w:rsidRPr="005E78BB">
              <w:rPr>
                <w:rFonts w:ascii="Calibri" w:eastAsia="Times New Roman" w:hAnsi="Calibri" w:cs="Calibri"/>
                <w:color w:val="000000"/>
                <w:sz w:val="18"/>
                <w:szCs w:val="18"/>
                <w:lang w:eastAsia="pl-PL"/>
              </w:rPr>
              <w:br w:type="page"/>
              <w:t>Art. 4.4. i 4.5.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type="page"/>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0190BDB5" w14:textId="45C1690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p>
        </w:tc>
        <w:tc>
          <w:tcPr>
            <w:tcW w:w="3401" w:type="dxa"/>
            <w:shd w:val="clear" w:color="auto" w:fill="auto"/>
            <w:hideMark/>
          </w:tcPr>
          <w:p w14:paraId="28CA79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A96DA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845BC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51249F" w14:textId="7E487F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8266A60" w14:textId="77777777" w:rsidTr="00E92AE6">
        <w:trPr>
          <w:trHeight w:val="454"/>
        </w:trPr>
        <w:tc>
          <w:tcPr>
            <w:tcW w:w="562" w:type="dxa"/>
            <w:shd w:val="clear" w:color="auto" w:fill="auto"/>
            <w:hideMark/>
          </w:tcPr>
          <w:p w14:paraId="182AE0A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392</w:t>
            </w:r>
          </w:p>
        </w:tc>
        <w:tc>
          <w:tcPr>
            <w:tcW w:w="1021" w:type="dxa"/>
          </w:tcPr>
          <w:p w14:paraId="4E8CB5FE" w14:textId="72FD734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030E3F02" w14:textId="11925F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493D963" w14:textId="7B624D0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w:t>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470784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Poprawić opis odstępstw tak, aby było możliwe sprawdzenie czy jego ustanowienie było właściwe.</w:t>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06733C08" w14:textId="5894F7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w:t>
            </w:r>
          </w:p>
        </w:tc>
        <w:tc>
          <w:tcPr>
            <w:tcW w:w="1918" w:type="dxa"/>
            <w:shd w:val="clear" w:color="auto" w:fill="auto"/>
            <w:hideMark/>
          </w:tcPr>
          <w:p w14:paraId="0DD2B9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81D7F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A76DA6" w14:textId="4D5107F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5E6D4BEA" w14:textId="77777777" w:rsidTr="00E92AE6">
        <w:trPr>
          <w:trHeight w:val="454"/>
        </w:trPr>
        <w:tc>
          <w:tcPr>
            <w:tcW w:w="562" w:type="dxa"/>
            <w:shd w:val="clear" w:color="auto" w:fill="auto"/>
            <w:hideMark/>
          </w:tcPr>
          <w:p w14:paraId="44CB9C0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393</w:t>
            </w:r>
          </w:p>
        </w:tc>
        <w:tc>
          <w:tcPr>
            <w:tcW w:w="1021" w:type="dxa"/>
          </w:tcPr>
          <w:p w14:paraId="27CE4206" w14:textId="003C22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31C9E22E" w14:textId="15F5B4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8F6DF4C" w14:textId="791AFB6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 16, Zał. 6</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projekcie IIaPGW opublikowano listę przedsięwzięć, która zgodnie z art. 436 PW, powinna spełniać w sposób obiektywny kryteria art. 68 PW, czyli spełniać warunki art. 4.7 RDW do udzielenia derogacji.</w:t>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w:t>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Budowa zbiornika Kąty Myscowa – brak dśu, brak udziału społecznego, raport ooś od 2013 do kolejnej poprawy, oddziaływanie na 4 obszary Natura 2000 i park narodowy;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inwestycja spotkała się z odmową uzgodnienia przedsięwzięcia przez RDOŚ w Krakowie poprzedzoną negatywną opinią RROP. Budowa stopnia wodnego w Piszu na rzece Pisie – inwestycja sprzeczna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dla obszaru wyznaczonego dla ochrony zwierząt wodnych o znaczeniu gospodarczym (węgorz).</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 Zestaw kilkunastu inwestycji w dorzeczu Nidy, jak „Udrożnienie</w:t>
            </w:r>
            <w:r w:rsidRPr="005E78BB">
              <w:rPr>
                <w:rFonts w:ascii="Calibri" w:eastAsia="Times New Roman" w:hAnsi="Calibri" w:cs="Calibri"/>
                <w:color w:val="000000"/>
                <w:sz w:val="18"/>
                <w:szCs w:val="18"/>
                <w:lang w:eastAsia="pl-PL"/>
              </w:rPr>
              <w:br/>
              <w:t>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Budowa zbiornika wodnego Wierna Rzeka na rzece Łososinie, na terenie gm. Łopuszno, Piekoszów i Strawczyn – GDOŚ dnia 26 listopada 2020 r. uchylił dśu wydaną przez RDOŚ w Kielcach – decyzja przeoczona przez twórców projekty IIaPGW;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w:t>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21E11F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5478E6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3D38D0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7A78C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1B38120" w14:textId="0085D4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03BBFEB" w14:textId="77777777" w:rsidTr="00E92AE6">
        <w:trPr>
          <w:trHeight w:val="454"/>
        </w:trPr>
        <w:tc>
          <w:tcPr>
            <w:tcW w:w="562" w:type="dxa"/>
            <w:shd w:val="clear" w:color="auto" w:fill="auto"/>
            <w:hideMark/>
          </w:tcPr>
          <w:p w14:paraId="22063F0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394</w:t>
            </w:r>
          </w:p>
        </w:tc>
        <w:tc>
          <w:tcPr>
            <w:tcW w:w="1021" w:type="dxa"/>
          </w:tcPr>
          <w:p w14:paraId="3BFF289B" w14:textId="1E1446C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7AC1249B" w14:textId="2F6EA4E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EA63AA7" w14:textId="218F47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Katalogi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Należy w katalogu działań IIaPGW Adaptacja do zmian klimatu usunąć te działania, które są zgrupowane w pakietach:  Ochrona i zwiększanie retencji na obszarach rolniczych. Ochrona i zwiększanie retencji leśnej.  Zgodnie z opisem załączników IIaPGW (Zał. 7.2. - 1) działania te</w:t>
            </w:r>
            <w:r w:rsidRPr="005E78BB">
              <w:rPr>
                <w:rFonts w:ascii="Calibri" w:eastAsia="Times New Roman" w:hAnsi="Calibri" w:cs="Calibri"/>
                <w:color w:val="000000"/>
                <w:sz w:val="18"/>
                <w:szCs w:val="18"/>
                <w:lang w:eastAsia="pl-PL"/>
              </w:rPr>
              <w:br w:type="page"/>
              <w:t xml:space="preserve">  RWC_01.07 oraz RWC_01.05. to również realizacja konkretnych inwestycji do nich przypisanych.</w:t>
            </w:r>
            <w:r w:rsidRPr="005E78BB">
              <w:rPr>
                <w:rFonts w:ascii="Calibri" w:eastAsia="Times New Roman" w:hAnsi="Calibri" w:cs="Calibri"/>
                <w:color w:val="000000"/>
                <w:sz w:val="18"/>
                <w:szCs w:val="18"/>
                <w:lang w:eastAsia="pl-PL"/>
              </w:rPr>
              <w:br w:type="page"/>
              <w:t>RWC_01.07</w:t>
            </w:r>
            <w:r w:rsidRPr="005E78BB">
              <w:rPr>
                <w:rFonts w:ascii="Calibri" w:eastAsia="Times New Roman" w:hAnsi="Calibri" w:cs="Calibri"/>
                <w:color w:val="000000"/>
                <w:sz w:val="18"/>
                <w:szCs w:val="18"/>
                <w:lang w:eastAsia="pl-PL"/>
              </w:rPr>
              <w:br w:type="page"/>
              <w:t>Realizacja działań wskazanych w etapie I (działanie RWC_01.06.)</w:t>
            </w:r>
            <w:r w:rsidRPr="005E78BB">
              <w:rPr>
                <w:rFonts w:ascii="Calibri" w:eastAsia="Times New Roman" w:hAnsi="Calibri" w:cs="Calibri"/>
                <w:color w:val="000000"/>
                <w:sz w:val="18"/>
                <w:szCs w:val="18"/>
                <w:lang w:eastAsia="pl-PL"/>
              </w:rPr>
              <w:br w:type="page"/>
              <w:t>polegających na zwiększeniu poziomu retencji wody w zlewni w</w:t>
            </w:r>
            <w:r w:rsidRPr="005E78BB">
              <w:rPr>
                <w:rFonts w:ascii="Calibri" w:eastAsia="Times New Roman" w:hAnsi="Calibri" w:cs="Calibri"/>
                <w:color w:val="000000"/>
                <w:sz w:val="18"/>
                <w:szCs w:val="18"/>
                <w:lang w:eastAsia="pl-PL"/>
              </w:rPr>
              <w:br w:type="page"/>
              <w:t>obszarach rolniczych dla ograniczenia wymywania zanieczyszczeń</w:t>
            </w:r>
            <w:r w:rsidRPr="005E78BB">
              <w:rPr>
                <w:rFonts w:ascii="Calibri" w:eastAsia="Times New Roman" w:hAnsi="Calibri" w:cs="Calibri"/>
                <w:color w:val="000000"/>
                <w:sz w:val="18"/>
                <w:szCs w:val="18"/>
                <w:lang w:eastAsia="pl-PL"/>
              </w:rPr>
              <w:br w:type="page"/>
              <w:t>obszarowych w celu poprawy stany wód i osiągnięcia wyznaczonych</w:t>
            </w:r>
            <w:r w:rsidRPr="005E78BB">
              <w:rPr>
                <w:rFonts w:ascii="Calibri" w:eastAsia="Times New Roman" w:hAnsi="Calibri" w:cs="Calibri"/>
                <w:color w:val="000000"/>
                <w:sz w:val="18"/>
                <w:szCs w:val="18"/>
                <w:lang w:eastAsia="pl-PL"/>
              </w:rPr>
              <w:br w:type="page"/>
              <w:t>celów środowiskowych – dobrego stanu wód. Dodatkowo wzrost</w:t>
            </w:r>
            <w:r w:rsidRPr="005E78BB">
              <w:rPr>
                <w:rFonts w:ascii="Calibri" w:eastAsia="Times New Roman" w:hAnsi="Calibri" w:cs="Calibri"/>
                <w:color w:val="000000"/>
                <w:sz w:val="18"/>
                <w:szCs w:val="18"/>
                <w:lang w:eastAsia="pl-PL"/>
              </w:rPr>
              <w:br w:type="page"/>
              <w:t xml:space="preserve">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ype="page"/>
              <w:t>ramach programu PPSS. RWC_01.05.</w:t>
            </w:r>
            <w:r w:rsidRPr="005E78BB">
              <w:rPr>
                <w:rFonts w:ascii="Calibri" w:eastAsia="Times New Roman" w:hAnsi="Calibri" w:cs="Calibri"/>
                <w:color w:val="000000"/>
                <w:sz w:val="18"/>
                <w:szCs w:val="18"/>
                <w:lang w:eastAsia="pl-PL"/>
              </w:rPr>
              <w:br w:type="page"/>
              <w:t>Realizacja działań wskazanych w etapie I (działanie RWC_01.04.)</w:t>
            </w:r>
            <w:r w:rsidRPr="005E78BB">
              <w:rPr>
                <w:rFonts w:ascii="Calibri" w:eastAsia="Times New Roman" w:hAnsi="Calibri" w:cs="Calibri"/>
                <w:color w:val="000000"/>
                <w:sz w:val="18"/>
                <w:szCs w:val="18"/>
                <w:lang w:eastAsia="pl-PL"/>
              </w:rPr>
              <w:br w:type="page"/>
              <w:t>polegających na zwiększeniu poziomu retencji wody w zlewni w</w:t>
            </w:r>
            <w:r w:rsidRPr="005E78BB">
              <w:rPr>
                <w:rFonts w:ascii="Calibri" w:eastAsia="Times New Roman" w:hAnsi="Calibri" w:cs="Calibri"/>
                <w:color w:val="000000"/>
                <w:sz w:val="18"/>
                <w:szCs w:val="18"/>
                <w:lang w:eastAsia="pl-PL"/>
              </w:rPr>
              <w:br w:type="page"/>
              <w:t>obszarach leśnych dla ograniczenia wymywania zanieczyszczeń</w:t>
            </w:r>
            <w:r w:rsidRPr="005E78BB">
              <w:rPr>
                <w:rFonts w:ascii="Calibri" w:eastAsia="Times New Roman" w:hAnsi="Calibri" w:cs="Calibri"/>
                <w:color w:val="000000"/>
                <w:sz w:val="18"/>
                <w:szCs w:val="18"/>
                <w:lang w:eastAsia="pl-PL"/>
              </w:rPr>
              <w:br w:type="page"/>
              <w:t>obszarowych w celu poprawy stany wód i osiągnięcia wyznaczonych</w:t>
            </w:r>
            <w:r w:rsidRPr="005E78BB">
              <w:rPr>
                <w:rFonts w:ascii="Calibri" w:eastAsia="Times New Roman" w:hAnsi="Calibri" w:cs="Calibri"/>
                <w:color w:val="000000"/>
                <w:sz w:val="18"/>
                <w:szCs w:val="18"/>
                <w:lang w:eastAsia="pl-PL"/>
              </w:rPr>
              <w:br w:type="page"/>
              <w:t>celów środowiskowych – dobrego stanu wód. Dodatkowo wzrost</w:t>
            </w:r>
            <w:r w:rsidRPr="005E78BB">
              <w:rPr>
                <w:rFonts w:ascii="Calibri" w:eastAsia="Times New Roman" w:hAnsi="Calibri" w:cs="Calibri"/>
                <w:color w:val="000000"/>
                <w:sz w:val="18"/>
                <w:szCs w:val="18"/>
                <w:lang w:eastAsia="pl-PL"/>
              </w:rPr>
              <w:br w:type="page"/>
              <w:t xml:space="preserve">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ype="page"/>
              <w:t>ramach programu PPSS.</w:t>
            </w:r>
            <w:r w:rsidRPr="005E78BB">
              <w:rPr>
                <w:rFonts w:ascii="Calibri" w:eastAsia="Times New Roman" w:hAnsi="Calibri" w:cs="Calibri"/>
                <w:color w:val="000000"/>
                <w:sz w:val="18"/>
                <w:szCs w:val="18"/>
                <w:lang w:eastAsia="pl-PL"/>
              </w:rPr>
              <w:br w:type="page"/>
              <w:t xml:space="preserve"> Zastosowanie RWC_01.07 (rolnicze) to Budowa oraz przebudowa</w:t>
            </w:r>
            <w:r w:rsidRPr="005E78BB">
              <w:rPr>
                <w:rFonts w:ascii="Calibri" w:eastAsia="Times New Roman" w:hAnsi="Calibri" w:cs="Calibri"/>
                <w:color w:val="000000"/>
                <w:sz w:val="18"/>
                <w:szCs w:val="18"/>
                <w:lang w:eastAsia="pl-PL"/>
              </w:rPr>
              <w:br w:type="page"/>
              <w:t xml:space="preserve"> urządzeń melioracji wodnych dla zwiększania retencji glebowej (w</w:t>
            </w:r>
            <w:r w:rsidRPr="005E78BB">
              <w:rPr>
                <w:rFonts w:ascii="Calibri" w:eastAsia="Times New Roman" w:hAnsi="Calibri" w:cs="Calibri"/>
                <w:color w:val="000000"/>
                <w:sz w:val="18"/>
                <w:szCs w:val="18"/>
                <w:lang w:eastAsia="pl-PL"/>
              </w:rPr>
              <w:br w:type="page"/>
              <w:t xml:space="preserve"> zakresie budowy/przebudowy) oraz inne metody zwiększenia ilości i</w:t>
            </w:r>
            <w:r w:rsidRPr="005E78BB">
              <w:rPr>
                <w:rFonts w:ascii="Calibri" w:eastAsia="Times New Roman" w:hAnsi="Calibri" w:cs="Calibri"/>
                <w:color w:val="000000"/>
                <w:sz w:val="18"/>
                <w:szCs w:val="18"/>
                <w:lang w:eastAsia="pl-PL"/>
              </w:rPr>
              <w:br w:type="page"/>
              <w:t xml:space="preserve"> czasu retencji wód na gruntach rolnych.</w:t>
            </w:r>
            <w:r w:rsidRPr="005E78BB">
              <w:rPr>
                <w:rFonts w:ascii="Calibri" w:eastAsia="Times New Roman" w:hAnsi="Calibri" w:cs="Calibri"/>
                <w:color w:val="000000"/>
                <w:sz w:val="18"/>
                <w:szCs w:val="18"/>
                <w:lang w:eastAsia="pl-PL"/>
              </w:rPr>
              <w:br w:type="page"/>
              <w:t xml:space="preserve"> A implementacja działań leśnych RWC_01.05 ma polegać na realizacji</w:t>
            </w:r>
            <w:r w:rsidRPr="005E78BB">
              <w:rPr>
                <w:rFonts w:ascii="Calibri" w:eastAsia="Times New Roman" w:hAnsi="Calibri" w:cs="Calibri"/>
                <w:color w:val="000000"/>
                <w:sz w:val="18"/>
                <w:szCs w:val="18"/>
                <w:lang w:eastAsia="pl-PL"/>
              </w:rPr>
              <w:br w:type="page"/>
              <w:t xml:space="preserve"> przedsięwzięć w ramach tzw. małej retencji górskiej i nizinnej.</w:t>
            </w:r>
            <w:r w:rsidRPr="005E78BB">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5E78BB">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 zabudowa przeciwerozyjna dróg, szlaków zrywkowych oraz zabezpieczenie obiektów infrastruktury leśnej przed skutkami nadmiernej erozji wodnej związanej z gwałtownymi opadami i spływami wód (m.in. wodospusty, płotki drewniane, kaszyce, narzut kamienny). Są to zwykłe regulacje rzek i potoków płynących np. w sąsiedztwie dróg leśnych wybudowanych wzdłuż cieków.</w:t>
            </w:r>
            <w:r w:rsidRPr="005E78BB">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type="page"/>
              <w:t xml:space="preserve">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 </w:t>
            </w:r>
          </w:p>
        </w:tc>
        <w:tc>
          <w:tcPr>
            <w:tcW w:w="3377" w:type="dxa"/>
            <w:shd w:val="clear" w:color="auto" w:fill="auto"/>
            <w:hideMark/>
          </w:tcPr>
          <w:p w14:paraId="2A250B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p>
        </w:tc>
        <w:tc>
          <w:tcPr>
            <w:tcW w:w="3401" w:type="dxa"/>
            <w:shd w:val="clear" w:color="auto" w:fill="auto"/>
            <w:hideMark/>
          </w:tcPr>
          <w:p w14:paraId="6A3E0B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w:t>
            </w:r>
          </w:p>
        </w:tc>
        <w:tc>
          <w:tcPr>
            <w:tcW w:w="1918" w:type="dxa"/>
            <w:shd w:val="clear" w:color="auto" w:fill="auto"/>
            <w:hideMark/>
          </w:tcPr>
          <w:p w14:paraId="6949EA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3AACC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A6B44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033E88DF" w14:textId="77777777" w:rsidTr="00E92AE6">
        <w:trPr>
          <w:trHeight w:val="454"/>
        </w:trPr>
        <w:tc>
          <w:tcPr>
            <w:tcW w:w="562" w:type="dxa"/>
            <w:shd w:val="clear" w:color="auto" w:fill="auto"/>
            <w:hideMark/>
          </w:tcPr>
          <w:p w14:paraId="6F3E8AD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395</w:t>
            </w:r>
          </w:p>
        </w:tc>
        <w:tc>
          <w:tcPr>
            <w:tcW w:w="1021" w:type="dxa"/>
          </w:tcPr>
          <w:p w14:paraId="24F8DB81" w14:textId="0AECC72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23049441" w14:textId="03C75CD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1B84DE5" w14:textId="6F16AFF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Działania udrożnienia barier migracyjnych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Analiza możliwości likwidacji budowli poprzecznych/przebudowa budowli poprzecznych</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 należy dokonać zmiany na „Analiza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„Monitoring skuteczności istniejących urządzeń do migracji ryb.” i/lub „Kontrola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 „Przebudowa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1690FA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3401" w:type="dxa"/>
            <w:shd w:val="clear" w:color="auto" w:fill="auto"/>
            <w:hideMark/>
          </w:tcPr>
          <w:p w14:paraId="52DC20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61E107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0DCD6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32D7DC4" w14:textId="48DA0DA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6F60486C" w14:textId="77777777" w:rsidTr="00E92AE6">
        <w:trPr>
          <w:trHeight w:val="454"/>
        </w:trPr>
        <w:tc>
          <w:tcPr>
            <w:tcW w:w="562" w:type="dxa"/>
            <w:shd w:val="clear" w:color="auto" w:fill="auto"/>
            <w:hideMark/>
          </w:tcPr>
          <w:p w14:paraId="11157D2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396</w:t>
            </w:r>
          </w:p>
        </w:tc>
        <w:tc>
          <w:tcPr>
            <w:tcW w:w="1021" w:type="dxa"/>
          </w:tcPr>
          <w:p w14:paraId="629FD57C" w14:textId="38A09FC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175903FF" w14:textId="2DE7383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CFB1E81" w14:textId="183C25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Zaniechania i braki mogące skutkować wyginięciem łososia w dorzeczu Wisły ze względu na: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w:t>
            </w:r>
            <w:r w:rsidRPr="005E78BB">
              <w:rPr>
                <w:rFonts w:ascii="Calibri" w:eastAsia="Times New Roman" w:hAnsi="Calibri" w:cs="Calibri"/>
                <w:color w:val="000000"/>
                <w:sz w:val="18"/>
                <w:szCs w:val="18"/>
                <w:lang w:eastAsia="pl-PL"/>
              </w:rPr>
              <w:br/>
              <w:t xml:space="preserve">Brak udrożnienia bariery na rz. Wel w m. Bratian (id budowli 1579) – działanie „Kontrola...” + „Monitoring...” zamiast działań inwestycyjnych –udrożnieniowych. Jest to pierwsze piętrzenie od Drwęcy i jest niedrożne dla ryb dwuśrodowiskowych. Jego udrożnienie jest kluczowe dla łososia (dostęp do tarlisk). Umożliwienie migracji zgodne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obszaru chronionego Natura 2000 „Dolina Drwęcy” oraz dla obszaru wyznaczonego dla ochrony zwierząt wodnych o znaczeniu gospodarczym.</w:t>
            </w:r>
            <w:r w:rsidRPr="005E78BB">
              <w:rPr>
                <w:rFonts w:ascii="Calibri" w:eastAsia="Times New Roman" w:hAnsi="Calibri" w:cs="Calibri"/>
                <w:color w:val="000000"/>
                <w:sz w:val="18"/>
                <w:szCs w:val="18"/>
                <w:lang w:eastAsia="pl-PL"/>
              </w:rPr>
              <w:br/>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w:t>
            </w:r>
            <w:r w:rsidRPr="005E78BB">
              <w:rPr>
                <w:rFonts w:ascii="Calibri" w:eastAsia="Times New Roman" w:hAnsi="Calibri" w:cs="Calibri"/>
                <w:color w:val="000000"/>
                <w:sz w:val="18"/>
                <w:szCs w:val="18"/>
                <w:lang w:eastAsia="pl-PL"/>
              </w:rPr>
              <w:br/>
              <w:t>Wda – brak realizacji działania polegającego na udrożnieniu piętrzenia w m. Kozłowo. Przebudowa budowli kluczowa dla ryb dwuśrodowiskowych – łososi i troci. Budowla ma obecnie zapisane działanie „opracowanie wariantowej analizy sposobu udrożnienia budowli piętrzących na odcinku cieku istotnego - Wda wraz ze wskazaniem wariantu do realizacji oraz opracowaniem dokumentacji projektowej” jednak bez realizacji.</w:t>
            </w:r>
            <w:r w:rsidRPr="005E78BB">
              <w:rPr>
                <w:rFonts w:ascii="Calibri" w:eastAsia="Times New Roman" w:hAnsi="Calibri" w:cs="Calibri"/>
                <w:color w:val="000000"/>
                <w:sz w:val="18"/>
                <w:szCs w:val="18"/>
                <w:lang w:eastAsia="pl-PL"/>
              </w:rPr>
              <w:br/>
              <w:t>Łeba – rzeka główna, uchodzi do Morza Bałtyckiego, jednak w IIaPGW przypisana dorzeczu Wisły – brak realizacji działań udrożnieniowych na przegrodach od Lęborka do Staniszewa (na 22 bariery tylko 2 do realizacji działań, reszta ma wpisane: „Ocena wpływu...”. Rzeka bardzo istotna dla ochrony łososiowatych ryb dwuśrodowiskowych. Obecnie jedna z najcenniejszych polskich tarłowych rzek dla troci wędrownej. Wymaga udrożnienia, również zgodnie z celami dla obszarów chronionych dla ochrony zwierząt wodnych o znaczeniu gospodarczym.</w:t>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w:t>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t xml:space="preserve">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 </w:t>
            </w:r>
          </w:p>
        </w:tc>
        <w:tc>
          <w:tcPr>
            <w:tcW w:w="3377" w:type="dxa"/>
            <w:shd w:val="clear" w:color="auto" w:fill="auto"/>
            <w:hideMark/>
          </w:tcPr>
          <w:p w14:paraId="58CE17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t>Dokonać ponownej weryfikacji drożności budowli na podstawie faktycznego stanu budowli, a nie tylko ankietyzacji właściciela lub użytkownika budowli.</w:t>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 xml:space="preserve">Uznać za wymagające udrożnienia budowle, które zostały wskazane jako drożne do 20 kwietnia (dorzecze Narwi). </w:t>
            </w:r>
          </w:p>
        </w:tc>
        <w:tc>
          <w:tcPr>
            <w:tcW w:w="3401" w:type="dxa"/>
            <w:shd w:val="clear" w:color="auto" w:fill="auto"/>
            <w:hideMark/>
          </w:tcPr>
          <w:p w14:paraId="757AD1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03C102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9892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E3D43D6" w14:textId="6CB95B4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676F276D" w14:textId="77777777" w:rsidTr="00E92AE6">
        <w:trPr>
          <w:trHeight w:val="454"/>
        </w:trPr>
        <w:tc>
          <w:tcPr>
            <w:tcW w:w="562" w:type="dxa"/>
            <w:shd w:val="clear" w:color="auto" w:fill="auto"/>
            <w:hideMark/>
          </w:tcPr>
          <w:p w14:paraId="5BC755B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397</w:t>
            </w:r>
          </w:p>
        </w:tc>
        <w:tc>
          <w:tcPr>
            <w:tcW w:w="1021" w:type="dxa"/>
          </w:tcPr>
          <w:p w14:paraId="7BA9FDC1" w14:textId="051F284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15226054" w14:textId="296E65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2D63C1F" w14:textId="77749E7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Działania - udrożnienia</w:t>
            </w:r>
            <w:r w:rsidRPr="005E78BB">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ype="page"/>
              <w:t>Zaniechania i braki mogące skutkować wyginięciem łososia w dorzeczu Wisły ze względu na: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w:t>
            </w:r>
            <w:r w:rsidRPr="005E78BB">
              <w:rPr>
                <w:rFonts w:ascii="Calibri" w:eastAsia="Times New Roman" w:hAnsi="Calibri" w:cs="Calibri"/>
                <w:color w:val="000000"/>
                <w:sz w:val="18"/>
                <w:szCs w:val="18"/>
                <w:lang w:eastAsia="pl-PL"/>
              </w:rPr>
              <w:br w:type="page"/>
              <w:t xml:space="preserve">Brak udrożnienia bariery na rz. Wel w m. Bratian (id budowli 1579) – działanie „Kontrola...” + „Monitoring...” zamiast działań inwestycyjnych –udrożnieniowych. Jest to pierwsze piętrzenie od Drwęcy i jest niedrożne dla ryb dwuśrodowiskowych. Jego udrożnienie jest kluczowe dla łososia (dostęp do tarlisk). Umożliwienie migracji zgodne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obszaru chronionego Natura 2000 „Dolina Drwęcy” oraz dla obszaru wyznaczonego dla ochrony zwierząt wodnych o znaczeniu gospodarczym.</w:t>
            </w:r>
            <w:r w:rsidRPr="005E78BB">
              <w:rPr>
                <w:rFonts w:ascii="Calibri" w:eastAsia="Times New Roman" w:hAnsi="Calibri" w:cs="Calibri"/>
                <w:color w:val="000000"/>
                <w:sz w:val="18"/>
                <w:szCs w:val="18"/>
                <w:lang w:eastAsia="pl-PL"/>
              </w:rPr>
              <w:br w:type="page"/>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ype="page"/>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ype="page"/>
              <w:t>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w:t>
            </w:r>
            <w:r w:rsidRPr="005E78BB">
              <w:rPr>
                <w:rFonts w:ascii="Calibri" w:eastAsia="Times New Roman" w:hAnsi="Calibri" w:cs="Calibri"/>
                <w:color w:val="000000"/>
                <w:sz w:val="18"/>
                <w:szCs w:val="18"/>
                <w:lang w:eastAsia="pl-PL"/>
              </w:rPr>
              <w:br w:type="page"/>
              <w:t>Wda – brak realizacji działania polegającego na udrożnieniu piętrzenia w m. Kozłowo. Przebudowa budowli kluczowa dla ryb dwuśrodowiskowych – łososi i troci. Budowla ma obecnie zapisane działanie „opracowanie wariantowej analizy sposobu udrożnienia budowli piętrzących na odcinku cieku istotnego - Wda wraz ze wskazaniem wariantu do realizacji oraz opracowaniem dokumentacji projektowej” jednak bez realizacji.</w:t>
            </w:r>
            <w:r w:rsidRPr="005E78BB">
              <w:rPr>
                <w:rFonts w:ascii="Calibri" w:eastAsia="Times New Roman" w:hAnsi="Calibri" w:cs="Calibri"/>
                <w:color w:val="000000"/>
                <w:sz w:val="18"/>
                <w:szCs w:val="18"/>
                <w:lang w:eastAsia="pl-PL"/>
              </w:rPr>
              <w:br w:type="page"/>
              <w:t>Łeba – rzeka główna, uchodzi do Morza Bałtyckiego, jednak w IIaPGW przypisana dorzeczu Wisły – brak realizacji działań udrożnieniowych na przegrodach od Lęborka do Staniszewa (na 22 bariery tylko 2 do realizacji działań, reszta ma wpisane: „Ocena wpływu...”. Rzeka bardzo istotna dla ochrony łososiowatych ryb dwuśrodowiskowych. Obecnie jedna z najcenniejszych polskich tarłowych rzek dla troci wędrownej. Wymaga udrożnienia, również zgodnie z celami dla obszarów chronionych dla ochrony zwierząt wodnych o znaczeniu gospodarczym.</w:t>
            </w:r>
            <w:r w:rsidRPr="005E78BB">
              <w:rPr>
                <w:rFonts w:ascii="Calibri" w:eastAsia="Times New Roman" w:hAnsi="Calibri" w:cs="Calibri"/>
                <w:color w:val="000000"/>
                <w:sz w:val="18"/>
                <w:szCs w:val="18"/>
                <w:lang w:eastAsia="pl-PL"/>
              </w:rPr>
              <w:br w:type="page"/>
              <w:t>Zaniechania udrożnienia w skali zlewni:</w:t>
            </w:r>
            <w:r w:rsidRPr="005E78BB">
              <w:rPr>
                <w:rFonts w:ascii="Calibri" w:eastAsia="Times New Roman" w:hAnsi="Calibri" w:cs="Calibri"/>
                <w:color w:val="000000"/>
                <w:sz w:val="18"/>
                <w:szCs w:val="18"/>
                <w:lang w:eastAsia="pl-PL"/>
              </w:rPr>
              <w:br w:type="page"/>
              <w:t>Nida – kilkadziesiąt piętrzeń do udrożnienia w latach 2016-2021 (wpisanych aPWŚK).</w:t>
            </w:r>
            <w:r w:rsidRPr="005E78BB">
              <w:rPr>
                <w:rFonts w:ascii="Calibri" w:eastAsia="Times New Roman" w:hAnsi="Calibri" w:cs="Calibri"/>
                <w:color w:val="000000"/>
                <w:sz w:val="18"/>
                <w:szCs w:val="18"/>
                <w:lang w:eastAsia="pl-PL"/>
              </w:rPr>
              <w:br w:type="page"/>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w:t>
            </w:r>
            <w:r w:rsidRPr="005E78BB">
              <w:rPr>
                <w:rFonts w:ascii="Calibri" w:eastAsia="Times New Roman" w:hAnsi="Calibri" w:cs="Calibri"/>
                <w:color w:val="000000"/>
                <w:sz w:val="18"/>
                <w:szCs w:val="18"/>
                <w:lang w:eastAsia="pl-PL"/>
              </w:rPr>
              <w:br w:type="page"/>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ype="page"/>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ype="page"/>
              <w:t>Inne sprzeczne z celami i zadaniami dla obszarów Natura 2000:</w:t>
            </w:r>
            <w:r w:rsidRPr="005E78BB">
              <w:rPr>
                <w:rFonts w:ascii="Calibri" w:eastAsia="Times New Roman" w:hAnsi="Calibri" w:cs="Calibri"/>
                <w:color w:val="000000"/>
                <w:sz w:val="18"/>
                <w:szCs w:val="18"/>
                <w:lang w:eastAsia="pl-PL"/>
              </w:rPr>
              <w:br w:type="page"/>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ype="page"/>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ype="page"/>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ype="page"/>
              <w:t>Inne obszary chronione:</w:t>
            </w:r>
            <w:r w:rsidRPr="005E78BB">
              <w:rPr>
                <w:rFonts w:ascii="Calibri" w:eastAsia="Times New Roman" w:hAnsi="Calibri" w:cs="Calibri"/>
                <w:color w:val="000000"/>
                <w:sz w:val="18"/>
                <w:szCs w:val="18"/>
                <w:lang w:eastAsia="pl-PL"/>
              </w:rPr>
              <w:br w:type="page"/>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ype="page"/>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ype="page"/>
              <w:t>Czarna Staszowska – w zestawieniu głównym jest drożność do Zb. Chańcza, ale brak jakichkolwiek działań na konkretnych barierach w zał. 4.</w:t>
            </w:r>
            <w:r w:rsidRPr="005E78BB">
              <w:rPr>
                <w:rFonts w:ascii="Calibri" w:eastAsia="Times New Roman" w:hAnsi="Calibri" w:cs="Calibri"/>
                <w:color w:val="000000"/>
                <w:sz w:val="18"/>
                <w:szCs w:val="18"/>
                <w:lang w:eastAsia="pl-PL"/>
              </w:rPr>
              <w:br w:type="page"/>
              <w:t>Niezgodność z zapisami dla ochrony ryb ważnych gospodarczo:</w:t>
            </w:r>
            <w:r w:rsidRPr="005E78BB">
              <w:rPr>
                <w:rFonts w:ascii="Calibri" w:eastAsia="Times New Roman" w:hAnsi="Calibri" w:cs="Calibri"/>
                <w:color w:val="000000"/>
                <w:sz w:val="18"/>
                <w:szCs w:val="18"/>
                <w:lang w:eastAsia="pl-PL"/>
              </w:rPr>
              <w:br w:type="page"/>
              <w:t>Pasłęka w Braniewie (niesprawna przepławka),</w:t>
            </w:r>
            <w:r w:rsidRPr="005E78BB">
              <w:rPr>
                <w:rFonts w:ascii="Calibri" w:eastAsia="Times New Roman" w:hAnsi="Calibri" w:cs="Calibri"/>
                <w:color w:val="000000"/>
                <w:sz w:val="18"/>
                <w:szCs w:val="18"/>
                <w:lang w:eastAsia="pl-PL"/>
              </w:rPr>
              <w:br w:type="page"/>
              <w:t>Pasłęka w Zb Pierzchały – brak działań na zaporze zbiornika,</w:t>
            </w:r>
            <w:r w:rsidRPr="005E78BB">
              <w:rPr>
                <w:rFonts w:ascii="Calibri" w:eastAsia="Times New Roman" w:hAnsi="Calibri" w:cs="Calibri"/>
                <w:color w:val="000000"/>
                <w:sz w:val="18"/>
                <w:szCs w:val="18"/>
                <w:lang w:eastAsia="pl-PL"/>
              </w:rPr>
              <w:br w:type="page"/>
              <w:t>Pasłęka w Kasztanowie – jaz dla elektrowni – jest niedrożny dla ryb i nie przewidziano przebudowy w IIaPGW, miejsce istotne do udrożonienia dla ochrony troci wędrownej i węgorza,</w:t>
            </w:r>
            <w:r w:rsidRPr="005E78BB">
              <w:rPr>
                <w:rFonts w:ascii="Calibri" w:eastAsia="Times New Roman" w:hAnsi="Calibri" w:cs="Calibri"/>
                <w:color w:val="000000"/>
                <w:sz w:val="18"/>
                <w:szCs w:val="18"/>
                <w:lang w:eastAsia="pl-PL"/>
              </w:rPr>
              <w:br w:type="page"/>
              <w:t xml:space="preserve">Wąska – celem ochrony ryb diadromcznych, rzeka powinna być udrożniona łącznie do piętrzenia o id 1520 – Kupin jaz. Trzy budowle mają obecnie działanie „„Ocena wpływu...” co nie pozwoli osiągnąć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Omulew w Dębowcu – uznana za sprawną przepławka z ponad 1 m piętrzeniem z szandorów, </w:t>
            </w:r>
          </w:p>
        </w:tc>
        <w:tc>
          <w:tcPr>
            <w:tcW w:w="3377" w:type="dxa"/>
            <w:shd w:val="clear" w:color="auto" w:fill="auto"/>
            <w:hideMark/>
          </w:tcPr>
          <w:p w14:paraId="4FCD67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ype="page"/>
              <w:t>Uzupełnić działania inwestycyjne według wymagań dla ryb (kolumny – X-AD w zał. 4 „erraty”).</w:t>
            </w:r>
            <w:r w:rsidRPr="005E78BB">
              <w:rPr>
                <w:rFonts w:ascii="Calibri" w:eastAsia="Times New Roman" w:hAnsi="Calibri" w:cs="Calibri"/>
                <w:color w:val="000000"/>
                <w:sz w:val="18"/>
                <w:szCs w:val="18"/>
                <w:lang w:eastAsia="pl-PL"/>
              </w:rPr>
              <w:br w:type="page"/>
              <w:t>Dokonać ponownej weryfikacji drożności budowli na podstawie faktycznego stanu budowli, a nie tylko ankietyzacji właściciela lub użytkownika budowli.</w:t>
            </w:r>
            <w:r w:rsidRPr="005E78BB">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ype="page"/>
              <w:t xml:space="preserve">Uznać za wymagające udrożnienia budowle, które zostały wskazane jako drożne do 20 kwietnia (dorzecze Narwi). </w:t>
            </w:r>
          </w:p>
        </w:tc>
        <w:tc>
          <w:tcPr>
            <w:tcW w:w="3401" w:type="dxa"/>
            <w:shd w:val="clear" w:color="auto" w:fill="auto"/>
            <w:hideMark/>
          </w:tcPr>
          <w:p w14:paraId="160E24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37A84E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DD60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1DC69C84" w14:textId="2673D6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5A443128" w14:textId="77777777" w:rsidTr="00E92AE6">
        <w:trPr>
          <w:trHeight w:val="454"/>
        </w:trPr>
        <w:tc>
          <w:tcPr>
            <w:tcW w:w="562" w:type="dxa"/>
            <w:shd w:val="clear" w:color="auto" w:fill="auto"/>
            <w:hideMark/>
          </w:tcPr>
          <w:p w14:paraId="2E4878A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398</w:t>
            </w:r>
          </w:p>
        </w:tc>
        <w:tc>
          <w:tcPr>
            <w:tcW w:w="1021" w:type="dxa"/>
          </w:tcPr>
          <w:p w14:paraId="0AF034F5" w14:textId="17591D7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59D0F0BF" w14:textId="6725B5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FB0C1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w:t>
            </w:r>
          </w:p>
        </w:tc>
        <w:tc>
          <w:tcPr>
            <w:tcW w:w="3377" w:type="dxa"/>
            <w:shd w:val="clear" w:color="auto" w:fill="auto"/>
            <w:hideMark/>
          </w:tcPr>
          <w:p w14:paraId="7AFC3D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 </w:t>
            </w:r>
          </w:p>
        </w:tc>
        <w:tc>
          <w:tcPr>
            <w:tcW w:w="3401" w:type="dxa"/>
            <w:shd w:val="clear" w:color="auto" w:fill="auto"/>
            <w:hideMark/>
          </w:tcPr>
          <w:p w14:paraId="39DD41FD" w14:textId="2EE889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t>Inne odbudowy/przebudowy też wymagają weryfikacji, bo mogą wykazywać podobne znaczące negatywne oddziaływania.</w:t>
            </w:r>
          </w:p>
        </w:tc>
        <w:tc>
          <w:tcPr>
            <w:tcW w:w="1918" w:type="dxa"/>
            <w:shd w:val="clear" w:color="auto" w:fill="auto"/>
            <w:hideMark/>
          </w:tcPr>
          <w:p w14:paraId="78395B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B7840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F4E4F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5D5C7266" w14:textId="77777777" w:rsidTr="00E92AE6">
        <w:trPr>
          <w:trHeight w:val="454"/>
        </w:trPr>
        <w:tc>
          <w:tcPr>
            <w:tcW w:w="562" w:type="dxa"/>
            <w:shd w:val="clear" w:color="auto" w:fill="auto"/>
            <w:hideMark/>
          </w:tcPr>
          <w:p w14:paraId="051EA79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399</w:t>
            </w:r>
          </w:p>
        </w:tc>
        <w:tc>
          <w:tcPr>
            <w:tcW w:w="1021" w:type="dxa"/>
          </w:tcPr>
          <w:p w14:paraId="094787D1" w14:textId="50CC006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241CF030" w14:textId="5D62370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537148B" w14:textId="7DF5DAB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Zmiany prawne i administracyjne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Bez zmian prawnych oraz rewizji planów inwestycyjnych wynikających z programów sektorowych – PPSS, PZRP i innych, nie ma możliwości osiągnięcia celów IIaPGW i celów RDW.</w:t>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w:t>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3377" w:type="dxa"/>
            <w:shd w:val="clear" w:color="auto" w:fill="auto"/>
            <w:hideMark/>
          </w:tcPr>
          <w:p w14:paraId="2D1BC7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1DBAA926" w14:textId="6F07A3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w:t>
            </w:r>
          </w:p>
        </w:tc>
        <w:tc>
          <w:tcPr>
            <w:tcW w:w="1918" w:type="dxa"/>
            <w:shd w:val="clear" w:color="auto" w:fill="auto"/>
            <w:hideMark/>
          </w:tcPr>
          <w:p w14:paraId="1CF7E3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CD252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C2DB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073A89B9" w14:textId="77777777" w:rsidTr="00E92AE6">
        <w:trPr>
          <w:trHeight w:val="454"/>
        </w:trPr>
        <w:tc>
          <w:tcPr>
            <w:tcW w:w="562" w:type="dxa"/>
            <w:shd w:val="clear" w:color="auto" w:fill="auto"/>
            <w:hideMark/>
          </w:tcPr>
          <w:p w14:paraId="3E9D99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400</w:t>
            </w:r>
          </w:p>
        </w:tc>
        <w:tc>
          <w:tcPr>
            <w:tcW w:w="1021" w:type="dxa"/>
          </w:tcPr>
          <w:p w14:paraId="567D90A1" w14:textId="3D381C4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6DFDCCC2" w14:textId="07BE06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 xml:space="preserve">SPOŁECZNE / </w:t>
            </w:r>
            <w:r w:rsidRPr="00BC5088">
              <w:rPr>
                <w:rFonts w:ascii="Calibri" w:eastAsia="Times New Roman" w:hAnsi="Calibri" w:cs="Calibri"/>
                <w:color w:val="000000"/>
                <w:sz w:val="18"/>
                <w:szCs w:val="18"/>
                <w:lang w:eastAsia="pl-PL"/>
              </w:rPr>
              <w:t>Konkretne zmiany prawne</w:t>
            </w:r>
          </w:p>
        </w:tc>
        <w:tc>
          <w:tcPr>
            <w:tcW w:w="5663" w:type="dxa"/>
            <w:shd w:val="clear" w:color="auto" w:fill="auto"/>
            <w:hideMark/>
          </w:tcPr>
          <w:p w14:paraId="3CA51727" w14:textId="44D262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ype="page"/>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ype="page"/>
              <w:t>-stosowanie „wytycznych” KDP https://www.gov.pl/web/klimat/katalog- 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ype="page"/>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w:t>
            </w:r>
            <w:r w:rsidRPr="005E78BB">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247603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3401" w:type="dxa"/>
            <w:shd w:val="clear" w:color="auto" w:fill="auto"/>
            <w:hideMark/>
          </w:tcPr>
          <w:p w14:paraId="5E73A7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15F51F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7BB93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06BAD6" w14:textId="623B8EF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5EA75B6B" w14:textId="77777777" w:rsidTr="00E92AE6">
        <w:trPr>
          <w:trHeight w:val="454"/>
        </w:trPr>
        <w:tc>
          <w:tcPr>
            <w:tcW w:w="562" w:type="dxa"/>
            <w:shd w:val="clear" w:color="auto" w:fill="auto"/>
            <w:hideMark/>
          </w:tcPr>
          <w:p w14:paraId="6BC239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401</w:t>
            </w:r>
          </w:p>
        </w:tc>
        <w:tc>
          <w:tcPr>
            <w:tcW w:w="1021" w:type="dxa"/>
          </w:tcPr>
          <w:p w14:paraId="00AFA883" w14:textId="2CA2883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Ryszard Babiasz</w:t>
            </w:r>
          </w:p>
        </w:tc>
        <w:tc>
          <w:tcPr>
            <w:tcW w:w="1630" w:type="dxa"/>
            <w:shd w:val="clear" w:color="auto" w:fill="auto"/>
            <w:hideMark/>
          </w:tcPr>
          <w:p w14:paraId="2ECE4240" w14:textId="1651400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KONSULTACJE SPOŁECZNE / </w:t>
            </w:r>
            <w:r w:rsidRPr="00BC5088">
              <w:rPr>
                <w:rFonts w:ascii="Calibri" w:eastAsia="Times New Roman" w:hAnsi="Calibri" w:cs="Calibri"/>
                <w:color w:val="000000"/>
                <w:sz w:val="18"/>
                <w:szCs w:val="18"/>
                <w:lang w:eastAsia="pl-PL"/>
              </w:rPr>
              <w:t>Zmiany w funkcjonowaniu zarządzania wód</w:t>
            </w:r>
          </w:p>
        </w:tc>
        <w:tc>
          <w:tcPr>
            <w:tcW w:w="5663" w:type="dxa"/>
            <w:shd w:val="clear" w:color="auto" w:fill="auto"/>
            <w:hideMark/>
          </w:tcPr>
          <w:p w14:paraId="39D06253" w14:textId="6DC3B2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0A58D229" w14:textId="7C64AF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0C8337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20FDA3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D6F8F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BD969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60545DA0" w14:textId="77777777" w:rsidTr="00E92AE6">
        <w:trPr>
          <w:trHeight w:val="454"/>
        </w:trPr>
        <w:tc>
          <w:tcPr>
            <w:tcW w:w="562" w:type="dxa"/>
            <w:shd w:val="clear" w:color="auto" w:fill="auto"/>
            <w:hideMark/>
          </w:tcPr>
          <w:p w14:paraId="556B074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402</w:t>
            </w:r>
          </w:p>
        </w:tc>
        <w:tc>
          <w:tcPr>
            <w:tcW w:w="1021" w:type="dxa"/>
          </w:tcPr>
          <w:p w14:paraId="510661E1" w14:textId="72519D4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F40D3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4F65E8E" w14:textId="1DBEE7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w:t>
            </w:r>
            <w:r w:rsidRPr="005E78BB">
              <w:rPr>
                <w:rFonts w:ascii="Calibri" w:eastAsia="Times New Roman" w:hAnsi="Calibri" w:cs="Calibri"/>
                <w:color w:val="000000"/>
                <w:sz w:val="18"/>
                <w:szCs w:val="18"/>
                <w:lang w:eastAsia="pl-PL"/>
              </w:rPr>
              <w:br/>
              <w:t>W kolejnych uwagach przedstawiono szczegółowe odniesienia do ww. obszarów problemowych.</w:t>
            </w:r>
          </w:p>
        </w:tc>
        <w:tc>
          <w:tcPr>
            <w:tcW w:w="3377" w:type="dxa"/>
            <w:shd w:val="clear" w:color="auto" w:fill="auto"/>
            <w:hideMark/>
          </w:tcPr>
          <w:p w14:paraId="7A9628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6D9EA7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7A8EAF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F575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99691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7ED9B878" w14:textId="77777777" w:rsidTr="00E92AE6">
        <w:trPr>
          <w:trHeight w:val="454"/>
        </w:trPr>
        <w:tc>
          <w:tcPr>
            <w:tcW w:w="562" w:type="dxa"/>
            <w:shd w:val="clear" w:color="auto" w:fill="auto"/>
            <w:hideMark/>
          </w:tcPr>
          <w:p w14:paraId="1F98BB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403</w:t>
            </w:r>
          </w:p>
        </w:tc>
        <w:tc>
          <w:tcPr>
            <w:tcW w:w="1021" w:type="dxa"/>
          </w:tcPr>
          <w:p w14:paraId="15B76683" w14:textId="400C40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6A656D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03435F0" w14:textId="46B4271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w:t>
            </w:r>
            <w:r w:rsidRPr="005E78BB">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ype="page"/>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7E0607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p>
        </w:tc>
        <w:tc>
          <w:tcPr>
            <w:tcW w:w="3401" w:type="dxa"/>
            <w:shd w:val="clear" w:color="auto" w:fill="auto"/>
            <w:hideMark/>
          </w:tcPr>
          <w:p w14:paraId="4861BA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ype="page"/>
              <w:t>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w:t>
            </w:r>
          </w:p>
        </w:tc>
        <w:tc>
          <w:tcPr>
            <w:tcW w:w="1918" w:type="dxa"/>
            <w:shd w:val="clear" w:color="auto" w:fill="auto"/>
            <w:hideMark/>
          </w:tcPr>
          <w:p w14:paraId="682BCA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02D1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35BE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099FA9A6" w14:textId="77777777" w:rsidTr="00E92AE6">
        <w:trPr>
          <w:trHeight w:val="454"/>
        </w:trPr>
        <w:tc>
          <w:tcPr>
            <w:tcW w:w="562" w:type="dxa"/>
            <w:shd w:val="clear" w:color="auto" w:fill="auto"/>
            <w:hideMark/>
          </w:tcPr>
          <w:p w14:paraId="0186C57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404</w:t>
            </w:r>
          </w:p>
        </w:tc>
        <w:tc>
          <w:tcPr>
            <w:tcW w:w="1021" w:type="dxa"/>
          </w:tcPr>
          <w:p w14:paraId="50B64977" w14:textId="3108E62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hideMark/>
          </w:tcPr>
          <w:p w14:paraId="4DB972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E7AF3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sidRPr="005E78BB">
              <w:rPr>
                <w:rFonts w:ascii="Calibri" w:eastAsia="Times New Roman" w:hAnsi="Calibri" w:cs="Calibri"/>
                <w:color w:val="000000"/>
                <w:sz w:val="18"/>
                <w:szCs w:val="18"/>
                <w:lang w:eastAsia="pl-PL"/>
              </w:rPr>
              <w:br/>
              <w:t>Uwaga ogólna, dotyczy całości dokumentu II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Na dwa tygodnie przed terminem zakończenia konsultacji społecznych wprowadzono istotne zmiany do treści IIaPGW. W związku z powyższym należało przedłużyć konsultacje co najmniej do 31 października 2021 r.</w:t>
            </w:r>
          </w:p>
        </w:tc>
        <w:tc>
          <w:tcPr>
            <w:tcW w:w="3377" w:type="dxa"/>
            <w:shd w:val="clear" w:color="auto" w:fill="auto"/>
            <w:hideMark/>
          </w:tcPr>
          <w:p w14:paraId="2DD6D8F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Przedłużenie konsultacji społecznych do co najmniej 31 października 2021 r.</w:t>
            </w:r>
          </w:p>
        </w:tc>
        <w:tc>
          <w:tcPr>
            <w:tcW w:w="3401" w:type="dxa"/>
            <w:shd w:val="clear" w:color="auto" w:fill="auto"/>
            <w:hideMark/>
          </w:tcPr>
          <w:p w14:paraId="264DDB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 aktualizacji planów gospodarowania wodami na obszarach dorzeczy prowadzone są na gruncie art. 39 § 1 ustawy z dnia 3 października 2008 r. o udostępnianiu informacji o środowisku i jego ochronie, udziale społeczeństwa w ochronie środowiska oraz o ocenach oddziaływania na środowisko (dalej jako: „o.o.ś.”) oraz art. 319 ust. 4 pkt 3 ustawy z dnia 20 lipca 2017 r. Prawo wodne (dalej jako: „p.w.”). Zgodnie z art. 319 ust. 5 p.w. w terminie 6 miesięcy od dnia podania do publicznej wiadomości dokumentów, o których mowa w ust. 4 (w tym projektu planu gospodarowania wodami na obszarze dorzecza), zainteresowani mogą składać do ministra właściwego do spraw gospodarki wodnej (obecnie Ministra Infrastruktury) pisemne uwagi do ustaleń zawartych w tych dokumentach. Sześciomiesięczny termin rozpoczął się 14 kwietnia 2021 r., w związku z czym konsultacje społeczne trwać mają do dnia 14 października 2021 r. Jednakże, w dniu 30 września 2021 r. – 14 dni przed końcem wyznaczonego terminu do składania uwag i wniosków – ze względu na zajście istotnych zmian, które miały wpływ na treść projektów IIaPGW i w celu zachowania spójności i aktualności projektów IIaPGW, zostały przygotowane i opublikowane „erraty” do projektów IIaPGW. W związku z powyższym, doszło do daleko idących zmian w zapisach projektów i załączników, a w stosunku do kilku dorzeczy, w tym największych – Wisły i Odry – nastąpiło uzupełnienie zapisów IIaPGW aż o dwie kluczowe kwestie, dotyczące obszarów chronionych przeznaczonych do ochrony gatunków zwierząt wodnych o znaczeniu gospodarczym oraz aktualizacji zapisów VIaKPOŚK, które to zmiany obejmują łącznie kilka tysięcy rekordów danych: od nowej listy zadań po zmiany w numeracji konkretnych działań środowiskowych.</w:t>
            </w:r>
            <w:r w:rsidRPr="005E78BB">
              <w:rPr>
                <w:rFonts w:ascii="Calibri" w:eastAsia="Times New Roman" w:hAnsi="Calibri" w:cs="Calibri"/>
                <w:color w:val="000000"/>
                <w:sz w:val="18"/>
                <w:szCs w:val="18"/>
                <w:lang w:eastAsia="pl-PL"/>
              </w:rPr>
              <w:br/>
              <w:t>Biorąc pod uwagę fakt, iż – również w ocenie Ministra Infrastruktury oraz PGW WP – „konsultacje społeczne to najważniejszy etap realizowanego przez Państwowe Gospodarstwo Wodne Wody Polskie projektu II aPGW oraz okazja dla wszystkich zainteresowanych podmiotów i użytkowników wód do wpłynięcia na kierunek gospodarowania wodami także w najbliższej okolicy” (https://www.apgw.gov.pl/pl/konsultacje), termin ten powinien zostać przedłużony o odpowiedni czas, potrzebny na aktywny udział w konsultacjach wszystkich zainteresowanych, tj. na zapoznanie się ze zmianami i przygotowanie dodatkowych wniosków i uwag.</w:t>
            </w:r>
            <w:r w:rsidRPr="005E78BB">
              <w:rPr>
                <w:rFonts w:ascii="Calibri" w:eastAsia="Times New Roman" w:hAnsi="Calibri" w:cs="Calibri"/>
                <w:color w:val="000000"/>
                <w:sz w:val="18"/>
                <w:szCs w:val="18"/>
                <w:lang w:eastAsia="pl-PL"/>
              </w:rPr>
              <w:br/>
              <w:t>Zauważyć należy, że w ustawie Prawo wodne termin 6 miesięcy na składanie pisemnych uwag został wprawdzie ujęty jako termin sztywny, jednakże – zgodnie z art. 14 ust. 2 Dyrektywy 2000/60/WE Parlamentu Europejskiego i Rady z dnia 23 października 2000 r. ustanawiającej ramy wspólnotowego działania w dziedzinie polityki wodnej, Państwa Członkowskie przeznaczają co najmniej 6 miesięcy na składanie pisemnych uwag do tych dokumentów (w tym planów gospodarowania wodami w dorzeczach) w celu zapewnienia aktywnego udziału i konsultacji. W celu więc zapewnienia zgodności polskiej procedury z prawem unijnym, które ustanawia jedynie minimalny, a nie maksymalny termin trwania konsultacji, wniosek o przedłużenie terminu na składanie uwag i wniosków o kilkanaście dni powinien zostać rozpatrzony pozytywnie.</w:t>
            </w:r>
            <w:r w:rsidRPr="005E78BB">
              <w:rPr>
                <w:rFonts w:ascii="Calibri" w:eastAsia="Times New Roman" w:hAnsi="Calibri" w:cs="Calibri"/>
                <w:color w:val="000000"/>
                <w:sz w:val="18"/>
                <w:szCs w:val="18"/>
                <w:lang w:eastAsia="pl-PL"/>
              </w:rPr>
              <w:br/>
              <w:t>Należy również wspomnieć, że problematycznym jest brak przejrzystości w kwestii przenikania się terminów konsultacji społecznych projektów drugiej aktualizacji planów gospodarowania wodami w dorzeczach (IIaPGW) – na podstawie ustawy Prawo wodne (kończących się – zgodnie z informacjami zawartymi pod adresem https://www.apgw.gov.pl/pl/konsultacje w dniu 14 października 2021 r.) z konsultacjami społecznymi projektów IIaPGW wraz z erratami oraz projektów ich prognoz oddziaływania na środowisko, kończących się w dniu 20 października 2021 r. (według informacji opublikowanych pod adresem https://www.apgw.gov.pl/pl/soos). W związku z powyższymi niejasnościami, terminy na składanie uwag i wniosków w ramach obu procedur powinny zostać ujednolicone.</w:t>
            </w:r>
          </w:p>
        </w:tc>
        <w:tc>
          <w:tcPr>
            <w:tcW w:w="1918" w:type="dxa"/>
            <w:shd w:val="clear" w:color="auto" w:fill="auto"/>
            <w:hideMark/>
          </w:tcPr>
          <w:p w14:paraId="13F965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61C0C8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C82E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w:t>
            </w:r>
            <w:r w:rsidRPr="005E78BB">
              <w:rPr>
                <w:rFonts w:ascii="Calibri" w:eastAsia="Times New Roman" w:hAnsi="Calibri" w:cs="Calibri"/>
                <w:color w:val="000000"/>
                <w:sz w:val="18"/>
                <w:szCs w:val="18"/>
                <w:lang w:eastAsia="pl-PL"/>
              </w:rPr>
              <w:br/>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w:t>
            </w:r>
            <w:r w:rsidRPr="005E78BB">
              <w:rPr>
                <w:rFonts w:ascii="Calibri" w:eastAsia="Times New Roman" w:hAnsi="Calibri" w:cs="Calibri"/>
                <w:color w:val="000000"/>
                <w:sz w:val="18"/>
                <w:szCs w:val="18"/>
                <w:lang w:eastAsia="pl-PL"/>
              </w:rPr>
              <w:br/>
              <w:t>w ochronie środowiska oraz o ocenach oddziaływania na środowisko (Dz.U. z 2021 roku poz. 247</w:t>
            </w:r>
            <w:r w:rsidRPr="005E78BB">
              <w:rPr>
                <w:rFonts w:ascii="Calibri" w:eastAsia="Times New Roman" w:hAnsi="Calibri" w:cs="Calibri"/>
                <w:color w:val="000000"/>
                <w:sz w:val="18"/>
                <w:szCs w:val="18"/>
                <w:lang w:eastAsia="pl-PL"/>
              </w:rPr>
              <w:br/>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z prognoz).</w:t>
            </w:r>
            <w:r w:rsidRPr="005E78BB">
              <w:rPr>
                <w:rFonts w:ascii="Calibri" w:eastAsia="Times New Roman" w:hAnsi="Calibri" w:cs="Calibri"/>
                <w:color w:val="000000"/>
                <w:sz w:val="18"/>
                <w:szCs w:val="18"/>
                <w:lang w:eastAsia="pl-PL"/>
              </w:rPr>
              <w:br/>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2. Konsultacje społeczne w ramach SOOŚ wymagane ustawą o udostępnianiu informacji</w:t>
            </w:r>
            <w:r w:rsidRPr="005E78BB">
              <w:rPr>
                <w:rFonts w:ascii="Calibri" w:eastAsia="Times New Roman" w:hAnsi="Calibri" w:cs="Calibri"/>
                <w:color w:val="000000"/>
                <w:sz w:val="18"/>
                <w:szCs w:val="18"/>
                <w:lang w:eastAsia="pl-PL"/>
              </w:rPr>
              <w:br/>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W związku z przygotowaniem i przeprowadzeniem konsultacji społecznych zgodnie</w:t>
            </w:r>
            <w:r w:rsidRPr="005E78BB">
              <w:rPr>
                <w:rFonts w:ascii="Calibri" w:eastAsia="Times New Roman" w:hAnsi="Calibri" w:cs="Calibri"/>
                <w:color w:val="000000"/>
                <w:sz w:val="18"/>
                <w:szCs w:val="18"/>
                <w:lang w:eastAsia="pl-PL"/>
              </w:rPr>
              <w:br/>
              <w:t>z przepisami prawa oraz przy zapewnieniu możliwie pełnego i aktywnego udziału społeczeństwa</w:t>
            </w:r>
            <w:r w:rsidRPr="005E78BB">
              <w:rPr>
                <w:rFonts w:ascii="Calibri" w:eastAsia="Times New Roman" w:hAnsi="Calibri" w:cs="Calibri"/>
                <w:color w:val="000000"/>
                <w:sz w:val="18"/>
                <w:szCs w:val="18"/>
                <w:lang w:eastAsia="pl-PL"/>
              </w:rPr>
              <w:br/>
              <w:t>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Jednocześnie zwracamy uwagę, iż zainteresowane strony miały możliwość zapoznania się</w:t>
            </w:r>
            <w:r w:rsidRPr="005E78BB">
              <w:rPr>
                <w:rFonts w:ascii="Calibri" w:eastAsia="Times New Roman" w:hAnsi="Calibri" w:cs="Calibri"/>
                <w:color w:val="000000"/>
                <w:sz w:val="18"/>
                <w:szCs w:val="18"/>
                <w:lang w:eastAsia="pl-PL"/>
              </w:rPr>
              <w:br/>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oraz ich prognozami oddziaływania na środowisko i zgłoszenie uwag w ramach obu wymienionych powyżej procedur.</w:t>
            </w:r>
          </w:p>
        </w:tc>
      </w:tr>
      <w:tr w:rsidR="0085319C" w:rsidRPr="005E78BB" w14:paraId="5B72048F" w14:textId="77777777" w:rsidTr="00E92AE6">
        <w:trPr>
          <w:trHeight w:val="454"/>
        </w:trPr>
        <w:tc>
          <w:tcPr>
            <w:tcW w:w="562" w:type="dxa"/>
            <w:shd w:val="clear" w:color="auto" w:fill="auto"/>
            <w:hideMark/>
          </w:tcPr>
          <w:p w14:paraId="4D3BF5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405</w:t>
            </w:r>
          </w:p>
        </w:tc>
        <w:tc>
          <w:tcPr>
            <w:tcW w:w="1021" w:type="dxa"/>
          </w:tcPr>
          <w:p w14:paraId="704704C6" w14:textId="3D736F3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2A5445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DF1FD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Uwaga ogólna, dotyczy całości dokumentu II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Niekompletna informacja w projektach II aPGW na temat planowanych inwestycji hydrotechnicznych skutkujących nowymi presjami hydromorfologicznymi, uniemożliwiająca prawidłową ocenę ich wpływu na możliwość osiągnięcia dobrego stanu wód powierzchniowych do roku 2027.</w:t>
            </w:r>
          </w:p>
        </w:tc>
        <w:tc>
          <w:tcPr>
            <w:tcW w:w="3377" w:type="dxa"/>
            <w:shd w:val="clear" w:color="auto" w:fill="auto"/>
            <w:hideMark/>
          </w:tcPr>
          <w:p w14:paraId="4799A8E6" w14:textId="6E4185A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ostatecznej wersji II aPGW powinny być zebrane informacje o wszystkich planowanych inwestycjach i innych przedsięwzięciach hydrotechnicznych skutkujących nowymi presjami, zwłaszcza presją hydromorfologiczną, w tym inwestycje planowane w aktualizacji Planów Zarządzania Ryzykiem Powodzi (aPZRP), Planów Przeciwdziałania Skutkom Suszy (PPSS) oraz inwestycje związane z budową międzynarodowych dróg wodnych na polskich rzekach. Powinien być przeanalizowany wpływ wszystkich planowanych inwestycji na terminowe, tj. do roku 2027 osiągnięcie celów środowiskowych RDW. </w:t>
            </w:r>
            <w:r w:rsidRPr="005E78BB">
              <w:rPr>
                <w:rFonts w:ascii="Calibri" w:eastAsia="Times New Roman" w:hAnsi="Calibri" w:cs="Calibri"/>
                <w:color w:val="000000"/>
                <w:sz w:val="18"/>
                <w:szCs w:val="18"/>
                <w:lang w:eastAsia="pl-PL"/>
              </w:rPr>
              <w:br/>
              <w:t xml:space="preserve">Społecznym wkładem w rozwiązanie wzmiankowanego wyżej problemu jest opracowanie „Ocena stopnia uwzględnienia Krajowego Programu Renaturyzacji Wód Powierzchniowych w projektach drugiej aktualizacji Planów Gospodarowania Wodami (II aPGW) wraz z rekomendacjami do II aPGW”, wykonane z inicjatywy Fundacji WWF Polska (Zał. 1a-c). W opracowaniu tym (zał. 1b) dla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zestawiono zapisy z II aPGW w porównaniu z zapisami Krajowego Planu Renaturyzacji Wód Powierzchniowych (KPRWP) oraz z informacjami o nowych presjach, tj. o inwestycjach i innych przedsięwzięciach wymienionych w załącznikach 6 do IIaPGW oraz w aktualizacji Planów Zarządzania Ryzykiem Powodziowym i w Planie Przeciwdziałania Skutkom Suszy. Ryciny 1 i 2 (zamieszczone poniżej) przedstawiają przykładowe wizualizacje przyporządkowania poszczególnym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rzecznym przedsięwzięć skutkujących nowymi presjami, w kontekście potrzeb renaturyzacyjnych zidentyfikowanych w KPRWP.Analizy zawarte w przytaczanym opracowaniu wraz z ich odpowiednią wizualizacją, powinny się znaleźć w ostatecznej wersji II aPGW. W związku z tym prosimy traktować załącznik 1b (plik Excel) jako zbiorcze zestawienie 3116 szczegółowych uwag obejmujących wszystkie 9 dorzeczy, które to uwagi Fundacja WWF Polska zgłasza w ramach konsultacji społecznych projektów II aPGW.</w:t>
            </w:r>
            <w:r w:rsidRPr="005E78BB">
              <w:rPr>
                <w:rFonts w:ascii="Calibri" w:eastAsia="Times New Roman" w:hAnsi="Calibri" w:cs="Calibri"/>
                <w:color w:val="000000"/>
                <w:sz w:val="18"/>
                <w:szCs w:val="18"/>
                <w:lang w:eastAsia="pl-PL"/>
              </w:rPr>
              <w:br/>
              <w:t xml:space="preserve">Ryc. 1. Zlewnie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których zaplanowano przedsięwzięcia hydrotechniczne do realizacji w latach 2022 – 2027, skutkujące presją hydromorfologiczną. Opracowanie na podstawie danych zebranych w raporcie „Ocena stopnia uwzględnienia Krajowego Programu Renaturyzacji Wód Powierzchniowych w projektach drugiej aktualizacji Planów Gospodarowania Wodami (II aPGW) wraz z rekomendacjami do II aPGW”</w:t>
            </w:r>
            <w:r w:rsidRPr="005E78BB">
              <w:rPr>
                <w:rFonts w:ascii="Calibri" w:eastAsia="Times New Roman" w:hAnsi="Calibri" w:cs="Calibri"/>
                <w:color w:val="000000"/>
                <w:sz w:val="18"/>
                <w:szCs w:val="18"/>
                <w:lang w:eastAsia="pl-PL"/>
              </w:rPr>
              <w:br/>
              <w:t xml:space="preserve">Ryc. 2. Zlewnie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wymagających renaturyzacji, w których zaplanowano przedsięwzięcia hydrotechniczne do realizacji w latach 2022 – 2027, skutkujące presją hydromorfologiczną. Opracowanie na podstawie danych zebranych w raporcie „Ocena stopnia uwzględnienia Krajowego Programu Renaturyzacji Wód Powierzchniowych w projektach drugiej aktualizacji Planów Gospodarowania Wodami (II aPGW) wraz z rekomendacjami do II aPGW”</w:t>
            </w:r>
          </w:p>
        </w:tc>
        <w:tc>
          <w:tcPr>
            <w:tcW w:w="3401" w:type="dxa"/>
            <w:shd w:val="clear" w:color="auto" w:fill="auto"/>
            <w:hideMark/>
          </w:tcPr>
          <w:p w14:paraId="6CF157E5" w14:textId="5F6F2E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Uzasadnienie propozycji zmian </w:t>
            </w:r>
            <w:r w:rsidRPr="005E78BB">
              <w:rPr>
                <w:rFonts w:ascii="Calibri" w:eastAsia="Times New Roman" w:hAnsi="Calibri" w:cs="Calibri"/>
                <w:color w:val="000000"/>
                <w:sz w:val="18"/>
                <w:szCs w:val="18"/>
                <w:lang w:eastAsia="pl-PL"/>
              </w:rPr>
              <w:br/>
              <w:t xml:space="preserve">Projekty II aPGW jako podstawowy dokument planistyczny dotyczący gospodarowania wodami, powinny zebrać i przeanalizować wszystkie inwestycje i inne przedsięwzięcia hydrotechniczne skutkujące nowymi presjami, zwłaszcza presją hydromorfologiczną. Analiza ta (w powiązaniu ze strategiczną oceną oddziaływania na środowisko II aPGW) powinna umożliwić ocenę wpływu planowanych przedsięwzięć na realizację celów środowiskowych w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kontekście konieczności terminowego, tj. do roku 2027, osiągnięcia dobrego stanu / potencjału wód. W projektach aPGW brak jest informacji o inwestycjach planowanych w ramach realizacji aktualizacji Planów Zarządzania Ryzykiem Powodzi oraz Planów Przeciwdziałania Skutkom Suszy. Brak jest również informacji o inwestycjach planowanych w ramach budowy towarowych śródlądowych dróg o międzynarodowym standardzie, tj. o klasie co najmniej IV (np. inwestycje planowane w ramach kaskadyzacji Odry, konsultowane z samorządami). W rezultacie tego poważnego mankamentu projektów II aPGW, nie jest możliwa prawidłowa ocena natężenia nowych presji, np. presji hydromorfologicznej oraz wpływu tej presji na realizację celów środowiskowych w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kontekście potrzeb renaturyzacji hydromorfologii wód zidentyfikowanych w Krajowym Programie Renaturyzacji Wód Powierzchniowych (KPRWP). Należy podkreślić, że w KPRW nie zakładano, że w analizowanych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wystąpią nowe presje hydromorfologiczne. W związku z tym w II aPGW konieczne jest uwzględnienie dodatkowych działań renaturyzacyjnych poszerzających zakres rekomendacji KPRWP – działań, które zapewnią skuteczną kompensację nowych presji. Należy również podkreślić, że nie ma obecnie obowiązku, aby kraj członkowski UE w ramach opracowywania aPGW wykazał czy planowane inwestycje i inne przedsięwzięcia spełniają wymogi derogacji określone w art. 4(7) RDW. Jednakże w aPGW powinien być przeanalizowany wpływ wszystkich planowanych inwestycji na terminowe osiągnięcie celów środowiskowych RDW. </w:t>
            </w:r>
          </w:p>
        </w:tc>
        <w:tc>
          <w:tcPr>
            <w:tcW w:w="1918" w:type="dxa"/>
            <w:shd w:val="clear" w:color="auto" w:fill="auto"/>
            <w:hideMark/>
          </w:tcPr>
          <w:p w14:paraId="01C5CB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1C2E08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095E43" w14:textId="7C13332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nie będąc działaniami negatywnie wpływającymi na cele środowiskowe jcw.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IIaPGW odnosi się do przedsięwzięć negatywnie oddziałujących na cele środowiskowe jcw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85319C" w:rsidRPr="005E78BB" w14:paraId="0F582540" w14:textId="77777777" w:rsidTr="00E92AE6">
        <w:trPr>
          <w:trHeight w:val="454"/>
        </w:trPr>
        <w:tc>
          <w:tcPr>
            <w:tcW w:w="562" w:type="dxa"/>
            <w:shd w:val="clear" w:color="auto" w:fill="auto"/>
            <w:hideMark/>
          </w:tcPr>
          <w:p w14:paraId="4025C21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406</w:t>
            </w:r>
          </w:p>
        </w:tc>
        <w:tc>
          <w:tcPr>
            <w:tcW w:w="1021" w:type="dxa"/>
          </w:tcPr>
          <w:p w14:paraId="5E412795" w14:textId="107F730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4BE9DF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62807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Uwaga ogólna, dotyczy całości dokumentu II aPGW.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Niedostateczne uwzględnienie w projektach II aPGW Krajowego Programu Renaturyzacji Wód uniemożliwiające osiągnięcie dobrego stanu Jednolitych Części Wód Powierzchniowych rzecznych do roku 2027.</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8B78F9C" w14:textId="3D32BF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ostatecznej wersji projektów II aPGW działania przewidziane w Krajowym Programie Renaturyzacji Wód Powierzchniowych (KPRWP) powinny być w pełni wdrożone. Ponadto, dla zapewnienia osiągnięcia celów środowiskowych RDW do roku 2027, należy przenalizować potrzebę uwzględnienia w II aPGW dodatkowych działań renaturyzacyjnych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 bezpośrednim, pozytywnym wpływie na stan wód, nakierowanych na skompensowanie nowych presji będących wynikiem realizacji planowanych inwestycji i przedsięwzięć hydrotechnicznych. II aPGW powinien przekonująco wykazać, że zostały zaplanowane wszystkie działania renaturyzacyjne umożliwiające osiągnięcie w roku 2027 celów środowiskowych RDW, albo co najmniej inicjujące procesy niezbędne dla osiągnięcia dobrego stanu wód po roku 2027 w sytuacjach, w których można się spodziewać opóźnionej reakcji silnie przekształconych ekosystemów wodnych na działania renaturyzacyjne. Należy podkreślić, że za barierę w pełnym drożeniu KPRWP w II aPGW nie można uznać kosztów renaturyzacji rzek, ocenionych w KPRWP na łącznie ok 1 mln EURO. Koszt ten, obejmujące podstawowe działania renaturyzacyjne dla obszaru całego kraju, jest bowiem porównywalny z kosztem realizacji pojedynczej inwestycji hydrotechnicznej, np. stopnia wodnego na Wiśle.</w:t>
            </w:r>
            <w:r w:rsidRPr="005E78BB">
              <w:rPr>
                <w:rFonts w:ascii="Calibri" w:eastAsia="Times New Roman" w:hAnsi="Calibri" w:cs="Calibri"/>
                <w:color w:val="000000"/>
                <w:sz w:val="18"/>
                <w:szCs w:val="18"/>
                <w:lang w:eastAsia="pl-PL"/>
              </w:rPr>
              <w:br w:type="page"/>
              <w:t xml:space="preserve">Społecznym wkładem w rozwiązanie problemu niepełnego wdrożenia KPRWP w II aPGW jest wykonane z inicjatywy WWF opracowanie „Ocena stopnia uwzględnienia Krajowego Programu Renaturyzacji Wód Powierzchniowych w projektach drugiej aktualizacji Planów Gospodarowania Wodami …”, w którym  dla każdej z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zestawiono zapisy z II aPGW w porównaniu z zapisami KPRWP oraz z informacjami o nowych presjach (o inwestycjach i innych przedsięwzięciach wymienionych w zał. 6 do IIaPGW oraz w aktualizacji Planów Zarządzania Ryzykiem Powodziowym i w Planie Przeciwdziałania Skutkom Suszy).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rzecznej sformułowano rekomendacje odnośnie do zmian, jakie powinny być wprowadzone do II aPGW, aby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terminowo osiągnąć stan hydromorfologiczny niezbędny dla osiągnięcia dobrego stanu wód wymaganego przez RDW.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50D1B28" w14:textId="1255F8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Presja hydromorfologiczna jest uznawana w projekcie II aPGW za jeden z najważniejszych czynników odpowiedzialnych za stan / potencjał wód powierzchniowych oceniany obecnie na poniżej stanu dobrego. Dotyczy to zwłaszcza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związku ze znaczeniem tej presji dla osiągnięcia celów RDW, na zlecenie PGW Wody Polskie został opracowany Krajowy Program Renaturyzacji Wód Powierzchniowych (KPRWP).  Na podstawie analiz przeprowadzonych w ramach KPRWP obejmujących 3116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91% z nich zaklasyfikowano do obszarów wymagających renaturyzacji (OWR), przy czym stwierdzono, że znacząca presja hydromorfologiczna występuje w 82 %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związku z tym, niezbędnym i kluczowym celem projektowanych II aPGW powinno być zapewnienie tym częściom wód adekwatnych działań renaturyzacyjnych. Zakres działań renaturyzacyjnych redukujących lub usuwających obecne przekształcenia hydromorfologiczne powinien zostać opracowany w sposób, który umożliwi do roku 2027 osiągnięcie wyznaczonych dla nich celów środowiskowych. Zagadnie to zostało szczegółowo przeanalizowane w raporcie pt. „Ocena stopnia uwzględnienia Krajowego Programu Renaturyzacji Wód Powierzchniowych w projektach drugiej aktualizacji Planów Gospodarowania Wodami (II aPGW) wraz z rekomendacjami do II aPGW”, wykonanym z inicjatywy Fundacji WWF Polska. Wnioski z przeprowadzonych w ramach tego opracowania analiz wskazują, iż:</w:t>
            </w:r>
            <w:r w:rsidRPr="005E78BB">
              <w:rPr>
                <w:rFonts w:ascii="Calibri" w:eastAsia="Times New Roman" w:hAnsi="Calibri" w:cs="Calibri"/>
                <w:color w:val="000000"/>
                <w:sz w:val="18"/>
                <w:szCs w:val="18"/>
                <w:lang w:eastAsia="pl-PL"/>
              </w:rPr>
              <w:br w:type="page"/>
              <w:t xml:space="preserve">KPRWP nie został w pełni wdrożony do projektu II aPGW.  Częściowe wdrożenie działań wskazanych w KPRWP zaplanowano w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dla pozostałych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nie zaplanowano działań renaturyzacyjnych, co oznacza brak wdrożenia zapisów KPRWP. Dane dla poszczególnych obszarów dorzeczy przedstawia tab. 1</w:t>
            </w:r>
            <w:r w:rsidRPr="005E78BB">
              <w:rPr>
                <w:rFonts w:ascii="Calibri" w:eastAsia="Times New Roman" w:hAnsi="Calibri" w:cs="Calibri"/>
                <w:color w:val="000000"/>
                <w:sz w:val="18"/>
                <w:szCs w:val="18"/>
                <w:lang w:eastAsia="pl-PL"/>
              </w:rPr>
              <w:br w:type="page"/>
              <w:t>Przyjęte w projekcie aPGW założenie, że działania potrzebne do osiągniecia celów środowiskowych miałyby być wykonane dopiero w przyszłym okresie planistycznym, tj. po 2027 r., może być traktowane jako świadome naruszanie RDW.</w:t>
            </w:r>
            <w:r w:rsidRPr="005E78BB">
              <w:rPr>
                <w:rFonts w:ascii="Calibri" w:eastAsia="Times New Roman" w:hAnsi="Calibri" w:cs="Calibri"/>
                <w:color w:val="000000"/>
                <w:sz w:val="18"/>
                <w:szCs w:val="18"/>
                <w:lang w:eastAsia="pl-PL"/>
              </w:rPr>
              <w:br w:type="page"/>
              <w:t>W przypadku zaplanowanych w projektach aktualizacji Planów Zarządzania Ryzykiem Powodziowym (aPZRP), Planie przeciwdziałania skutkom suszy (PPSS) i w projektach II aPGW inwestycji i innych przedsięwzięć hydrotechnicznych skutkujących nowymi presjami hydromorfologicznymi, zestaw zaproponowanych działań renaturyzacyjnych w KPRWP będzie niewystarczający, gdyż KPRWP odnosił się wyłącznie do już istniejących presji. Planowane inwestycje hydrotechniczne i inne przedsięwzięcia hydrotechniczne wynikające głównie z zapisów PZRP i ich aktualizacji, PPSS czy planów rozwoju żeglugi śródlądowej to z dużym prawdopodobieństwem presje, których skutek musi zostać zalegalizowany w trybie derogacji art. 4(7) RDW. Derogacja ta wymaga, by „zostały podjęte wszystkie praktyczne kroki, aby ograniczyć niekorzystny wpływ na stan części wód” co oznacza, że wdrożona być musi kompensacja presji dotychczasowych oraz dodatkowe środki ograniczające nową presję.</w:t>
            </w:r>
            <w:r w:rsidRPr="005E78BB">
              <w:rPr>
                <w:rFonts w:ascii="Calibri" w:eastAsia="Times New Roman" w:hAnsi="Calibri" w:cs="Calibri"/>
                <w:color w:val="000000"/>
                <w:sz w:val="18"/>
                <w:szCs w:val="18"/>
                <w:lang w:eastAsia="pl-PL"/>
              </w:rPr>
              <w:br w:type="page"/>
              <w:t xml:space="preserve">Na bazie wyników przeprowadzonych analiz wskazuje się konieczność kompleksowych korekt II aPGW przed ich publikacją. Konkluzja ta dotyczy również działań, które wprost odnoszą się do realizacji programu renaturyzacji dla Obszarów Priorytetowych (OP). Działania te bowiem ograniczono wyłącznie do wybranych odcinków cieków objętych badaniami pilotażowymi i nie obejmują one wdrożenia wszystkich działań zdefiniowanych w KPRWP, które służą osiągnięciu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których OP zostały wyznaczone.</w:t>
            </w:r>
            <w:r w:rsidRPr="005E78BB">
              <w:rPr>
                <w:rFonts w:ascii="Calibri" w:eastAsia="Times New Roman" w:hAnsi="Calibri" w:cs="Calibri"/>
                <w:color w:val="000000"/>
                <w:sz w:val="18"/>
                <w:szCs w:val="18"/>
                <w:lang w:eastAsia="pl-PL"/>
              </w:rPr>
              <w:br w:type="page"/>
              <w:t>Niezbędnym działaniem wspierającym wdrażanie działań renaturyzacyjnych powinno być pełne uwzględnienie zaleceń wypracowanych w „Katalogu dobrych praktyk prac utrzymaniowych i robót hydrotechnicznych” (KDP), w którym między innymi wskazuje się na konieczność rozszerzenia definicji prac utrzymaniowych o działania dodatkowe. Stosowanie zmodyfikowanych prac utrzymaniowych wymaga zmian przepisów ustawowych, które również powinny być zadeklarowane w II aPGW. W przypadku ograniczenia się wyłącznie do prowadzenia prac utrzymaniowych zgodnie z „KDP spowoduje jedynie minimalizację negatywnych oddziaływań w zakresie obecnego utrzymania wód, a nie będzie skutecznie sprzyjać poprawie ich stanu w zakresie osiągnięcia celów środowiskowych dla JCW rzecznych. Zmiana Prawa wodnego w tym zakresie będzie skutecznie sprzyjać poprawie stanu wód w zakresie osiągnięcia celów środowiskowych. Propozycje te powinny znaleźć miejsce w działaniach krajowych II aPGW.</w:t>
            </w:r>
            <w:r w:rsidRPr="005E78BB">
              <w:rPr>
                <w:rFonts w:ascii="Calibri" w:eastAsia="Times New Roman" w:hAnsi="Calibri" w:cs="Calibri"/>
                <w:color w:val="000000"/>
                <w:sz w:val="18"/>
                <w:szCs w:val="18"/>
                <w:lang w:eastAsia="pl-PL"/>
              </w:rPr>
              <w:br w:type="page"/>
              <w:t>Oprócz zmian ustawowych administratorzy wód na wszystkich szczeblach Państwowego Gospodarstwa Wodne Wody Polskie (PGW WP), którzy są adresatami działań renaturyzacyjnych, powinni być gruntownie przeszkoleni w tym zakresie. Prace o charakterze renaturyzacyjnym i odtworzeniowym nie są obecnie powszechne i popularne w Polsce i muszą być wspierane instrumentalnie. Wskazane byłoby również wzmocnienie kadrowe PGW WP w zakresie umożliwiającym sprawną realizację działań renaturyzacyjnych. Działania wzmacniające PGW WP w zakresie edukacyjnym, szkoleniowym i kadrowym powinny zostać odzwierciedlone w II aPGW.</w:t>
            </w:r>
            <w:r w:rsidRPr="005E78BB">
              <w:rPr>
                <w:rFonts w:ascii="Calibri" w:eastAsia="Times New Roman" w:hAnsi="Calibri" w:cs="Calibri"/>
                <w:color w:val="000000"/>
                <w:sz w:val="18"/>
                <w:szCs w:val="18"/>
                <w:lang w:eastAsia="pl-PL"/>
              </w:rPr>
              <w:br w:type="page"/>
              <w:t>Tabela 1. Ocena stopnia wdrożenia Krajowego programu Renaturyzacji Wód Powierzchniowych w projektach II aPGW w poszczególnych dorzeczach. Opracowanie na podstawie danych z raportu „Ocena stopnia uwzględnienia Krajowego Programu Renaturyzacji Wód Powierzchniowych w projektach drugiej aktualizacji Planów Gospodarowania Wodami (II aPGW) wraz z rekomendacjami do II aPGW”, wykonanym z inicjatywy Fundacji WWF Polska.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Dorzecze Liczba Obszarów Wymagających Renaturyzacji (OWR) zidentyfikowanych w Krajowym Planie Renaturyzacji Wód Powierzchniowych (KPRW) "Pełne wdrożenie KPRWP w drugiej aktualizacji Planów Gospodarowania Wodami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 xml:space="preserve">w Dorzeczach (II aPGW) - liczba OWR" "Częściowe wdrożenie KPRWP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w II aPGW - liczba OWR" Częściowe wdrożenie KPRWP w II aPGW - % liczby OWR zidentyfikowanych w KPRWP</w:t>
            </w:r>
            <w:r w:rsidRPr="005E78BB">
              <w:rPr>
                <w:rFonts w:ascii="Calibri" w:eastAsia="Times New Roman" w:hAnsi="Calibri" w:cs="Calibri"/>
                <w:color w:val="000000"/>
                <w:sz w:val="18"/>
                <w:szCs w:val="18"/>
                <w:lang w:eastAsia="pl-PL"/>
              </w:rPr>
              <w:br w:type="page"/>
              <w:t>Banówka 1 0 0 0%</w:t>
            </w:r>
            <w:r w:rsidRPr="005E78BB">
              <w:rPr>
                <w:rFonts w:ascii="Calibri" w:eastAsia="Times New Roman" w:hAnsi="Calibri" w:cs="Calibri"/>
                <w:color w:val="000000"/>
                <w:sz w:val="18"/>
                <w:szCs w:val="18"/>
                <w:lang w:eastAsia="pl-PL"/>
              </w:rPr>
              <w:br w:type="page"/>
              <w:t>Dniestr 2 0 1 50%</w:t>
            </w:r>
            <w:r w:rsidRPr="005E78BB">
              <w:rPr>
                <w:rFonts w:ascii="Calibri" w:eastAsia="Times New Roman" w:hAnsi="Calibri" w:cs="Calibri"/>
                <w:color w:val="000000"/>
                <w:sz w:val="18"/>
                <w:szCs w:val="18"/>
                <w:lang w:eastAsia="pl-PL"/>
              </w:rPr>
              <w:br w:type="page"/>
              <w:t>Dunaj 4 0 2 50%</w:t>
            </w:r>
            <w:r w:rsidRPr="005E78BB">
              <w:rPr>
                <w:rFonts w:ascii="Calibri" w:eastAsia="Times New Roman" w:hAnsi="Calibri" w:cs="Calibri"/>
                <w:color w:val="000000"/>
                <w:sz w:val="18"/>
                <w:szCs w:val="18"/>
                <w:lang w:eastAsia="pl-PL"/>
              </w:rPr>
              <w:br w:type="page"/>
              <w:t>Łaba 4 0 2 50%</w:t>
            </w:r>
            <w:r w:rsidRPr="005E78BB">
              <w:rPr>
                <w:rFonts w:ascii="Calibri" w:eastAsia="Times New Roman" w:hAnsi="Calibri" w:cs="Calibri"/>
                <w:color w:val="000000"/>
                <w:sz w:val="18"/>
                <w:szCs w:val="18"/>
                <w:lang w:eastAsia="pl-PL"/>
              </w:rPr>
              <w:br w:type="page"/>
              <w:t>Niemen 20 0 9 45%</w:t>
            </w:r>
            <w:r w:rsidRPr="005E78BB">
              <w:rPr>
                <w:rFonts w:ascii="Calibri" w:eastAsia="Times New Roman" w:hAnsi="Calibri" w:cs="Calibri"/>
                <w:color w:val="000000"/>
                <w:sz w:val="18"/>
                <w:szCs w:val="18"/>
                <w:lang w:eastAsia="pl-PL"/>
              </w:rPr>
              <w:br w:type="page"/>
              <w:t>Odra 1119 0 641 57%</w:t>
            </w:r>
            <w:r w:rsidRPr="005E78BB">
              <w:rPr>
                <w:rFonts w:ascii="Calibri" w:eastAsia="Times New Roman" w:hAnsi="Calibri" w:cs="Calibri"/>
                <w:color w:val="000000"/>
                <w:sz w:val="18"/>
                <w:szCs w:val="18"/>
                <w:lang w:eastAsia="pl-PL"/>
              </w:rPr>
              <w:br w:type="page"/>
              <w:t>Pregoła 78 0 20 26%</w:t>
            </w:r>
            <w:r w:rsidRPr="005E78BB">
              <w:rPr>
                <w:rFonts w:ascii="Calibri" w:eastAsia="Times New Roman" w:hAnsi="Calibri" w:cs="Calibri"/>
                <w:color w:val="000000"/>
                <w:sz w:val="18"/>
                <w:szCs w:val="18"/>
                <w:lang w:eastAsia="pl-PL"/>
              </w:rPr>
              <w:br w:type="page"/>
              <w:t>Świeża 3 0 0 0%</w:t>
            </w:r>
            <w:r w:rsidRPr="005E78BB">
              <w:rPr>
                <w:rFonts w:ascii="Calibri" w:eastAsia="Times New Roman" w:hAnsi="Calibri" w:cs="Calibri"/>
                <w:color w:val="000000"/>
                <w:sz w:val="18"/>
                <w:szCs w:val="18"/>
                <w:lang w:eastAsia="pl-PL"/>
              </w:rPr>
              <w:br w:type="page"/>
              <w:t>Wisła 1601 0 941 59%</w:t>
            </w:r>
            <w:r w:rsidRPr="005E78BB">
              <w:rPr>
                <w:rFonts w:ascii="Calibri" w:eastAsia="Times New Roman" w:hAnsi="Calibri" w:cs="Calibri"/>
                <w:color w:val="000000"/>
                <w:sz w:val="18"/>
                <w:szCs w:val="18"/>
                <w:lang w:eastAsia="pl-PL"/>
              </w:rPr>
              <w:br w:type="page"/>
              <w:t>RAZEM 2832 0 1616 57%</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02D78B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2220A8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9EDB57B" w14:textId="72D3ED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48B98961" w14:textId="77777777" w:rsidTr="00E92AE6">
        <w:trPr>
          <w:trHeight w:val="454"/>
        </w:trPr>
        <w:tc>
          <w:tcPr>
            <w:tcW w:w="562" w:type="dxa"/>
            <w:shd w:val="clear" w:color="auto" w:fill="auto"/>
            <w:hideMark/>
          </w:tcPr>
          <w:p w14:paraId="4399BB8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407</w:t>
            </w:r>
          </w:p>
        </w:tc>
        <w:tc>
          <w:tcPr>
            <w:tcW w:w="1021" w:type="dxa"/>
          </w:tcPr>
          <w:p w14:paraId="676B47CB" w14:textId="046C43F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501406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B4045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Uwaga ogólna, dotyczy całości dokumentu II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Brak w projektach II aPGW możliwości oceny presji na stan wód powierzchniowych wywieranej przez planowane na lata 2022 – 2027 prace utrzymaniowe.</w:t>
            </w:r>
          </w:p>
        </w:tc>
        <w:tc>
          <w:tcPr>
            <w:tcW w:w="3377" w:type="dxa"/>
            <w:shd w:val="clear" w:color="auto" w:fill="auto"/>
            <w:hideMark/>
          </w:tcPr>
          <w:p w14:paraId="5BC1A12F" w14:textId="09ED6D0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Procedura wyłaniania wykonawców na aktualizację Planów Utrzymania Wód (PUW) powinna być jak najszybciej wznowiona przez PGW Wody Polskie. Kluczowe informacje dotyczące PUW, zwłaszcza odnośnie do wpływu planowanych w latach 2022 – 2027 prac utrzymaniowych na możliwość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oraz na pogłębianie problemu suszy rolniczej, powinny być włączone do ostatecznej wersji II aPGW. Prace nad opracowanie PUW powinny być zsynchronizowane z inicjatywa ustawodawczą dotyczącą zmian przepisów Prawa wodnego w odniesieniu do prac utrzymaniowych (patrzy też uzasadnienie uwagi poniżej).</w:t>
            </w:r>
          </w:p>
        </w:tc>
        <w:tc>
          <w:tcPr>
            <w:tcW w:w="3401" w:type="dxa"/>
            <w:shd w:val="clear" w:color="auto" w:fill="auto"/>
            <w:hideMark/>
          </w:tcPr>
          <w:p w14:paraId="2E51634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Prace utrzymaniowe prowadzone na ciekach, ze względu na swoją masową skalę (co najmniej 37 tys. km bieżących cieków objętych pracami utrzymaniowymi tylko w latach 2010 – 2017) i negatywny wpływ tych prac na ekosystemy wodne, stanowią presję o potencjalnie znaczącym wpływie na możliwość terminowego osiągnięcia celów środowiskowych RDW w naszym kraju. Dla pełnej oceny skali oddziaływania prac utrzymaniowych na ekosystemy wodne konieczne jest wykonanie aktualizacji Planów Utrzymania Wód (PUW) dla poszczególnych regionalnych zarządów gospodarki wodnej oraz poddanie tych planów strategicznej ocenie oddziaływania na środowisko. Pierwsze PUW zostały wykonane w roku 2016. Niestety dotychczas nie zostały zaktualizowane (procedura wyłaniania wykonawców na aktualizację PUW rozpoczęta w tym roku przez PGW Wody Polskie została przerwana). W związku z powyższym, w projektach II aPGW kwestia prac utrzymaniowych została potraktowana marginalnie. W szczególności brak jest możliwości oceny presji na stan wód powierzchniowych wywieranej przez planowane na lata 2022 – 2027 prace utrzymaniowe i oceny skumulowanych presji (prac utrzymaniowych i planowanych inwestycji hydrotechnicznych).</w:t>
            </w:r>
          </w:p>
        </w:tc>
        <w:tc>
          <w:tcPr>
            <w:tcW w:w="1918" w:type="dxa"/>
            <w:shd w:val="clear" w:color="auto" w:fill="auto"/>
            <w:hideMark/>
          </w:tcPr>
          <w:p w14:paraId="0359DD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298DA1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97E98D2" w14:textId="0FA83D1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bezpośrednio konsultowanego dokumentu a odnosi się do formalnych procedur przygotowywania i realizacji przez PGWWP prac w zakresie prac utrzymaniowych.</w:t>
            </w:r>
            <w:r w:rsidRPr="005E78BB">
              <w:rPr>
                <w:rFonts w:ascii="Calibri" w:eastAsia="Times New Roman" w:hAnsi="Calibri" w:cs="Calibri"/>
                <w:color w:val="000000"/>
                <w:sz w:val="18"/>
                <w:szCs w:val="18"/>
                <w:lang w:eastAsia="pl-PL"/>
              </w:rPr>
              <w:br/>
              <w:t>Niemniej jednak odnosząc się do wskazanego w treści uwagi marginalnego uwzględnienia prac utrzymaniowych w IIaPGW, należy zwrócić uwagę, iż zagadnienie prac utrzymaniowych oraz prezentacja sposobu ich prowadzenia stanowi element IIaPGW zgodnie z wymaganym dla IIaPGW zakresem.</w:t>
            </w:r>
            <w:r w:rsidRPr="005E78BB">
              <w:rPr>
                <w:rFonts w:ascii="Calibri" w:eastAsia="Times New Roman" w:hAnsi="Calibri" w:cs="Calibri"/>
                <w:color w:val="000000"/>
                <w:sz w:val="18"/>
                <w:szCs w:val="18"/>
                <w:lang w:eastAsia="pl-PL"/>
              </w:rPr>
              <w:br/>
              <w:t>Prace utrzymaniowe uwzględnione zostały w ramach IIaPGW na wielu płaszczyznach w tym m.in. na etapie realizacji pracy Analiza znaczących oddziaływań antropogenicznych wraz z oceną ich wpływu na stan wód oraz ryzykiem nieosiągnięcia celów środowiskowych, gdzie prace utrzymaniowe stanowiły dodatkowy element korygujący ostateczne wyniki ocen.</w:t>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r w:rsidRPr="005E78BB">
              <w:rPr>
                <w:rFonts w:ascii="Calibri" w:eastAsia="Times New Roman" w:hAnsi="Calibri" w:cs="Calibri"/>
                <w:color w:val="000000"/>
                <w:sz w:val="18"/>
                <w:szCs w:val="18"/>
                <w:lang w:eastAsia="pl-PL"/>
              </w:rPr>
              <w:br/>
              <w:t>Analiza PUW na potrzeby opracowania IIaPGW stanowiła również element wypracowywania działań IIaPGW. W katalogu działań krajowych w zakresie prac utrzymaniowych przewidziane zostały:</w:t>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 xml:space="preserve">– Prowadzenie prac utrzymaniowych zgodnie z Katalogiem dobrych praktyk prac utrzymaniowych i robót hydrotechnicznych. Działanie krajowe „Prowadzenie prac utrzymaniowych zgodnie z Katalogiem dobrych praktyk prac utrzymaniowych i robót hydrotechnicznych” jest działaniem obligatoryjnym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jego celem jest ograniczenie potencjalnych negatywnych oddziaływań prac utrzymaniowych na stan hydromorfologiczny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siedliska oraz przedmioty ochrony; dodatkowo na poziomie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presje znaczące prac utrzymaniowych powodujące ryzyko dla celów środowiskowych, w tym obszarów chronionych wskazano działanie polegające na rozpoznaniu możliwości wprowadzenia modyfikacji zgodnie z KPRWP związanych z pracami utrzymaniowymi, w przypadku stwierdzenia takiej potrzeby i zasadności wpisanie ich do PZO/PO/ZO, określając jednocześnie sposób ich prowadzenia.</w:t>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p>
        </w:tc>
      </w:tr>
      <w:tr w:rsidR="0085319C" w:rsidRPr="005E78BB" w14:paraId="29DCCDF6" w14:textId="77777777" w:rsidTr="00E92AE6">
        <w:trPr>
          <w:trHeight w:val="454"/>
        </w:trPr>
        <w:tc>
          <w:tcPr>
            <w:tcW w:w="562" w:type="dxa"/>
            <w:shd w:val="clear" w:color="auto" w:fill="auto"/>
            <w:hideMark/>
          </w:tcPr>
          <w:p w14:paraId="10D826F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408</w:t>
            </w:r>
          </w:p>
        </w:tc>
        <w:tc>
          <w:tcPr>
            <w:tcW w:w="1021" w:type="dxa"/>
          </w:tcPr>
          <w:p w14:paraId="486B3D62" w14:textId="4877F03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79EE94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0B8F0F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Uwaga ogólna, dotyczy całości dokumentu II 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Pominięcie w projektach II aPGW kwestii potrzeby zmiany ustawy Prawo wodne w zakresie prac utrzymaniowych</w:t>
            </w:r>
          </w:p>
        </w:tc>
        <w:tc>
          <w:tcPr>
            <w:tcW w:w="3377" w:type="dxa"/>
            <w:shd w:val="clear" w:color="auto" w:fill="auto"/>
            <w:hideMark/>
          </w:tcPr>
          <w:p w14:paraId="62007490"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ostatecznej wersji projektów II aPGW powinien znaleźć się postulat zmiany ustawy Prawo wodne w odniesieniu do prac utrzymaniowych, stosowanie do zaleceń opracowanych w ramach KPRWP.</w:t>
            </w:r>
            <w:r w:rsidRPr="005E78BB">
              <w:rPr>
                <w:rFonts w:ascii="Calibri" w:eastAsia="Times New Roman" w:hAnsi="Calibri" w:cs="Calibri"/>
                <w:color w:val="000000"/>
                <w:sz w:val="18"/>
                <w:szCs w:val="18"/>
                <w:lang w:eastAsia="pl-PL"/>
              </w:rPr>
              <w:br/>
              <w:t>Społecznym wkładem w rozwiązanie problemu mankamentów Prawa wodnego jest powstałe z inicjatywy WWF opracowanie pt. „Propozycje zmian do ustawy z dn. 20 lipca 2017 r. Prawo wodne dotyczące przyrodniczych i ekonomicznych aspektów gospodarowania wodami płynącymi. Stan prawny: 09.12.2020 r.” oraz wyciąg z tego opracowania pt. „Przepisy ustawy Prawo wodne skutkujące pogłębieniem problemu suszy i powodzi”.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4684B3CB" w14:textId="062E46C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projektach II aPGW silnie akcentowana jest konieczność powszechnego wprowadzenia dobrych praktyk utrzymania wód, ze względu na generalnie negatywny wpływ prac utrzymaniowych na stan hydromorfologiczny wód oraz na gatunki i ekosystemy wodne, w tym siedliska i gatunki objęte ochroną prawną oraz gatunki ryb o znaczeniu ekonomicznym. Jednakże współczesna wiedza o zakresie wpływu prac utrzymaniowych na wody śródlądowe, wsparta analizami wykonanymi w ramach Krajowego Programu Renaturyzacji Wód Powierzchniowych, wskazuje, że dobre praktyki utrzymania wód są niewystarczające dla osiągnięcia dobrego stanu wód, zwłaszcza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Niezbędna jest zmiana ustawy Prawo wodne w odniesieniu do prac utrzymaniowych. W szczególności w ustawie tej (art. 227) należy poszerzyć katalog prac utrzymaniowych o działania nakierowane na zapewnienie dobrego stanu ekologicznego i chemicznego wód oraz należy wprowadzić pojęcie tzw. utrzymania biernego, polegającego na umożliwieniu zachodzenia naturalnych procesów kształtujących koryta cieków i roślinność nadbrzeżną.</w:t>
            </w:r>
            <w:r w:rsidRPr="005E78BB">
              <w:rPr>
                <w:rFonts w:ascii="Calibri" w:eastAsia="Times New Roman" w:hAnsi="Calibri" w:cs="Calibri"/>
                <w:color w:val="000000"/>
                <w:sz w:val="18"/>
                <w:szCs w:val="18"/>
                <w:lang w:eastAsia="pl-PL"/>
              </w:rPr>
              <w:br/>
              <w:t xml:space="preserve">W art. 328 ust. 1-2 ustawy Prawo wodne powinien znaleźć się zapis o obowiązku monitorowania przez Ministra właściwego do spraw gospodarki wodnej działań zawartych w planach utrzymania wód oraz obowiązku monitorowania działań polegających na umacnianiu brzegów morskich. Obecnie, wobec braku obowiązku szczegółowego raportowania do Ministra właściwego do spraw gospodarki wodnej </w:t>
            </w:r>
            <w:r w:rsidRPr="005E78BB">
              <w:rPr>
                <w:rFonts w:ascii="Calibri" w:eastAsia="Times New Roman" w:hAnsi="Calibri" w:cs="Calibri"/>
                <w:color w:val="000000"/>
                <w:sz w:val="18"/>
                <w:szCs w:val="18"/>
                <w:lang w:eastAsia="pl-PL"/>
              </w:rPr>
              <w:br/>
              <w:t>o przeprowadzonych na ciekach pracach utrzymaniowych, brak jest możliwości rzetelnej oceny oddziaływania na środowisko zrealizowanych prac utrzymaniowych oraz oceny racjonalności ekonomicznej wykonanych prac. Z powodu braku obowiązku monitorowania prac utrzymaniowych również dokumenty strategiczne, takie jak Plany Zarządzania Ryzykiem Powodziowym oraz Plan przeciwdziałania skutkom suszy, pozbawione są precyzyjnej informacji o jednej z najważniejszych grup działań realizowanych przez właścicieli wód o potencjalnie bardzo poważnych skutkach dla zwiększenia ryzyka powodzi i suszy. Ze względu na skalę, na jaką są prowadzone prace utrzymaniowe na ciekach skutkujące przyspieszeniem odpływu wód ze zlewni małych rzek i potoków w krajobrazie rolniczym i rolniczo-leśnym, mogą one istotnie zwiększać ryzyko wystąpienia powodzi i suszy. Nie zatrzymane w zlewni i w małych ciekach wody opadowe często powiększają ryzyko powodziowe poniżej, na ciekach głównych, nad którymi koncentruje się cenna infrastruktura. Prace utrzymaniowe przyspieszające odpływ wód z małych zlewni zwiększają ryzyko wystąpienia suszy rolniczej i potęgują jej negatywne skutki, gdyż ograniczają naturalną retencję koryt i dolin rzecznych. Negatywnie wpływają również na proces odnawiania się zasobów wód podziemnych.</w:t>
            </w:r>
            <w:r w:rsidRPr="005E78BB">
              <w:rPr>
                <w:rFonts w:ascii="Calibri" w:eastAsia="Times New Roman" w:hAnsi="Calibri" w:cs="Calibri"/>
                <w:color w:val="000000"/>
                <w:sz w:val="18"/>
                <w:szCs w:val="18"/>
                <w:lang w:eastAsia="pl-PL"/>
              </w:rPr>
              <w:br/>
            </w:r>
          </w:p>
        </w:tc>
        <w:tc>
          <w:tcPr>
            <w:tcW w:w="1918" w:type="dxa"/>
            <w:shd w:val="clear" w:color="auto" w:fill="auto"/>
            <w:hideMark/>
          </w:tcPr>
          <w:p w14:paraId="6BF259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4B6AD1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F039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Dziale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p>
        </w:tc>
      </w:tr>
      <w:tr w:rsidR="0085319C" w:rsidRPr="005E78BB" w14:paraId="1C722218" w14:textId="77777777" w:rsidTr="00E92AE6">
        <w:trPr>
          <w:trHeight w:val="454"/>
        </w:trPr>
        <w:tc>
          <w:tcPr>
            <w:tcW w:w="562" w:type="dxa"/>
            <w:shd w:val="clear" w:color="auto" w:fill="auto"/>
            <w:hideMark/>
          </w:tcPr>
          <w:p w14:paraId="16D613E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409</w:t>
            </w:r>
          </w:p>
        </w:tc>
        <w:tc>
          <w:tcPr>
            <w:tcW w:w="1021" w:type="dxa"/>
          </w:tcPr>
          <w:p w14:paraId="181D4ECA" w14:textId="3C480CA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122A2C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70627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Uwaga ogólna, dotyczy całości dokumentu II aPGW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W kontekście poważnego zagrożenia dla terminowego osiągnięcia celów Ramowej Dyrektywy Wodnej w naszym kraju, konieczność weryfikacji listy planowanych inwestycji w II aPGW, aPZPR, PPSS oraz inwestycji związanych z żeglugą śródlądową skutkujących nowymi presjami, po kątem zasadności ich realizacji oraz trafności wyboru wariantu realizacji przedsięwzięcia.</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238FB7D" w14:textId="0042E2F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bardzo poważne zagrożenie dla terminowego osiągnięcia środowiskowych celów RDW w naszym kraju, zwłaszcza w odniesieniu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lista wszystkich planowanych inwestycji hydrotechnicznych powinna być poddana ponownej weryfikacji pod kątem zasadności ich realizacji oraz trafności wyboru wariantu realizacji inwestycji. Aby w latach 2022 - 2027 osiągnąć zmniejszenie nowych presji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rzeczne, z listy inwestycji powinny być usunięte te, które nie mają przekonująco udowodnionej zasadności ich realizacji. W przypadku inwestycji niezbicie zasadnych ponownie powinna być przeprowadzona analiza wariantów realizacji celu inwestycji, pod kątem możliwości wyboru bardziej korzystnego środowiskowo wariantu realizacji celu inwestycji niż wariant obecnie zaplanowany.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1F14B7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Praktyka 17 lat wdrażania RDW w naszym kraju wskazuje, że wiele już zrealizowanych i planowanych inwestycji i innych przedsięwzięć hydrotechnicznych budzi poważne zastrzeżenia odnośnie do zasadności ich realizacji i wyboru wariantu realizacji przedsięwzięcia. W efekcie w latach 2010 – 2021 hydromorfologia rzek była degradowana kilkadziesiąt do kilkuset razy szybciej niż renaturyzowana Rejestr zrealizowanych w naszym kraju po roku 2004 przedsięwzięć renaturyzacyjnych zestawiony w opracowanych przez PGW Wody Polskie „Podręczniku dobrych praktyk renaturyzacji wód powierzchniowych” zawiera zaledwie 16 pozycji. W tym samym czasie ok. 38 tys. km bieżących cieków zostało objętych przedsięwzięciami hydrotechnicznymi (regulacjami i utrzymaniem wód) o silnym negatywnych wpływie na hydromorfologię. Podobne zastrzeżenia co do zasadności realizacji i wyboru wariantu osiągnięcia celu przedsięwzięcia budzi między innymi szereg inwestycji planowanych pod nośnymi społecznie hasłami takimi jak zapobieganie suszy czy powodzi. Jako przykład mogą służyć inwestycje zaplanowane w aPZRP, które zlokalizowane są poza tzw. obszarami problemowymi i które nie były objęte analizami hydraulicznymi wykazującymi skuteczność tych inwestycji w zarządzaniu ryzykiem powodziowym.</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8D0F2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030391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AF9CE75" w14:textId="21C7188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Zgodnie z metodyką opracowania zestawów działań (materiał źródłowy wykorzystany do opracowania IIaPGW) działania dobrane zostały do uwarunkowań i problemów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nie będąc działaniami negatywnie wpływającymi na cele środowiskowe jcw.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IIaPGW odnosi się do przedsięwzięć negatywnie oddziałujących na cele środowiskowe jcw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p>
        </w:tc>
      </w:tr>
      <w:tr w:rsidR="0085319C" w:rsidRPr="005E78BB" w14:paraId="553BE20E" w14:textId="77777777" w:rsidTr="00E92AE6">
        <w:trPr>
          <w:trHeight w:val="454"/>
        </w:trPr>
        <w:tc>
          <w:tcPr>
            <w:tcW w:w="562" w:type="dxa"/>
            <w:shd w:val="clear" w:color="auto" w:fill="auto"/>
            <w:hideMark/>
          </w:tcPr>
          <w:p w14:paraId="6192B70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410</w:t>
            </w:r>
          </w:p>
        </w:tc>
        <w:tc>
          <w:tcPr>
            <w:tcW w:w="1021" w:type="dxa"/>
          </w:tcPr>
          <w:p w14:paraId="22B5AB9B" w14:textId="331A613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Szkoła Główna Gospodarstwa Wiejskiego w Warszawie</w:t>
            </w:r>
          </w:p>
        </w:tc>
        <w:tc>
          <w:tcPr>
            <w:tcW w:w="1630" w:type="dxa"/>
            <w:shd w:val="clear" w:color="auto" w:fill="auto"/>
            <w:hideMark/>
          </w:tcPr>
          <w:p w14:paraId="1BDD05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92A0834" w14:textId="5C1848E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Projekty IIaPGW nie pozwolą na rozpoczęcie procesu poprawy stanu wód w Polsce, gdyż niemal zupełnie nie uzwględniają zapisów Krajowego Programu Renaturyzacji Wód Powierzchniowych (KPRWP) oraz ze względu na nowe presje hydromorfologiczne, będące skutkiem planowanych inwestycji i innych przedsięwzięć hydrotechnicznych, jak również prac utrzymaniowych rozumianych zgodnie z treścią Art. 227. ust. 3. ustawy Prawo Wodne, Dz. U. 2017 poz. 1566 z dnia 20 lipca 2017 r. Jak wskazano w KPRWP, 90%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Polsce wymaga podjęcia jakichś działań renaturyzacyjnych, rozumianych nawet jako modyfikację dotychczas prowadzonych prac. IIaPGW obszaru dorzecza Wisły, Odry, Niemna i Pregoły nie odnosi się do wyników KPRWP poza zdawkowym wspomnieniem istnienia tego dokumentu. Zwracamy uwagę na konieczność weryfikacji IIaPGW poprzez uwzględnienie szerokiej potrzeby wdrożenia prac renaturyzacyjnych w Polsce.</w:t>
            </w:r>
            <w:r w:rsidRPr="005E78BB">
              <w:rPr>
                <w:rFonts w:ascii="Calibri" w:eastAsia="Times New Roman" w:hAnsi="Calibri" w:cs="Calibri"/>
                <w:color w:val="000000"/>
                <w:sz w:val="18"/>
                <w:szCs w:val="18"/>
                <w:lang w:eastAsia="pl-PL"/>
              </w:rPr>
              <w:br/>
              <w:t>2. Projekty IIaPGW w żadnym stopniu nie odnoszą się do potrzeby zmiany trybu prowadzenia prac utrzymaniowych wskazywanych w Katalogu Dobrych Praktyk Robót Hydrotechnicznych i Prac Utrzymaniowych Wraz z Opracowaniem Zasad Ich Wdrażania. Zwracamy uwagę na konieczność jasnego zaznaczenia w IIaPGW obszaru dorzecza Wisły, Odry, Niemna i Pregoły informacji o negatywnym oddziaływaniu prac utrzymaniowych na ekosystemy wód podlegających tym pracom (sensu Art. 227. ust. 3. ustawy Prawo Wodne, Dz. U. 2017 poz. 1566 z dnia 20 lipca 2017 r). Zwracamy się również z prośbą o wprowadzenie do IIaPGW zapisów dotyczących konieczności ograniczenia prowadzenia prac utrzymaniowych wskazanych w załącznikach do konsultowanych dokumentów.</w:t>
            </w:r>
            <w:r w:rsidRPr="005E78BB">
              <w:rPr>
                <w:rFonts w:ascii="Calibri" w:eastAsia="Times New Roman" w:hAnsi="Calibri" w:cs="Calibri"/>
                <w:color w:val="000000"/>
                <w:sz w:val="18"/>
                <w:szCs w:val="18"/>
                <w:lang w:eastAsia="pl-PL"/>
              </w:rPr>
              <w:br/>
              <w:t>3. Zwracamy się z prośbą o wyjaśnienie, dlaczego nie dla wszystkich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na których są zlokalizowane elektrownie wodne, zaplanowano działania z zakresu wdrożenia przepływów środowiskowych. Duża zmienność przepływów poniżej elektrowni wodnych ma negatywny wpływ na organizmy żywe i tym samym może przyczyniać się do nieosiągnięcia celów środowiskowych. Wnioskujemy o zaplanowanie przepływów środowiskowych dla wszystkich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których występują elektrownie wodne.</w:t>
            </w:r>
            <w:r w:rsidRPr="005E78BB">
              <w:rPr>
                <w:rFonts w:ascii="Calibri" w:eastAsia="Times New Roman" w:hAnsi="Calibri" w:cs="Calibri"/>
                <w:color w:val="000000"/>
                <w:sz w:val="18"/>
                <w:szCs w:val="18"/>
                <w:lang w:eastAsia="pl-PL"/>
              </w:rPr>
              <w:br/>
              <w:t>4.IIaPGW w obecnej postaci przewiduje działania z zakresu przywrócenia ciągłości biologicznej, natomiast część wskazanych obiektów jest administrowana przez osoby/firmy prywatne. Obecne przepisy uniemożliwiają wyegzekwowanie udrożnienia budowli poprzecznych na podmiotach prywatnych. Obowiązek budowy urządzeń do migracji ryb dotyczy tylko nowobudowanych obiektów. Wnioskujemy o zmianę dotychczasowych przepisów prawnych w tym zakresie lub o modyfikację zapisów IIaPGW i doprowadzenie zapisów do ich zgodności z obowiązującym prawem, aby złożenia i działania przedstawione w IIaPGW były realne do wdrożenia i były pozbawione zapisów niemożliwych do wyegzekwowania.</w:t>
            </w:r>
            <w:r w:rsidRPr="005E78BB">
              <w:rPr>
                <w:rFonts w:ascii="Calibri" w:eastAsia="Times New Roman" w:hAnsi="Calibri" w:cs="Calibri"/>
                <w:color w:val="000000"/>
                <w:sz w:val="18"/>
                <w:szCs w:val="18"/>
                <w:lang w:eastAsia="pl-PL"/>
              </w:rPr>
              <w:br/>
              <w:t>5. Dlaczego w IIaPGW zaplanowano działania renaturyzacyjne tylko dla odcinków pilotażowych z KPRWP? Opracowany KRPWP jak i wyniki oceny stanu wód wskazują, że większość rzek w Polsce zagrożona jest nieosiągnięciem celów środowiskowych. Wobec tego, działania z KPRWP we wszystkich wymagających tego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powinny zostać przeniesione do IIaPGW.</w:t>
            </w:r>
            <w:r w:rsidRPr="005E78BB">
              <w:rPr>
                <w:rFonts w:ascii="Calibri" w:eastAsia="Times New Roman" w:hAnsi="Calibri" w:cs="Calibri"/>
                <w:color w:val="000000"/>
                <w:sz w:val="18"/>
                <w:szCs w:val="18"/>
                <w:lang w:eastAsia="pl-PL"/>
              </w:rPr>
              <w:br/>
              <w:t>6. Zwracamy się z prośbą o jednoznaczne wskazanie w IIaPGW konieczności podjęcia działań szkoleniowych dla zarządców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lub innych podmiotów wykonujących prawa właścicielskie w stosunku do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zakresu rozwiązań bazujących na zastosowaniu zielonej infrastruktury oraz renaturyzacji rzek pozwalającej równocześnie na ich gospodarcze wykorzystanie. </w:t>
            </w:r>
            <w:r w:rsidRPr="005E78BB">
              <w:rPr>
                <w:rFonts w:ascii="Calibri" w:eastAsia="Times New Roman" w:hAnsi="Calibri" w:cs="Calibri"/>
                <w:color w:val="000000"/>
                <w:sz w:val="18"/>
                <w:szCs w:val="18"/>
                <w:lang w:eastAsia="pl-PL"/>
              </w:rPr>
              <w:br/>
              <w:t>7. Działania proponowane w wykazach działań będących załącznikami do dokumentów IIaPGW oraz w zestawieniach inwestycji kierunkowych nie są opatrzone informacjami o możliwości ich adaptacji na podstawie wyników monitoringu. Wnosimy o podanie dla poszczególnych działań informacji o prowadzonym monitoringu pozwalającym na stwierdzenie, że dane działania są niezbędne do przeprowadzenia.</w:t>
            </w:r>
          </w:p>
        </w:tc>
        <w:tc>
          <w:tcPr>
            <w:tcW w:w="3377" w:type="dxa"/>
            <w:shd w:val="clear" w:color="auto" w:fill="auto"/>
            <w:hideMark/>
          </w:tcPr>
          <w:p w14:paraId="2C8965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2E0957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3764C5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0839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6877262" w14:textId="168D395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Ad. 1 Zestaw działań naprawczych IIaPGW został zweryfikowany, uwzględniono uwagi w zakresie KPRWP zgłoszone w trakcie konsultacji społecznych. Rozbudowano zestawy działań naprawczych IIaPGW w zakresie likwidacji presji hydromorfologicznych, wskazano dodatkowe działania techniczne mające na celu przywrócenie ciągłości biologicznej cieków, działania techniczne w zakresie renaturyzacji koryta oraz rozszerzono zakres działań nietechnicznych do działań 2- etapowych, obejmujących część analityczną oraz w przypadku, kiedy analizy wykażą negatywny wpływ budowli na ciągłość lub brak skuteczności istniejących urządzeń służących migracji ryb, obejmujący realizację działań technicznych. W zestawach działań II aPGW w celu przywrócenia drożności cieków, przypisano konkretne działania dla konkretnych obiektów, których szczegółowe zestawienie zawiera Załącznik 1 IIaPGW Wykaz działań dla budowli, łącznie zaplanowano 1216 działań technicznych (lub działań nietechnicznych z rozszerzeniem do działań technicznych w przypadku stwierdzonego braku ciągłości) dla 676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IIaPGW łącznie działań technicznych służących poprawie warunków hydromorfologicznych wpisujących się w działania wskazane w KPRWP przypisano dla 1119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oraz dla 129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W IIaPGW włączono dodatkowo wszystkie działania nakierowane na poprawę i ochronę warunków hydromorfologicznych wód powierzchniowych implementowane z PZO/PO dla obszarów przyrodniczo chronionych - łącznie 7791 działań zaplanowanych w obrębie 1171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oraz 1690 działań w obrębie 295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Ad. 2. Na poziomie krajowym wskazano działanie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Prowadzenie prac utrzymaniowych zgodnie z Katalogiem Dobrych Praktyk Robót Hydrotechnicznych i Prac Utrzymaniowych. Dodatkowo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zagrożonych, dla których zidentyfikowano presje hydromorfologiczne związane z pracami utrzymaniowymi, wskazano działanie: RWHM_03.01: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Ograniczono działanie do nietechnicznego, ponieważ wprowadzenie renaturyzcji przez prace utrzymaniowe wymaga szczegółowych ocen wpływu na cele środowiskowe oraz przedmioty ochrony.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Ad. 3. Na poziomie krajowym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wskazano działanie: Ustalenie przepływów hydrobiologicznych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uwzględnieniem celów środowiskowych wskazanych dla obszarów przyrodniczych, po uwagach zgłoszonych w toku konsultacji doprecyzowano nazwę działania krajowego i brzmi aktualnie: Ustalenie przepływów środowiskowych wymaganych do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Ad. 4. Plany gospodarowania wodami mają określoną w ustawie Prawo wodne funkcję prawną, a ich zawartość powinna być adekwatna do delegacji wynikającej z tej ustawy, nie mogą zatem zawierać treści niewynikających z podstawy prawnej wskazanej w ustawie - np. postulatów zmian obowiązujących przepisów. Natomiast trzeba zauważyć, że istniejące przepisy dają podstawę do tego, by wyegzekwować działania udrożnieniowe także od "podmiotów prywatnych". Jeżeli przyjmiemy, że piętrzenie wód jest prowadzone po to, by możliwe było korzystanie z wód lub usług wodnych (np. pobór wody lub produkcja energii), to pozwolenia wodnoprawne na takie korzystanie powinny (według ustawy Prawo wodne) podlegać cyklicznym przeglądom, są one zresztą wydawane na określony czas. W ramach przeglądu lub wydawania pozwoleń wodnoprawnych niezbędne jest sprawdzenie zgodności z celami środowiskowymi; jeżeli tej zgodności nie ma, to ustawa daje możliwość do cofnięcia (lub odmowy wydania) pozwolenia wodnoprawnego.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Ad. 5. W IIaPGW po uwzględnieniu uwag zgłoszonych w konsultacjach społecznych z uwzględnieniem najnowszych wyników monitoringu GIOŚ, działań technicznych służących poprawie warunków hydromorfologicznych wpisujących się w założenia KPRWP przypisano dla 1119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oraz dla 129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W IIaPGW implementowano dodatkowo wszystkie działania nakierowane na poprawę i ochronę warunków hydromorfologicznych wód powierzchniowych zawarte w PZO/PO dla obszarów przyrodniczo chronionych - łącznie 7791 działań zaplanowanych w obrębie 1171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oraz 1690 działań w obrębie 295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(działania przypisywano do poszczególnych obszarów na poziomie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Ad.6. PGW WP dostrzega potrzebę przeprowadzenia szkoleń dla zarządców wód z zakresu rozwiązań bazujących na zastosowaniu zielonej infrastruktury oraz renaturyzacji rzek, jednak podjęcie takich działań nie jest uwarunkowane od wpisania ich w zestaw działań naprawczych i mogą być one realizowane niezależnie od zapisów IIaPGW.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Ad. 7. Każde działanie wskazane w ramach IIaPGW ma przypisaną jednostkę odpowiedzialną za jego realizację oraz monitoring. Działania techniczne wprowadzono w większości jako działania 2-etapowe, składające się z części analitycznej, nietechnicznej oraz technicznej czyli realizację zakresu działania zgodnie z wykonanymi analizami, ocenami, projektami i po uzyskaniu odpowiednich dokumentacji i pozwoleń. W przypadku działań technicznych proponowanych do realizacji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których efektywność uzależniona jest od czynników zewnętrznych, zaproponowano działanie LWC_12.01 Kontrola procesów rekultywacji. W stosunku do pozostałych działań każdorazowo w Zestawie działań wskazywano Jednostkę odpowiedzialną za sprawozdawczość wraz z przypisanymi wskaźnikami oceny postępu we wdrażaniu poszczególnych działań.</w:t>
            </w:r>
          </w:p>
        </w:tc>
      </w:tr>
      <w:tr w:rsidR="0085319C" w:rsidRPr="005E78BB" w14:paraId="4C022AD6" w14:textId="77777777" w:rsidTr="00E92AE6">
        <w:trPr>
          <w:trHeight w:val="454"/>
        </w:trPr>
        <w:tc>
          <w:tcPr>
            <w:tcW w:w="562" w:type="dxa"/>
            <w:shd w:val="clear" w:color="auto" w:fill="auto"/>
            <w:hideMark/>
          </w:tcPr>
          <w:p w14:paraId="755C25B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411</w:t>
            </w:r>
          </w:p>
        </w:tc>
        <w:tc>
          <w:tcPr>
            <w:tcW w:w="1021" w:type="dxa"/>
          </w:tcPr>
          <w:p w14:paraId="45E89769" w14:textId="1610998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4B8395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21837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Rozdział 8, zał. 8</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Weryfikacja zastosowania derogacji z art. 4.4 RDW oraz 4.5 RDW, zgodnie z treścią uzasadnienia uwagi.</w:t>
            </w:r>
          </w:p>
        </w:tc>
        <w:tc>
          <w:tcPr>
            <w:tcW w:w="3377" w:type="dxa"/>
            <w:shd w:val="clear" w:color="auto" w:fill="auto"/>
            <w:hideMark/>
          </w:tcPr>
          <w:p w14:paraId="460DF81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Zgodne z treścią uzasadnienia propozycji zmian.</w:t>
            </w:r>
          </w:p>
        </w:tc>
        <w:tc>
          <w:tcPr>
            <w:tcW w:w="3401" w:type="dxa"/>
            <w:shd w:val="clear" w:color="auto" w:fill="auto"/>
            <w:hideMark/>
          </w:tcPr>
          <w:p w14:paraId="20F3348B" w14:textId="4DC8179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dokumencie wskazano derogacje z art. 4.4 RDW oraz 4.5 RDW dla 85%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Derogację z art. 4.4 przypisano do 74%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dorzeczu Wisły, a derogację z art. 4.5 przypisano do 62%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przy czym dla części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wyznaczono obie derogacje. Biorąc pod uwagę założenia Ramowej Dyrektywy Wodnej, czyli osiągnięcie dobrego stanu wód, są to bardzo duże liczby.</w:t>
            </w:r>
            <w:r w:rsidRPr="005E78BB">
              <w:rPr>
                <w:rFonts w:ascii="Calibri" w:eastAsia="Times New Roman" w:hAnsi="Calibri" w:cs="Calibri"/>
                <w:color w:val="000000"/>
                <w:sz w:val="18"/>
                <w:szCs w:val="18"/>
                <w:lang w:eastAsia="pl-PL"/>
              </w:rPr>
              <w:br/>
              <w:t xml:space="preserve">Ponad 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dorzeczu przypisano mniej rygorystyczny cel środowiskowy. W przypadku odstępstw czasowych dla ok. 13 %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wskazano osiągnięcie celu środowiskowego po 2027 r. W przypadku pozostałych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cel środowiskowy ma co prawda zostać osiągnięty w 2027 r. (832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ale dla 586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dla których wyznaczono derogację z art. 4.4, wyznaczono również derogację z art. 4.5. Oznacza to w praktyce, że do roku 2027 przewidziano osiągnięcie celów środowiskowych zaledwie dla 265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czyli ok. 15%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Coś, co z definicji miało być odstępstwem, jest regułą dla zdecydowanej większości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dorzeczu, a takie podejście jest sprzeczne z Ramową Dyrektywą Wodną o czym mówią wytyczne Komisji Europejskiej nr 20 „Wytyczne dotyczące wyłączeń z realizacji celów środowiskowych”. Ponadto, biorąc pod uwagę doświadczenia z dotychczasowego wdrażania „Programu działań…” mającego na celu zapewnienie poprawy stanu wód oraz inne mankamenty IIaPGW dla dorzecza Wisły wskazane w innych uwagach, z dużym prawdopodobieństwem można stwierdzić, że zakładane odstępstwa czasowe do 2027r. nie zostaną spełnione.</w:t>
            </w:r>
          </w:p>
        </w:tc>
        <w:tc>
          <w:tcPr>
            <w:tcW w:w="1918" w:type="dxa"/>
            <w:shd w:val="clear" w:color="auto" w:fill="auto"/>
            <w:hideMark/>
          </w:tcPr>
          <w:p w14:paraId="2D3376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2A460F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CD3FF9E" w14:textId="328FF1D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0742CC8" w14:textId="77777777" w:rsidTr="00E92AE6">
        <w:trPr>
          <w:trHeight w:val="454"/>
        </w:trPr>
        <w:tc>
          <w:tcPr>
            <w:tcW w:w="562" w:type="dxa"/>
            <w:shd w:val="clear" w:color="auto" w:fill="auto"/>
            <w:hideMark/>
          </w:tcPr>
          <w:p w14:paraId="0A3236C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412</w:t>
            </w:r>
          </w:p>
        </w:tc>
        <w:tc>
          <w:tcPr>
            <w:tcW w:w="1021" w:type="dxa"/>
          </w:tcPr>
          <w:p w14:paraId="753F9710" w14:textId="15DEB75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49E138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03E10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Rozdział 8, zał. 8</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Weryfikacja przesłanek zastosowania derogacji z art. 4.4 oraz 4.5 RDW.</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809F2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treścią uzasadnienia propozycji zmian.</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0B1B970" w14:textId="60C3EF0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dokumencie brakuje pełnej i rzetelnej analizy przesłanek w zakresie zastosowania derogacji z art. 4.4 oraz 4.5 RDW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Dotyczy to głównie następujących kwestii:</w:t>
            </w:r>
            <w:r w:rsidRPr="005E78BB">
              <w:rPr>
                <w:rFonts w:ascii="Calibri" w:eastAsia="Times New Roman" w:hAnsi="Calibri" w:cs="Calibri"/>
                <w:color w:val="000000"/>
                <w:sz w:val="18"/>
                <w:szCs w:val="18"/>
                <w:lang w:eastAsia="pl-PL"/>
              </w:rPr>
              <w:br w:type="page"/>
              <w:t xml:space="preserve">warunku, że nie będzie zachodziło dalsze pogarszanie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ype="page"/>
              <w:t xml:space="preserve">wykluczenia wariantów alternatywnych dla przyczyn wyznaczenia mniej rygorystycznych celów. </w:t>
            </w:r>
            <w:r w:rsidRPr="005E78BB">
              <w:rPr>
                <w:rFonts w:ascii="Calibri" w:eastAsia="Times New Roman" w:hAnsi="Calibri" w:cs="Calibri"/>
                <w:color w:val="000000"/>
                <w:sz w:val="18"/>
                <w:szCs w:val="18"/>
                <w:lang w:eastAsia="pl-PL"/>
              </w:rPr>
              <w:br w:type="page"/>
              <w:t xml:space="preserve">W kontekście braku rzetelnych analiz strategicznych z prawidłowo przeprowadzonym wariantowaniem lub też w ogóle braku analiz strategicznych nie jest możliwe wiarygodne przeanalizowanie przesłanek z art. 4.5 RDW. Ponadto brak uwzględnienia w IIaPGW wszystkich planowanych inwestycji hydrotechnicznych wymienionych w innych planach i programach z zakresu gospodarowania wodami powoduje brak możliwości wykazania, że nie będzie zachodziło dalsze pogarszanie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Co prawda w rozdziale 19 „Wykaz szczegółowych programów i planów gospodarowania dla obszaru dorzecza” dokumenty te zostały opisane, ale w żaden sposób nie przekłada się to na pozostałe części IIaPGW np. uwzględnienie dodatkowych presji, analizę przesłanek, katalog działań.</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D23DE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6426FB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7E90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przedstawia uzasadnienia odstępstw od celów środowiskowych.</w:t>
            </w:r>
            <w:r w:rsidRPr="005E78BB">
              <w:rPr>
                <w:rFonts w:ascii="Calibri" w:eastAsia="Times New Roman" w:hAnsi="Calibri" w:cs="Calibri"/>
                <w:color w:val="000000"/>
                <w:sz w:val="18"/>
                <w:szCs w:val="18"/>
                <w:lang w:eastAsia="pl-PL"/>
              </w:rPr>
              <w:br w:type="page"/>
              <w:t>Odstępstwem od celów środowiskowych RDW jest sytuacja, w której cel środowiskowy nie został osiągnięty; taka sytuacja wymaga odpowiedniego uzasadnienia i wyjaśnienia oraz podjęcia adekwatnej reakcji (podjęcia działań naprawczych).</w:t>
            </w:r>
            <w:r w:rsidRPr="005E78BB">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Każda weryfikacja zestawów działań determinuje konieczność dokonania również weryfikacji danych w wykazie odstępstw.</w:t>
            </w:r>
          </w:p>
        </w:tc>
      </w:tr>
      <w:tr w:rsidR="0085319C" w:rsidRPr="005E78BB" w14:paraId="1441BA23" w14:textId="77777777" w:rsidTr="00E92AE6">
        <w:trPr>
          <w:trHeight w:val="454"/>
        </w:trPr>
        <w:tc>
          <w:tcPr>
            <w:tcW w:w="562" w:type="dxa"/>
            <w:shd w:val="clear" w:color="auto" w:fill="auto"/>
            <w:hideMark/>
          </w:tcPr>
          <w:p w14:paraId="03E699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413</w:t>
            </w:r>
          </w:p>
        </w:tc>
        <w:tc>
          <w:tcPr>
            <w:tcW w:w="1021" w:type="dxa"/>
          </w:tcPr>
          <w:p w14:paraId="621E149D" w14:textId="1C2D7D7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3A1176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AF35B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Rozdział 16, zał. 6</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Weryfikacja podejścia w IIaPGW dla dorzecza Wisły do zagadnień związanych z derogacją z art. 4.7 RDW zgodnie z argumentami przedstawionymi w uzasadnieniu uwagi.</w:t>
            </w:r>
          </w:p>
        </w:tc>
        <w:tc>
          <w:tcPr>
            <w:tcW w:w="3377" w:type="dxa"/>
            <w:shd w:val="clear" w:color="auto" w:fill="auto"/>
            <w:hideMark/>
          </w:tcPr>
          <w:p w14:paraId="74FB08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treścią uzasadnienia propozycji zmian.</w:t>
            </w:r>
          </w:p>
        </w:tc>
        <w:tc>
          <w:tcPr>
            <w:tcW w:w="3401" w:type="dxa"/>
            <w:shd w:val="clear" w:color="auto" w:fill="auto"/>
            <w:hideMark/>
          </w:tcPr>
          <w:p w14:paraId="5D7F33D5"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IIaPGW nie zastosowano odpowiedniego podejścia do derogacji z art. 4.7 RDW. W rozdziale 16 można przeczytać, że zgodnie z wytycznymi KE (Wytyczne CIS nr 20 dotyczące wyłączeń z realizacji celów środowiskowych) przedstawienie informacji z zakresu art. 4.7 RDW w planie gospodarowania wodami ma charakter sprawozdawczy. Z kolei „w polskim systemie prawnym przyjęto, że analiza zgodności planowanego działania, inwestycji lub przedsięwzięcia z celami środowiskowymi jcw jest:</w:t>
            </w:r>
            <w:r w:rsidRPr="005E78BB">
              <w:rPr>
                <w:rFonts w:ascii="Calibri" w:eastAsia="Times New Roman" w:hAnsi="Calibri" w:cs="Calibri"/>
                <w:color w:val="000000"/>
                <w:sz w:val="18"/>
                <w:szCs w:val="18"/>
                <w:lang w:eastAsia="pl-PL"/>
              </w:rPr>
              <w:br/>
              <w:t>1. elementem postępowań administracyjnych w sprawie ocen wodnoprawnych (art. 429 ustawy pr.w.), pozwoleń wodnoprawnych (art. 396 ust. 1 ustawy pr.w.), decyzji o środowiskowych uwarunkowaniach (art. 81 ust. 3 ustawy u.i.o.ś.) oraz decyzji wykonawczych (pozwolenie na budowę, zezwolenie na realizację inwestycji drogowej itp.) w przypadku przeprowadzania ponownej oceny oddziaływania na środowisko (art. 90 ust. 2 pkt 2 ustawy u.i.o.ś.);</w:t>
            </w:r>
            <w:r w:rsidRPr="005E78BB">
              <w:rPr>
                <w:rFonts w:ascii="Calibri" w:eastAsia="Times New Roman" w:hAnsi="Calibri" w:cs="Calibri"/>
                <w:color w:val="000000"/>
                <w:sz w:val="18"/>
                <w:szCs w:val="18"/>
                <w:lang w:eastAsia="pl-PL"/>
              </w:rPr>
              <w:br/>
              <w:t>2. przedmiotem analizy przy rozpatrywaniu zgłoszeń wodnoprawnych (art. 423 ust. 5 pkt 3 ustawy pr.w.);</w:t>
            </w:r>
            <w:r w:rsidRPr="005E78BB">
              <w:rPr>
                <w:rFonts w:ascii="Calibri" w:eastAsia="Times New Roman" w:hAnsi="Calibri" w:cs="Calibri"/>
                <w:color w:val="000000"/>
                <w:sz w:val="18"/>
                <w:szCs w:val="18"/>
                <w:lang w:eastAsia="pl-PL"/>
              </w:rPr>
              <w:br/>
              <w:t>przedmiotem analizy przy przeglądzie pozwoleń wodnoprawnych (art. 416 ust. 2 oraz art. 325 ust. 1 pkt 2 ustawy pr.w.);</w:t>
            </w:r>
            <w:r w:rsidRPr="005E78BB">
              <w:rPr>
                <w:rFonts w:ascii="Calibri" w:eastAsia="Times New Roman" w:hAnsi="Calibri" w:cs="Calibri"/>
                <w:color w:val="000000"/>
                <w:sz w:val="18"/>
                <w:szCs w:val="18"/>
                <w:lang w:eastAsia="pl-PL"/>
              </w:rPr>
              <w:br/>
              <w:t>4. uwzględniana w ramach utrzymywania wód (art. 226 ust. 1-2, art. 229, art. 231 ustawy pr.w.) oraz innych czynności związanych z gospodarką wodną (art. 236 ust. 4, art. 164 ust. 1, art. 187 ust. 1, art. 198 ustawy pr.w.);</w:t>
            </w:r>
            <w:r w:rsidRPr="005E78BB">
              <w:rPr>
                <w:rFonts w:ascii="Calibri" w:eastAsia="Times New Roman" w:hAnsi="Calibri" w:cs="Calibri"/>
                <w:color w:val="000000"/>
                <w:sz w:val="18"/>
                <w:szCs w:val="18"/>
                <w:lang w:eastAsia="pl-PL"/>
              </w:rPr>
              <w:br/>
              <w:t>5. przedmiotem analizy przy wydawaniu deklaracji zgodności z RDW (art. 439-440a ustawy pr.w.).”</w:t>
            </w:r>
            <w:r w:rsidRPr="005E78BB">
              <w:rPr>
                <w:rFonts w:ascii="Calibri" w:eastAsia="Times New Roman" w:hAnsi="Calibri" w:cs="Calibri"/>
                <w:color w:val="000000"/>
                <w:sz w:val="18"/>
                <w:szCs w:val="18"/>
                <w:lang w:eastAsia="pl-PL"/>
              </w:rPr>
              <w:br/>
              <w:t>Podsumowano to stwierdzeniem, że: „Każdy przypadek realizacji działania, inwestycji lub przedsięwzięcia mogącego zagrażać celom środowiskowym jcw wymaga autoryzacji w formie decyzji administracyjnej.”</w:t>
            </w:r>
            <w:r w:rsidRPr="005E78BB">
              <w:rPr>
                <w:rFonts w:ascii="Calibri" w:eastAsia="Times New Roman" w:hAnsi="Calibri" w:cs="Calibri"/>
                <w:color w:val="000000"/>
                <w:sz w:val="18"/>
                <w:szCs w:val="18"/>
                <w:lang w:eastAsia="pl-PL"/>
              </w:rPr>
              <w:br/>
              <w:t>Następnie wskazano:</w:t>
            </w:r>
            <w:r w:rsidRPr="005E78BB">
              <w:rPr>
                <w:rFonts w:ascii="Calibri" w:eastAsia="Times New Roman" w:hAnsi="Calibri" w:cs="Calibri"/>
                <w:color w:val="000000"/>
                <w:sz w:val="18"/>
                <w:szCs w:val="18"/>
                <w:lang w:eastAsia="pl-PL"/>
              </w:rPr>
              <w:br/>
              <w:t>„Obligatoryjnym elementem planu gospodarowania wodami jest wykaz inwestycji lub działań spełniających łącznie następujące kryteria:</w:t>
            </w:r>
            <w:r w:rsidRPr="005E78BB">
              <w:rPr>
                <w:rFonts w:ascii="Calibri" w:eastAsia="Times New Roman" w:hAnsi="Calibri" w:cs="Calibri"/>
                <w:color w:val="000000"/>
                <w:sz w:val="18"/>
                <w:szCs w:val="18"/>
                <w:lang w:eastAsia="pl-PL"/>
              </w:rPr>
              <w:br/>
              <w:t>mogą one wpłynąć na możliwość osiągnięcia celów środowiskowych, o których mowa w art. 56, art. 57, art. 59 oraz w art. 61 ustawy pr.w.;</w:t>
            </w:r>
            <w:r w:rsidRPr="005E78BB">
              <w:rPr>
                <w:rFonts w:ascii="Calibri" w:eastAsia="Times New Roman" w:hAnsi="Calibri" w:cs="Calibri"/>
                <w:color w:val="000000"/>
                <w:sz w:val="18"/>
                <w:szCs w:val="18"/>
                <w:lang w:eastAsia="pl-PL"/>
              </w:rPr>
              <w:br/>
              <w:t>spełniają warunki, o których mowa w art. 68 ustawy pr.w.</w:t>
            </w:r>
            <w:r w:rsidRPr="005E78BB">
              <w:rPr>
                <w:rFonts w:ascii="Calibri" w:eastAsia="Times New Roman" w:hAnsi="Calibri" w:cs="Calibri"/>
                <w:color w:val="000000"/>
                <w:sz w:val="18"/>
                <w:szCs w:val="18"/>
                <w:lang w:eastAsia="pl-PL"/>
              </w:rPr>
              <w:br/>
              <w:t>Tak określony wykaz inwestycji i działań, które mogą spowodować nieosiągnięcie dobrego stanu wód lub pogorszenie dobrego stanu wód, stanowi załącznik nr 6 (Wykaz inwestycji i działań)”.</w:t>
            </w:r>
            <w:r w:rsidRPr="005E78BB">
              <w:rPr>
                <w:rFonts w:ascii="Calibri" w:eastAsia="Times New Roman" w:hAnsi="Calibri" w:cs="Calibri"/>
                <w:color w:val="000000"/>
                <w:sz w:val="18"/>
                <w:szCs w:val="18"/>
                <w:lang w:eastAsia="pl-PL"/>
              </w:rPr>
              <w:br/>
              <w:t>Przeglądając jednak załącznik nr 6 można dostrzec, że dla wielu inwestycji tam zawartych nie ma informacji o decyzji środowiskowej, ocenie wodnoprawnej czy też deklaracji zgodności z RDW. Nie można zatem powiedzieć, że zamieszczone w wykazie w załączniku nr 6 inwestycje spełniają warunki wskazane w rozdziale nr 16. Jeśli zatem w wykazie zostały uwzględnione inwestycje bez decyzji administracyjnych, powinny tu również zostać uwzględnione wszystkie planowane inwestycje, które potencjalnie mogą powodować ryzyko nieosiągnięcia celów środowiskowych. Można się zgodzić z tym, że szczegółowa analiza wpływu inwestycji hydrotechnicznych na cele środowiskowe oraz weryfikacja przesłanek z art. 4.7 powinna się odbywać na etapie procesu inwestycyjnego. Nie oznacza to natomiast, że inwestycje hydrotechniczne, zwłaszcza te duże z zakresu żeglugi śródlądowej czy ochrony przeciwpowodziowej, które niewątpliwie z definicji powodują nowe zmiany w charakterystyce fizycznej części wód powierzchniowych (czyli ingerują w hydromorfologię), nie powinny się znaleźć w wykazie w zał. 6. W załączniku 6 powinny się zatem znaleźć wszystkie inwestycje, które powodują nowe zmiany w charakterystyce fizycznej części wód powierzchniowych, a które wynikają z innych planów i programów w zakresie gospodarowania wodami, a zwłaszcza:</w:t>
            </w:r>
            <w:r w:rsidRPr="005E78BB">
              <w:rPr>
                <w:rFonts w:ascii="Calibri" w:eastAsia="Times New Roman" w:hAnsi="Calibri" w:cs="Calibri"/>
                <w:color w:val="000000"/>
                <w:sz w:val="18"/>
                <w:szCs w:val="18"/>
                <w:lang w:eastAsia="pl-PL"/>
              </w:rPr>
              <w:br/>
              <w:t>Planów Zarządzania Ryzykiem Powodziowym dla obszarów dorzeczy (aPZRP),</w:t>
            </w:r>
            <w:r w:rsidRPr="005E78BB">
              <w:rPr>
                <w:rFonts w:ascii="Calibri" w:eastAsia="Times New Roman" w:hAnsi="Calibri" w:cs="Calibri"/>
                <w:color w:val="000000"/>
                <w:sz w:val="18"/>
                <w:szCs w:val="18"/>
                <w:lang w:eastAsia="pl-PL"/>
              </w:rPr>
              <w:br/>
              <w:t>Planu Przeciwdziałania Skutkom Suszy (PPSS),</w:t>
            </w:r>
            <w:r w:rsidRPr="005E78BB">
              <w:rPr>
                <w:rFonts w:ascii="Calibri" w:eastAsia="Times New Roman" w:hAnsi="Calibri" w:cs="Calibri"/>
                <w:color w:val="000000"/>
                <w:sz w:val="18"/>
                <w:szCs w:val="18"/>
                <w:lang w:eastAsia="pl-PL"/>
              </w:rPr>
              <w:br/>
              <w:t>Programu przeciwdziałania niedoborowi wody na lata 2021-2027 z perspektywą do 2030 r.,</w:t>
            </w:r>
            <w:r w:rsidRPr="005E78BB">
              <w:rPr>
                <w:rFonts w:ascii="Calibri" w:eastAsia="Times New Roman" w:hAnsi="Calibri" w:cs="Calibri"/>
                <w:color w:val="000000"/>
                <w:sz w:val="18"/>
                <w:szCs w:val="18"/>
                <w:lang w:eastAsia="pl-PL"/>
              </w:rPr>
              <w:br/>
              <w:t>Założeń do Planów Rozwoju Śródlądowych Dróg Wodnych w Polsce na lata 2016-2020 z perspektywą do roku 2030,</w:t>
            </w:r>
            <w:r w:rsidRPr="005E78BB">
              <w:rPr>
                <w:rFonts w:ascii="Calibri" w:eastAsia="Times New Roman" w:hAnsi="Calibri" w:cs="Calibri"/>
                <w:color w:val="000000"/>
                <w:sz w:val="18"/>
                <w:szCs w:val="18"/>
                <w:lang w:eastAsia="pl-PL"/>
              </w:rPr>
              <w:br/>
              <w:t>Krajowego Programu Żeglugowego 2030 (KPŻ2030).</w:t>
            </w:r>
            <w:r w:rsidRPr="005E78BB">
              <w:rPr>
                <w:rFonts w:ascii="Calibri" w:eastAsia="Times New Roman" w:hAnsi="Calibri" w:cs="Calibri"/>
                <w:color w:val="000000"/>
                <w:sz w:val="18"/>
                <w:szCs w:val="18"/>
                <w:lang w:eastAsia="pl-PL"/>
              </w:rPr>
              <w:br/>
              <w:t>Należy podkreślić, że Plan gospodarowania wodami na obszarze dorzecza powinien scalać ustalenia z innych planów w zakresie gospodarowania wodami tak, aby optymalnie dobrać katalog działań w celu osiągnięcia dobrego stanu wód. Bez pełnej informacji w zakresie realizowanych i planowanych do realizacji inwestycji hydrotechnicznych jest to niemożliwe, a zatem jeden z głównych celów IIaPGW nie został spełniony.</w:t>
            </w:r>
            <w:r w:rsidRPr="005E78BB">
              <w:rPr>
                <w:rFonts w:ascii="Calibri" w:eastAsia="Times New Roman" w:hAnsi="Calibri" w:cs="Calibri"/>
                <w:color w:val="000000"/>
                <w:sz w:val="18"/>
                <w:szCs w:val="18"/>
                <w:lang w:eastAsia="pl-PL"/>
              </w:rPr>
              <w:br/>
              <w:t>Powyższe kwestie potwierdzają również wytyczne KE - Wytyczne CIS nr 36 „Wyłączenia z celów środowiskowych na mocy art. 4 ust. 7”, które podkreślają w wielu miejscach znaczenie analiz strategicznych w prawidłowych rozpoznaniu przesłanek z art. 4.7 RDW na etapie ooś dla poszczególnych przedsięwzięć, zwłaszcza w kontekście nadrzędnego interesu publicznego oraz korzystniejszej środowiskowo opcji (wariantowanie). Przedmiotowe wytyczne wskazują również jasno:</w:t>
            </w:r>
            <w:r w:rsidRPr="005E78BB">
              <w:rPr>
                <w:rFonts w:ascii="Calibri" w:eastAsia="Times New Roman" w:hAnsi="Calibri" w:cs="Calibri"/>
                <w:color w:val="000000"/>
                <w:sz w:val="18"/>
                <w:szCs w:val="18"/>
                <w:lang w:eastAsia="pl-PL"/>
              </w:rPr>
              <w:br/>
              <w:t>„Ponadto poniższe informacje są na tyle użyteczne, że nadają się do włączenia do planów gospodarowania wodami w dorzeczu (i ich wersji roboczych) lub do dokumentów uzupełniających, udostępnianych w momencie publikacji planów:</w:t>
            </w:r>
            <w:r w:rsidRPr="005E78BB">
              <w:rPr>
                <w:rFonts w:ascii="Calibri" w:eastAsia="Times New Roman" w:hAnsi="Calibri" w:cs="Calibri"/>
                <w:color w:val="000000"/>
                <w:sz w:val="18"/>
                <w:szCs w:val="18"/>
                <w:lang w:eastAsia="pl-PL"/>
              </w:rPr>
              <w:br/>
              <w:t>Przypadki mogące podlegać przepisom art. 4 ust. 7 przed oceną przedsięwzięcia lub w jej 2060 trakcie, np. środki ochrony przeciwpowodziowej określone w planie zarządzania ryzykiem 2061 powodziowym, inne przedsięwzięcia infrastrukturalne (np. w dziedzinie żeglugi, energii wodnej, 2062 nawadniania), które mogą wymagać zastosowania procedury badawczej z art. 4 ust. 7, a także 2063 inne przedsięwzięcia podlegające procedurze udzielania zezwoleń; 2064</w:t>
            </w:r>
            <w:r w:rsidRPr="005E78BB">
              <w:rPr>
                <w:rFonts w:ascii="Calibri" w:eastAsia="Times New Roman" w:hAnsi="Calibri" w:cs="Calibri"/>
                <w:color w:val="000000"/>
                <w:sz w:val="18"/>
                <w:szCs w:val="18"/>
                <w:lang w:eastAsia="pl-PL"/>
              </w:rPr>
              <w:br/>
              <w:t>Inne projekty, które mogą mieć wpływ na stan/potencjał części wód, ale które indywidualnie 2065 mogą nie uruchamiać procedury badawczej z art. 4 ust. 7”</w:t>
            </w:r>
            <w:r w:rsidRPr="005E78BB">
              <w:rPr>
                <w:rFonts w:ascii="Calibri" w:eastAsia="Times New Roman" w:hAnsi="Calibri" w:cs="Calibri"/>
                <w:color w:val="000000"/>
                <w:sz w:val="18"/>
                <w:szCs w:val="18"/>
                <w:lang w:eastAsia="pl-PL"/>
              </w:rPr>
              <w:br/>
              <w:t>Podsumowując, obecny IIaPGW nie spełnia wymogów RDW odnośnie do ujęcia w nim zagadnień związanych z derogacją z art. 4.7 RDW i wymaga znaczących zmian w tym zakresie.</w:t>
            </w:r>
          </w:p>
        </w:tc>
        <w:tc>
          <w:tcPr>
            <w:tcW w:w="1918" w:type="dxa"/>
            <w:shd w:val="clear" w:color="auto" w:fill="auto"/>
            <w:hideMark/>
          </w:tcPr>
          <w:p w14:paraId="73F464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01C028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3CFC191" w14:textId="7C09DDD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0555215B" w14:textId="77777777" w:rsidTr="00E92AE6">
        <w:trPr>
          <w:trHeight w:val="454"/>
        </w:trPr>
        <w:tc>
          <w:tcPr>
            <w:tcW w:w="562" w:type="dxa"/>
            <w:shd w:val="clear" w:color="auto" w:fill="auto"/>
            <w:hideMark/>
          </w:tcPr>
          <w:p w14:paraId="388E8EC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414</w:t>
            </w:r>
          </w:p>
        </w:tc>
        <w:tc>
          <w:tcPr>
            <w:tcW w:w="1021" w:type="dxa"/>
          </w:tcPr>
          <w:p w14:paraId="0ACCF71B" w14:textId="18343D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47A9D6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9A745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Rozdział 16, zał. 6</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zagadnieniach związanych z zastosowaniem art. 4.7 RDW należy uwzględnić kwestie prac utrzymaniowych, zgodnie z treścią uzasadnienia propozycji zmian.</w:t>
            </w:r>
          </w:p>
        </w:tc>
        <w:tc>
          <w:tcPr>
            <w:tcW w:w="3377" w:type="dxa"/>
            <w:shd w:val="clear" w:color="auto" w:fill="auto"/>
            <w:hideMark/>
          </w:tcPr>
          <w:p w14:paraId="011490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treścią uwagi i uzasadnienia.</w:t>
            </w:r>
          </w:p>
        </w:tc>
        <w:tc>
          <w:tcPr>
            <w:tcW w:w="3401" w:type="dxa"/>
            <w:shd w:val="clear" w:color="auto" w:fill="auto"/>
            <w:hideMark/>
          </w:tcPr>
          <w:p w14:paraId="0D012C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Prace utrzymaniowe nie zostały należycie uwzględnione w IIaPGW pod kątem zastosowania art. 4.7 RDW. Prace utrzymaniowe z jednej strony muszą być wykonywane (zgodnie z Prawem wodnym) w taki sposób aby nie naruszać celów środowiskowych, a z drugiej strony określony zakres prac utrzymaniowych (np. odmulanie na długości rzeki powyżej 1000 m) wymaga oceny wodnoprawnej, zgodnie z Rozporządzeniem Ministra Gospodarki Morskiej i Żeglugi Śródlądowej z dnia 27 sierpnia 2019 r. w sprawie rodzajów inwestycji i działań, które wymagają uzyskania oceny wodnoprawnej.</w:t>
            </w:r>
            <w:r w:rsidRPr="005E78BB">
              <w:rPr>
                <w:rFonts w:ascii="Calibri" w:eastAsia="Times New Roman" w:hAnsi="Calibri" w:cs="Calibri"/>
                <w:color w:val="000000"/>
                <w:sz w:val="18"/>
                <w:szCs w:val="18"/>
                <w:lang w:eastAsia="pl-PL"/>
              </w:rPr>
              <w:br/>
              <w:t>W IIaPGW nie przeanalizowano żadnych ocen wodnoprawnych związanych z pracami utrzymaniowymi. Pomimo, że prace utrzymaniowe nie wymagają formalnie oceny wpływu na środowisko czy cele środowiskowe w rozumieniu RDW (co należy przypisać mankamentom obecnego Prawa wodnego), to jednak mogą wpływać na stan wód. Mówią o tym również wytyczne KE  - Wytyczne CIS nr 36 „Wyłączenia z celów środowiskowych na mocy art. 4 ust. 7”: „W związku z pracami konserwacyjnymi ich częstotliwość ma wpływ na stan lub potencjał części wód. Odejście od częstych czynności konserwacyjnych na rzecz praktyk opartych na obserwacji i działaniach na żądanie powodujących jedynie krótkofalowe skutki może zmniejszyć wpływ na środowisko, jednocześnie pozwalając na zachowanie użytkowania. Niemniej jednak, w przypadku gdy prace  konserwacyjne nie były wykonywane regularnie ani w ostatnim czasie, wówczas mogą mieć taki sam  wpływ na stan/potencjał ekologiczny co zupełnie nowe roboty. Innymi słowy, jeżeli po ostatnich  czynnościach konserwacyjnych stan/potencjał części wód został przywrócony/ustabilizowany, fakt, że  z punktu widzenia inżynierii są to prace „konserwacyjne”, nie oznacza to koniecznie, że nie mają one wpływu na stan danej części wód. W takich przypadkach czynność „konserwacyjna” powinna być  oceniana w tym samym trybie co nowo planowana zmiana właściwości fizycznych, w związku z czym  może zajść potrzeba zastosowania procedury badawczej z art. 4 ust. 7.”</w:t>
            </w:r>
            <w:r w:rsidRPr="005E78BB">
              <w:rPr>
                <w:rFonts w:ascii="Calibri" w:eastAsia="Times New Roman" w:hAnsi="Calibri" w:cs="Calibri"/>
                <w:color w:val="000000"/>
                <w:sz w:val="18"/>
                <w:szCs w:val="18"/>
                <w:lang w:eastAsia="pl-PL"/>
              </w:rPr>
              <w:br/>
              <w:t>Wobec powyższego należy uwzględnić realny wpływ prac utrzymaniowych na stan wód pod kątem zastosowania art. 4.7 RDW.</w:t>
            </w:r>
          </w:p>
        </w:tc>
        <w:tc>
          <w:tcPr>
            <w:tcW w:w="1918" w:type="dxa"/>
            <w:shd w:val="clear" w:color="auto" w:fill="auto"/>
            <w:hideMark/>
          </w:tcPr>
          <w:p w14:paraId="010896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418E6E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220CE3" w14:textId="67DC174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641FD98" w14:textId="77777777" w:rsidTr="00E92AE6">
        <w:trPr>
          <w:trHeight w:val="454"/>
        </w:trPr>
        <w:tc>
          <w:tcPr>
            <w:tcW w:w="562" w:type="dxa"/>
            <w:shd w:val="clear" w:color="auto" w:fill="auto"/>
            <w:hideMark/>
          </w:tcPr>
          <w:p w14:paraId="2DED5F1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415</w:t>
            </w:r>
          </w:p>
        </w:tc>
        <w:tc>
          <w:tcPr>
            <w:tcW w:w="1021" w:type="dxa"/>
          </w:tcPr>
          <w:p w14:paraId="056DD610" w14:textId="272D818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7269FB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6E62480" w14:textId="333DDEA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Wykaz działań dla budowli piętrzących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Aktualizacja metodyki do identyfikacji działań z zakresu zachowania ciągłości morfologicznej w kontekście zaplanowanych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tym sposób przeprowadzenia analizy/oceny funkcjonowania istniejących urządzeń do migracji ryb i ponowne wykonanie analiz na rzecz skutecznego zaplanowania działań służących odtworzeniu ciągłości biologicznej przekładające się na zaktualizowanie na rzekach objętych projektem "Przegląd i aktualizacja map zagrożenia powodziowego i map ryzyka powodziowego (Nr projektu: POIS.02.01.00-00-0013/16) programu działań w zakresie osiągnięcia celów środowiskowych</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6132F86" w14:textId="7D0F8B5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Aktualizacja metodyki do identyfikacji działań z zakresu zachowania ciągłości morfologicznej w kontekście zaplanowanych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tym sposób przeprowadzenia analizy/oceny funkcjonowania istniejących urządzeń do migracji ryb, o której jest mowa w pkt 6.3 lit. e) Etapu I Opisu Przedmiotu Zamówienia. Uwzględnienie w analizach dostępnych w PGW WP danych dot. zinwentaryzowanych budowli hydrotechnicznych w ramach projektu aMPZiMRP i ponowne wykonanie analiz na rzecz skutecznego zaplanowania działań służących odtworzeniu ciągłości biologicznej przekładające się na zaktualizowanie na rzekach objętych projektem "Przegląd i aktualizacja map zagrożenia powodziowego i map ryzyka powodziowego (Nr projek-tu: POIS.02.01.00-00-0013/16) programu działań w zakresie osiągnięcia celów środowiskowych</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912E62B" w14:textId="4234967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Analiza bazy HYMO, bazy barier dostępnej w ramach programu Amber (https://amber.international/) oraz danych mapowych aktualizacji Map Zagrożenia Powodziowego wskazują, że w pracach związanych z opracowaniem II aPGW nie uwzględniono produktów wypracowanych w ramach zamówienia: Przegląd i aktualizacja map zagrożenia powodziowego i map ryzyka powodziowego. Nr projektu: PO-IS.02.01.00-00-0013/16" (aMZPiMRP), służących opracowaniu map publikowanych na stronach ISOK: https://wody.isok.gov.pl/imap_kzgw/?gpmap=gpMZP. Zwraca się uwagę, że produktów z aMZPiMRRP nie uwzględniono zarówno na etapie opracowania bazy HYMO, jak i opracowania projektów II aPZRP w ramach zamówienia:  KZGW/KZP/255/2019  "Opracowanie projektów II aktualizacji planów gospodarowania wodami na obszarach dorzeczy (II aPGW) wraz z metodykami" a są to dane publiczne, którymi dysponuje PGW WP.</w:t>
            </w:r>
            <w:r w:rsidRPr="005E78BB">
              <w:rPr>
                <w:rFonts w:ascii="Calibri" w:eastAsia="Times New Roman" w:hAnsi="Calibri" w:cs="Calibri"/>
                <w:color w:val="000000"/>
                <w:sz w:val="18"/>
                <w:szCs w:val="18"/>
                <w:lang w:eastAsia="pl-PL"/>
              </w:rPr>
              <w:br w:type="page"/>
              <w:t xml:space="preserve">Analiza przykładowego przypadku rzeki Gostynia w miejscowość i Paprocany wskazuje, że dane takie mogły nie zostać wykorzystane. Bariera znajdująca się w pobliżu ul. Nad jeziorem nie została uwzględniona. Brak tego obiektu w bazie HYMO, a także nie zaplanowano na nim działań przedstawionych w Załączniku nr 1 (Zal_1_Zestaw dzialan_Wykaz działań dla budowli_Wisła) do Załącznika 7.3 z wykazem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514EC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3EB5F5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58CD1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Danymi wejściowymi do analizy drożności budowli poprzecznych w ramach IIaPGW była oficjalna baza HYMO (krajowa baza danych hydromorfologicznych, 2019), którą zweryfikowano w oparciu o danych z katastru wodnego rzgw oraz ortofotomapy. Uwaga dotyczy materiałów źródłowych do projektów IIaPGW i rozpatrzona zostanie przy aktualizacji bazy HYMO w pracach dotyczących kolejnego cyklu planistycznego.</w:t>
            </w:r>
          </w:p>
        </w:tc>
      </w:tr>
      <w:tr w:rsidR="0085319C" w:rsidRPr="005E78BB" w14:paraId="650C7E27" w14:textId="77777777" w:rsidTr="00E92AE6">
        <w:trPr>
          <w:trHeight w:val="454"/>
        </w:trPr>
        <w:tc>
          <w:tcPr>
            <w:tcW w:w="562" w:type="dxa"/>
            <w:shd w:val="clear" w:color="auto" w:fill="auto"/>
            <w:hideMark/>
          </w:tcPr>
          <w:p w14:paraId="0CAAA44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416</w:t>
            </w:r>
          </w:p>
        </w:tc>
        <w:tc>
          <w:tcPr>
            <w:tcW w:w="1021" w:type="dxa"/>
          </w:tcPr>
          <w:p w14:paraId="314B8624" w14:textId="17CE5CA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Fundacja WWF Polska  </w:t>
            </w:r>
          </w:p>
        </w:tc>
        <w:tc>
          <w:tcPr>
            <w:tcW w:w="1630" w:type="dxa"/>
            <w:shd w:val="clear" w:color="auto" w:fill="auto"/>
            <w:hideMark/>
          </w:tcPr>
          <w:p w14:paraId="401DCB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2104C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Wykaz działań dla budowli piętrzących.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Zmiana przypisanych budowlom piętrzącym działań oraz dodanie nieuwzględnionych budowli piętrzących. Wykaz zaproponowanych zmian przedstawiono w formie tabelarycznej w załączniku do uwagi.</w:t>
            </w:r>
          </w:p>
        </w:tc>
        <w:tc>
          <w:tcPr>
            <w:tcW w:w="3377" w:type="dxa"/>
            <w:shd w:val="clear" w:color="auto" w:fill="auto"/>
            <w:hideMark/>
          </w:tcPr>
          <w:p w14:paraId="566181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Propozycję zmian działań dla budowli piętrzących uwzględnionych w projekcie IIaPGW umieszczono w załączniku Zał_wykaz_budowli_WWF_zmiana_działań_Wisla (Zał nr 2) w komórkach: </w:t>
            </w:r>
            <w:r w:rsidRPr="005E78BB">
              <w:rPr>
                <w:rFonts w:ascii="Calibri" w:eastAsia="Times New Roman" w:hAnsi="Calibri" w:cs="Calibri"/>
                <w:color w:val="000000"/>
                <w:sz w:val="18"/>
                <w:szCs w:val="18"/>
                <w:lang w:eastAsia="pl-PL"/>
              </w:rPr>
              <w:br/>
              <w:t>BA – Wstępnie przypisane działania</w:t>
            </w:r>
            <w:r w:rsidRPr="005E78BB">
              <w:rPr>
                <w:rFonts w:ascii="Calibri" w:eastAsia="Times New Roman" w:hAnsi="Calibri" w:cs="Calibri"/>
                <w:color w:val="000000"/>
                <w:sz w:val="18"/>
                <w:szCs w:val="18"/>
                <w:lang w:eastAsia="pl-PL"/>
              </w:rPr>
              <w:br/>
              <w:t>BB – Działanie IIaPGW nr 1</w:t>
            </w:r>
            <w:r w:rsidRPr="005E78BB">
              <w:rPr>
                <w:rFonts w:ascii="Calibri" w:eastAsia="Times New Roman" w:hAnsi="Calibri" w:cs="Calibri"/>
                <w:color w:val="000000"/>
                <w:sz w:val="18"/>
                <w:szCs w:val="18"/>
                <w:lang w:eastAsia="pl-PL"/>
              </w:rPr>
              <w:br/>
              <w:t>BC – Działanie IIaPGW nr 2</w:t>
            </w:r>
            <w:r w:rsidRPr="005E78BB">
              <w:rPr>
                <w:rFonts w:ascii="Calibri" w:eastAsia="Times New Roman" w:hAnsi="Calibri" w:cs="Calibri"/>
                <w:color w:val="000000"/>
                <w:sz w:val="18"/>
                <w:szCs w:val="18"/>
                <w:lang w:eastAsia="pl-PL"/>
              </w:rPr>
              <w:br/>
              <w:t>Uzasadnienie oraz uwagi dla każdej z budowli piętrzących umieszczono w kolumnie BY – Uzasadnienie.uwagi</w:t>
            </w:r>
            <w:r w:rsidRPr="005E78BB">
              <w:rPr>
                <w:rFonts w:ascii="Calibri" w:eastAsia="Times New Roman" w:hAnsi="Calibri" w:cs="Calibri"/>
                <w:color w:val="000000"/>
                <w:sz w:val="18"/>
                <w:szCs w:val="18"/>
                <w:lang w:eastAsia="pl-PL"/>
              </w:rPr>
              <w:br/>
              <w:t>W przypadku piętrzeń nie uwzględnionych w projekcie IIaPGW,bariery te umieszczono w pliku Zał_wykaz_budowli_WWF_nowe_budowle_Wisla.xlsx (zał. nr 3) i wypełniono znane pola: E;G;H;J-M;AI-BC.</w:t>
            </w:r>
            <w:r w:rsidRPr="005E78BB">
              <w:rPr>
                <w:rFonts w:ascii="Calibri" w:eastAsia="Times New Roman" w:hAnsi="Calibri" w:cs="Calibri"/>
                <w:color w:val="000000"/>
                <w:sz w:val="18"/>
                <w:szCs w:val="18"/>
                <w:lang w:eastAsia="pl-PL"/>
              </w:rPr>
              <w:br/>
              <w:t>Uzasadnienie oraz uwagi dla każdej z budowli piętrzących umieszczono w kolumnie BY – Uzasadnienie.uwagi</w:t>
            </w:r>
          </w:p>
        </w:tc>
        <w:tc>
          <w:tcPr>
            <w:tcW w:w="3401" w:type="dxa"/>
            <w:shd w:val="clear" w:color="auto" w:fill="auto"/>
            <w:hideMark/>
          </w:tcPr>
          <w:p w14:paraId="75A242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Uzasadnienie oraz uwagi dla każdej z budowli piętrzących umieszczono w kolumnie BY – Uzasadnienie.uwagi</w:t>
            </w:r>
          </w:p>
        </w:tc>
        <w:tc>
          <w:tcPr>
            <w:tcW w:w="1918" w:type="dxa"/>
            <w:shd w:val="clear" w:color="auto" w:fill="auto"/>
            <w:hideMark/>
          </w:tcPr>
          <w:p w14:paraId="6CD069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WWF_Wisła</w:t>
            </w:r>
          </w:p>
        </w:tc>
        <w:tc>
          <w:tcPr>
            <w:tcW w:w="1276" w:type="dxa"/>
            <w:shd w:val="clear" w:color="auto" w:fill="auto"/>
            <w:hideMark/>
          </w:tcPr>
          <w:p w14:paraId="12768C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9044D0B" w14:textId="7F16C3A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Oba działania rozszerzono o możliwość realizacji działań technicznych w przypadku, gdy obiekty zagrażają osiągnięciu celów środowiskowych. Wobec tego nie ma potrzeby zmiany działań z nietechnicznych na techniczne, jak wskazano w załączniku. Uzupełnione w załącznikach informacje należałyby w pierwszej kolejności zweryfikować w odniesieniu do podstawy zmiany działania. W załączniku uzupełniono wysokości piętrzenia, natomiast nie wskazano źródła tak dokładnych danych. Zweryfikowano natomiast lokalizację i działania dla nieuwzględnionych obiektów.</w:t>
            </w:r>
          </w:p>
        </w:tc>
      </w:tr>
      <w:tr w:rsidR="0085319C" w:rsidRPr="005E78BB" w14:paraId="3DC76BCA" w14:textId="77777777" w:rsidTr="00E92AE6">
        <w:trPr>
          <w:trHeight w:val="454"/>
        </w:trPr>
        <w:tc>
          <w:tcPr>
            <w:tcW w:w="562" w:type="dxa"/>
            <w:shd w:val="clear" w:color="auto" w:fill="auto"/>
            <w:hideMark/>
          </w:tcPr>
          <w:p w14:paraId="2B50923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417</w:t>
            </w:r>
          </w:p>
        </w:tc>
        <w:tc>
          <w:tcPr>
            <w:tcW w:w="1021" w:type="dxa"/>
          </w:tcPr>
          <w:p w14:paraId="1707FBFE" w14:textId="62C43E6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185F06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07CCA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chaos</w:t>
            </w:r>
            <w:r w:rsidRPr="005E78BB">
              <w:rPr>
                <w:rFonts w:ascii="Calibri" w:eastAsia="Times New Roman" w:hAnsi="Calibri" w:cs="Calibri"/>
                <w:color w:val="000000"/>
                <w:sz w:val="18"/>
                <w:szCs w:val="18"/>
                <w:lang w:eastAsia="pl-PL"/>
              </w:rPr>
              <w:br/>
              <w:t>Treść uwagi: 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 Jednak już 1 października, opublikowano inny komunikat, że „to ostatni dzwonek, by wziąć udział w konsultacjach społecznych w ramach drugiej aktualizacji planów gospodarowania wodami, które trwają tylko do 14 października”.</w:t>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1E7589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w:t>
            </w:r>
          </w:p>
        </w:tc>
        <w:tc>
          <w:tcPr>
            <w:tcW w:w="3401" w:type="dxa"/>
            <w:shd w:val="clear" w:color="auto" w:fill="auto"/>
            <w:hideMark/>
          </w:tcPr>
          <w:p w14:paraId="1E2800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w:t>
            </w:r>
            <w:r w:rsidRPr="005E78BB">
              <w:rPr>
                <w:rFonts w:ascii="Calibri" w:eastAsia="Times New Roman" w:hAnsi="Calibri" w:cs="Calibri"/>
                <w:color w:val="000000"/>
                <w:sz w:val="18"/>
                <w:szCs w:val="18"/>
                <w:lang w:eastAsia="pl-PL"/>
              </w:rPr>
              <w:br/>
              <w:t>Jedynym rozwiązaniem jest ujednolicenie trybu składania uwag i rozszerzenie terminów ich składania.</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7F9916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010E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9C1B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54250007" w14:textId="77777777" w:rsidTr="00E92AE6">
        <w:trPr>
          <w:trHeight w:val="454"/>
        </w:trPr>
        <w:tc>
          <w:tcPr>
            <w:tcW w:w="562" w:type="dxa"/>
            <w:shd w:val="clear" w:color="auto" w:fill="auto"/>
            <w:hideMark/>
          </w:tcPr>
          <w:p w14:paraId="267EED9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418</w:t>
            </w:r>
          </w:p>
        </w:tc>
        <w:tc>
          <w:tcPr>
            <w:tcW w:w="1021" w:type="dxa"/>
          </w:tcPr>
          <w:p w14:paraId="46D16262" w14:textId="1D9A5B1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79B168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6122DC7" w14:textId="0BE9ED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geobaza</w:t>
            </w:r>
            <w:r w:rsidRPr="005E78BB">
              <w:rPr>
                <w:rFonts w:ascii="Calibri" w:eastAsia="Times New Roman" w:hAnsi="Calibri" w:cs="Calibri"/>
                <w:color w:val="000000"/>
                <w:sz w:val="18"/>
                <w:szCs w:val="18"/>
                <w:lang w:eastAsia="pl-PL"/>
              </w:rPr>
              <w:br w:type="page"/>
              <w:t>Treść uwagi: 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2272E643" w14:textId="2E3C3A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w:t>
            </w:r>
          </w:p>
        </w:tc>
        <w:tc>
          <w:tcPr>
            <w:tcW w:w="3401" w:type="dxa"/>
            <w:shd w:val="clear" w:color="auto" w:fill="auto"/>
            <w:hideMark/>
          </w:tcPr>
          <w:p w14:paraId="2CF8704F" w14:textId="670B408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w:t>
            </w:r>
            <w:r w:rsidRPr="005E78BB">
              <w:rPr>
                <w:rFonts w:ascii="Calibri" w:eastAsia="Times New Roman" w:hAnsi="Calibri" w:cs="Calibri"/>
                <w:color w:val="000000"/>
                <w:sz w:val="18"/>
                <w:szCs w:val="18"/>
                <w:lang w:eastAsia="pl-PL"/>
              </w:rPr>
              <w:br w:type="page"/>
              <w:t>Mapy udostępnione wraz z projektem IIaPGW nie są ani czytelne ani możliwe do wykorzystania przez osoby uczestniczące w konsultacjach.</w:t>
            </w:r>
            <w:r w:rsidRPr="005E78BB">
              <w:rPr>
                <w:rFonts w:ascii="Calibri" w:eastAsia="Times New Roman" w:hAnsi="Calibri" w:cs="Calibri"/>
                <w:color w:val="000000"/>
                <w:sz w:val="18"/>
                <w:szCs w:val="18"/>
                <w:lang w:eastAsia="pl-PL"/>
              </w:rPr>
              <w:br w:type="page"/>
              <w:t>Działanie Wód Polskich w tym zakresie jest sprzeczne z:art. 14 RDW –Państwa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p>
        </w:tc>
        <w:tc>
          <w:tcPr>
            <w:tcW w:w="1918" w:type="dxa"/>
            <w:shd w:val="clear" w:color="auto" w:fill="auto"/>
            <w:hideMark/>
          </w:tcPr>
          <w:p w14:paraId="51F943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2A3D1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1B1916E" w14:textId="5546D8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7A0C9494" w14:textId="77777777" w:rsidTr="00E92AE6">
        <w:trPr>
          <w:trHeight w:val="454"/>
        </w:trPr>
        <w:tc>
          <w:tcPr>
            <w:tcW w:w="562" w:type="dxa"/>
            <w:shd w:val="clear" w:color="auto" w:fill="auto"/>
            <w:hideMark/>
          </w:tcPr>
          <w:p w14:paraId="2A7EE8E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419</w:t>
            </w:r>
          </w:p>
        </w:tc>
        <w:tc>
          <w:tcPr>
            <w:tcW w:w="1021" w:type="dxa"/>
          </w:tcPr>
          <w:p w14:paraId="59652A03" w14:textId="45A6711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5605DA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98CF26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dokumenty źródłowe</w:t>
            </w:r>
            <w:r w:rsidRPr="005E78BB">
              <w:rPr>
                <w:rFonts w:ascii="Calibri" w:eastAsia="Times New Roman" w:hAnsi="Calibri" w:cs="Calibri"/>
                <w:color w:val="000000"/>
                <w:sz w:val="18"/>
                <w:szCs w:val="18"/>
                <w:lang w:eastAsia="pl-PL"/>
              </w:rPr>
              <w:br/>
              <w:t>Treść uwagi: 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r>
          </w:p>
        </w:tc>
        <w:tc>
          <w:tcPr>
            <w:tcW w:w="3377" w:type="dxa"/>
            <w:shd w:val="clear" w:color="auto" w:fill="auto"/>
            <w:hideMark/>
          </w:tcPr>
          <w:p w14:paraId="6F3C6D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7C3818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0F12AD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A8648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CA7BD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2B5B8474" w14:textId="77777777" w:rsidTr="00E92AE6">
        <w:trPr>
          <w:trHeight w:val="454"/>
        </w:trPr>
        <w:tc>
          <w:tcPr>
            <w:tcW w:w="562" w:type="dxa"/>
            <w:shd w:val="clear" w:color="auto" w:fill="auto"/>
            <w:hideMark/>
          </w:tcPr>
          <w:p w14:paraId="4FACF18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420</w:t>
            </w:r>
          </w:p>
        </w:tc>
        <w:tc>
          <w:tcPr>
            <w:tcW w:w="1021" w:type="dxa"/>
          </w:tcPr>
          <w:p w14:paraId="22326A4D" w14:textId="1D4DDF2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5DA705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B7C3E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formularz</w:t>
            </w:r>
            <w:r w:rsidRPr="005E78BB">
              <w:rPr>
                <w:rFonts w:ascii="Calibri" w:eastAsia="Times New Roman" w:hAnsi="Calibri" w:cs="Calibri"/>
                <w:color w:val="000000"/>
                <w:sz w:val="18"/>
                <w:szCs w:val="18"/>
                <w:lang w:eastAsia="pl-PL"/>
              </w:rPr>
              <w:br/>
              <w:t xml:space="preserve">Treść uwagi: 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1867E628"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r w:rsidRPr="005E78BB">
              <w:rPr>
                <w:rFonts w:ascii="Calibri" w:eastAsia="Times New Roman" w:hAnsi="Calibri" w:cs="Calibri"/>
                <w:color w:val="000000"/>
                <w:sz w:val="18"/>
                <w:szCs w:val="18"/>
                <w:lang w:eastAsia="pl-PL"/>
              </w:rPr>
              <w:br/>
              <w:t xml:space="preserve">Przywrócić dane z poprzedniego okresu planistycznego, dostępne pod starym adresem konsultacji www.apgw.kzgw.gov.pl </w:t>
            </w:r>
          </w:p>
        </w:tc>
        <w:tc>
          <w:tcPr>
            <w:tcW w:w="3401" w:type="dxa"/>
            <w:shd w:val="clear" w:color="auto" w:fill="auto"/>
            <w:hideMark/>
          </w:tcPr>
          <w:p w14:paraId="64F55D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r w:rsidRPr="005E78BB">
              <w:rPr>
                <w:rFonts w:ascii="Calibri" w:eastAsia="Times New Roman" w:hAnsi="Calibri" w:cs="Calibri"/>
                <w:color w:val="000000"/>
                <w:sz w:val="18"/>
                <w:szCs w:val="18"/>
                <w:lang w:eastAsia="pl-PL"/>
              </w:rPr>
              <w:br/>
              <w:t>Jak w treści uwagi.</w:t>
            </w:r>
          </w:p>
        </w:tc>
        <w:tc>
          <w:tcPr>
            <w:tcW w:w="1918" w:type="dxa"/>
            <w:shd w:val="clear" w:color="auto" w:fill="auto"/>
            <w:hideMark/>
          </w:tcPr>
          <w:p w14:paraId="3417AB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B0F15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CAB1B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85319C" w:rsidRPr="005E78BB" w14:paraId="14864D60" w14:textId="77777777" w:rsidTr="00E92AE6">
        <w:trPr>
          <w:trHeight w:val="454"/>
        </w:trPr>
        <w:tc>
          <w:tcPr>
            <w:tcW w:w="562" w:type="dxa"/>
            <w:shd w:val="clear" w:color="auto" w:fill="auto"/>
            <w:hideMark/>
          </w:tcPr>
          <w:p w14:paraId="70F52DC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421</w:t>
            </w:r>
          </w:p>
        </w:tc>
        <w:tc>
          <w:tcPr>
            <w:tcW w:w="1021" w:type="dxa"/>
          </w:tcPr>
          <w:p w14:paraId="390174B4" w14:textId="4F773D9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00E89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08B20D7F" w14:textId="3964951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r w:rsidRPr="005E78BB">
              <w:rPr>
                <w:rFonts w:ascii="Calibri" w:eastAsia="Times New Roman" w:hAnsi="Calibri" w:cs="Calibri"/>
                <w:color w:val="000000"/>
                <w:sz w:val="18"/>
                <w:szCs w:val="18"/>
                <w:lang w:eastAsia="pl-PL"/>
              </w:rPr>
              <w:br w:type="page"/>
              <w:t xml:space="preserve">Treść uwagi: 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1BC7BCF" w14:textId="6639BA4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6E6704B" w14:textId="42B028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16EBA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FFB3E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8B714D" w14:textId="0E59CB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227D8C3F" w14:textId="77777777" w:rsidTr="00CD6FBC">
        <w:trPr>
          <w:trHeight w:val="454"/>
        </w:trPr>
        <w:tc>
          <w:tcPr>
            <w:tcW w:w="562" w:type="dxa"/>
            <w:shd w:val="clear" w:color="auto" w:fill="auto"/>
            <w:hideMark/>
          </w:tcPr>
          <w:p w14:paraId="7F530A67"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422</w:t>
            </w:r>
          </w:p>
        </w:tc>
        <w:tc>
          <w:tcPr>
            <w:tcW w:w="1021" w:type="dxa"/>
            <w:shd w:val="clear" w:color="auto" w:fill="auto"/>
          </w:tcPr>
          <w:p w14:paraId="3EF8A587" w14:textId="2C8313A4"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Greenmind</w:t>
            </w:r>
          </w:p>
        </w:tc>
        <w:tc>
          <w:tcPr>
            <w:tcW w:w="1630" w:type="dxa"/>
            <w:shd w:val="clear" w:color="auto" w:fill="auto"/>
            <w:hideMark/>
          </w:tcPr>
          <w:p w14:paraId="685FBFC1"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ZAŁĄCZNIKI IIaPGW</w:t>
            </w:r>
          </w:p>
        </w:tc>
        <w:tc>
          <w:tcPr>
            <w:tcW w:w="5663" w:type="dxa"/>
            <w:shd w:val="clear" w:color="auto" w:fill="auto"/>
            <w:hideMark/>
          </w:tcPr>
          <w:p w14:paraId="3C4C2AFA" w14:textId="4A592BDD"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RWr Zbiornikowe, Rozdz. 3, 5.1. oraz 8.1., Zał. 3.1. oraz 8., Zał. mapowe</w:t>
            </w:r>
            <w:r w:rsidRPr="00CD6FBC">
              <w:rPr>
                <w:rFonts w:ascii="Calibri" w:eastAsia="Times New Roman" w:hAnsi="Calibri" w:cs="Calibri"/>
                <w:color w:val="000000"/>
                <w:sz w:val="18"/>
                <w:szCs w:val="18"/>
                <w:lang w:eastAsia="pl-PL"/>
              </w:rPr>
              <w:br/>
              <w:t xml:space="preserve">Treść uwagi: 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511986D2" w14:textId="290B9D3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5B560380" w14:textId="0D11793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0DD11DD8"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2A72A0D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0A921D5F" w14:textId="6FFCF472" w:rsidR="0085319C" w:rsidRPr="00D426D9"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D426D9" w:rsidRPr="00CD6FBC">
              <w:rPr>
                <w:rFonts w:ascii="Calibri" w:eastAsia="Times New Roman" w:hAnsi="Calibri" w:cs="Calibri"/>
                <w:color w:val="000000"/>
                <w:sz w:val="18"/>
                <w:szCs w:val="18"/>
                <w:lang w:eastAsia="pl-PL"/>
              </w:rPr>
              <w:t>Wartości graniczne SCW i SZCW</w:t>
            </w:r>
            <w:r w:rsidRPr="00CD6FBC">
              <w:rPr>
                <w:rFonts w:ascii="Calibri" w:eastAsia="Times New Roman" w:hAnsi="Calibri" w:cs="Calibri"/>
                <w:color w:val="000000"/>
                <w:sz w:val="18"/>
                <w:szCs w:val="18"/>
                <w:lang w:eastAsia="pl-PL"/>
              </w:rPr>
              <w:t xml:space="preserve"> IIaPGW 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5977D923" w14:textId="77777777" w:rsidTr="00E92AE6">
        <w:trPr>
          <w:trHeight w:val="454"/>
        </w:trPr>
        <w:tc>
          <w:tcPr>
            <w:tcW w:w="562" w:type="dxa"/>
            <w:shd w:val="clear" w:color="auto" w:fill="auto"/>
            <w:hideMark/>
          </w:tcPr>
          <w:p w14:paraId="457A125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423</w:t>
            </w:r>
          </w:p>
        </w:tc>
        <w:tc>
          <w:tcPr>
            <w:tcW w:w="1021" w:type="dxa"/>
          </w:tcPr>
          <w:p w14:paraId="7D2161AD" w14:textId="3B95342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Departament Rolnictwa i Programów Rozwoju Obszarów Wiejskich, Urząd Marszałkowski Województwa Łódzkiego</w:t>
            </w:r>
          </w:p>
        </w:tc>
        <w:tc>
          <w:tcPr>
            <w:tcW w:w="1630" w:type="dxa"/>
            <w:shd w:val="clear" w:color="auto" w:fill="auto"/>
            <w:hideMark/>
          </w:tcPr>
          <w:p w14:paraId="6D49C4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20A16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Treść uwagi:</w:t>
            </w:r>
            <w:r w:rsidRPr="005E78BB">
              <w:rPr>
                <w:rFonts w:ascii="Calibri" w:eastAsia="Times New Roman" w:hAnsi="Calibri" w:cs="Calibri"/>
                <w:color w:val="000000"/>
                <w:sz w:val="18"/>
                <w:szCs w:val="18"/>
                <w:lang w:eastAsia="pl-PL"/>
              </w:rPr>
              <w:br/>
              <w:t>Brak jest uwzględnienia zbiorników małej retencji ujętych w Planie Przeciwdziałania Skut- kom Suszy oraz w innych dokumentach planistycznych: Planach zarządzania ryzykiem po- wodziowym, Programie przeciwdziałania niedoborowi wody.</w:t>
            </w:r>
          </w:p>
        </w:tc>
        <w:tc>
          <w:tcPr>
            <w:tcW w:w="3377" w:type="dxa"/>
            <w:shd w:val="clear" w:color="auto" w:fill="auto"/>
            <w:hideMark/>
          </w:tcPr>
          <w:p w14:paraId="1800CE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uwzględnić w IIaPGW zbiorniki małej retencji ujęte w PPSS, PZRP, PPNW z prawidło- wym przyporządkowaniem urzędu/instytucji odpowiedzialnych za ich realizację. </w:t>
            </w:r>
          </w:p>
        </w:tc>
        <w:tc>
          <w:tcPr>
            <w:tcW w:w="3401" w:type="dxa"/>
            <w:shd w:val="clear" w:color="auto" w:fill="auto"/>
            <w:hideMark/>
          </w:tcPr>
          <w:p w14:paraId="71F09A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mieć na uwadze fakt, że Ustawa Prawo wodne z dnia 20 lipca 2017 roku, uchyliła obowiązki marszałków województw w zakresie gospodarowania wodami na rzecz Państwo- wego Gospodarstwa Wodnego Wody Polskie, przekazaniu uległa (poza samymi kompeten- cjami) również dokumentacja dotycząca działalności w zakresie gospodarki wodnej. Tak więc, kontynuatorem przedmiotowych działań jest PGW Wody Polskie</w:t>
            </w:r>
          </w:p>
        </w:tc>
        <w:tc>
          <w:tcPr>
            <w:tcW w:w="1918" w:type="dxa"/>
            <w:shd w:val="clear" w:color="auto" w:fill="auto"/>
            <w:hideMark/>
          </w:tcPr>
          <w:p w14:paraId="366080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2E2D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989E08A" w14:textId="51B8579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5E78BB">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5E78BB">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nie będąc działaniami negatywnie wpływającymi na cele środowiskowe jcw.</w:t>
            </w:r>
            <w:r w:rsidRPr="005E78BB">
              <w:rPr>
                <w:rFonts w:ascii="Calibri" w:eastAsia="Times New Roman" w:hAnsi="Calibri" w:cs="Calibri"/>
                <w:color w:val="000000"/>
                <w:sz w:val="18"/>
                <w:szCs w:val="18"/>
                <w:lang w:eastAsia="pl-PL"/>
              </w:rPr>
              <w:br/>
              <w:t>IIaPGW odnosi się do przedsięwzięć negatywnie oddziałujących na cele środowiskowe jcw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5E78BB">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5E78BB">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85319C" w:rsidRPr="005E78BB" w14:paraId="4923FF37" w14:textId="77777777" w:rsidTr="00CD6FBC">
        <w:trPr>
          <w:trHeight w:val="454"/>
        </w:trPr>
        <w:tc>
          <w:tcPr>
            <w:tcW w:w="562" w:type="dxa"/>
            <w:shd w:val="clear" w:color="auto" w:fill="auto"/>
            <w:hideMark/>
          </w:tcPr>
          <w:p w14:paraId="65D1E6BC"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424</w:t>
            </w:r>
          </w:p>
        </w:tc>
        <w:tc>
          <w:tcPr>
            <w:tcW w:w="1021" w:type="dxa"/>
            <w:shd w:val="clear" w:color="auto" w:fill="auto"/>
          </w:tcPr>
          <w:p w14:paraId="00B4B7C0" w14:textId="65FD764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Greenmind</w:t>
            </w:r>
          </w:p>
        </w:tc>
        <w:tc>
          <w:tcPr>
            <w:tcW w:w="1630" w:type="dxa"/>
            <w:shd w:val="clear" w:color="auto" w:fill="auto"/>
            <w:hideMark/>
          </w:tcPr>
          <w:p w14:paraId="13F44352" w14:textId="44EFFD7E"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CC74CED" w14:textId="6295764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 Rozdz. 3.1.SZCW</w:t>
            </w:r>
            <w:r w:rsidRPr="00CD6FBC">
              <w:rPr>
                <w:rFonts w:ascii="Calibri" w:eastAsia="Times New Roman" w:hAnsi="Calibri" w:cs="Calibri"/>
                <w:color w:val="000000"/>
                <w:sz w:val="18"/>
                <w:szCs w:val="18"/>
                <w:lang w:eastAsia="pl-PL"/>
              </w:rPr>
              <w:br w:type="page"/>
              <w:t xml:space="preserve">Treść uwagi: 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Zalecenie z 2012 r.: </w:t>
            </w:r>
            <w:r w:rsidRPr="00CD6FBC">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24DED30D" w14:textId="29805BC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135360F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00BC4D1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2E5040D"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6D94B21" w14:textId="67AFA78C" w:rsidR="0085319C" w:rsidRPr="00D426D9"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D426D9" w:rsidRPr="00CD6FBC">
              <w:rPr>
                <w:rFonts w:ascii="Calibri" w:eastAsia="Times New Roman" w:hAnsi="Calibri" w:cs="Calibri"/>
                <w:color w:val="000000"/>
                <w:sz w:val="18"/>
                <w:szCs w:val="18"/>
                <w:lang w:eastAsia="pl-PL"/>
              </w:rPr>
              <w:t>Wartości graniczne SCW i SZCW</w:t>
            </w:r>
            <w:r w:rsidR="00D426D9" w:rsidRPr="00CD6FBC" w:rsidDel="00D426D9">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571CEB35" w14:textId="77777777" w:rsidTr="00E92AE6">
        <w:trPr>
          <w:trHeight w:val="454"/>
        </w:trPr>
        <w:tc>
          <w:tcPr>
            <w:tcW w:w="562" w:type="dxa"/>
            <w:shd w:val="clear" w:color="auto" w:fill="auto"/>
            <w:hideMark/>
          </w:tcPr>
          <w:p w14:paraId="0502ACB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425</w:t>
            </w:r>
          </w:p>
        </w:tc>
        <w:tc>
          <w:tcPr>
            <w:tcW w:w="1021" w:type="dxa"/>
          </w:tcPr>
          <w:p w14:paraId="21075EAC" w14:textId="47AF8D0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Departament Rolnictwa i Programów Rozwoju Obszarów Wiejskich, Urząd Marszałkowski Województwa Łódzkiego</w:t>
            </w:r>
          </w:p>
        </w:tc>
        <w:tc>
          <w:tcPr>
            <w:tcW w:w="1630" w:type="dxa"/>
            <w:shd w:val="clear" w:color="auto" w:fill="auto"/>
            <w:hideMark/>
          </w:tcPr>
          <w:p w14:paraId="49DE82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83A0B94" w14:textId="2F8B804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Tabela 7.3 Zestaw działań RW OD Wisły</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Uzupełnić tabelę o działania znajdujące się w dokumencie planistycznym : „Analiza możli- wości zwiększenia retencji na terenach leśnych, rolniczych i zurbanizowanych na obszarze ZP Pilicy w ramach utrzymania oraz zwiększenia istniejącej zdolności retencyjnej w Regionie Wodnym Środkowej Wisły” i przyporządkować te działania do odpowiednich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65DB28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23B7FF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Proponowane działania przyczynią się do zwiększenia retencji zlewni Pilicy, korzystnie wpłyną na poprawę stanu wód, wzrost bioróżnorodności oraz ograniczenie ryzyka suszy na wyżej wymienionym obszarze</w:t>
            </w:r>
          </w:p>
        </w:tc>
        <w:tc>
          <w:tcPr>
            <w:tcW w:w="1918" w:type="dxa"/>
            <w:shd w:val="clear" w:color="auto" w:fill="auto"/>
            <w:hideMark/>
          </w:tcPr>
          <w:p w14:paraId="64C1A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93BA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7900B4" w14:textId="200F1F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Celem IIaPGW jest zapewnienie osiągnięcia celów środowiskowych jcw (poprawa ich stanu jakościowego) oraz obszarów chronionych. Zagadnienia stanu ilościowego związane są m.in z retencją wód - zagadnienie stanowiące przedmiot PPSS.</w:t>
            </w:r>
            <w:r w:rsidRPr="005E78BB">
              <w:rPr>
                <w:rFonts w:ascii="Calibri" w:eastAsia="Times New Roman" w:hAnsi="Calibri" w:cs="Calibri"/>
                <w:color w:val="000000"/>
                <w:sz w:val="18"/>
                <w:szCs w:val="18"/>
                <w:lang w:eastAsia="pl-PL"/>
              </w:rPr>
              <w:br/>
              <w:t xml:space="preserve">W związku z tym działania zmierzające do zwiększenia retencji w obszarach rolniczych zostały wskazane tylko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gdzie w wyniku przeprowadzonych analiz nałożyło się wysokie ryzyko suszy (zdefiniowane w oparciu o analizy przeprowadzone PPSS) i jednocześnie dominującym źródłem presji zanieczyszczajacych było rolnictwo (na podstawie badań PMŚ i wyników opracowania "Analiza znaczących oddziaływań antropogenicznych wraz z oceną ich wpływu na stan wód oraz ryzykiem nieosiągnięcia celów środowiskowych, PGWWP 2020)"</w:t>
            </w:r>
          </w:p>
        </w:tc>
      </w:tr>
      <w:tr w:rsidR="0085319C" w:rsidRPr="005E78BB" w14:paraId="0C2E3101" w14:textId="77777777" w:rsidTr="00E92AE6">
        <w:trPr>
          <w:trHeight w:val="454"/>
        </w:trPr>
        <w:tc>
          <w:tcPr>
            <w:tcW w:w="562" w:type="dxa"/>
            <w:shd w:val="clear" w:color="auto" w:fill="auto"/>
            <w:hideMark/>
          </w:tcPr>
          <w:p w14:paraId="0B7826B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426</w:t>
            </w:r>
          </w:p>
        </w:tc>
        <w:tc>
          <w:tcPr>
            <w:tcW w:w="1021" w:type="dxa"/>
          </w:tcPr>
          <w:p w14:paraId="303D975F" w14:textId="34C1724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Departament Rolnictwa i Programów Rozwoju Obszarów Wiejskich, Urząd Marszałkowski Województwa Łódzkiego</w:t>
            </w:r>
          </w:p>
        </w:tc>
        <w:tc>
          <w:tcPr>
            <w:tcW w:w="1630" w:type="dxa"/>
            <w:shd w:val="clear" w:color="auto" w:fill="auto"/>
            <w:hideMark/>
          </w:tcPr>
          <w:p w14:paraId="0BC8B4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DC6B4F2" w14:textId="3538582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Tabela 7.3 Zestaw działań RW OD Wisły</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Uwzględnić w planowanych działaniach konieczność wykonania opracowania dokumentu planistycznego pt. „Analiza możliwości zwiększenia retencji na terenach leśnych, rolniczych i zurbanizowanych na obszarze ZP Bzura w ramach utrzymania oraz zwiększenia istniejącej zdolności retencyjnej w Regionie Wodnym Środkowej Wisły" na obszarach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które leżą na obszarze Zarządu Zlewni Bzury. </w:t>
            </w:r>
          </w:p>
        </w:tc>
        <w:tc>
          <w:tcPr>
            <w:tcW w:w="3377" w:type="dxa"/>
            <w:shd w:val="clear" w:color="auto" w:fill="auto"/>
            <w:hideMark/>
          </w:tcPr>
          <w:p w14:paraId="3B1878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4DACA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Proponowane działanie przyczyni się do opracowania dokumentów strategicznych, w oparciu o które realizowane będą zadania mające na celu zwiększenie retencji wód, po- prawę stanu wód, wzrost bioróżnorodności oraz ograniczenie ryzyka suszy na wyżej wymie- nionym obszarze</w:t>
            </w:r>
          </w:p>
        </w:tc>
        <w:tc>
          <w:tcPr>
            <w:tcW w:w="1918" w:type="dxa"/>
            <w:shd w:val="clear" w:color="auto" w:fill="auto"/>
            <w:hideMark/>
          </w:tcPr>
          <w:p w14:paraId="4894DD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07A3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A25189E" w14:textId="6FE9C98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Celem IIaPGW jest zapewnienie osiągnięcia celów środowiskowych jcw (poprawa ich stanu jakościowego) oraz obszarów chronionych. Zagadnienia stanu ilościowego związane są m.in z retencją wód - zagadnienie stanowiące przedmiot PPSS.</w:t>
            </w:r>
            <w:r w:rsidRPr="005E78BB">
              <w:rPr>
                <w:rFonts w:ascii="Calibri" w:eastAsia="Times New Roman" w:hAnsi="Calibri" w:cs="Calibri"/>
                <w:color w:val="000000"/>
                <w:sz w:val="18"/>
                <w:szCs w:val="18"/>
                <w:lang w:eastAsia="pl-PL"/>
              </w:rPr>
              <w:br/>
              <w:t xml:space="preserve">W związku z tym działania zmierzające do zwiększenia retencji w obszarach rolniczych zostały wskazane tylko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gdzie w wyniku przeprowadzonych analiz nałożyło się wysokie ryzyko suszy (zdefiniowane w oparciu o analizy przeprowadzone PPSS) i jednocześnie dominującym źródłem presji zanieczyszczajacych było rolnictwo (na podstawie badań PMŚ i wyników opracowania "Analiza znaczących oddziaływań antropogenicznych wraz z oceną ich wpływu na stan wód oraz ryzykiem nieosiągnięcia celów środowiskowych, PGWWP 2020)"</w:t>
            </w:r>
          </w:p>
        </w:tc>
      </w:tr>
      <w:tr w:rsidR="0085319C" w:rsidRPr="005E78BB" w14:paraId="49FA399F" w14:textId="77777777" w:rsidTr="00E92AE6">
        <w:trPr>
          <w:trHeight w:val="454"/>
        </w:trPr>
        <w:tc>
          <w:tcPr>
            <w:tcW w:w="562" w:type="dxa"/>
            <w:shd w:val="clear" w:color="auto" w:fill="auto"/>
            <w:hideMark/>
          </w:tcPr>
          <w:p w14:paraId="631AB16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427</w:t>
            </w:r>
          </w:p>
        </w:tc>
        <w:tc>
          <w:tcPr>
            <w:tcW w:w="1021" w:type="dxa"/>
          </w:tcPr>
          <w:p w14:paraId="78E56421" w14:textId="7C4AAF0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3D1F9944" w14:textId="2F99E45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0047A265" w14:textId="2C046B0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3.1.SZCW</w:t>
            </w:r>
            <w:r w:rsidRPr="005E78BB">
              <w:rPr>
                <w:rFonts w:ascii="Calibri" w:eastAsia="Times New Roman" w:hAnsi="Calibri" w:cs="Calibri"/>
                <w:color w:val="000000"/>
                <w:sz w:val="18"/>
                <w:szCs w:val="18"/>
                <w:lang w:eastAsia="pl-PL"/>
              </w:rPr>
              <w:br/>
              <w:t xml:space="preserve">Treść uwagi: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572DA441" w14:textId="5C32727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0D0327DC" w14:textId="64B3195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4D1CE7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8E65B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84C1623" w14:textId="1A025EB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5E7AB8C0" w14:textId="77777777" w:rsidTr="00E92AE6">
        <w:trPr>
          <w:trHeight w:val="454"/>
        </w:trPr>
        <w:tc>
          <w:tcPr>
            <w:tcW w:w="562" w:type="dxa"/>
            <w:shd w:val="clear" w:color="auto" w:fill="auto"/>
            <w:hideMark/>
          </w:tcPr>
          <w:p w14:paraId="1F815AB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428</w:t>
            </w:r>
          </w:p>
        </w:tc>
        <w:tc>
          <w:tcPr>
            <w:tcW w:w="1021" w:type="dxa"/>
          </w:tcPr>
          <w:p w14:paraId="7DCDB39C" w14:textId="58290B6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Biuro Planowania Przestrzennego Województwa Łódzkiego w Łodzi</w:t>
            </w:r>
          </w:p>
        </w:tc>
        <w:tc>
          <w:tcPr>
            <w:tcW w:w="1630" w:type="dxa"/>
            <w:shd w:val="clear" w:color="auto" w:fill="auto"/>
            <w:hideMark/>
          </w:tcPr>
          <w:p w14:paraId="703B3B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B5D93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Załącznik nr 6 Wykaz inwestycji i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załączonym do dokumentu wykazie inwestycji i działań jest przedsięwzięcie Makroni- welacja i rekultywacja zbiornika wodnego Sulejów wraz z udrożnieniem partii cofkowej do km 159+300. Według dostępnych informacji prasowych inwestycja ta jest już w trakcie rea- lizacji o czym nie wspomina się w przytoczonej tabeli.</w:t>
            </w:r>
          </w:p>
        </w:tc>
        <w:tc>
          <w:tcPr>
            <w:tcW w:w="3377" w:type="dxa"/>
            <w:shd w:val="clear" w:color="auto" w:fill="auto"/>
            <w:hideMark/>
          </w:tcPr>
          <w:p w14:paraId="3FE96E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Sugeruje się zaznaczyć w tekście tabeli stan realizacji zamieszczonych w IIaPGW inwesty- cji.</w:t>
            </w:r>
          </w:p>
        </w:tc>
        <w:tc>
          <w:tcPr>
            <w:tcW w:w="3401" w:type="dxa"/>
            <w:shd w:val="clear" w:color="auto" w:fill="auto"/>
            <w:hideMark/>
          </w:tcPr>
          <w:p w14:paraId="794AC4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Według obecnego zamieszczenia inwestycji w tabeli niejasny jest stan jej realizacji i po- trzeba jej finansowania w nowej perspektywie czasowej.</w:t>
            </w:r>
          </w:p>
        </w:tc>
        <w:tc>
          <w:tcPr>
            <w:tcW w:w="1918" w:type="dxa"/>
            <w:shd w:val="clear" w:color="auto" w:fill="auto"/>
            <w:hideMark/>
          </w:tcPr>
          <w:p w14:paraId="445862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DD92D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AF2D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Wykazach Inwestycji i Działań (w tym: status realizacji przedsięwzięć) zostały przedstawione w Wykazach na podstawie informacji przekazanych przez inwestorów odpowiedzialnych za te inwestycje. Z punktu widzenia funkcji ww. Wykazu, najważniejsze są informacje dot. przesłanek warunkujących zastosowanie odstępstwa, o którym mowa w art. 68 ustawy Prawo wodne. Czas wykonywania inwestycji nie ma znaczenia dla sprawozdawczej funkcji Wykazu Inwestycji i Działań - Wykaz ten ma bowiem przedstawiać informacje o odstępstwach przyznanych dla przedsięwzięć mogących uniemożliwiać osiągnięcie celów środowiskowych, dla których potwierdzono spełnienie przesłanek wskazanych w art. 68 ustawy Prawo wodne (w art. 4.7 RDW).</w:t>
            </w:r>
          </w:p>
        </w:tc>
      </w:tr>
      <w:tr w:rsidR="0085319C" w:rsidRPr="005E78BB" w14:paraId="6E1AACBD" w14:textId="77777777" w:rsidTr="00E92AE6">
        <w:trPr>
          <w:trHeight w:val="454"/>
        </w:trPr>
        <w:tc>
          <w:tcPr>
            <w:tcW w:w="562" w:type="dxa"/>
            <w:shd w:val="clear" w:color="auto" w:fill="auto"/>
            <w:hideMark/>
          </w:tcPr>
          <w:p w14:paraId="250E78B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429</w:t>
            </w:r>
          </w:p>
        </w:tc>
        <w:tc>
          <w:tcPr>
            <w:tcW w:w="1021" w:type="dxa"/>
          </w:tcPr>
          <w:p w14:paraId="0E6D6CC7" w14:textId="39A6B43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Biuro Planowania Przestrzennego Województwa Łódzkiego w Łodzi</w:t>
            </w:r>
          </w:p>
        </w:tc>
        <w:tc>
          <w:tcPr>
            <w:tcW w:w="1630" w:type="dxa"/>
            <w:shd w:val="clear" w:color="auto" w:fill="auto"/>
            <w:hideMark/>
          </w:tcPr>
          <w:p w14:paraId="3F4421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3D13C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ype="page"/>
              <w:t>Załącznik nr 6 Wykaz inwestycji i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W załączonym do dokumentu wykazie inwestycji i działań znalazła się inwestycja Odtwo- rzenie - renaturyzacja rzeki Sokołówki pomiędzy zbiornikami Zgierska i Teresy w Łodzi km 7+630 do 8+200. Według obecnie dostępnych danych dostarczonych przez PGW WP w dniu 9 grudnia 2019 roku w piśmie do BPPWŁ w Łodzi inwestycja ta posiada status przedsięwzię- cia zrealizowanego.</w:t>
            </w:r>
          </w:p>
        </w:tc>
        <w:tc>
          <w:tcPr>
            <w:tcW w:w="3377" w:type="dxa"/>
            <w:shd w:val="clear" w:color="auto" w:fill="auto"/>
            <w:hideMark/>
          </w:tcPr>
          <w:p w14:paraId="7D0E50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Sugeruje się ustalić stan realizacji inwestycji przed wpisaniem jej do tabeli zamieszczonej w IIaPGW dla dorzecza Wisły.</w:t>
            </w:r>
          </w:p>
        </w:tc>
        <w:tc>
          <w:tcPr>
            <w:tcW w:w="3401" w:type="dxa"/>
            <w:shd w:val="clear" w:color="auto" w:fill="auto"/>
            <w:hideMark/>
          </w:tcPr>
          <w:p w14:paraId="29337B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nowym projekcie dokumentu nie powinno się umieszczać inwestycji już zrealizowa- nych, gdyż generuje to błąd w procesie planistycznym.</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711A8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7597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94243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Wykazach Inwestycji i Działań (w tym: status realizacji przedsięwzięć) zostały przedstawione wWykazach na podstawie informacji wskazanych przez inwestorów odpowiedzialnych za te inwestycje. Z punktu widzenia funkcji ww. Wykazu, najważniejsze są informacje dot. przesłanek warunkujących zastosowanie odstępstwa, o którym mowa w art. 68 ustawy Prawo wodne. Czas wykonywania inwestycji nie ma znaczenia dla sprawozdawczej funkcji Wykazu Inwestycji i Działań - Wykaz ten ma bowiem przedstawiać informacje o odstępstwach przyznanych dla przedsięwzięć mogących uniemożliwiać osiągnięcie celów środowiskowych, dla których potwierdzono spełnienie przesłanek wskazanych w art. 68 ustawy Prawo wodne (w art. 4.7 RDW).</w:t>
            </w:r>
          </w:p>
        </w:tc>
      </w:tr>
      <w:tr w:rsidR="0085319C" w:rsidRPr="005E78BB" w14:paraId="73571AAC" w14:textId="77777777" w:rsidTr="00E92AE6">
        <w:trPr>
          <w:trHeight w:val="454"/>
        </w:trPr>
        <w:tc>
          <w:tcPr>
            <w:tcW w:w="562" w:type="dxa"/>
            <w:shd w:val="clear" w:color="auto" w:fill="auto"/>
            <w:hideMark/>
          </w:tcPr>
          <w:p w14:paraId="1061BB3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430</w:t>
            </w:r>
          </w:p>
        </w:tc>
        <w:tc>
          <w:tcPr>
            <w:tcW w:w="1021" w:type="dxa"/>
          </w:tcPr>
          <w:p w14:paraId="7AFA88FC" w14:textId="4B5BDD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342EA1E9" w14:textId="242B9C5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7C0642AE" w14:textId="2E8F43F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3.1. SZCW, Wyznaczenie SZCW niezgodnie z metodyką</w:t>
            </w:r>
            <w:r w:rsidRPr="005E78BB">
              <w:rPr>
                <w:rFonts w:ascii="Calibri" w:eastAsia="Times New Roman" w:hAnsi="Calibri" w:cs="Calibri"/>
                <w:color w:val="000000"/>
                <w:sz w:val="18"/>
                <w:szCs w:val="18"/>
                <w:lang w:eastAsia="pl-PL"/>
              </w:rPr>
              <w:br/>
              <w:t xml:space="preserve">Treść uwagi: 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173901A7"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401" w:type="dxa"/>
            <w:shd w:val="clear" w:color="auto" w:fill="auto"/>
            <w:hideMark/>
          </w:tcPr>
          <w:p w14:paraId="010121A3" w14:textId="52C1C24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237426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E2F2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827F36" w14:textId="101FFD2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0CF1BFFF" w14:textId="77777777" w:rsidTr="00E92AE6">
        <w:trPr>
          <w:trHeight w:val="454"/>
        </w:trPr>
        <w:tc>
          <w:tcPr>
            <w:tcW w:w="562" w:type="dxa"/>
            <w:shd w:val="clear" w:color="auto" w:fill="auto"/>
            <w:hideMark/>
          </w:tcPr>
          <w:p w14:paraId="6FA733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431</w:t>
            </w:r>
          </w:p>
        </w:tc>
        <w:tc>
          <w:tcPr>
            <w:tcW w:w="1021" w:type="dxa"/>
          </w:tcPr>
          <w:p w14:paraId="009B2E18" w14:textId="1E41AA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Biuro Planowania Przestrzennego Województwa Łódzkiego w Łodzi</w:t>
            </w:r>
          </w:p>
        </w:tc>
        <w:tc>
          <w:tcPr>
            <w:tcW w:w="1630" w:type="dxa"/>
            <w:shd w:val="clear" w:color="auto" w:fill="auto"/>
            <w:hideMark/>
          </w:tcPr>
          <w:p w14:paraId="090BEA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93632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Załącznik nr 6 Wykaz inwestycji i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 załączonym do dokumentu wykazie inwestycji i działań figuruje inwestycja z gminy Ostrowiec Świętokrzyski w postaci zbiornika Stawki II. Wymieniona powyżej gmina nie znaj- duje się na terenie województwa łódzkiego</w:t>
            </w:r>
          </w:p>
        </w:tc>
        <w:tc>
          <w:tcPr>
            <w:tcW w:w="3377" w:type="dxa"/>
            <w:shd w:val="clear" w:color="auto" w:fill="auto"/>
            <w:hideMark/>
          </w:tcPr>
          <w:p w14:paraId="1F431C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zmienić w kolumnie województwo z łódzkiego na świętokrzyskie.</w:t>
            </w:r>
          </w:p>
        </w:tc>
        <w:tc>
          <w:tcPr>
            <w:tcW w:w="3401" w:type="dxa"/>
            <w:shd w:val="clear" w:color="auto" w:fill="auto"/>
            <w:hideMark/>
          </w:tcPr>
          <w:p w14:paraId="6CA9F5F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Wspomniana inwestycja znajduje się na terenie innego województwa.</w:t>
            </w:r>
          </w:p>
        </w:tc>
        <w:tc>
          <w:tcPr>
            <w:tcW w:w="1918" w:type="dxa"/>
            <w:shd w:val="clear" w:color="auto" w:fill="auto"/>
            <w:hideMark/>
          </w:tcPr>
          <w:p w14:paraId="4F4D71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8F8B5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6384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Została wprowadzona korekta do Wykazu Inwestycji i Działań i zmieniono w odpowiedniej kolumnie województwo z łódzkiego na świętokrzyskie.</w:t>
            </w:r>
          </w:p>
        </w:tc>
      </w:tr>
      <w:tr w:rsidR="0085319C" w:rsidRPr="005E78BB" w14:paraId="4F432743" w14:textId="77777777" w:rsidTr="00E92AE6">
        <w:trPr>
          <w:trHeight w:val="454"/>
        </w:trPr>
        <w:tc>
          <w:tcPr>
            <w:tcW w:w="562" w:type="dxa"/>
            <w:shd w:val="clear" w:color="auto" w:fill="auto"/>
            <w:hideMark/>
          </w:tcPr>
          <w:p w14:paraId="315F443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432</w:t>
            </w:r>
          </w:p>
        </w:tc>
        <w:tc>
          <w:tcPr>
            <w:tcW w:w="1021" w:type="dxa"/>
          </w:tcPr>
          <w:p w14:paraId="360FA11E" w14:textId="5840243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C7E48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23B61D0A" w14:textId="1437D31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5 Monitoring</w:t>
            </w:r>
            <w:r w:rsidRPr="005E78BB">
              <w:rPr>
                <w:rFonts w:ascii="Calibri" w:eastAsia="Times New Roman" w:hAnsi="Calibri" w:cs="Calibri"/>
                <w:color w:val="000000"/>
                <w:sz w:val="18"/>
                <w:szCs w:val="18"/>
                <w:lang w:eastAsia="pl-PL"/>
              </w:rPr>
              <w:br/>
              <w:t xml:space="preserve">Treść uwagi: 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1C84D1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2E648A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6234CD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C411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F0E9B8" w14:textId="5EE0B6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p>
        </w:tc>
      </w:tr>
      <w:tr w:rsidR="0085319C" w:rsidRPr="005E78BB" w14:paraId="3F0D42AE" w14:textId="77777777" w:rsidTr="00E92AE6">
        <w:trPr>
          <w:trHeight w:val="454"/>
        </w:trPr>
        <w:tc>
          <w:tcPr>
            <w:tcW w:w="562" w:type="dxa"/>
            <w:shd w:val="clear" w:color="auto" w:fill="auto"/>
            <w:hideMark/>
          </w:tcPr>
          <w:p w14:paraId="5E46130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433</w:t>
            </w:r>
          </w:p>
        </w:tc>
        <w:tc>
          <w:tcPr>
            <w:tcW w:w="1021" w:type="dxa"/>
          </w:tcPr>
          <w:p w14:paraId="1C7DBE4B" w14:textId="2FBA79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56486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3C8571D7" w14:textId="7D109F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5 Monitoring</w:t>
            </w:r>
            <w:r w:rsidRPr="005E78BB">
              <w:rPr>
                <w:rFonts w:ascii="Calibri" w:eastAsia="Times New Roman" w:hAnsi="Calibri" w:cs="Calibri"/>
                <w:color w:val="000000"/>
                <w:sz w:val="18"/>
                <w:szCs w:val="18"/>
                <w:lang w:eastAsia="pl-PL"/>
              </w:rPr>
              <w:br/>
              <w:t xml:space="preserve">Treść uwagi: 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666D1D12" w14:textId="08BDAE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03011ED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5D082B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7E11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868FF0D" w14:textId="1184D4C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2CF1DD3" w14:textId="77777777" w:rsidTr="00E92AE6">
        <w:trPr>
          <w:trHeight w:val="454"/>
        </w:trPr>
        <w:tc>
          <w:tcPr>
            <w:tcW w:w="562" w:type="dxa"/>
            <w:shd w:val="clear" w:color="auto" w:fill="auto"/>
            <w:hideMark/>
          </w:tcPr>
          <w:p w14:paraId="7AC3E6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434</w:t>
            </w:r>
          </w:p>
        </w:tc>
        <w:tc>
          <w:tcPr>
            <w:tcW w:w="1021" w:type="dxa"/>
          </w:tcPr>
          <w:p w14:paraId="7A9F9928" w14:textId="1FD1E2F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0CB940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9DD24F9" w14:textId="769791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Streszczenie niespecjalistyczne; IIaPGW Rozdział 7, 8, 9 , Presja, Cele środowiskowe, </w:t>
            </w:r>
            <w:r w:rsidRPr="005E78BB">
              <w:rPr>
                <w:rFonts w:ascii="Calibri" w:eastAsia="Times New Roman" w:hAnsi="Calibri" w:cs="Calibri"/>
                <w:color w:val="000000"/>
                <w:sz w:val="18"/>
                <w:szCs w:val="18"/>
                <w:lang w:eastAsia="pl-PL"/>
              </w:rPr>
              <w:br w:type="page"/>
              <w:t xml:space="preserve">Treść uwagi:  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3E04423" w14:textId="0D6B31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ype="page"/>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ype="page"/>
              <w:t>Bezwzględnie należy usunąć tego typu działania z listy działań ochronnych IIaPGW (PPSS, mała retencja leśna).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DA2F1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6F0BD6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41E42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FC3D7A" w14:textId="01DD273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ype="page"/>
              <w:t>• dokonanych zmian legislacyjnych w zakresie klasyfikacji stanu jcw w okresie 2011-2019;</w:t>
            </w:r>
            <w:r w:rsidRPr="005E78BB">
              <w:rPr>
                <w:rFonts w:ascii="Calibri" w:eastAsia="Times New Roman" w:hAnsi="Calibri" w:cs="Calibri"/>
                <w:color w:val="000000"/>
                <w:sz w:val="18"/>
                <w:szCs w:val="18"/>
                <w:lang w:eastAsia="pl-PL"/>
              </w:rPr>
              <w:br w:type="page"/>
              <w:t>• celów środowiskowych przydzielonych do poszczególnych jcw w poprzednich cyklach planistycznych;</w:t>
            </w:r>
            <w:r w:rsidRPr="005E78BB">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ype="page"/>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ype="page"/>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ype="page"/>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ype="page"/>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1B5C96BD" w14:textId="77777777" w:rsidTr="00E92AE6">
        <w:trPr>
          <w:trHeight w:val="454"/>
        </w:trPr>
        <w:tc>
          <w:tcPr>
            <w:tcW w:w="562" w:type="dxa"/>
            <w:shd w:val="clear" w:color="auto" w:fill="auto"/>
            <w:hideMark/>
          </w:tcPr>
          <w:p w14:paraId="0EB823D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435</w:t>
            </w:r>
          </w:p>
        </w:tc>
        <w:tc>
          <w:tcPr>
            <w:tcW w:w="1021" w:type="dxa"/>
          </w:tcPr>
          <w:p w14:paraId="014A3030" w14:textId="51FD857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Biuro Planowania Przestrzennego Województwa Łódzkiego w Łodzi</w:t>
            </w:r>
          </w:p>
        </w:tc>
        <w:tc>
          <w:tcPr>
            <w:tcW w:w="1630" w:type="dxa"/>
            <w:shd w:val="clear" w:color="auto" w:fill="auto"/>
            <w:hideMark/>
          </w:tcPr>
          <w:p w14:paraId="1A6610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89799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Inwestycje wymienione w załączonym do dokumentu wykazie nie są zgodne z Planem</w:t>
            </w:r>
            <w:r w:rsidRPr="005E78BB">
              <w:rPr>
                <w:rFonts w:ascii="Calibri" w:eastAsia="Times New Roman" w:hAnsi="Calibri" w:cs="Calibri"/>
                <w:color w:val="000000"/>
                <w:sz w:val="18"/>
                <w:szCs w:val="18"/>
                <w:lang w:eastAsia="pl-PL"/>
              </w:rPr>
              <w:br/>
              <w:t>Przeciwdziałania Skutkom Suszy (PPSS). Żadna z wymienionych w wykazie inwestycji nie po- krywa się z tymi zamieszczonymi w PPSS.</w:t>
            </w:r>
          </w:p>
        </w:tc>
        <w:tc>
          <w:tcPr>
            <w:tcW w:w="3377" w:type="dxa"/>
            <w:shd w:val="clear" w:color="auto" w:fill="auto"/>
            <w:hideMark/>
          </w:tcPr>
          <w:p w14:paraId="4AF4D7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Sugeruje się zadbanie o spójność tych dwóch dokumentów gdyż oba dotyczą gospodarki wodnej w ogólnym zakresie.</w:t>
            </w:r>
          </w:p>
        </w:tc>
        <w:tc>
          <w:tcPr>
            <w:tcW w:w="3401" w:type="dxa"/>
            <w:shd w:val="clear" w:color="auto" w:fill="auto"/>
            <w:hideMark/>
          </w:tcPr>
          <w:p w14:paraId="2E0669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szczebla krajowego powinny być w swoich zapisach spójne i brać pod uwagę inwestycje projektowane na tym samym terenie zwłaszcza, że dotyczą one gospodarki wodnej.</w:t>
            </w:r>
          </w:p>
        </w:tc>
        <w:tc>
          <w:tcPr>
            <w:tcW w:w="1918" w:type="dxa"/>
            <w:shd w:val="clear" w:color="auto" w:fill="auto"/>
            <w:hideMark/>
          </w:tcPr>
          <w:p w14:paraId="46FD97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99E4D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916D0FF" w14:textId="2DBCE5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jest głównym dokumentem planistycznym w zakresie gospodarowania wodami na obszarze dorzecza stanowiąc podstawę do podejmowania decyzji kształtujących stan zasobów wodnych na obszarze dorzecza i określając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r w:rsidRPr="005E78BB">
              <w:rPr>
                <w:rFonts w:ascii="Calibri" w:eastAsia="Times New Roman" w:hAnsi="Calibri" w:cs="Calibri"/>
                <w:color w:val="000000"/>
                <w:sz w:val="18"/>
                <w:szCs w:val="18"/>
                <w:lang w:eastAsia="pl-PL"/>
              </w:rPr>
              <w:br/>
              <w:t>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w:t>
            </w:r>
            <w:r w:rsidRPr="005E78BB">
              <w:rPr>
                <w:rFonts w:ascii="Calibri" w:eastAsia="Times New Roman" w:hAnsi="Calibri" w:cs="Calibri"/>
                <w:color w:val="000000"/>
                <w:sz w:val="18"/>
                <w:szCs w:val="18"/>
                <w:lang w:eastAsia="pl-PL"/>
              </w:rPr>
              <w:br/>
              <w:t>Dla wypracowania niezbędnych działań naprawczych uwzględnianych w zestawach działań, na potrzeby IIaPGW uwzględniono m.in. najnowsze dane opracowane w ramach pracy Analiza znaczących oddziaływań antropogenicznych wraz z oceną ich wpływu na stan wód oraz ryzykiem nieosiągnięcia celów środowiskowych (2020), aktualne wyniki z monitoringu GIOŚ z 2019 r., wykonano również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Zgodnie z metodyką opracowania zestawów działań (materiał źródłowy wykorzystany do opracowania IIaPGW) działania dobrane zostały do uwarunkowań i problemów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zidentyfikowanych presji. Zestawy działań nie zawierają działań innych, niż działania naprawcze, nawet jeśli część z działań stanowią działania pochodzące z innych planów/programów jak aPZRP czy PPSS, są to wyłącznie działania przyczyniające się do zwiększenia efektywności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nie będąc działaniami negatywnie wpływającymi na cele środowiskowe jcw.</w:t>
            </w:r>
            <w:r w:rsidRPr="005E78BB">
              <w:rPr>
                <w:rFonts w:ascii="Calibri" w:eastAsia="Times New Roman" w:hAnsi="Calibri" w:cs="Calibri"/>
                <w:color w:val="000000"/>
                <w:sz w:val="18"/>
                <w:szCs w:val="18"/>
                <w:lang w:eastAsia="pl-PL"/>
              </w:rPr>
              <w:br/>
              <w:t>IIaPGW odnosi się do przedsięwzięć negatywnie oddziałujących na cele środowiskowe jcw poprzez Wykaz Inwestycji i Działań (załącznik nr 6 do IIaPGW).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Uwzględnienie inwestycji planowanych (np. z aPZRP czy PPSS) jako presji hydromorfologicznych powodujących pogorszenie warunków hydromorfologicznych i wskaźników przekształcenia HIR (wg HIR) nie jest możliwe ze względów prawnych (tzn. w Wykazie Inwestycji i Działań nie „ustanawia się” odstępstw z art. 4.7 dla przedsięwzięć nieposiadających ww. decyzji – to decyzje administracyjne „ustanawiają” odstępstwo).</w:t>
            </w:r>
            <w:r w:rsidRPr="005E78BB">
              <w:rPr>
                <w:rFonts w:ascii="Calibri" w:eastAsia="Times New Roman" w:hAnsi="Calibri" w:cs="Calibri"/>
                <w:color w:val="000000"/>
                <w:sz w:val="18"/>
                <w:szCs w:val="18"/>
                <w:lang w:eastAsia="pl-PL"/>
              </w:rPr>
              <w:br/>
              <w:t>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w:t>
            </w:r>
            <w:r w:rsidRPr="005E78BB">
              <w:rPr>
                <w:rFonts w:ascii="Calibri" w:eastAsia="Times New Roman" w:hAnsi="Calibri" w:cs="Calibri"/>
                <w:color w:val="000000"/>
                <w:sz w:val="18"/>
                <w:szCs w:val="18"/>
                <w:lang w:eastAsia="pl-PL"/>
              </w:rPr>
              <w:br/>
              <w:t>Obecnie presje hydromorfologiczne, które mogą wystąpić po realizacji potencjalnych działań nie występują w środowisku, nie ma podstaw do planowania dodatkowych działań naprawczych. Inwestycje planowane do realizacji będą podlegać stosownym ocenom (pod kątem m.in. zgodności z celami środowiskowymi) na etapie postępowań administracyjnych. Jeżeli inwestycje wskazane np. w aPZRP lub PPSS będą uniemożliwiały osiągnięcie celów środowiskowych i będą spełniały przesłanki art. 68 ustawy Prawo wodne (co powinno być ustalone oceną wodnoprawną lub decyzją o środowiskowych uwarunkowaniach), to wówczas informacje o ustanowionym dla nich odstępstwie będą przedstawione w przyszłej aktualizacji planów gospodarowania wodami.</w:t>
            </w:r>
          </w:p>
        </w:tc>
      </w:tr>
      <w:tr w:rsidR="0085319C" w:rsidRPr="005E78BB" w14:paraId="378BA63B" w14:textId="77777777" w:rsidTr="00E92AE6">
        <w:trPr>
          <w:trHeight w:val="454"/>
        </w:trPr>
        <w:tc>
          <w:tcPr>
            <w:tcW w:w="562" w:type="dxa"/>
            <w:shd w:val="clear" w:color="auto" w:fill="auto"/>
            <w:hideMark/>
          </w:tcPr>
          <w:p w14:paraId="4A0F8AC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436</w:t>
            </w:r>
          </w:p>
        </w:tc>
        <w:tc>
          <w:tcPr>
            <w:tcW w:w="1021" w:type="dxa"/>
          </w:tcPr>
          <w:p w14:paraId="7EA67E88" w14:textId="05F6B8C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0C28F3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170A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Uwagi do projektu aktualizacji Planu Gospodarowania Wodami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Gmina Biecz</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wnoszę o kompleksowe ujęcie wszystkich zagrożonych terenów Gminy Biecz w przedmiotowym opracowaniu,  w tym w planach inwestycyjnych ochrony przeciwpowodziowej, a także w planach dotyczących regulacji i modernizacji poszczególnych potoków oraz cieków w celu ich właściwego utrzymania i należytej ochrony.  </w:t>
            </w:r>
          </w:p>
        </w:tc>
        <w:tc>
          <w:tcPr>
            <w:tcW w:w="3377" w:type="dxa"/>
            <w:shd w:val="clear" w:color="auto" w:fill="auto"/>
            <w:hideMark/>
          </w:tcPr>
          <w:p w14:paraId="00F4241E"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11A40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7192D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BEFFA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07A86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z zakresu ochrony przeciwpowodziowej (w tym: plany dotyczące regulacji i modernizacji poszczególnych potoków oraz cieków w celu ich właściwego utrzymania na terenie gm. Biecz) nie są działaniami ukierunkowanymi na osiągnięcie celów środowiskowych jcw i obszarów chronionych, dlatego nie mogą być one ujęte w zestawach działań. Potrzeba realizacji tego typu działań i inwestycji jest przedmiotem analiz towarzyszących przygotowaniu aPZRP i planów utrzymania wód. Wskazane działania inwestycyjne nie mogą być również ujęte w Wykazie Inwestycji i Działań; w tym Wykazie mogą się znaleźć wyłącznie takie nowe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Nie ma prawnej możliwości wpisywania innych przedsięwzięć do Wykazu Inwestycji i Działań.</w:t>
            </w:r>
          </w:p>
        </w:tc>
      </w:tr>
      <w:tr w:rsidR="0085319C" w:rsidRPr="005E78BB" w14:paraId="69F5551E" w14:textId="77777777" w:rsidTr="00E92AE6">
        <w:trPr>
          <w:trHeight w:val="454"/>
        </w:trPr>
        <w:tc>
          <w:tcPr>
            <w:tcW w:w="562" w:type="dxa"/>
            <w:shd w:val="clear" w:color="auto" w:fill="auto"/>
            <w:hideMark/>
          </w:tcPr>
          <w:p w14:paraId="0374F3D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437</w:t>
            </w:r>
          </w:p>
        </w:tc>
        <w:tc>
          <w:tcPr>
            <w:tcW w:w="1021" w:type="dxa"/>
          </w:tcPr>
          <w:p w14:paraId="45A7AD21" w14:textId="651B256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584C5F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4FAF8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 xml:space="preserve">Uwagi do projektu aktualizacji Planu Gospodarowania Wodami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Gmina Biecz</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Kompleksowe opracowanie zabezpieczeń przeciwpowodziowych - prawostronne zabezpieczenie rzeki Ropy na całym odcinku począwszy od miejscowości Libusza,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od mostu przy granicy z Klęczanami po most w mieście Biecz po drogę krajową Nr 28                       oraz o lewostronne zabezpieczenie rzeki Ropy, od mostu przy drodze powiatowej 1390K (wjazd na Starodroże) do granicy gminy w mieście Biecz</w:t>
            </w:r>
          </w:p>
        </w:tc>
        <w:tc>
          <w:tcPr>
            <w:tcW w:w="3377" w:type="dxa"/>
            <w:shd w:val="clear" w:color="auto" w:fill="auto"/>
            <w:hideMark/>
          </w:tcPr>
          <w:p w14:paraId="2B2D296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7E99B4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99FFE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F15E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BD308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1F65DF3B" w14:textId="77777777" w:rsidTr="00E92AE6">
        <w:trPr>
          <w:trHeight w:val="454"/>
        </w:trPr>
        <w:tc>
          <w:tcPr>
            <w:tcW w:w="562" w:type="dxa"/>
            <w:shd w:val="clear" w:color="auto" w:fill="auto"/>
            <w:hideMark/>
          </w:tcPr>
          <w:p w14:paraId="03CF3EB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438</w:t>
            </w:r>
          </w:p>
        </w:tc>
        <w:tc>
          <w:tcPr>
            <w:tcW w:w="1021" w:type="dxa"/>
          </w:tcPr>
          <w:p w14:paraId="25BD2CD1" w14:textId="5D7781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0453B8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C8B1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Obszar Dorzecza Wisły – Zlewnia Wisłoki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Uwzględnienie prawostronnego obwałowania Korczyna – Biecz zgodnie z projektem firmy Hydromax (odcinek Korczyna do mostu w mieście Biecz) który jest już                                   w procesie inwestycyjnym jako zadanie „Budowa prawobrzeżnego obwałowania rzeki Ropy w km 21+ 490-23+306 w miejscowości Korczyna-Biecz”, </w:t>
            </w:r>
          </w:p>
        </w:tc>
        <w:tc>
          <w:tcPr>
            <w:tcW w:w="3377" w:type="dxa"/>
            <w:shd w:val="clear" w:color="auto" w:fill="auto"/>
            <w:hideMark/>
          </w:tcPr>
          <w:p w14:paraId="205503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786E74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083C5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A4BD1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C0AA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6E263CD1" w14:textId="77777777" w:rsidTr="00E92AE6">
        <w:trPr>
          <w:trHeight w:val="454"/>
        </w:trPr>
        <w:tc>
          <w:tcPr>
            <w:tcW w:w="562" w:type="dxa"/>
            <w:shd w:val="clear" w:color="auto" w:fill="auto"/>
            <w:hideMark/>
          </w:tcPr>
          <w:p w14:paraId="2231A2F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439</w:t>
            </w:r>
          </w:p>
        </w:tc>
        <w:tc>
          <w:tcPr>
            <w:tcW w:w="1021" w:type="dxa"/>
          </w:tcPr>
          <w:p w14:paraId="22DB7295" w14:textId="4CAF8F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3DA339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9D212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prawostronnego odcinka obwałowania w miejscowości Biecz                              w przebiegu od mostu w mieście Biecz po drogę krajową Nr 28 (przy terenie wysypiska).W ramach uwzględnienia tego zadania zbędne jest pozostawienie w planach inwestycyjnych odcinka obwałowania (dojazd do DK 28  przy stacji BP) - zadanie                     to oznaczone jest w aPZRP symbolem W_GWW_902</w:t>
            </w:r>
          </w:p>
        </w:tc>
        <w:tc>
          <w:tcPr>
            <w:tcW w:w="3377" w:type="dxa"/>
            <w:shd w:val="clear" w:color="auto" w:fill="auto"/>
            <w:hideMark/>
          </w:tcPr>
          <w:p w14:paraId="4B0E4F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7F10E2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5CB1F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8088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F098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66DA0FEE" w14:textId="77777777" w:rsidTr="00E92AE6">
        <w:trPr>
          <w:trHeight w:val="454"/>
        </w:trPr>
        <w:tc>
          <w:tcPr>
            <w:tcW w:w="562" w:type="dxa"/>
            <w:shd w:val="clear" w:color="auto" w:fill="auto"/>
            <w:hideMark/>
          </w:tcPr>
          <w:p w14:paraId="4BF7FD8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440</w:t>
            </w:r>
          </w:p>
        </w:tc>
        <w:tc>
          <w:tcPr>
            <w:tcW w:w="1021" w:type="dxa"/>
          </w:tcPr>
          <w:p w14:paraId="1BD39CA9" w14:textId="062B5FF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67DBA3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01652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Uwzględnienie prawostronnego obwałowania rzeki Ropa w miejscowości Libusza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i przesunięcie lokalizacji obwałowania w kierunku rzeki (gdyż po drugiej stronie projektowane jest także obwałowanie zabezpieczające zabudowania - potok Moszczanka). Przesunięcie umożliwi także zmianę Studium uwarunkowań i kierunków zagospodarowania przestrzennego na terenie naszej gminy dla działek nr 95 oraz 107/1  położonych w Libuszy.</w:t>
            </w:r>
          </w:p>
        </w:tc>
        <w:tc>
          <w:tcPr>
            <w:tcW w:w="3377" w:type="dxa"/>
            <w:shd w:val="clear" w:color="auto" w:fill="auto"/>
            <w:hideMark/>
          </w:tcPr>
          <w:p w14:paraId="235639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DDA65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7E6B46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73FF8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12015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5E61A2FF" w14:textId="77777777" w:rsidTr="00E92AE6">
        <w:trPr>
          <w:trHeight w:val="454"/>
        </w:trPr>
        <w:tc>
          <w:tcPr>
            <w:tcW w:w="562" w:type="dxa"/>
            <w:shd w:val="clear" w:color="auto" w:fill="auto"/>
            <w:hideMark/>
          </w:tcPr>
          <w:p w14:paraId="56A2057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441</w:t>
            </w:r>
          </w:p>
        </w:tc>
        <w:tc>
          <w:tcPr>
            <w:tcW w:w="1021" w:type="dxa"/>
          </w:tcPr>
          <w:p w14:paraId="16DD2809" w14:textId="490D7A0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5C02BE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0596E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Uwzględnienie lewostronnego obwałowania rzeki Ropa w miejscowości Strzeszyn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 xml:space="preserve">i przesunięcie lokalizacji obwałowania w kierunku rzeki. </w:t>
            </w:r>
          </w:p>
        </w:tc>
        <w:tc>
          <w:tcPr>
            <w:tcW w:w="3377" w:type="dxa"/>
            <w:shd w:val="clear" w:color="auto" w:fill="auto"/>
            <w:hideMark/>
          </w:tcPr>
          <w:p w14:paraId="31EE30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9BFD8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FE59B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69CE4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EAEB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4A152847" w14:textId="77777777" w:rsidTr="00E92AE6">
        <w:trPr>
          <w:trHeight w:val="454"/>
        </w:trPr>
        <w:tc>
          <w:tcPr>
            <w:tcW w:w="562" w:type="dxa"/>
            <w:shd w:val="clear" w:color="auto" w:fill="auto"/>
            <w:hideMark/>
          </w:tcPr>
          <w:p w14:paraId="62B6F07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442</w:t>
            </w:r>
          </w:p>
        </w:tc>
        <w:tc>
          <w:tcPr>
            <w:tcW w:w="1021" w:type="dxa"/>
          </w:tcPr>
          <w:p w14:paraId="1A433204" w14:textId="250FE6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2B95CF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D5630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Rozważenie możliwości równoczesnego terminu realizacji obwałowań dla lewostronnego obwałowania rzeki Ropa w Strzeszynie oraz prawostronnego obwałowania Korczyna-Biecz a także prawostronnego obwałowania Libusza - Korczyna. </w:t>
            </w:r>
            <w:r w:rsidRPr="005E78BB">
              <w:rPr>
                <w:rFonts w:ascii="Calibri" w:eastAsia="Times New Roman" w:hAnsi="Calibri" w:cs="Calibri"/>
                <w:color w:val="000000"/>
                <w:sz w:val="18"/>
                <w:szCs w:val="18"/>
                <w:lang w:eastAsia="pl-PL"/>
              </w:rPr>
              <w:br/>
              <w:t xml:space="preserve">Mieszkańcy lewobrzeżnych terenów w miejscowości Strzeszyn obawiają się,                           iż rozpoczęta budowa obwałowania w miejscowości Libusza-Korczyna (Zadanie                  to oznaczone jest w aPZRP symbolem W_GWW_1573) spowoduje spotęgowanie                    i wypiętrzenie wody w lewostronnym kierunku w miejscowości Strzeszyn i tym samym zalanie ich budynków mieszkalnych  i gospodarczych. Zaniepokojenie mieszkańców budzi także wszczęcie postępowania RDOŚ zmierzającego do wydania decyzji                          o środowiskowych uwarunkowaniach dla przedsięwzięcia polegającego na „Budowie prawobrzeżnego obwałowania rzeki Ropy w km 21+490-23+306 w miejscowości Korczyna-Biecz”. Rozpoczęcie czynności proceduralnych dla tego zadania to także obawa dla mieszkańców, że wcześniejsza realizacja także tej inwestycji (zlokalizowanej po prawej stronie rzeki Ropy) doprowadzi do całkowitego zalania lewobrzeżnych terenów w m. Strzeszyn. Obawy związane są w chwili obecnej                           z kolejnością realizacji poszczególnych odcinków obwałowań, ponieważ wcześniejsze zabezpieczenie prawostronnych terenów rzeki Ropy na tych odcinkach i pozostawienie bez obwałowania lewostronnych terenów w miejscowości Strzeszyn spowoduje  niebezpieczeństwo całkowitego zalania. Mieszkańcy złożyli w tej sprawie skargę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i zgłaszają uwagi.</w:t>
            </w:r>
          </w:p>
        </w:tc>
        <w:tc>
          <w:tcPr>
            <w:tcW w:w="3377" w:type="dxa"/>
            <w:shd w:val="clear" w:color="auto" w:fill="auto"/>
            <w:hideMark/>
          </w:tcPr>
          <w:p w14:paraId="5E841F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DC588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E111A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3319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05CFA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2E98009E" w14:textId="77777777" w:rsidTr="00E92AE6">
        <w:trPr>
          <w:trHeight w:val="454"/>
        </w:trPr>
        <w:tc>
          <w:tcPr>
            <w:tcW w:w="562" w:type="dxa"/>
            <w:shd w:val="clear" w:color="auto" w:fill="auto"/>
            <w:hideMark/>
          </w:tcPr>
          <w:p w14:paraId="28B7155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443</w:t>
            </w:r>
          </w:p>
        </w:tc>
        <w:tc>
          <w:tcPr>
            <w:tcW w:w="1021" w:type="dxa"/>
          </w:tcPr>
          <w:p w14:paraId="70444247" w14:textId="6E13CC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405170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F46B2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Ponadto wnoszę o ujęcie w przedmiotowym opracowaniu:</w:t>
            </w:r>
            <w:r w:rsidRPr="005E78BB">
              <w:rPr>
                <w:rFonts w:ascii="Calibri" w:eastAsia="Times New Roman" w:hAnsi="Calibri" w:cs="Calibri"/>
                <w:color w:val="000000"/>
                <w:sz w:val="18"/>
                <w:szCs w:val="18"/>
                <w:lang w:eastAsia="pl-PL"/>
              </w:rPr>
              <w:br/>
              <w:t>Uwzględnienie lewostronnego obwałowania w mieście Biecz - przy ul. Tumidajskiego i przesunięcie lokalizacji obwałowania w kierunku rzeki.</w:t>
            </w:r>
          </w:p>
        </w:tc>
        <w:tc>
          <w:tcPr>
            <w:tcW w:w="3377" w:type="dxa"/>
            <w:shd w:val="clear" w:color="auto" w:fill="auto"/>
            <w:hideMark/>
          </w:tcPr>
          <w:p w14:paraId="2634C1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0EE06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5675D5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18C7B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56C80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1EF677BB" w14:textId="77777777" w:rsidTr="00E92AE6">
        <w:trPr>
          <w:trHeight w:val="454"/>
        </w:trPr>
        <w:tc>
          <w:tcPr>
            <w:tcW w:w="562" w:type="dxa"/>
            <w:shd w:val="clear" w:color="auto" w:fill="auto"/>
            <w:hideMark/>
          </w:tcPr>
          <w:p w14:paraId="185C6F1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444</w:t>
            </w:r>
          </w:p>
        </w:tc>
        <w:tc>
          <w:tcPr>
            <w:tcW w:w="1021" w:type="dxa"/>
          </w:tcPr>
          <w:p w14:paraId="3BE5C1A0" w14:textId="0892B36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6B3C6E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86585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Ponadto wnoszę o ujęcie w przedmiotowym opracowaniu:</w:t>
            </w:r>
            <w:r w:rsidRPr="005E78BB">
              <w:rPr>
                <w:rFonts w:ascii="Calibri" w:eastAsia="Times New Roman" w:hAnsi="Calibri" w:cs="Calibri"/>
                <w:color w:val="000000"/>
                <w:sz w:val="18"/>
                <w:szCs w:val="18"/>
                <w:lang w:eastAsia="pl-PL"/>
              </w:rPr>
              <w:br/>
              <w:t xml:space="preserve">zabezpieczenia, regulacji i modernizacji potoku GOR/P/446 przy ul. Podwale, ul Fuska, </w:t>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 xml:space="preserve">dla przyległych terenów w mieście Biecz,  </w:t>
            </w:r>
          </w:p>
        </w:tc>
        <w:tc>
          <w:tcPr>
            <w:tcW w:w="3377" w:type="dxa"/>
            <w:shd w:val="clear" w:color="auto" w:fill="auto"/>
            <w:hideMark/>
          </w:tcPr>
          <w:p w14:paraId="39C095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2C358E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1DA977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96509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43C78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6B2575F1" w14:textId="77777777" w:rsidTr="00E92AE6">
        <w:trPr>
          <w:trHeight w:val="454"/>
        </w:trPr>
        <w:tc>
          <w:tcPr>
            <w:tcW w:w="562" w:type="dxa"/>
            <w:shd w:val="clear" w:color="auto" w:fill="auto"/>
            <w:hideMark/>
          </w:tcPr>
          <w:p w14:paraId="705BFD8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445</w:t>
            </w:r>
          </w:p>
        </w:tc>
        <w:tc>
          <w:tcPr>
            <w:tcW w:w="1021" w:type="dxa"/>
          </w:tcPr>
          <w:p w14:paraId="13813405" w14:textId="7EF8ED5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665E6E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FD442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Ponadto wnoszę o ujęcie w przedmiotowym opracowaniu:</w:t>
            </w:r>
            <w:r w:rsidRPr="005E78BB">
              <w:rPr>
                <w:rFonts w:ascii="Calibri" w:eastAsia="Times New Roman" w:hAnsi="Calibri" w:cs="Calibri"/>
                <w:color w:val="000000"/>
                <w:sz w:val="18"/>
                <w:szCs w:val="18"/>
                <w:lang w:eastAsia="pl-PL"/>
              </w:rPr>
              <w:br/>
              <w:t xml:space="preserve">zabezpieczenia, regulacji i modernizacji potoku Sitniczanka – dla terenów zlokalizowanych wzdłuż potoku w mieście Biecz (zwłaszcza w rejonie ul. Przedmieście Dolne)                                       oraz miejcowościach: Binarowa, Racławice, Rożnowice oraz Sitnica, </w:t>
            </w:r>
          </w:p>
        </w:tc>
        <w:tc>
          <w:tcPr>
            <w:tcW w:w="3377" w:type="dxa"/>
            <w:shd w:val="clear" w:color="auto" w:fill="auto"/>
            <w:hideMark/>
          </w:tcPr>
          <w:p w14:paraId="1D03BA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31438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29D3C9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CE009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DE95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4B72C033" w14:textId="77777777" w:rsidTr="00E92AE6">
        <w:trPr>
          <w:trHeight w:val="454"/>
        </w:trPr>
        <w:tc>
          <w:tcPr>
            <w:tcW w:w="562" w:type="dxa"/>
            <w:shd w:val="clear" w:color="auto" w:fill="auto"/>
            <w:hideMark/>
          </w:tcPr>
          <w:p w14:paraId="172A9FA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446</w:t>
            </w:r>
          </w:p>
        </w:tc>
        <w:tc>
          <w:tcPr>
            <w:tcW w:w="1021" w:type="dxa"/>
          </w:tcPr>
          <w:p w14:paraId="6EA06161" w14:textId="2EB6705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5FCE85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0F649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Ponadto wnoszę o ujęcie w przedmiotowym opracowaniu:</w:t>
            </w:r>
            <w:r w:rsidRPr="005E78BB">
              <w:rPr>
                <w:rFonts w:ascii="Calibri" w:eastAsia="Times New Roman" w:hAnsi="Calibri" w:cs="Calibri"/>
                <w:color w:val="000000"/>
                <w:sz w:val="18"/>
                <w:szCs w:val="18"/>
                <w:lang w:eastAsia="pl-PL"/>
              </w:rPr>
              <w:br/>
              <w:t>zabezpieczenia, regulacji i modernizacji potoku Przykopa w celu ochrony terenów                              w miejscowości Głęboka (zwłaszcza w rejonie domu ludowego w Głębokiej) oraz w rejonie działek nr: 379/2, 379/3, 379/4 w miejscowości Grudna Kępska.</w:t>
            </w:r>
          </w:p>
        </w:tc>
        <w:tc>
          <w:tcPr>
            <w:tcW w:w="3377" w:type="dxa"/>
            <w:shd w:val="clear" w:color="auto" w:fill="auto"/>
            <w:hideMark/>
          </w:tcPr>
          <w:p w14:paraId="5375F9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7000A3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639D9D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BD9D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554A6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45273656" w14:textId="77777777" w:rsidTr="00E92AE6">
        <w:trPr>
          <w:trHeight w:val="454"/>
        </w:trPr>
        <w:tc>
          <w:tcPr>
            <w:tcW w:w="562" w:type="dxa"/>
            <w:shd w:val="clear" w:color="auto" w:fill="auto"/>
            <w:hideMark/>
          </w:tcPr>
          <w:p w14:paraId="0C44340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447</w:t>
            </w:r>
          </w:p>
        </w:tc>
        <w:tc>
          <w:tcPr>
            <w:tcW w:w="1021" w:type="dxa"/>
          </w:tcPr>
          <w:p w14:paraId="2C683586" w14:textId="28014B2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Bieczu</w:t>
            </w:r>
          </w:p>
        </w:tc>
        <w:tc>
          <w:tcPr>
            <w:tcW w:w="1630" w:type="dxa"/>
            <w:shd w:val="clear" w:color="auto" w:fill="auto"/>
            <w:hideMark/>
          </w:tcPr>
          <w:p w14:paraId="45A1D5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C92A7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Ponadto wnoszę o ujęcie w przedmiotowym opracowaniu:</w:t>
            </w:r>
            <w:r w:rsidRPr="005E78BB">
              <w:rPr>
                <w:rFonts w:ascii="Calibri" w:eastAsia="Times New Roman" w:hAnsi="Calibri" w:cs="Calibri"/>
                <w:color w:val="000000"/>
                <w:sz w:val="18"/>
                <w:szCs w:val="18"/>
                <w:lang w:eastAsia="pl-PL"/>
              </w:rPr>
              <w:br/>
              <w:t xml:space="preserve">zabezpieczenia, regulacji i modernizacji potoku Strzeszynianka dla terenów zlokalizowanych w Strzeszynie. </w:t>
            </w:r>
          </w:p>
        </w:tc>
        <w:tc>
          <w:tcPr>
            <w:tcW w:w="3377" w:type="dxa"/>
            <w:shd w:val="clear" w:color="auto" w:fill="auto"/>
            <w:hideMark/>
          </w:tcPr>
          <w:p w14:paraId="512EF2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111AA9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6D2C9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9B7F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7BBD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nie dotyczy konsultowanego dokumentu IIaPGW tylko aPZRP. Powinna zostać zgłoszona w trakcie konsultacji publicznych aPZRP. Na etapie konsultacji społecznych projektów IIaPGW nie ma możliwości uwzględnienia zgłoszonej uwagi.</w:t>
            </w:r>
          </w:p>
        </w:tc>
      </w:tr>
      <w:tr w:rsidR="0085319C" w:rsidRPr="005E78BB" w14:paraId="5F397A8A" w14:textId="77777777" w:rsidTr="00E92AE6">
        <w:trPr>
          <w:trHeight w:val="454"/>
        </w:trPr>
        <w:tc>
          <w:tcPr>
            <w:tcW w:w="562" w:type="dxa"/>
            <w:shd w:val="clear" w:color="auto" w:fill="auto"/>
            <w:hideMark/>
          </w:tcPr>
          <w:p w14:paraId="0C5C617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448</w:t>
            </w:r>
          </w:p>
        </w:tc>
        <w:tc>
          <w:tcPr>
            <w:tcW w:w="1021" w:type="dxa"/>
          </w:tcPr>
          <w:p w14:paraId="2FF68328" w14:textId="54AD90F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34A2BA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1C90C3E" w14:textId="0CC821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w:t>
            </w:r>
            <w:r w:rsidRPr="005E78BB">
              <w:rPr>
                <w:rFonts w:ascii="Calibri" w:eastAsia="Times New Roman" w:hAnsi="Calibri" w:cs="Calibri"/>
                <w:color w:val="000000"/>
                <w:sz w:val="18"/>
                <w:szCs w:val="18"/>
                <w:lang w:eastAsia="pl-PL"/>
              </w:rPr>
              <w:br/>
              <w:t>ogólna</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Plan gospodarowania wodami w dorzeczu (dalej PGW) jest głównym dokumentem planistycznym, na podstawie którego paostwa członkowskie mają osiągnąd wyznaczone tam cele środowiskowe dla wód i obszarów chronionych od wód zależnych. Cele środowiskowe zgodnie z Ramową Dyrektywą Wodną (RDW) powinny byd co do zasady osiągnięte do 2027 r. Aby to zrealizowad plany wskazują na presje oraz sposoby ich likwidacji poprzez realizacje działao ochronnych. Wskazane są też odstępstwa od celów dyrektywy dla konkretnych części wód – te musza byd jednak właściwie uzasadnione i opisane, w sposób nie budzący zastrzeżeo. Projekt PGW i każda jego aktualizacja powinna podlegad przynajmniej półrocznym konsultacjom społecznym, a proces ten powinien byd przejrzysty, umożliwiający rzeczywisty i skuteczny udział. Paostwa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w:t>
            </w:r>
            <w:r w:rsidRPr="005E78BB">
              <w:rPr>
                <w:rFonts w:ascii="Calibri" w:eastAsia="Times New Roman" w:hAnsi="Calibri" w:cs="Calibri"/>
                <w:color w:val="000000"/>
                <w:sz w:val="18"/>
                <w:szCs w:val="18"/>
                <w:lang w:eastAsia="pl-PL"/>
              </w:rPr>
              <w:br/>
              <w:t>W kolejnych uwagach przedstawiono szczegółowe odniesienia do ww. obszarów problemowych</w:t>
            </w:r>
          </w:p>
        </w:tc>
        <w:tc>
          <w:tcPr>
            <w:tcW w:w="3377" w:type="dxa"/>
            <w:shd w:val="clear" w:color="auto" w:fill="auto"/>
            <w:hideMark/>
          </w:tcPr>
          <w:p w14:paraId="78E7A0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68F9EA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56A5CA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1566B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657B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30978001" w14:textId="77777777" w:rsidTr="00E92AE6">
        <w:trPr>
          <w:trHeight w:val="454"/>
        </w:trPr>
        <w:tc>
          <w:tcPr>
            <w:tcW w:w="562" w:type="dxa"/>
            <w:shd w:val="clear" w:color="auto" w:fill="auto"/>
            <w:hideMark/>
          </w:tcPr>
          <w:p w14:paraId="3B1EFA5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449</w:t>
            </w:r>
          </w:p>
        </w:tc>
        <w:tc>
          <w:tcPr>
            <w:tcW w:w="1021" w:type="dxa"/>
          </w:tcPr>
          <w:p w14:paraId="1DEBE7DB" w14:textId="219FB7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C943726" w14:textId="6C4752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D145D0E" w14:textId="13091A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w:t>
            </w:r>
            <w:r w:rsidRPr="005E78BB">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w:t>
            </w:r>
            <w:r w:rsidRPr="005E78BB">
              <w:rPr>
                <w:rFonts w:ascii="Calibri" w:eastAsia="Times New Roman" w:hAnsi="Calibri" w:cs="Calibri"/>
                <w:color w:val="000000"/>
                <w:sz w:val="18"/>
                <w:szCs w:val="18"/>
                <w:lang w:eastAsia="pl-PL"/>
              </w:rPr>
              <w:br w:type="page"/>
              <w:t>. Zmiany wymagają m.in. ponownej analizy działao zaplanowanych w dorzeczach, a odnoszących się do</w:t>
            </w:r>
            <w:r w:rsidRPr="005E78BB">
              <w:rPr>
                <w:rFonts w:ascii="Calibri" w:eastAsia="Times New Roman" w:hAnsi="Calibri" w:cs="Calibri"/>
                <w:color w:val="000000"/>
                <w:sz w:val="18"/>
                <w:szCs w:val="18"/>
                <w:lang w:eastAsia="pl-PL"/>
              </w:rPr>
              <w:br w:type="page"/>
              <w:t>udrożnieo budowli piętrzących oraz do konkretnych zapisów głównie uszczuplających zestaw działao likwidujących presje zanieczyszczeo komunalnych.</w:t>
            </w:r>
            <w:r w:rsidRPr="005E78BB">
              <w:rPr>
                <w:rFonts w:ascii="Calibri" w:eastAsia="Times New Roman" w:hAnsi="Calibri" w:cs="Calibri"/>
                <w:color w:val="000000"/>
                <w:sz w:val="18"/>
                <w:szCs w:val="18"/>
                <w:lang w:eastAsia="pl-PL"/>
              </w:rPr>
              <w:br w:type="page"/>
              <w:t xml:space="preserve">Ilośd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działao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działao poprawiających ich drożnośd (Zał. 4 do „erraty” wcześniej zał. 1 do zał. 7 IIaPGW). Społeczeostwo zostało zmuszone do dokonania ponownej weryfikacji tego zestawienia (obecnie ponad 3100 działao na konkretnych budowlach), chodby ze względu na całkowitą i nieuzasadnioną zmianę numeracji budowli w stosunku do publikacji w wersji z kwietnia. Liczba budowli położonych na „nowych” obszarach chronionych dla gatunków gospodarczych w dorzeczu Wisły to aż 821. Wszystkie ww. zmiany są znaczące i powinny byd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1142E1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p>
        </w:tc>
        <w:tc>
          <w:tcPr>
            <w:tcW w:w="3401" w:type="dxa"/>
            <w:shd w:val="clear" w:color="auto" w:fill="auto"/>
            <w:hideMark/>
          </w:tcPr>
          <w:p w14:paraId="4DCD84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 Zgodnie z zapisami RDW, konsultacje projektów planów gospodarowania wodami w dorzeczu trwają pół roku.</w:t>
            </w:r>
            <w:r w:rsidRPr="005E78BB">
              <w:rPr>
                <w:rFonts w:ascii="Calibri" w:eastAsia="Times New Roman" w:hAnsi="Calibri" w:cs="Calibri"/>
                <w:color w:val="000000"/>
                <w:sz w:val="18"/>
                <w:szCs w:val="18"/>
                <w:lang w:eastAsia="pl-PL"/>
              </w:rPr>
              <w:br w:type="page"/>
              <w:t>Nieuzasadnione jest skrócenie tego okresu do jedynie dwóch tygodni. IIaPGW został uzupełniony , co prawda o niezbędny element, jakim są obszary chronione</w:t>
            </w:r>
            <w:r w:rsidRPr="005E78BB">
              <w:rPr>
                <w:rFonts w:ascii="Calibri" w:eastAsia="Times New Roman" w:hAnsi="Calibri" w:cs="Calibri"/>
                <w:color w:val="000000"/>
                <w:sz w:val="18"/>
                <w:szCs w:val="18"/>
                <w:lang w:eastAsia="pl-PL"/>
              </w:rPr>
              <w:br w:type="page"/>
              <w:t>ale zdecydowanie zbyt późno.</w:t>
            </w:r>
            <w:r w:rsidRPr="005E78BB">
              <w:rPr>
                <w:rFonts w:ascii="Calibri" w:eastAsia="Times New Roman" w:hAnsi="Calibri" w:cs="Calibri"/>
                <w:color w:val="000000"/>
                <w:sz w:val="18"/>
                <w:szCs w:val="18"/>
                <w:lang w:eastAsia="pl-PL"/>
              </w:rPr>
              <w:br w:type="page"/>
              <w:t>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społeczeostwo ma się do tych zagadnieo odnieśd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w:t>
            </w:r>
          </w:p>
        </w:tc>
        <w:tc>
          <w:tcPr>
            <w:tcW w:w="1918" w:type="dxa"/>
            <w:shd w:val="clear" w:color="auto" w:fill="auto"/>
            <w:hideMark/>
          </w:tcPr>
          <w:p w14:paraId="6054C4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EF61E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2FD0A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2B772C40" w14:textId="77777777" w:rsidTr="00E92AE6">
        <w:trPr>
          <w:trHeight w:val="454"/>
        </w:trPr>
        <w:tc>
          <w:tcPr>
            <w:tcW w:w="562" w:type="dxa"/>
            <w:shd w:val="clear" w:color="auto" w:fill="auto"/>
            <w:hideMark/>
          </w:tcPr>
          <w:p w14:paraId="3F16828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450</w:t>
            </w:r>
          </w:p>
        </w:tc>
        <w:tc>
          <w:tcPr>
            <w:tcW w:w="1021" w:type="dxa"/>
          </w:tcPr>
          <w:p w14:paraId="3DB6F3D4" w14:textId="07475E0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00786C51" w14:textId="2BE7F9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6E012E7" w14:textId="48B8A9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byc opublikowane prognozy ooś oraz projekty IIaPGW wraz z „erratami” i do tych wszystkich dokumentów można składad</w:t>
            </w:r>
            <w:r w:rsidRPr="005E78BB">
              <w:rPr>
                <w:rFonts w:ascii="Calibri" w:eastAsia="Times New Roman" w:hAnsi="Calibri" w:cs="Calibri"/>
                <w:color w:val="000000"/>
                <w:sz w:val="18"/>
                <w:szCs w:val="18"/>
                <w:lang w:eastAsia="pl-PL"/>
              </w:rPr>
              <w:br/>
              <w:t xml:space="preserve"> uwagi do 20 października.</w:t>
            </w:r>
            <w:r w:rsidRPr="005E78BB">
              <w:rPr>
                <w:rFonts w:ascii="Calibri" w:eastAsia="Times New Roman" w:hAnsi="Calibri" w:cs="Calibri"/>
                <w:color w:val="000000"/>
                <w:sz w:val="18"/>
                <w:szCs w:val="18"/>
                <w:lang w:eastAsia="pl-PL"/>
              </w:rPr>
              <w:br/>
              <w:t>to ostatni dzwonek, by wziąd udział w konsultacja</w:t>
            </w:r>
            <w:r>
              <w:rPr>
                <w:rFonts w:ascii="Calibri" w:eastAsia="Times New Roman" w:hAnsi="Calibri" w:cs="Calibri"/>
                <w:color w:val="000000"/>
                <w:sz w:val="18"/>
                <w:szCs w:val="18"/>
                <w:lang w:eastAsia="pl-PL"/>
              </w:rPr>
              <w:t xml:space="preserve">ch społecznych w ramach drugiej </w:t>
            </w:r>
            <w:r w:rsidRPr="005E78BB">
              <w:rPr>
                <w:rFonts w:ascii="Calibri" w:eastAsia="Times New Roman" w:hAnsi="Calibri" w:cs="Calibri"/>
                <w:color w:val="000000"/>
                <w:sz w:val="18"/>
                <w:szCs w:val="18"/>
                <w:lang w:eastAsia="pl-PL"/>
              </w:rPr>
              <w:t>aktualizacji planów gospodarowania wodami, które trwają tylko do 14 października”.</w:t>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składad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7D41F9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zostad jednoznacznie wyjaśnione, czy uwagi złożone w jednym z procesów będą brane pod uwagę w obu procedurach, czy trzeba powielać składanie uwag w obu procesach.</w:t>
            </w:r>
          </w:p>
        </w:tc>
        <w:tc>
          <w:tcPr>
            <w:tcW w:w="3401" w:type="dxa"/>
            <w:shd w:val="clear" w:color="auto" w:fill="auto"/>
            <w:hideMark/>
          </w:tcPr>
          <w:p w14:paraId="6710FA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złożyd dwukrotnie.</w:t>
            </w:r>
            <w:r w:rsidRPr="005E78BB">
              <w:rPr>
                <w:rFonts w:ascii="Calibri" w:eastAsia="Times New Roman" w:hAnsi="Calibri" w:cs="Calibri"/>
                <w:color w:val="000000"/>
                <w:sz w:val="18"/>
                <w:szCs w:val="18"/>
                <w:lang w:eastAsia="pl-PL"/>
              </w:rPr>
              <w:br/>
              <w:t>Jedynym rozwiązaniem jest ujednolicenie trybu składania uwag i rozszerzenie terminów ich składania.</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11704E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7B7C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5CCE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223A32C9" w14:textId="77777777" w:rsidTr="00E92AE6">
        <w:trPr>
          <w:trHeight w:val="454"/>
        </w:trPr>
        <w:tc>
          <w:tcPr>
            <w:tcW w:w="562" w:type="dxa"/>
            <w:shd w:val="clear" w:color="auto" w:fill="auto"/>
            <w:hideMark/>
          </w:tcPr>
          <w:p w14:paraId="15E9648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451</w:t>
            </w:r>
          </w:p>
        </w:tc>
        <w:tc>
          <w:tcPr>
            <w:tcW w:w="1021" w:type="dxa"/>
          </w:tcPr>
          <w:p w14:paraId="6D5B8ECC" w14:textId="57EE618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B730766" w14:textId="3DC8BF5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geobaza</w:t>
            </w:r>
          </w:p>
        </w:tc>
        <w:tc>
          <w:tcPr>
            <w:tcW w:w="5663" w:type="dxa"/>
            <w:shd w:val="clear" w:color="auto" w:fill="auto"/>
            <w:hideMark/>
          </w:tcPr>
          <w:p w14:paraId="26EF9DF0" w14:textId="36E59E8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sied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podkreślid, że stworzenie bazy danych czy nawet zobrazowanie warstw GIS było możliwe, na co wskazuje chodby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518AB769" w14:textId="5452D4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byc upowszechnione na ogólnodostępnej platformie (jak w przypadku konsultacji aPZRP) oraz dostępne na wniosek.</w:t>
            </w:r>
          </w:p>
        </w:tc>
        <w:tc>
          <w:tcPr>
            <w:tcW w:w="3401" w:type="dxa"/>
            <w:shd w:val="clear" w:color="auto" w:fill="auto"/>
            <w:hideMark/>
          </w:tcPr>
          <w:p w14:paraId="51AB0BF6" w14:textId="4F34AB4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działao ochronnych) znacząco obniża jakośd konsultacji publicznych. Uwaga składana wielokrotnie m.in. w trakcie spotkao konsultacyjnych nie doczekała się żadnej reakcji.</w:t>
            </w:r>
            <w:r w:rsidRPr="005E78BB">
              <w:rPr>
                <w:rFonts w:ascii="Calibri" w:eastAsia="Times New Roman" w:hAnsi="Calibri" w:cs="Calibri"/>
                <w:color w:val="000000"/>
                <w:sz w:val="18"/>
                <w:szCs w:val="18"/>
                <w:lang w:eastAsia="pl-PL"/>
              </w:rPr>
              <w:br/>
              <w:t>Mapy udostępnione wraz z projektem IIaPGW nie są ani czytelne ani możliwe do wykorzystania przez osoby uczestniczące w konsultacjach.</w:t>
            </w:r>
            <w:r w:rsidRPr="005E78BB">
              <w:rPr>
                <w:rFonts w:ascii="Calibri" w:eastAsia="Times New Roman" w:hAnsi="Calibri" w:cs="Calibri"/>
                <w:color w:val="000000"/>
                <w:sz w:val="18"/>
                <w:szCs w:val="18"/>
                <w:lang w:eastAsia="pl-PL"/>
              </w:rPr>
              <w:br/>
              <w:t>Działanie Wód Polskich w tym zakresie jest sprzeczne z:</w:t>
            </w:r>
            <w:r w:rsidRPr="005E78BB">
              <w:rPr>
                <w:rFonts w:ascii="Calibri" w:eastAsia="Times New Roman" w:hAnsi="Calibri" w:cs="Calibri"/>
                <w:color w:val="000000"/>
                <w:sz w:val="18"/>
                <w:szCs w:val="18"/>
                <w:lang w:eastAsia="pl-PL"/>
              </w:rPr>
              <w:br/>
              <w:t>art. 14 RDW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p>
        </w:tc>
        <w:tc>
          <w:tcPr>
            <w:tcW w:w="1918" w:type="dxa"/>
            <w:shd w:val="clear" w:color="auto" w:fill="auto"/>
            <w:hideMark/>
          </w:tcPr>
          <w:p w14:paraId="29F6CD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C4538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68472F1" w14:textId="07D80F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57CE6757" w14:textId="77777777" w:rsidTr="00E92AE6">
        <w:trPr>
          <w:trHeight w:val="454"/>
        </w:trPr>
        <w:tc>
          <w:tcPr>
            <w:tcW w:w="562" w:type="dxa"/>
            <w:shd w:val="clear" w:color="auto" w:fill="auto"/>
            <w:hideMark/>
          </w:tcPr>
          <w:p w14:paraId="2DBB1B7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452</w:t>
            </w:r>
          </w:p>
        </w:tc>
        <w:tc>
          <w:tcPr>
            <w:tcW w:w="1021" w:type="dxa"/>
          </w:tcPr>
          <w:p w14:paraId="554EF978" w14:textId="6F21042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0F686470" w14:textId="2CF9031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 / dokumenty źródłowe</w:t>
            </w:r>
          </w:p>
        </w:tc>
        <w:tc>
          <w:tcPr>
            <w:tcW w:w="5663" w:type="dxa"/>
            <w:shd w:val="clear" w:color="auto" w:fill="auto"/>
            <w:hideMark/>
          </w:tcPr>
          <w:p w14:paraId="32E1C5F9" w14:textId="1B13DA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nieskooczonych”.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ype="page"/>
              <w:t>Takie podejście jest niezgodne z przepisami prawa krajowego i wspólnotowego.</w:t>
            </w:r>
            <w:r w:rsidRPr="005E78BB">
              <w:rPr>
                <w:rFonts w:ascii="Calibri" w:eastAsia="Times New Roman" w:hAnsi="Calibri" w:cs="Calibri"/>
                <w:color w:val="000000"/>
                <w:sz w:val="18"/>
                <w:szCs w:val="18"/>
                <w:lang w:eastAsia="pl-PL"/>
              </w:rPr>
              <w:br w:type="page"/>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byd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stanowid to technicznego problemu (po 18 latach nie powinno stanowid go nadal).</w:t>
            </w:r>
            <w:r w:rsidRPr="005E78BB">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mówid o prawidłowym przeprowadzeniu konsultacji publicznych. Szczególnie traktowanie tych dokumentów jako nieskooczonych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ype="page"/>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3377" w:type="dxa"/>
            <w:shd w:val="clear" w:color="auto" w:fill="auto"/>
            <w:hideMark/>
          </w:tcPr>
          <w:p w14:paraId="1A74BE8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0BBDBE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094A80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A3DBC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D80F8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ype="page"/>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0F832834" w14:textId="77777777" w:rsidTr="00E92AE6">
        <w:trPr>
          <w:trHeight w:val="454"/>
        </w:trPr>
        <w:tc>
          <w:tcPr>
            <w:tcW w:w="562" w:type="dxa"/>
            <w:shd w:val="clear" w:color="auto" w:fill="auto"/>
            <w:hideMark/>
          </w:tcPr>
          <w:p w14:paraId="245F596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453</w:t>
            </w:r>
          </w:p>
        </w:tc>
        <w:tc>
          <w:tcPr>
            <w:tcW w:w="1021" w:type="dxa"/>
          </w:tcPr>
          <w:p w14:paraId="188BD896" w14:textId="60A8891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66C9B26B" w14:textId="45D678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formularz</w:t>
            </w:r>
          </w:p>
        </w:tc>
        <w:tc>
          <w:tcPr>
            <w:tcW w:w="5663" w:type="dxa"/>
            <w:shd w:val="clear" w:color="auto" w:fill="auto"/>
            <w:hideMark/>
          </w:tcPr>
          <w:p w14:paraId="62CE9181" w14:textId="3424B2A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w:t>
            </w:r>
          </w:p>
        </w:tc>
        <w:tc>
          <w:tcPr>
            <w:tcW w:w="3377" w:type="dxa"/>
            <w:shd w:val="clear" w:color="auto" w:fill="auto"/>
            <w:hideMark/>
          </w:tcPr>
          <w:p w14:paraId="29B0EB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Umożliwić składanie uwag również w innych formach niż załączony na stronach konsultacji formularz, w tym w formie tabelarycznej. Stosowna informacja powinna znaleźć się na stronie https://apgw.gov.pl/pl/konsultacje</w:t>
            </w:r>
          </w:p>
        </w:tc>
        <w:tc>
          <w:tcPr>
            <w:tcW w:w="3401" w:type="dxa"/>
            <w:shd w:val="clear" w:color="auto" w:fill="auto"/>
            <w:hideMark/>
          </w:tcPr>
          <w:p w14:paraId="0347DE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773A38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F8840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2EB2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85319C" w:rsidRPr="005E78BB" w14:paraId="3BB0EC2E" w14:textId="77777777" w:rsidTr="00E92AE6">
        <w:trPr>
          <w:trHeight w:val="454"/>
        </w:trPr>
        <w:tc>
          <w:tcPr>
            <w:tcW w:w="562" w:type="dxa"/>
            <w:shd w:val="clear" w:color="auto" w:fill="auto"/>
            <w:hideMark/>
          </w:tcPr>
          <w:p w14:paraId="35AA19D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454</w:t>
            </w:r>
          </w:p>
        </w:tc>
        <w:tc>
          <w:tcPr>
            <w:tcW w:w="1021" w:type="dxa"/>
          </w:tcPr>
          <w:p w14:paraId="5CB523B6" w14:textId="3CA0BB4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4AC7E41" w14:textId="0A9B44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dane ze strony aPGW</w:t>
            </w:r>
          </w:p>
        </w:tc>
        <w:tc>
          <w:tcPr>
            <w:tcW w:w="5663" w:type="dxa"/>
            <w:shd w:val="clear" w:color="auto" w:fill="auto"/>
            <w:hideMark/>
          </w:tcPr>
          <w:p w14:paraId="38744028" w14:textId="0A67FEF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5ECE0F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dane z poprzedniego okresu planistycznego, dostępne pod starym adresem konsultacji www.apgw.kzgw.gov.pl</w:t>
            </w:r>
          </w:p>
        </w:tc>
        <w:tc>
          <w:tcPr>
            <w:tcW w:w="3401" w:type="dxa"/>
            <w:shd w:val="clear" w:color="auto" w:fill="auto"/>
            <w:hideMark/>
          </w:tcPr>
          <w:p w14:paraId="2230D5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6832F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1C555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A5F78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30EEE37E" w14:textId="77777777" w:rsidTr="00E92AE6">
        <w:trPr>
          <w:trHeight w:val="454"/>
        </w:trPr>
        <w:tc>
          <w:tcPr>
            <w:tcW w:w="562" w:type="dxa"/>
            <w:shd w:val="clear" w:color="auto" w:fill="auto"/>
            <w:hideMark/>
          </w:tcPr>
          <w:p w14:paraId="0D61872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455</w:t>
            </w:r>
          </w:p>
        </w:tc>
        <w:tc>
          <w:tcPr>
            <w:tcW w:w="1021" w:type="dxa"/>
          </w:tcPr>
          <w:p w14:paraId="122027A4" w14:textId="7D3D974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5D405C36" w14:textId="7F08C14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91E6A7F" w14:textId="362D29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Rozdz. 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w:t>
            </w:r>
            <w:r w:rsidRPr="005E78BB">
              <w:rPr>
                <w:rFonts w:ascii="Calibri" w:eastAsia="Times New Roman" w:hAnsi="Calibri" w:cs="Calibri"/>
                <w:color w:val="000000"/>
                <w:sz w:val="18"/>
                <w:szCs w:val="18"/>
                <w:lang w:eastAsia="pl-PL"/>
              </w:rPr>
              <w:br/>
              <w:t xml:space="preserve">Nie wystarczy napisad,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zostad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Paostwa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zostad poddane pełnej kontroli publicznej. Nawet jeśli któryś z dokumentów, na podstawie którego dokonano zmian, był przedstawiony do konsultacji publicznych, to informacja o ich wynikach powinna znaleźd się w projekcie IIaPGW. Nie powinno się też wykluczad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6EE84CAC" w14:textId="6651DA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Uzasadnid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byd możliwe do zweryfikowania także w formie wizualnej. Przedstawione nieczytelne zbiorcze mapy – załączniki IIaPGW - tej roli nie spełniają.</w:t>
            </w:r>
          </w:p>
        </w:tc>
        <w:tc>
          <w:tcPr>
            <w:tcW w:w="3401" w:type="dxa"/>
            <w:shd w:val="clear" w:color="auto" w:fill="auto"/>
            <w:hideMark/>
          </w:tcPr>
          <w:p w14:paraId="60D247B6" w14:textId="4B6E0F8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byd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częśd wód. IIaPGW powinno zawierad dowód, że za nowym podziałem stoją racjonalne przesłanki, inne niż np. oszczędności na rozbudowie sieci monitoringowej i chęd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oddziaływać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w:t>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w:t>
            </w:r>
          </w:p>
        </w:tc>
        <w:tc>
          <w:tcPr>
            <w:tcW w:w="1918" w:type="dxa"/>
            <w:shd w:val="clear" w:color="auto" w:fill="auto"/>
            <w:hideMark/>
          </w:tcPr>
          <w:p w14:paraId="7E15FA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C2DF0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684A14" w14:textId="78B089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6B4EB6" w14:paraId="469D4994" w14:textId="77777777" w:rsidTr="00E92AE6">
        <w:trPr>
          <w:trHeight w:val="454"/>
        </w:trPr>
        <w:tc>
          <w:tcPr>
            <w:tcW w:w="562" w:type="dxa"/>
            <w:shd w:val="clear" w:color="auto" w:fill="auto"/>
            <w:hideMark/>
          </w:tcPr>
          <w:p w14:paraId="579A26EC"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456</w:t>
            </w:r>
          </w:p>
        </w:tc>
        <w:tc>
          <w:tcPr>
            <w:tcW w:w="1021" w:type="dxa"/>
          </w:tcPr>
          <w:p w14:paraId="125E070D" w14:textId="3EE0EAF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Przyrodnicze Alauda</w:t>
            </w:r>
          </w:p>
        </w:tc>
        <w:tc>
          <w:tcPr>
            <w:tcW w:w="1630" w:type="dxa"/>
            <w:shd w:val="clear" w:color="auto" w:fill="auto"/>
            <w:hideMark/>
          </w:tcPr>
          <w:p w14:paraId="167EAC34" w14:textId="326A311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14A1010A" w14:textId="54A0235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Zbiornikowe</w:t>
            </w:r>
            <w:r w:rsidRPr="00CD6FBC">
              <w:rPr>
                <w:rFonts w:ascii="Calibri" w:eastAsia="Times New Roman" w:hAnsi="Calibri" w:cs="Calibri"/>
                <w:color w:val="000000"/>
                <w:sz w:val="18"/>
                <w:szCs w:val="18"/>
                <w:lang w:eastAsia="pl-PL"/>
              </w:rPr>
              <w:br w:type="page"/>
              <w:t>Rozdz. 3, 5.1. oraz 8.1.</w:t>
            </w:r>
            <w:r w:rsidRPr="00CD6FBC">
              <w:rPr>
                <w:rFonts w:ascii="Calibri" w:eastAsia="Times New Roman" w:hAnsi="Calibri" w:cs="Calibri"/>
                <w:color w:val="000000"/>
                <w:sz w:val="18"/>
                <w:szCs w:val="18"/>
                <w:lang w:eastAsia="pl-PL"/>
              </w:rPr>
              <w:br w:type="page"/>
              <w:t>Zał. 3.1. oraz 8.</w:t>
            </w:r>
            <w:r w:rsidRPr="00CD6FBC">
              <w:rPr>
                <w:rFonts w:ascii="Calibri" w:eastAsia="Times New Roman" w:hAnsi="Calibri" w:cs="Calibri"/>
                <w:color w:val="000000"/>
                <w:sz w:val="18"/>
                <w:szCs w:val="18"/>
                <w:lang w:eastAsia="pl-PL"/>
              </w:rPr>
              <w:br w:type="page"/>
              <w:t>Zał. mapowe</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7FB18E4F" w14:textId="3FB2DCCB"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Wyłączyd z wyznaczeo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59AD56F2" w14:textId="195BC00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ype="page"/>
              <w:t>Takie podejście nie może byd usprawiedliwieniem dla znaczących negatywnych zmian w cennych siedliskach związanych z cofkami niektórych zbiorników wodnych.</w:t>
            </w:r>
          </w:p>
        </w:tc>
        <w:tc>
          <w:tcPr>
            <w:tcW w:w="1918" w:type="dxa"/>
            <w:shd w:val="clear" w:color="auto" w:fill="auto"/>
            <w:hideMark/>
          </w:tcPr>
          <w:p w14:paraId="69ED71A1"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52D2705"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403EDC7C" w14:textId="3C2D79FC" w:rsidR="0085319C" w:rsidRPr="006B4EB6"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ype="page"/>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ype="page"/>
              <w:t xml:space="preserve">W zał. </w:t>
            </w:r>
            <w:r w:rsidR="006B4EB6" w:rsidRPr="00CD6FBC">
              <w:rPr>
                <w:rFonts w:ascii="Calibri" w:eastAsia="Times New Roman" w:hAnsi="Calibri" w:cs="Calibri"/>
                <w:color w:val="000000"/>
                <w:sz w:val="18"/>
                <w:szCs w:val="18"/>
                <w:lang w:eastAsia="pl-PL"/>
              </w:rPr>
              <w:t>Wartości graniczne SCW i SZCW</w:t>
            </w:r>
            <w:r w:rsidR="006B4EB6" w:rsidRPr="00CD6FBC" w:rsidDel="006B4EB6">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7B2C2469" w14:textId="77777777" w:rsidTr="00E92AE6">
        <w:trPr>
          <w:trHeight w:val="454"/>
        </w:trPr>
        <w:tc>
          <w:tcPr>
            <w:tcW w:w="562" w:type="dxa"/>
            <w:shd w:val="clear" w:color="auto" w:fill="auto"/>
            <w:hideMark/>
          </w:tcPr>
          <w:p w14:paraId="1B1C8603"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457</w:t>
            </w:r>
          </w:p>
        </w:tc>
        <w:tc>
          <w:tcPr>
            <w:tcW w:w="1021" w:type="dxa"/>
          </w:tcPr>
          <w:p w14:paraId="2F7E9B5E" w14:textId="55A1CDEE"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Przyrodnicze Alauda</w:t>
            </w:r>
          </w:p>
        </w:tc>
        <w:tc>
          <w:tcPr>
            <w:tcW w:w="1630" w:type="dxa"/>
            <w:shd w:val="clear" w:color="auto" w:fill="auto"/>
            <w:hideMark/>
          </w:tcPr>
          <w:p w14:paraId="397DFB32" w14:textId="3EA69FD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311A80C9" w14:textId="04002294"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Rozdz. 3.1.SZCW</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w:t>
            </w:r>
            <w:r w:rsidRPr="00CD6FBC">
              <w:rPr>
                <w:rFonts w:ascii="Calibri" w:eastAsia="Times New Roman" w:hAnsi="Calibri" w:cs="Calibri"/>
                <w:color w:val="000000"/>
                <w:sz w:val="18"/>
                <w:szCs w:val="18"/>
                <w:lang w:eastAsia="pl-PL"/>
              </w:rPr>
              <w:br/>
              <w:t>Zgodnie z art. 4.3. RDW Paostwa Członkowskie mogą wyznaczyd częśd wód powierzchniowych jako sztucznie lub silnie zmienioną, gdy:</w:t>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wywrzed znaczący niekorzystny wpływ na: środowisko w szerszym znaczeniu; żeglugę, włączając urządzenia portowe, lub rekreację; działalnośd, do której celów woda jest magazynowana, takie jak zaopatrzenie w wodę do spożycia, wytwarzanie prądu lub nawadnianie; regulację wód, zapobieganie powodzi, odwadnianie ziemi; lub inną jednakowo ważną działalnośd człowieka związaną ze zrównoważonym rozwojem; b) korzystne cele, do których się dąży za pomocą charakterystyki sztucznej lub silnie zmienionej części wód, nie mogą ze względu na możliwości techniczne lub nieproporcjonalne koszty, byd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sześd lat.”</w:t>
            </w:r>
            <w:r w:rsidRPr="00CD6FBC">
              <w:rPr>
                <w:rFonts w:ascii="Calibri" w:eastAsia="Times New Roman" w:hAnsi="Calibri" w:cs="Calibri"/>
                <w:color w:val="000000"/>
                <w:sz w:val="18"/>
                <w:szCs w:val="18"/>
                <w:lang w:eastAsia="pl-PL"/>
              </w:rPr>
              <w:br/>
              <w:t>Zgodnie z dokumentem</w:t>
            </w:r>
            <w:r w:rsidRPr="00CD6FBC">
              <w:rPr>
                <w:rFonts w:ascii="Calibri" w:eastAsia="Times New Roman" w:hAnsi="Calibri" w:cs="Calibri"/>
                <w:color w:val="000000"/>
                <w:sz w:val="18"/>
                <w:szCs w:val="18"/>
                <w:lang w:eastAsia="pl-PL"/>
              </w:rPr>
              <w:br/>
              <w:t>DOKUMENT ROBOCZY SŁUŻB KOMISJI Drugie plany gospodarowania wodami w dorzeczu – paostwo członkowskie: Polska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t>Zalecenie z 2012 r.:</w:t>
            </w:r>
            <w:r w:rsidRPr="00CD6FBC">
              <w:rPr>
                <w:rFonts w:ascii="Calibri" w:eastAsia="Times New Roman" w:hAnsi="Calibri" w:cs="Calibri"/>
                <w:color w:val="000000"/>
                <w:sz w:val="18"/>
                <w:szCs w:val="18"/>
                <w:lang w:eastAsia="pl-PL"/>
              </w:rPr>
              <w:br/>
              <w:t>Wyznaczenie silnie zmienionych jednolitych części wód powinno byd zgodne ze wszystkimi wymogami określonymi w art. 4 ust. 3. W planach gospodarowania wodami w dorzeczach należy położyd szczególny nacisk na ocenę „znaczącego niekorzystnego wpływu” na sposób korzystania z wód lub środowisko naturalne oraz brak „opcji znacznie korzystniejszych środowiskowo”. Jest to konieczne do zapewnienia przejrzystości procesu wyznaczania.</w:t>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ocenid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Jeśli zaś, zachodzi niepewność, co do możliwości wyznaczenia SZCW, wyznaczenie takie było nieuprawnione.</w:t>
            </w:r>
          </w:p>
        </w:tc>
        <w:tc>
          <w:tcPr>
            <w:tcW w:w="3377" w:type="dxa"/>
            <w:shd w:val="clear" w:color="auto" w:fill="auto"/>
            <w:hideMark/>
          </w:tcPr>
          <w:p w14:paraId="60CB6DC4" w14:textId="6DC4DE5F"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udowodnic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 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 Na tej podstawie należy nadadć status NAT wszystkim częściom wód ujętym w projekcie IIaPGW, które nie spełniają wymogów art. 4.3. RDW.</w:t>
            </w:r>
          </w:p>
        </w:tc>
        <w:tc>
          <w:tcPr>
            <w:tcW w:w="3401" w:type="dxa"/>
            <w:shd w:val="clear" w:color="auto" w:fill="auto"/>
            <w:hideMark/>
          </w:tcPr>
          <w:p w14:paraId="773EF4BB"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453FA5C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35C819F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5898DB91" w14:textId="262B924C"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6B4EB6" w:rsidRPr="00CD6FBC">
              <w:rPr>
                <w:rFonts w:ascii="Calibri" w:eastAsia="Times New Roman" w:hAnsi="Calibri" w:cs="Calibri"/>
                <w:color w:val="000000"/>
                <w:sz w:val="18"/>
                <w:szCs w:val="18"/>
                <w:lang w:eastAsia="pl-PL"/>
              </w:rPr>
              <w:t>Wartości graniczne SCW i SZCW</w:t>
            </w:r>
            <w:r w:rsidRPr="00CD6FBC">
              <w:rPr>
                <w:rFonts w:ascii="Calibri" w:eastAsia="Times New Roman" w:hAnsi="Calibri" w:cs="Calibri"/>
                <w:color w:val="000000"/>
                <w:sz w:val="18"/>
                <w:szCs w:val="18"/>
                <w:lang w:eastAsia="pl-PL"/>
              </w:rPr>
              <w:t xml:space="preserve">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40F61FA6" w14:textId="77777777" w:rsidTr="00E92AE6">
        <w:trPr>
          <w:trHeight w:val="454"/>
        </w:trPr>
        <w:tc>
          <w:tcPr>
            <w:tcW w:w="562" w:type="dxa"/>
            <w:shd w:val="clear" w:color="auto" w:fill="auto"/>
            <w:hideMark/>
          </w:tcPr>
          <w:p w14:paraId="677DCF1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458</w:t>
            </w:r>
          </w:p>
        </w:tc>
        <w:tc>
          <w:tcPr>
            <w:tcW w:w="1021" w:type="dxa"/>
          </w:tcPr>
          <w:p w14:paraId="5ABC880C" w14:textId="3B660E0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572E8F5A" w14:textId="4D78F11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03E55AD" w14:textId="19D2C5C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2.1.) nie jest prawidłowym utworzenie jednej dużej SZCW z mniejszych o mieszanym statucie.</w:t>
            </w:r>
            <w:r w:rsidRPr="005E78BB">
              <w:rPr>
                <w:rFonts w:ascii="Calibri" w:eastAsia="Times New Roman" w:hAnsi="Calibri" w:cs="Calibri"/>
                <w:color w:val="000000"/>
                <w:sz w:val="18"/>
                <w:szCs w:val="18"/>
                <w:lang w:eastAsia="pl-PL"/>
              </w:rPr>
              <w:br/>
              <w:t xml:space="preserve">Przykładem mogą byd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6269897D" w14:textId="1AAF61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05CC70BB" w14:textId="6206BF06" w:rsidR="0085319C" w:rsidRPr="005E78BB" w:rsidRDefault="0085319C" w:rsidP="0085319C">
            <w:pPr>
              <w:ind w:firstLine="0"/>
              <w:jc w:val="left"/>
              <w:rPr>
                <w:rFonts w:ascii="Calibri" w:eastAsia="Times New Roman" w:hAnsi="Calibri" w:cs="Calibri"/>
                <w:color w:val="000000"/>
                <w:sz w:val="18"/>
                <w:szCs w:val="18"/>
                <w:lang w:eastAsia="pl-PL"/>
              </w:rPr>
            </w:pPr>
            <w:r w:rsidRPr="00A36765">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częśd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0F0D74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2CC0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DAFBAE" w14:textId="54EECB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6A8DD376" w14:textId="77777777" w:rsidTr="00E92AE6">
        <w:trPr>
          <w:trHeight w:val="454"/>
        </w:trPr>
        <w:tc>
          <w:tcPr>
            <w:tcW w:w="562" w:type="dxa"/>
            <w:shd w:val="clear" w:color="auto" w:fill="auto"/>
            <w:hideMark/>
          </w:tcPr>
          <w:p w14:paraId="3D28EA3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459</w:t>
            </w:r>
          </w:p>
        </w:tc>
        <w:tc>
          <w:tcPr>
            <w:tcW w:w="1021" w:type="dxa"/>
          </w:tcPr>
          <w:p w14:paraId="048A7468" w14:textId="553447C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39EBF996" w14:textId="58902AD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CD2D206" w14:textId="7D8654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 Wyznaczenie SZCW niezgodnie z metodyką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mied status NATuralnych.</w:t>
            </w:r>
            <w:r w:rsidRPr="005E78BB">
              <w:rPr>
                <w:rFonts w:ascii="Calibri" w:eastAsia="Times New Roman" w:hAnsi="Calibri" w:cs="Calibri"/>
                <w:color w:val="000000"/>
                <w:sz w:val="18"/>
                <w:szCs w:val="18"/>
                <w:lang w:eastAsia="pl-PL"/>
              </w:rPr>
              <w:br w:type="page"/>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RW20001229199Wisła od Zgłowiączki do Brdy RW2000122939 Wisła od Brdy do Wdy RW20001229991Wisła od Wdy do Przekopu Wisły</w:t>
            </w:r>
            <w:r w:rsidRPr="005E78BB">
              <w:rPr>
                <w:rFonts w:ascii="Calibri" w:eastAsia="Times New Roman" w:hAnsi="Calibri" w:cs="Calibri"/>
                <w:color w:val="000000"/>
                <w:sz w:val="18"/>
                <w:szCs w:val="18"/>
                <w:lang w:eastAsia="pl-PL"/>
              </w:rPr>
              <w:br w:type="page"/>
              <w:t>W opisie przyczyny wyznaczenia (Zal. 1 Zestawienie Główne) widnieje: „Korekta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type="page"/>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jakośd wód, a w następnej kolejności pod uwagę brane jest dopiero jej użytkowanie.</w:t>
            </w:r>
            <w:r w:rsidRPr="005E78BB">
              <w:rPr>
                <w:rFonts w:ascii="Calibri" w:eastAsia="Times New Roman" w:hAnsi="Calibri" w:cs="Calibri"/>
                <w:color w:val="000000"/>
                <w:sz w:val="18"/>
                <w:szCs w:val="18"/>
                <w:lang w:eastAsia="pl-PL"/>
              </w:rPr>
              <w:br w:type="page"/>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2ED004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Przywrócid dla: RW20001229199Wisła od Zgłowiączki do Brdy RW2000122939 Wisła od Brdy do Wdy</w:t>
            </w:r>
            <w:r w:rsidRPr="005E78BB">
              <w:rPr>
                <w:rFonts w:ascii="Calibri" w:eastAsia="Times New Roman" w:hAnsi="Calibri" w:cs="Calibri"/>
                <w:color w:val="000000"/>
                <w:sz w:val="18"/>
                <w:szCs w:val="18"/>
                <w:lang w:eastAsia="pl-PL"/>
              </w:rPr>
              <w:br w:type="page"/>
              <w:t>RW20001229991Wisła od Wdy do Przekopu Wisły</w:t>
            </w:r>
            <w:r w:rsidRPr="005E78BB">
              <w:rPr>
                <w:rFonts w:ascii="Calibri" w:eastAsia="Times New Roman" w:hAnsi="Calibri" w:cs="Calibri"/>
                <w:color w:val="000000"/>
                <w:sz w:val="18"/>
                <w:szCs w:val="18"/>
                <w:lang w:eastAsia="pl-PL"/>
              </w:rPr>
              <w:br w:type="page"/>
              <w:t>naturalny status wody (NAT).</w:t>
            </w:r>
          </w:p>
        </w:tc>
        <w:tc>
          <w:tcPr>
            <w:tcW w:w="3401" w:type="dxa"/>
            <w:shd w:val="clear" w:color="auto" w:fill="auto"/>
            <w:hideMark/>
          </w:tcPr>
          <w:p w14:paraId="7D4B5CED" w14:textId="022DB1A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możliwośd osiągnięcia celów środowiskowych. 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4F38E9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56D76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37715D7" w14:textId="554E87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445A4AC3" w14:textId="77777777" w:rsidTr="00E92AE6">
        <w:trPr>
          <w:trHeight w:val="454"/>
        </w:trPr>
        <w:tc>
          <w:tcPr>
            <w:tcW w:w="562" w:type="dxa"/>
            <w:shd w:val="clear" w:color="auto" w:fill="auto"/>
            <w:hideMark/>
          </w:tcPr>
          <w:p w14:paraId="5DF6477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460</w:t>
            </w:r>
          </w:p>
        </w:tc>
        <w:tc>
          <w:tcPr>
            <w:tcW w:w="1021" w:type="dxa"/>
          </w:tcPr>
          <w:p w14:paraId="7CD3FFE7" w14:textId="51B384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0B94C255" w14:textId="1AC5503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4EFE269" w14:textId="05DDFF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w:t>
            </w:r>
          </w:p>
        </w:tc>
        <w:tc>
          <w:tcPr>
            <w:tcW w:w="3377" w:type="dxa"/>
            <w:shd w:val="clear" w:color="auto" w:fill="auto"/>
            <w:hideMark/>
          </w:tcPr>
          <w:p w14:paraId="61CDC4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2DF5E4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4D5BB1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1C412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A150B2A" w14:textId="07F5936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5478E9FF" w14:textId="77777777" w:rsidTr="00E92AE6">
        <w:trPr>
          <w:trHeight w:val="454"/>
        </w:trPr>
        <w:tc>
          <w:tcPr>
            <w:tcW w:w="562" w:type="dxa"/>
            <w:shd w:val="clear" w:color="auto" w:fill="auto"/>
            <w:hideMark/>
          </w:tcPr>
          <w:p w14:paraId="56F2E20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461</w:t>
            </w:r>
          </w:p>
        </w:tc>
        <w:tc>
          <w:tcPr>
            <w:tcW w:w="1021" w:type="dxa"/>
          </w:tcPr>
          <w:p w14:paraId="520CA514" w14:textId="6F00335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2A9020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643F082" w14:textId="57483A9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byd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Sied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1⁄4 jezior nie jest monitorowana.</w:t>
            </w:r>
          </w:p>
        </w:tc>
        <w:tc>
          <w:tcPr>
            <w:tcW w:w="3377" w:type="dxa"/>
            <w:shd w:val="clear" w:color="auto" w:fill="auto"/>
            <w:hideMark/>
          </w:tcPr>
          <w:p w14:paraId="276E97E0" w14:textId="6BB6CDA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uzupełnid sied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58C52E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1F9726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AD93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204929A" w14:textId="73ADF11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3C02BAD5" w14:textId="77777777" w:rsidTr="00E92AE6">
        <w:trPr>
          <w:trHeight w:val="454"/>
        </w:trPr>
        <w:tc>
          <w:tcPr>
            <w:tcW w:w="562" w:type="dxa"/>
            <w:shd w:val="clear" w:color="auto" w:fill="auto"/>
            <w:hideMark/>
          </w:tcPr>
          <w:p w14:paraId="3DB5C37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462</w:t>
            </w:r>
          </w:p>
        </w:tc>
        <w:tc>
          <w:tcPr>
            <w:tcW w:w="1021" w:type="dxa"/>
          </w:tcPr>
          <w:p w14:paraId="28CCA834" w14:textId="75BDB0D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45F07538" w14:textId="1F4D7D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 xml:space="preserve">SPOŁECZNE </w:t>
            </w:r>
          </w:p>
        </w:tc>
        <w:tc>
          <w:tcPr>
            <w:tcW w:w="5663" w:type="dxa"/>
            <w:shd w:val="clear" w:color="auto" w:fill="auto"/>
            <w:hideMark/>
          </w:tcPr>
          <w:p w14:paraId="34CDACE7" w14:textId="2CB6A36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Streszczenie niespecjalistyczne; IIaPGW Rozdział 7, 8, 9</w:t>
            </w:r>
            <w:r w:rsidRPr="005E78BB">
              <w:rPr>
                <w:rFonts w:ascii="Calibri" w:eastAsia="Times New Roman" w:hAnsi="Calibri" w:cs="Calibri"/>
                <w:color w:val="000000"/>
                <w:sz w:val="18"/>
                <w:szCs w:val="18"/>
                <w:lang w:eastAsia="pl-PL"/>
              </w:rPr>
              <w:br w:type="page"/>
              <w:t>Presja, Cele środowiskowe,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działao likwidujących presje hydromorfologiczne był w dorzeczu Wisły na lata 2016-2021 niewielki, w zasadzie określony tylko dla budowli piętrzących (pomijając kilkanaście niezrealizowanych działao w dorzeczu Nidy) i był około 5-krotnie skromniejszy niż planowany obecnie i w znacznej większości nie został wykonany, o czym poniżej dalszej części uwag.</w:t>
            </w:r>
          </w:p>
        </w:tc>
        <w:tc>
          <w:tcPr>
            <w:tcW w:w="3377" w:type="dxa"/>
            <w:shd w:val="clear" w:color="auto" w:fill="auto"/>
            <w:hideMark/>
          </w:tcPr>
          <w:p w14:paraId="516EEAC4" w14:textId="0F44730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w:t>
            </w:r>
            <w:r w:rsidRPr="005E78BB">
              <w:rPr>
                <w:rFonts w:ascii="Calibri" w:eastAsia="Times New Roman" w:hAnsi="Calibri" w:cs="Calibri"/>
                <w:color w:val="000000"/>
                <w:sz w:val="18"/>
                <w:szCs w:val="18"/>
                <w:lang w:eastAsia="pl-PL"/>
              </w:rPr>
              <w:br w:type="page"/>
              <w:t>Należy wykreślić z planów IIaPGW, PPSS i aPZRP, i im podobnych z zakresu gospodarki wodnej, te działania które powodują dalsze przekształcenia hydromorfologiczne, a które już teraz nie zostały zweryfikowane pod kątem oddziaływania na stan wód.Bezwzględnie należy usunąć tego typu działania z listy działao ochronnych IIaPGW (PPSS, mała retencja leśna).</w:t>
            </w:r>
          </w:p>
        </w:tc>
        <w:tc>
          <w:tcPr>
            <w:tcW w:w="3401" w:type="dxa"/>
            <w:shd w:val="clear" w:color="auto" w:fill="auto"/>
            <w:hideMark/>
          </w:tcPr>
          <w:p w14:paraId="27313A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26A487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0E7F6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D769CD" w14:textId="2F2A80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ype="page"/>
              <w:t>• dokonanych zmian legislacyjnych w zakresie klasyfikacji stanu jcw w okresie 2011-2019;</w:t>
            </w:r>
            <w:r w:rsidRPr="005E78BB">
              <w:rPr>
                <w:rFonts w:ascii="Calibri" w:eastAsia="Times New Roman" w:hAnsi="Calibri" w:cs="Calibri"/>
                <w:color w:val="000000"/>
                <w:sz w:val="18"/>
                <w:szCs w:val="18"/>
                <w:lang w:eastAsia="pl-PL"/>
              </w:rPr>
              <w:br w:type="page"/>
              <w:t>• celów środowiskowych przydzielonych do poszczególnych jcw w poprzednich cyklach planistycznych;</w:t>
            </w:r>
            <w:r w:rsidRPr="005E78BB">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ype="page"/>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ype="page"/>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ype="page"/>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ype="page"/>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4E4F994E" w14:textId="77777777" w:rsidTr="00E92AE6">
        <w:trPr>
          <w:trHeight w:val="454"/>
        </w:trPr>
        <w:tc>
          <w:tcPr>
            <w:tcW w:w="562" w:type="dxa"/>
            <w:shd w:val="clear" w:color="auto" w:fill="auto"/>
            <w:hideMark/>
          </w:tcPr>
          <w:p w14:paraId="4FC663A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463</w:t>
            </w:r>
          </w:p>
        </w:tc>
        <w:tc>
          <w:tcPr>
            <w:tcW w:w="1021" w:type="dxa"/>
          </w:tcPr>
          <w:p w14:paraId="78B8AA9F" w14:textId="093649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36409B2" w14:textId="14BAEFE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FD4B1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9</w:t>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większośd tych działao nie została wykonana, ze względu na brak finansowania projektu RZGW w Krakowie). Co do udrożnieo budowli – można jedynie posiłkowad się wykazem budowli do udrożnienia (w „erracie” zał. 4). Działao z aPWŚK wymieniono tam dla dorzecza Wisły ponad 360, niewykonanych zadao przynajmniej w części jest ok. 240 (prolongacja). Co ciekawsze, częśd działao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częśd działao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1DA4B2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IIaPGW należy uzupełnić o stopień wykonania działań z aPWŚK w dorzeczu Wisły w odniesieniu do wszystkich kategorii i grup.</w:t>
            </w:r>
          </w:p>
        </w:tc>
        <w:tc>
          <w:tcPr>
            <w:tcW w:w="3401" w:type="dxa"/>
            <w:shd w:val="clear" w:color="auto" w:fill="auto"/>
            <w:hideMark/>
          </w:tcPr>
          <w:p w14:paraId="526736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5C9E86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9028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603149" w14:textId="1353D8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5B9BA54F" w14:textId="77777777" w:rsidTr="00E92AE6">
        <w:trPr>
          <w:trHeight w:val="454"/>
        </w:trPr>
        <w:tc>
          <w:tcPr>
            <w:tcW w:w="562" w:type="dxa"/>
            <w:shd w:val="clear" w:color="auto" w:fill="auto"/>
            <w:hideMark/>
          </w:tcPr>
          <w:p w14:paraId="5EB932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464</w:t>
            </w:r>
          </w:p>
        </w:tc>
        <w:tc>
          <w:tcPr>
            <w:tcW w:w="1021" w:type="dxa"/>
          </w:tcPr>
          <w:p w14:paraId="6404EF3C" w14:textId="02B1770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728F35AB" w14:textId="44B66A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B0AC466" w14:textId="3C5C2F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 Działania 2aPGW KPRWP – raport</w:t>
            </w:r>
            <w:r w:rsidRPr="005E78BB">
              <w:rPr>
                <w:rFonts w:ascii="Calibri" w:eastAsia="Times New Roman" w:hAnsi="Calibri" w:cs="Calibri"/>
                <w:color w:val="000000"/>
                <w:sz w:val="18"/>
                <w:szCs w:val="18"/>
                <w:lang w:eastAsia="pl-PL"/>
              </w:rPr>
              <w:br/>
              <w:t>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w:t>
            </w:r>
            <w:r w:rsidRPr="005E78BB">
              <w:rPr>
                <w:rFonts w:ascii="Calibri" w:eastAsia="Times New Roman" w:hAnsi="Calibri" w:cs="Calibri"/>
                <w:color w:val="000000"/>
                <w:sz w:val="18"/>
                <w:szCs w:val="18"/>
                <w:lang w:eastAsia="pl-PL"/>
              </w:rPr>
              <w:br/>
              <w:t xml:space="preserve"> 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w:t>
            </w:r>
            <w:r w:rsidRPr="005E78BB">
              <w:rPr>
                <w:rFonts w:ascii="Calibri" w:eastAsia="Times New Roman" w:hAnsi="Calibri" w:cs="Calibri"/>
                <w:color w:val="000000"/>
                <w:sz w:val="18"/>
                <w:szCs w:val="18"/>
                <w:lang w:eastAsia="pl-PL"/>
              </w:rPr>
              <w:br/>
              <w:t xml:space="preserve">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w:t>
            </w:r>
            <w:r w:rsidRPr="005E78BB">
              <w:rPr>
                <w:rFonts w:ascii="Calibri" w:eastAsia="Times New Roman" w:hAnsi="Calibri" w:cs="Calibri"/>
                <w:color w:val="000000"/>
                <w:sz w:val="18"/>
                <w:szCs w:val="18"/>
                <w:lang w:eastAsia="pl-PL"/>
              </w:rPr>
              <w:br/>
              <w:t xml:space="preserve">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w:t>
            </w:r>
            <w:r w:rsidRPr="005E78BB">
              <w:rPr>
                <w:rFonts w:ascii="Calibri" w:eastAsia="Times New Roman" w:hAnsi="Calibri" w:cs="Calibri"/>
                <w:color w:val="000000"/>
                <w:sz w:val="18"/>
                <w:szCs w:val="18"/>
                <w:lang w:eastAsia="pl-PL"/>
              </w:rPr>
              <w:br/>
              <w:t xml:space="preserve"> wdrożono w IIaPGW jedynie częściowo. Ponadto, w wyniku</w:t>
            </w:r>
            <w:r w:rsidRPr="005E78BB">
              <w:rPr>
                <w:rFonts w:ascii="Calibri" w:eastAsia="Times New Roman" w:hAnsi="Calibri" w:cs="Calibri"/>
                <w:color w:val="000000"/>
                <w:sz w:val="18"/>
                <w:szCs w:val="18"/>
                <w:lang w:eastAsia="pl-PL"/>
              </w:rPr>
              <w:br/>
              <w:t xml:space="preserve"> planowanych działao w ramach IIaPGW (inwestycje uznane za</w:t>
            </w:r>
            <w:r w:rsidRPr="005E78BB">
              <w:rPr>
                <w:rFonts w:ascii="Calibri" w:eastAsia="Times New Roman" w:hAnsi="Calibri" w:cs="Calibri"/>
                <w:color w:val="000000"/>
                <w:sz w:val="18"/>
                <w:szCs w:val="18"/>
                <w:lang w:eastAsia="pl-PL"/>
              </w:rPr>
              <w:br/>
              <w:t xml:space="preserve"> spełniające przesłanki art. 4.7 RDW), PPSS i aPZRP, dodatkowa presja</w:t>
            </w:r>
            <w:r w:rsidRPr="005E78BB">
              <w:rPr>
                <w:rFonts w:ascii="Calibri" w:eastAsia="Times New Roman" w:hAnsi="Calibri" w:cs="Calibri"/>
                <w:color w:val="000000"/>
                <w:sz w:val="18"/>
                <w:szCs w:val="18"/>
                <w:lang w:eastAsia="pl-PL"/>
              </w:rPr>
              <w:br/>
              <w:t xml:space="preserve">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w:t>
            </w:r>
            <w:r w:rsidRPr="005E78BB">
              <w:rPr>
                <w:rFonts w:ascii="Calibri" w:eastAsia="Times New Roman" w:hAnsi="Calibri" w:cs="Calibri"/>
                <w:color w:val="000000"/>
                <w:sz w:val="18"/>
                <w:szCs w:val="18"/>
                <w:lang w:eastAsia="pl-PL"/>
              </w:rPr>
              <w:br/>
              <w:t xml:space="preserve"> utrzymaniowych. Taki stan rzeczy wymaga nie tylko pełnego wdrożenia</w:t>
            </w:r>
            <w:r w:rsidRPr="005E78BB">
              <w:rPr>
                <w:rFonts w:ascii="Calibri" w:eastAsia="Times New Roman" w:hAnsi="Calibri" w:cs="Calibri"/>
                <w:color w:val="000000"/>
                <w:sz w:val="18"/>
                <w:szCs w:val="18"/>
                <w:lang w:eastAsia="pl-PL"/>
              </w:rPr>
              <w:br/>
              <w:t xml:space="preserve"> KPRWP, ale i jego uzupełnienia.</w:t>
            </w:r>
            <w:r w:rsidRPr="005E78BB">
              <w:rPr>
                <w:rFonts w:ascii="Calibri" w:eastAsia="Times New Roman" w:hAnsi="Calibri" w:cs="Calibri"/>
                <w:color w:val="000000"/>
                <w:sz w:val="18"/>
                <w:szCs w:val="18"/>
                <w:lang w:eastAsia="pl-PL"/>
              </w:rPr>
              <w:br/>
              <w:t xml:space="preserve"> Z powyższego wynika, że KPRWP został potraktowany jako „zestaw</w:t>
            </w:r>
            <w:r w:rsidRPr="005E78BB">
              <w:rPr>
                <w:rFonts w:ascii="Calibri" w:eastAsia="Times New Roman" w:hAnsi="Calibri" w:cs="Calibri"/>
                <w:color w:val="000000"/>
                <w:sz w:val="18"/>
                <w:szCs w:val="18"/>
                <w:lang w:eastAsia="pl-PL"/>
              </w:rPr>
              <w:br/>
              <w:t xml:space="preserve"> działań zalecanych”, a nie podstawa do likwidacji znaczących presji. Jest</w:t>
            </w:r>
            <w:r w:rsidRPr="005E78BB">
              <w:rPr>
                <w:rFonts w:ascii="Calibri" w:eastAsia="Times New Roman" w:hAnsi="Calibri" w:cs="Calibri"/>
                <w:color w:val="000000"/>
                <w:sz w:val="18"/>
                <w:szCs w:val="18"/>
                <w:lang w:eastAsia="pl-PL"/>
              </w:rPr>
              <w:br/>
              <w:t xml:space="preserve"> to niedopuszczalne, szczególnie, że jest to dokument późniejszy,</w:t>
            </w:r>
            <w:r w:rsidRPr="005E78BB">
              <w:rPr>
                <w:rFonts w:ascii="Calibri" w:eastAsia="Times New Roman" w:hAnsi="Calibri" w:cs="Calibri"/>
                <w:color w:val="000000"/>
                <w:sz w:val="18"/>
                <w:szCs w:val="18"/>
                <w:lang w:eastAsia="pl-PL"/>
              </w:rPr>
              <w:br/>
              <w:t xml:space="preserve"> Przegląd i weryfikacja metodyk wyznaczania silnie zmienionych i sztucznych części wód</w:t>
            </w:r>
            <w:r w:rsidRPr="005E78BB">
              <w:rPr>
                <w:rFonts w:ascii="Calibri" w:eastAsia="Times New Roman" w:hAnsi="Calibri" w:cs="Calibri"/>
                <w:color w:val="000000"/>
                <w:sz w:val="18"/>
                <w:szCs w:val="18"/>
                <w:lang w:eastAsia="pl-PL"/>
              </w:rPr>
              <w:br/>
              <w:t xml:space="preserve">powierzchniowych wraz ze wstępnym i ostatecznym wyznaczeniem (2019)”; w którym określono katalog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 https://hektarydlanatury.pl/downloads/Raport_dla_WWF_zalaczniki.pdf</w:t>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3377" w:type="dxa"/>
            <w:shd w:val="clear" w:color="auto" w:fill="auto"/>
            <w:hideMark/>
          </w:tcPr>
          <w:p w14:paraId="671D87BF" w14:textId="59B6CD1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72ED8C9D" w14:textId="29BA5DB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1E3868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50484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954F72F" w14:textId="10D2F46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32B3B52E" w14:textId="77777777" w:rsidTr="00E92AE6">
        <w:trPr>
          <w:trHeight w:val="454"/>
        </w:trPr>
        <w:tc>
          <w:tcPr>
            <w:tcW w:w="562" w:type="dxa"/>
            <w:shd w:val="clear" w:color="auto" w:fill="auto"/>
            <w:hideMark/>
          </w:tcPr>
          <w:p w14:paraId="7D219C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465</w:t>
            </w:r>
          </w:p>
        </w:tc>
        <w:tc>
          <w:tcPr>
            <w:tcW w:w="1021" w:type="dxa"/>
          </w:tcPr>
          <w:p w14:paraId="2E3416AC" w14:textId="6D300D3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687AB9D8" w14:textId="6C5DD81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738752D" w14:textId="4963224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w:t>
            </w:r>
            <w:r w:rsidRPr="005E78BB">
              <w:rPr>
                <w:rFonts w:ascii="Calibri" w:eastAsia="Times New Roman" w:hAnsi="Calibri" w:cs="Calibri"/>
                <w:color w:val="000000"/>
                <w:sz w:val="18"/>
                <w:szCs w:val="18"/>
                <w:lang w:eastAsia="pl-PL"/>
              </w:rPr>
              <w:br w:type="page"/>
              <w:t>Art. 4.4. i 4.5. RDW</w:t>
            </w:r>
            <w:r w:rsidRPr="005E78BB">
              <w:rPr>
                <w:rFonts w:ascii="Calibri" w:eastAsia="Times New Roman" w:hAnsi="Calibri" w:cs="Calibri"/>
                <w:color w:val="000000"/>
                <w:sz w:val="18"/>
                <w:szCs w:val="18"/>
                <w:lang w:eastAsia="pl-PL"/>
              </w:rPr>
              <w:br w:type="page"/>
              <w:t xml:space="preserve">W stosunku do aPGW (2016-2021) w IIaPGW znacznie zwiększona została ilośd „przyznanych” odstępstw z art. 4.5 RDW (złagodzenie celów środowiskowych).)aPGW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5BF413CA" w14:textId="096DAB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których nie wdrożono lub nie zaplanowano możliwych działań naprawczych. </w:t>
            </w:r>
          </w:p>
        </w:tc>
        <w:tc>
          <w:tcPr>
            <w:tcW w:w="3401" w:type="dxa"/>
            <w:shd w:val="clear" w:color="auto" w:fill="auto"/>
            <w:hideMark/>
          </w:tcPr>
          <w:p w14:paraId="3DA821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616FB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B8AA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9829C51" w14:textId="6867FF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p>
        </w:tc>
      </w:tr>
      <w:tr w:rsidR="0085319C" w:rsidRPr="005E78BB" w14:paraId="38101184" w14:textId="77777777" w:rsidTr="00E92AE6">
        <w:trPr>
          <w:trHeight w:val="454"/>
        </w:trPr>
        <w:tc>
          <w:tcPr>
            <w:tcW w:w="562" w:type="dxa"/>
            <w:shd w:val="clear" w:color="auto" w:fill="auto"/>
            <w:hideMark/>
          </w:tcPr>
          <w:p w14:paraId="333A72D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466</w:t>
            </w:r>
          </w:p>
        </w:tc>
        <w:tc>
          <w:tcPr>
            <w:tcW w:w="1021" w:type="dxa"/>
          </w:tcPr>
          <w:p w14:paraId="5627A8CD" w14:textId="6778411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6F5E7A2A" w14:textId="18AC77E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6819EE3" w14:textId="7945C66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w:t>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byd nieodpowiednie.</w:t>
            </w:r>
          </w:p>
        </w:tc>
        <w:tc>
          <w:tcPr>
            <w:tcW w:w="3377" w:type="dxa"/>
            <w:shd w:val="clear" w:color="auto" w:fill="auto"/>
            <w:hideMark/>
          </w:tcPr>
          <w:p w14:paraId="05B927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Poprawić opis odstępstw tak, aby było możliwe sprawdzenie czy jego ustanowienie było właściwe.</w:t>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2B22E830" w14:textId="05FF700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w:t>
            </w:r>
          </w:p>
        </w:tc>
        <w:tc>
          <w:tcPr>
            <w:tcW w:w="1918" w:type="dxa"/>
            <w:shd w:val="clear" w:color="auto" w:fill="auto"/>
            <w:hideMark/>
          </w:tcPr>
          <w:p w14:paraId="753246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4C8F2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C0A0935" w14:textId="1FD5B33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399047CC" w14:textId="77777777" w:rsidTr="00E92AE6">
        <w:trPr>
          <w:trHeight w:val="454"/>
        </w:trPr>
        <w:tc>
          <w:tcPr>
            <w:tcW w:w="562" w:type="dxa"/>
            <w:shd w:val="clear" w:color="auto" w:fill="auto"/>
            <w:hideMark/>
          </w:tcPr>
          <w:p w14:paraId="5B7CD7E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467</w:t>
            </w:r>
          </w:p>
        </w:tc>
        <w:tc>
          <w:tcPr>
            <w:tcW w:w="1021" w:type="dxa"/>
          </w:tcPr>
          <w:p w14:paraId="37F44784" w14:textId="0B64EF3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D823FED" w14:textId="271B4C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8DB16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16, Zał. 6</w:t>
            </w:r>
            <w:r w:rsidRPr="005E78BB">
              <w:rPr>
                <w:rFonts w:ascii="Calibri" w:eastAsia="Times New Roman" w:hAnsi="Calibri" w:cs="Calibri"/>
                <w:color w:val="000000"/>
                <w:sz w:val="18"/>
                <w:szCs w:val="18"/>
                <w:lang w:eastAsia="pl-PL"/>
              </w:rPr>
              <w:br/>
              <w:t>W projekcie IIaPGW opublikowano listę przedsięwzięd, która zgodnie z art. 436 PW, powinna spełniad w sposób obiektywny kryteria art. 68 PW, czyli spełniad warunki art. 4.7 RDW do udzielenia derogacji.</w:t>
            </w:r>
            <w:r w:rsidRPr="005E78BB">
              <w:rPr>
                <w:rFonts w:ascii="Calibri" w:eastAsia="Times New Roman" w:hAnsi="Calibri" w:cs="Calibri"/>
                <w:color w:val="000000"/>
                <w:sz w:val="18"/>
                <w:szCs w:val="18"/>
                <w:lang w:eastAsia="pl-PL"/>
              </w:rPr>
              <w:br/>
              <w:t>Spośród 272 przedsięwzięd rzekomo spełniających ww. kryteria, takie podejście zastosowano jedynie do 5 nowych przedsięwzięd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przedsięwzięd - 267 - została przepisanych z poprzedniego aPGW, tylko na podstawie deklaracji inwestorów chęci kontynuacji ich realizacji. Takie odmienne podejście do „starych” przedsięwzięd jest niedopuszczalne. Zmiana w trybie ujmowania w IIaPGW tego typu przedsięwzięd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zapewnid, aby stosowanie wyłączeo na mocy art. 4 ust. 7 opierało się na dogłębnej ocenie wszystkich etapów wymaganych zgodnie z RDW, w szczególności na ocenie, czy realizacja projektu stanowi nadrzędny interes publiczny i czy korzyści dla społeczeostwa przeważają nad degradacją środowiska, przy uwzględnieniu braku realnych rozwiązao alternatywnych stanowiących korzystniejszą opcję środowiskową. Ponadto projekty te mogą byd realizowane jedynie wówczas, gdy zostaną zastosowane wszystkie możliwe środki w celu złagodzenia negatywnego wpływu na stan/potencjał jednolitych części wód.</w:t>
            </w:r>
            <w:r w:rsidRPr="005E78BB">
              <w:rPr>
                <w:rFonts w:ascii="Calibri" w:eastAsia="Times New Roman" w:hAnsi="Calibri" w:cs="Calibri"/>
                <w:color w:val="000000"/>
                <w:sz w:val="18"/>
                <w:szCs w:val="18"/>
                <w:lang w:eastAsia="pl-PL"/>
              </w:rPr>
              <w:br/>
              <w:t>Spośród 267 „starych” przedsięwzięd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w:t>
            </w:r>
            <w:r w:rsidRPr="005E78BB">
              <w:rPr>
                <w:rFonts w:ascii="Calibri" w:eastAsia="Times New Roman" w:hAnsi="Calibri" w:cs="Calibri"/>
                <w:color w:val="000000"/>
                <w:sz w:val="18"/>
                <w:szCs w:val="18"/>
                <w:lang w:eastAsia="pl-PL"/>
              </w:rPr>
              <w:br/>
              <w:t>rzeki Czarna Nida wraz z zabezpieczeniem przeciwpowodziowym terenów zabudowanych na odcinku od Morawicy do Napękowa, gmina Morawica, Daleszyce, Górno i Bieliny.” – Wody Polskie zaniechały tu działao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zgłoszeo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bocheoski,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przedsięwzięd, aż 10 posiada dśu starszą niż 8 lat, co jest obecnie granicą ważności dokumentu, nie można tu mówid też o jakiejkolwiek dogłębnej i aktualnej ocenie wpływu na cele środowiskowe i analizie spełniania kryteriów derogacyjnych. Najstarsza z nich ukooczyła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przedsięwzięd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w:t>
            </w:r>
            <w:r w:rsidRPr="005E78BB">
              <w:rPr>
                <w:rFonts w:ascii="Calibri" w:eastAsia="Times New Roman" w:hAnsi="Calibri" w:cs="Calibri"/>
                <w:color w:val="000000"/>
                <w:sz w:val="18"/>
                <w:szCs w:val="18"/>
                <w:lang w:eastAsia="pl-PL"/>
              </w:rPr>
              <w:br/>
              <w:t>26 listopada 2020 r. uchylił dśu wydaną przez RDOŚ w Kielcach</w:t>
            </w:r>
            <w:r w:rsidRPr="005E78BB">
              <w:rPr>
                <w:rFonts w:ascii="Calibri" w:eastAsia="Times New Roman" w:hAnsi="Calibri" w:cs="Calibri"/>
                <w:color w:val="000000"/>
                <w:sz w:val="18"/>
                <w:szCs w:val="18"/>
                <w:lang w:eastAsia="pl-PL"/>
              </w:rPr>
              <w:br/>
              <w:t>–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w:t>
            </w:r>
            <w:r w:rsidRPr="005E78BB">
              <w:rPr>
                <w:rFonts w:ascii="Calibri" w:eastAsia="Times New Roman" w:hAnsi="Calibri" w:cs="Calibri"/>
                <w:color w:val="000000"/>
                <w:sz w:val="18"/>
                <w:szCs w:val="18"/>
                <w:lang w:eastAsia="pl-PL"/>
              </w:rPr>
              <w:br/>
              <w:t>od Włocławka do jej ujścia do Zatoki - Stopieo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w:t>
            </w:r>
            <w:r w:rsidRPr="005E78BB">
              <w:rPr>
                <w:rFonts w:ascii="Calibri" w:eastAsia="Times New Roman" w:hAnsi="Calibri" w:cs="Calibri"/>
                <w:color w:val="000000"/>
                <w:sz w:val="18"/>
                <w:szCs w:val="18"/>
                <w:lang w:eastAsia="pl-PL"/>
              </w:rPr>
              <w:br/>
              <w:t>ekologiczne uznanych za niespełniających warunków derogacji, a dla 5 derogacja jest wątpliwa. Uwagi te dotyczyły ostatecznej wersji aPGW, a opisy derogacji dla tych działań praktycznie się nie zmieniły. Dla pięciu ostatnich przedsięwzięć uwag nie sporządzono.</w:t>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Gdaoską"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77F372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usunąd z listy przedsięwzięd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przedsięwzięd ze „starej” listy aPGW należy ponownie przeanalizowad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Powinno się uaktualnid stan zaawansowania inwestycji – obecnie w IIaPGW status planowanych mają również te zaczęte, a nawet skończone.</w:t>
            </w:r>
          </w:p>
        </w:tc>
        <w:tc>
          <w:tcPr>
            <w:tcW w:w="3401" w:type="dxa"/>
            <w:shd w:val="clear" w:color="auto" w:fill="auto"/>
            <w:hideMark/>
          </w:tcPr>
          <w:p w14:paraId="517A5D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5E62BC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CF631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DC9D6D" w14:textId="091E66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B1A60E1" w14:textId="77777777" w:rsidTr="00E92AE6">
        <w:trPr>
          <w:trHeight w:val="454"/>
        </w:trPr>
        <w:tc>
          <w:tcPr>
            <w:tcW w:w="562" w:type="dxa"/>
            <w:shd w:val="clear" w:color="auto" w:fill="auto"/>
            <w:hideMark/>
          </w:tcPr>
          <w:p w14:paraId="6F1F37D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468</w:t>
            </w:r>
          </w:p>
        </w:tc>
        <w:tc>
          <w:tcPr>
            <w:tcW w:w="1021" w:type="dxa"/>
          </w:tcPr>
          <w:p w14:paraId="0E5ED6B5" w14:textId="3A3AA44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0A820F82" w14:textId="0341DC0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katalog działań</w:t>
            </w:r>
          </w:p>
        </w:tc>
        <w:tc>
          <w:tcPr>
            <w:tcW w:w="5663" w:type="dxa"/>
            <w:shd w:val="clear" w:color="auto" w:fill="auto"/>
            <w:hideMark/>
          </w:tcPr>
          <w:p w14:paraId="3A99A885" w14:textId="0F237AE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Należy w katalogu działań</w:t>
            </w:r>
            <w:r w:rsidRPr="005E78BB">
              <w:rPr>
                <w:rFonts w:ascii="Calibri" w:eastAsia="Times New Roman" w:hAnsi="Calibri" w:cs="Calibri"/>
                <w:color w:val="000000"/>
                <w:sz w:val="18"/>
                <w:szCs w:val="18"/>
                <w:lang w:eastAsia="pl-PL"/>
              </w:rPr>
              <w:t xml:space="preserve"> IIaPGW</w:t>
            </w:r>
            <w:r>
              <w:rPr>
                <w:rFonts w:ascii="Calibri" w:eastAsia="Times New Roman" w:hAnsi="Calibri" w:cs="Calibri"/>
                <w:color w:val="000000"/>
                <w:sz w:val="18"/>
                <w:szCs w:val="18"/>
                <w:lang w:eastAsia="pl-PL"/>
              </w:rPr>
              <w:t xml:space="preserve"> usunąć</w:t>
            </w:r>
            <w:r w:rsidRPr="005E78BB">
              <w:rPr>
                <w:rFonts w:ascii="Calibri" w:eastAsia="Times New Roman" w:hAnsi="Calibri" w:cs="Calibri"/>
                <w:color w:val="000000"/>
                <w:sz w:val="18"/>
                <w:szCs w:val="18"/>
                <w:lang w:eastAsia="pl-PL"/>
              </w:rPr>
              <w:br/>
              <w:t>działania, które są zgrupowane w pakietach:</w:t>
            </w:r>
            <w:r w:rsidRPr="005E78BB">
              <w:rPr>
                <w:rFonts w:ascii="Calibri" w:eastAsia="Times New Roman" w:hAnsi="Calibri" w:cs="Calibri"/>
                <w:color w:val="000000"/>
                <w:sz w:val="18"/>
                <w:szCs w:val="18"/>
                <w:lang w:eastAsia="pl-PL"/>
              </w:rPr>
              <w:br/>
              <w:t xml:space="preserve"> Ochrona i zwiększanie retencji na obszarach rolniczych.</w:t>
            </w:r>
            <w:r w:rsidRPr="005E78BB">
              <w:rPr>
                <w:rFonts w:ascii="Calibri" w:eastAsia="Times New Roman" w:hAnsi="Calibri" w:cs="Calibri"/>
                <w:color w:val="000000"/>
                <w:sz w:val="18"/>
                <w:szCs w:val="18"/>
                <w:lang w:eastAsia="pl-PL"/>
              </w:rPr>
              <w:br/>
              <w:t xml:space="preserve"> Ochrona i zwiększanie retencji leśnej.</w:t>
            </w:r>
            <w:r w:rsidRPr="005E78BB">
              <w:rPr>
                <w:rFonts w:ascii="Calibri" w:eastAsia="Times New Roman" w:hAnsi="Calibri" w:cs="Calibri"/>
                <w:color w:val="000000"/>
                <w:sz w:val="18"/>
                <w:szCs w:val="18"/>
                <w:lang w:eastAsia="pl-PL"/>
              </w:rPr>
              <w:br/>
              <w:t xml:space="preserve"> Zgodnie z opisem załączników IIaPGW (Zał. 7.2. - 1) działania te</w:t>
            </w:r>
            <w:r w:rsidRPr="005E78BB">
              <w:rPr>
                <w:rFonts w:ascii="Calibri" w:eastAsia="Times New Roman" w:hAnsi="Calibri" w:cs="Calibri"/>
                <w:color w:val="000000"/>
                <w:sz w:val="18"/>
                <w:szCs w:val="18"/>
                <w:lang w:eastAsia="pl-PL"/>
              </w:rPr>
              <w:br/>
              <w:t xml:space="preserve">  RWC_01.07 oraz RWC_01.05. to również realizacja konkretnych</w:t>
            </w:r>
            <w:r w:rsidRPr="005E78BB">
              <w:rPr>
                <w:rFonts w:ascii="Calibri" w:eastAsia="Times New Roman" w:hAnsi="Calibri" w:cs="Calibri"/>
                <w:color w:val="000000"/>
                <w:sz w:val="18"/>
                <w:szCs w:val="18"/>
                <w:lang w:eastAsia="pl-PL"/>
              </w:rPr>
              <w:br/>
              <w:t>RWC_01.07 lub diametralnie zmienid</w:t>
            </w:r>
            <w:r w:rsidRPr="005E78BB">
              <w:rPr>
                <w:rFonts w:ascii="Calibri" w:eastAsia="Times New Roman" w:hAnsi="Calibri" w:cs="Calibri"/>
                <w:color w:val="000000"/>
                <w:sz w:val="18"/>
                <w:szCs w:val="18"/>
                <w:lang w:eastAsia="pl-PL"/>
              </w:rPr>
              <w:br/>
              <w:t xml:space="preserve">  inwestycji do nich przypisanych.</w:t>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Realizacja działao wskazanych w etapie I (działanie RWC_01.06.)</w:t>
            </w:r>
            <w:r w:rsidRPr="005E78BB">
              <w:rPr>
                <w:rFonts w:ascii="Calibri" w:eastAsia="Times New Roman" w:hAnsi="Calibri" w:cs="Calibri"/>
                <w:color w:val="000000"/>
                <w:sz w:val="18"/>
                <w:szCs w:val="18"/>
                <w:lang w:eastAsia="pl-PL"/>
              </w:rPr>
              <w:br/>
              <w:t>polegających na zwiększeniu poziomu retencji wody w zlewni w</w:t>
            </w:r>
            <w:r w:rsidRPr="005E78BB">
              <w:rPr>
                <w:rFonts w:ascii="Calibri" w:eastAsia="Times New Roman" w:hAnsi="Calibri" w:cs="Calibri"/>
                <w:color w:val="000000"/>
                <w:sz w:val="18"/>
                <w:szCs w:val="18"/>
                <w:lang w:eastAsia="pl-PL"/>
              </w:rPr>
              <w:br/>
              <w:t>obszarach rolniczych dla ograniczenia wymywania zanieczyszczeo</w:t>
            </w:r>
            <w:r w:rsidRPr="005E78BB">
              <w:rPr>
                <w:rFonts w:ascii="Calibri" w:eastAsia="Times New Roman" w:hAnsi="Calibri" w:cs="Calibri"/>
                <w:color w:val="000000"/>
                <w:sz w:val="18"/>
                <w:szCs w:val="18"/>
                <w:lang w:eastAsia="pl-PL"/>
              </w:rPr>
              <w:br/>
              <w:t>obszarowych w celu poprawy stany wód i osiągnięcia wyznaczonych</w:t>
            </w:r>
            <w:r w:rsidRPr="005E78BB">
              <w:rPr>
                <w:rFonts w:ascii="Calibri" w:eastAsia="Times New Roman" w:hAnsi="Calibri" w:cs="Calibri"/>
                <w:color w:val="000000"/>
                <w:sz w:val="18"/>
                <w:szCs w:val="18"/>
                <w:lang w:eastAsia="pl-PL"/>
              </w:rPr>
              <w:br/>
              <w:t>celów środowiskowych – dobrego stanu wód. Dodatkowo wzrost</w:t>
            </w:r>
            <w:r w:rsidRPr="005E78BB">
              <w:rPr>
                <w:rFonts w:ascii="Calibri" w:eastAsia="Times New Roman" w:hAnsi="Calibri" w:cs="Calibri"/>
                <w:color w:val="000000"/>
                <w:sz w:val="18"/>
                <w:szCs w:val="18"/>
                <w:lang w:eastAsia="pl-PL"/>
              </w:rPr>
              <w:br/>
              <w:t xml:space="preserve">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ramach programu PPSS.</w:t>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Realizacja działao wskazanych w etapie I (działanie RWC_01.04.)</w:t>
            </w:r>
            <w:r w:rsidRPr="005E78BB">
              <w:rPr>
                <w:rFonts w:ascii="Calibri" w:eastAsia="Times New Roman" w:hAnsi="Calibri" w:cs="Calibri"/>
                <w:color w:val="000000"/>
                <w:sz w:val="18"/>
                <w:szCs w:val="18"/>
                <w:lang w:eastAsia="pl-PL"/>
              </w:rPr>
              <w:br/>
              <w:t>polegających na zwiększeniu poziomu retencji wody w zlewni w</w:t>
            </w:r>
            <w:r w:rsidRPr="005E78BB">
              <w:rPr>
                <w:rFonts w:ascii="Calibri" w:eastAsia="Times New Roman" w:hAnsi="Calibri" w:cs="Calibri"/>
                <w:color w:val="000000"/>
                <w:sz w:val="18"/>
                <w:szCs w:val="18"/>
                <w:lang w:eastAsia="pl-PL"/>
              </w:rPr>
              <w:br/>
              <w:t>obszarach leśnych dla ograniczenia wymywania zanieczyszczeo</w:t>
            </w:r>
            <w:r w:rsidRPr="005E78BB">
              <w:rPr>
                <w:rFonts w:ascii="Calibri" w:eastAsia="Times New Roman" w:hAnsi="Calibri" w:cs="Calibri"/>
                <w:color w:val="000000"/>
                <w:sz w:val="18"/>
                <w:szCs w:val="18"/>
                <w:lang w:eastAsia="pl-PL"/>
              </w:rPr>
              <w:br/>
              <w:t>obszarowych w celu poprawy stany wód i osiągnięcia wyznaczonych</w:t>
            </w:r>
            <w:r w:rsidRPr="005E78BB">
              <w:rPr>
                <w:rFonts w:ascii="Calibri" w:eastAsia="Times New Roman" w:hAnsi="Calibri" w:cs="Calibri"/>
                <w:color w:val="000000"/>
                <w:sz w:val="18"/>
                <w:szCs w:val="18"/>
                <w:lang w:eastAsia="pl-PL"/>
              </w:rPr>
              <w:br/>
              <w:t xml:space="preserve">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 xml:space="preserve"> ramach programu PPSS.</w:t>
            </w:r>
            <w:r w:rsidRPr="005E78BB">
              <w:rPr>
                <w:rFonts w:ascii="Calibri" w:eastAsia="Times New Roman" w:hAnsi="Calibri" w:cs="Calibri"/>
                <w:color w:val="000000"/>
                <w:sz w:val="18"/>
                <w:szCs w:val="18"/>
                <w:lang w:eastAsia="pl-PL"/>
              </w:rPr>
              <w:br/>
              <w:t xml:space="preserve"> Zastosowanie RWC_01.07 (rolnicze) to Budowa oraz przebudowa</w:t>
            </w:r>
            <w:r w:rsidRPr="005E78BB">
              <w:rPr>
                <w:rFonts w:ascii="Calibri" w:eastAsia="Times New Roman" w:hAnsi="Calibri" w:cs="Calibri"/>
                <w:color w:val="000000"/>
                <w:sz w:val="18"/>
                <w:szCs w:val="18"/>
                <w:lang w:eastAsia="pl-PL"/>
              </w:rPr>
              <w:br/>
              <w:t xml:space="preserve"> urządzeo melioracji wodnych dla zwiększania retencji glebowej (w</w:t>
            </w:r>
            <w:r w:rsidRPr="005E78BB">
              <w:rPr>
                <w:rFonts w:ascii="Calibri" w:eastAsia="Times New Roman" w:hAnsi="Calibri" w:cs="Calibri"/>
                <w:color w:val="000000"/>
                <w:sz w:val="18"/>
                <w:szCs w:val="18"/>
                <w:lang w:eastAsia="pl-PL"/>
              </w:rPr>
              <w:br/>
              <w:t xml:space="preserve"> zakresie budowy/przebudowy) oraz inne metody zwiększenia ilości i</w:t>
            </w:r>
            <w:r w:rsidRPr="005E78BB">
              <w:rPr>
                <w:rFonts w:ascii="Calibri" w:eastAsia="Times New Roman" w:hAnsi="Calibri" w:cs="Calibri"/>
                <w:color w:val="000000"/>
                <w:sz w:val="18"/>
                <w:szCs w:val="18"/>
                <w:lang w:eastAsia="pl-PL"/>
              </w:rPr>
              <w:br/>
              <w:t xml:space="preserve"> czasu retencji wód na gruntach rolnych.</w:t>
            </w:r>
            <w:r w:rsidRPr="005E78BB">
              <w:rPr>
                <w:rFonts w:ascii="Calibri" w:eastAsia="Times New Roman" w:hAnsi="Calibri" w:cs="Calibri"/>
                <w:color w:val="000000"/>
                <w:sz w:val="18"/>
                <w:szCs w:val="18"/>
                <w:lang w:eastAsia="pl-PL"/>
              </w:rPr>
              <w:br/>
              <w:t xml:space="preserve"> A implementacja działao leśnych RWC_01.05 ma polegad na realizacji</w:t>
            </w:r>
            <w:r w:rsidRPr="005E78BB">
              <w:rPr>
                <w:rFonts w:ascii="Calibri" w:eastAsia="Times New Roman" w:hAnsi="Calibri" w:cs="Calibri"/>
                <w:color w:val="000000"/>
                <w:sz w:val="18"/>
                <w:szCs w:val="18"/>
                <w:lang w:eastAsia="pl-PL"/>
              </w:rPr>
              <w:br/>
              <w:t xml:space="preserve"> przedsięwzięd w ramach tzw. małej retencji górskiej i nizinnej.</w:t>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Paostwowe działania to: zabudowa przeciwerozyjna dróg, szlaków zrywkowych oraz zabezpieczenie obiektów infrastruktury leśnej przed skutkami nadmiernej erozji wodnej związanej z gwałtownymi opadami i spływami wód (m.in. wodospusty, płotki drewniane, kaszyce, narzut kamienny). Są to zwykłe regulacje rzek i potoków płynących np. w sąsiedztwie dróg leśnych wybudowanych wzdłuż cieków.</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3377" w:type="dxa"/>
            <w:shd w:val="clear" w:color="auto" w:fill="auto"/>
            <w:hideMark/>
          </w:tcPr>
          <w:p w14:paraId="33E2DC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Wykreślić działania RWC_01.05 i KPRWP .</w:t>
            </w:r>
          </w:p>
        </w:tc>
        <w:tc>
          <w:tcPr>
            <w:tcW w:w="3401" w:type="dxa"/>
            <w:shd w:val="clear" w:color="auto" w:fill="auto"/>
            <w:hideMark/>
          </w:tcPr>
          <w:p w14:paraId="212A0B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w:t>
            </w:r>
          </w:p>
        </w:tc>
        <w:tc>
          <w:tcPr>
            <w:tcW w:w="1918" w:type="dxa"/>
            <w:shd w:val="clear" w:color="auto" w:fill="auto"/>
            <w:hideMark/>
          </w:tcPr>
          <w:p w14:paraId="64FE86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37D4D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908A1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23B937C" w14:textId="77777777" w:rsidTr="00E92AE6">
        <w:trPr>
          <w:trHeight w:val="454"/>
        </w:trPr>
        <w:tc>
          <w:tcPr>
            <w:tcW w:w="562" w:type="dxa"/>
            <w:shd w:val="clear" w:color="auto" w:fill="auto"/>
            <w:hideMark/>
          </w:tcPr>
          <w:p w14:paraId="6E0375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469</w:t>
            </w:r>
          </w:p>
        </w:tc>
        <w:tc>
          <w:tcPr>
            <w:tcW w:w="1021" w:type="dxa"/>
          </w:tcPr>
          <w:p w14:paraId="56C987D2" w14:textId="76BCAB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005B8C7" w14:textId="3540C83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 xml:space="preserve">SPOŁECZNE / </w:t>
            </w:r>
            <w:r w:rsidRPr="00BC5088">
              <w:rPr>
                <w:rFonts w:ascii="Calibri" w:eastAsia="Times New Roman" w:hAnsi="Calibri" w:cs="Calibri"/>
                <w:color w:val="000000"/>
                <w:sz w:val="18"/>
                <w:szCs w:val="18"/>
                <w:lang w:eastAsia="pl-PL"/>
              </w:rPr>
              <w:t>Działania udrożnienia barier migracyjnych</w:t>
            </w:r>
          </w:p>
        </w:tc>
        <w:tc>
          <w:tcPr>
            <w:tcW w:w="5663" w:type="dxa"/>
            <w:shd w:val="clear" w:color="auto" w:fill="auto"/>
            <w:hideMark/>
          </w:tcPr>
          <w:p w14:paraId="468E66FC" w14:textId="5FB507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Należy zmienid zakres działao przypisanych budowlom piętrzącym, aby umożliwid realizację celów środowiskowych RDW.</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ciągłośd biologiczną i spełnienie celów środowiskowych. Realizacja działao zgodnie z przeprowadzoną analizą.</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Analiza możliwości likwidacji budowli poprzecznych/przebudowa budowli poprzecznych</w:t>
            </w:r>
            <w:r w:rsidRPr="005E78BB">
              <w:rPr>
                <w:rFonts w:ascii="Calibri" w:eastAsia="Times New Roman" w:hAnsi="Calibri" w:cs="Calibri"/>
                <w:color w:val="000000"/>
                <w:sz w:val="18"/>
                <w:szCs w:val="18"/>
                <w:lang w:eastAsia="pl-PL"/>
              </w:rPr>
              <w:br w:type="page"/>
              <w:t>należy zmienid zapis z „Analiza możliwości...” na „Analiza sposobu...” – pozostawienie działania na poziomie badania możliwości nie gwarantuje podjęcia kroków na rzecz przedsięwzięd sprzyjających osiąganiu celów środowiskowych.</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należy dokonad zmiany na</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zapewnid likwidację piętrzeo (barier) wszędzie tam, gdzie okaże się to w wyniku analizy możliwe.</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„Monitoring skuteczności istniejących urządzeo do migracji ryb.” i/lub „Kontrola funkcjonowania urządzeo do migracji ryb.”</w:t>
            </w:r>
            <w:r w:rsidRPr="005E78BB">
              <w:rPr>
                <w:rFonts w:ascii="Calibri" w:eastAsia="Times New Roman" w:hAnsi="Calibri" w:cs="Calibri"/>
                <w:color w:val="000000"/>
                <w:sz w:val="18"/>
                <w:szCs w:val="18"/>
                <w:lang w:eastAsia="pl-PL"/>
              </w:rPr>
              <w:br w:type="page"/>
              <w:t>należy dodad kolejne działanie (Działanie I lub Działanie II): „Przebudowa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6011B0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1A67E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0B4081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B099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60D95E0" w14:textId="4B8188A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Prawo wodne. Dalsze postępowania, które wynikają z kontroli są uregulowane w art. 341 ustawy Prawo wodne.</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4944BBFE" w14:textId="77777777" w:rsidTr="00E92AE6">
        <w:trPr>
          <w:trHeight w:val="454"/>
        </w:trPr>
        <w:tc>
          <w:tcPr>
            <w:tcW w:w="562" w:type="dxa"/>
            <w:shd w:val="clear" w:color="auto" w:fill="auto"/>
            <w:hideMark/>
          </w:tcPr>
          <w:p w14:paraId="1295BF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470</w:t>
            </w:r>
          </w:p>
        </w:tc>
        <w:tc>
          <w:tcPr>
            <w:tcW w:w="1021" w:type="dxa"/>
          </w:tcPr>
          <w:p w14:paraId="384B3DF9" w14:textId="3F1AB52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C215458" w14:textId="6BE80B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5AD8365" w14:textId="4A49ED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koocem półrocznych konsultacji publicznych nie pozwala na pełne odniesienie się do jego zapisów. Poniżej przedstawiono podstawowe braki w programie działao udrożnieniowych, mogących mied skutki nie tylko lokalnego nieosiągnięcia celów środowiskowych, ale także - w skali całego dorzecza. Zidentyfikowano m.in. zaniechanie realizacji działao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Zaniechania i braki mogące skutkowad wyginięciem łososia w dorzeczu Wisły ze względu na:</w:t>
            </w:r>
            <w:r w:rsidRPr="005E78BB">
              <w:rPr>
                <w:rFonts w:ascii="Calibri" w:eastAsia="Times New Roman" w:hAnsi="Calibri" w:cs="Calibri"/>
                <w:color w:val="000000"/>
                <w:sz w:val="18"/>
                <w:szCs w:val="18"/>
                <w:lang w:eastAsia="pl-PL"/>
              </w:rPr>
              <w:br/>
              <w:t>1. Brak udrożnienia dwóch barier w Lubiczu na Drwęcy – (działania: „Ocena wpływu...” i „Kontrola...” + „Monitoring...”) zamiast działao udrożnieniowych. Zgodnie z PZO obszaru Natura 2000 "Dolina Drwęcy" PLH280001, oba piętrzenia (jaz "przy młynie" oraz jaz wodociągów są niedrożne dla ryb, w tym dla łososia i wymagają działao inwestycyjnych. Słusznośd takich działao rozumieją Wodociągi Toruoskie, które zamówiły koncepcję udrożnienia piętrzenia.</w:t>
            </w:r>
            <w:r w:rsidRPr="005E78BB">
              <w:rPr>
                <w:rFonts w:ascii="Calibri" w:eastAsia="Times New Roman" w:hAnsi="Calibri" w:cs="Calibri"/>
                <w:color w:val="000000"/>
                <w:sz w:val="18"/>
                <w:szCs w:val="18"/>
                <w:lang w:eastAsia="pl-PL"/>
              </w:rPr>
              <w:br/>
              <w:t xml:space="preserve">2. Brak działao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urządzeo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Stopieo w Kozienicach – istnieje i jest niedrożny dla ryb (co pokazują badania). W IIaPGW nie zaplanowano żadnych działao udrożnieniowych czy kontrolnych. Mimo wątpliwej legalności piętrzenia, jest on fizyczną przegrodą.</w:t>
            </w:r>
            <w:r w:rsidRPr="005E78BB">
              <w:rPr>
                <w:rFonts w:ascii="Calibri" w:eastAsia="Times New Roman" w:hAnsi="Calibri" w:cs="Calibri"/>
                <w:color w:val="000000"/>
                <w:sz w:val="18"/>
                <w:szCs w:val="18"/>
                <w:lang w:eastAsia="pl-PL"/>
              </w:rPr>
              <w:br/>
              <w:t>4. Wisłoka - jeden z 3. obszarów dla ochrony tarlisk łososia w górnej Wiśle – wydano kilkadziesiąt miliardów zł na przebudowę piętrzeo w całym dorzeczu, ale nie wykonano najważniejszego – w Mielcu (pierwsze piętrzenie na rzece), chod jest on wpisany w apWŚK. Obecnie w IIaPGW zapisano tylko kontrolę i monitoring przepławki która nie istnieje.</w:t>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piętrzeo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działao inwestycyjnych), a kilkanaście nich w ogóle pominięto w zestawieniu budowli (górna Nida zwana Białą Nidą; Lubrzanka, Brzeźnica). Brak działao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działao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przedsięwzięd rzekomo spełniających warunki derogacji art.4.7 RDW).</w:t>
            </w:r>
            <w:r w:rsidRPr="005E78BB">
              <w:rPr>
                <w:rFonts w:ascii="Calibri" w:eastAsia="Times New Roman" w:hAnsi="Calibri" w:cs="Calibri"/>
                <w:color w:val="000000"/>
                <w:sz w:val="18"/>
                <w:szCs w:val="18"/>
                <w:lang w:eastAsia="pl-PL"/>
              </w:rPr>
              <w:br/>
              <w:t xml:space="preserve">Pilica – powyżej Zbiornika Sulejów – na kilkadziesiąt piętrzeo znajdujących się na Pilicy i jej dopływach w obszarach Natura 2000, udrożnionych wg zał. nr 4 do erraty IIaPGW ma byd tylko kilkanaście. W przypadku obszaru Natura 2000 Dolina Górnej Pilicy, gdzie przedmiotem ochrony jest m.in. kilka gatunków ryb, na blisko 40 piętrzeo (w tym wysokich jazów MEW) do udrożnienia przewidziano tylko 2, reszcie przypisano tylko działania nieinwestorskie: „Ocena wpływu...”. Brak udrożnieo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Narew – 79 piętrzeo w dorzeczu Narwi ma wpisaną w IIaPGW uwagę „Piętrzenie rozpoczyna się po 20 kwietnia po migracji ryb”, również jazy na samej Narwi na odcinku pomiędzy Biebrzaoskim Parkiem Narodowym i Narwiaoskim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Narwiaoska” znajdują się obiekty niedrożne przez cały rok.</w:t>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Czarna Staszowska – w zestawieniu głównym jest drożność do Zb. Chaocza, ale brak jakichkolwiek działań na konkretnych barierach w zał. 4.</w:t>
            </w:r>
            <w:r w:rsidRPr="005E78BB">
              <w:rPr>
                <w:rFonts w:ascii="Calibri" w:eastAsia="Times New Roman" w:hAnsi="Calibri" w:cs="Calibri"/>
                <w:color w:val="000000"/>
                <w:sz w:val="18"/>
                <w:szCs w:val="18"/>
                <w:lang w:eastAsia="pl-PL"/>
              </w:rPr>
              <w:br/>
              <w:t>Niezgodność z zapisami dla ochrony ryb ważnych gospodarczo: Pasłęka w Braniewie (niesprawna przepławka),</w:t>
            </w:r>
            <w:r w:rsidRPr="005E78BB">
              <w:rPr>
                <w:rFonts w:ascii="Calibri" w:eastAsia="Times New Roman" w:hAnsi="Calibri" w:cs="Calibri"/>
                <w:color w:val="000000"/>
                <w:sz w:val="18"/>
                <w:szCs w:val="18"/>
                <w:lang w:eastAsia="pl-PL"/>
              </w:rPr>
              <w:br/>
              <w:t>Pasłęka w Zb Pierzchały – brak działań na zaporze zbiornika, Omulew (Dębowiec) – uznana za sprawną przepławka z ponad 1 m piętrzeniem z szandorów.</w:t>
            </w:r>
          </w:p>
        </w:tc>
        <w:tc>
          <w:tcPr>
            <w:tcW w:w="3377" w:type="dxa"/>
            <w:shd w:val="clear" w:color="auto" w:fill="auto"/>
            <w:hideMark/>
          </w:tcPr>
          <w:p w14:paraId="2C9681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t>Dokonać ponownej weryfikacji drożności budowli na podstawie faktycznego stanu budowli, a nie tylko ankietyzacji właściciela lub użytkownika budowli.</w:t>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p>
        </w:tc>
        <w:tc>
          <w:tcPr>
            <w:tcW w:w="3401" w:type="dxa"/>
            <w:shd w:val="clear" w:color="auto" w:fill="auto"/>
            <w:hideMark/>
          </w:tcPr>
          <w:p w14:paraId="250038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14882C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71E6D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557EDA5" w14:textId="534D75B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0A6508CF" w14:textId="77777777" w:rsidTr="00E92AE6">
        <w:trPr>
          <w:trHeight w:val="454"/>
        </w:trPr>
        <w:tc>
          <w:tcPr>
            <w:tcW w:w="562" w:type="dxa"/>
            <w:shd w:val="clear" w:color="auto" w:fill="auto"/>
            <w:hideMark/>
          </w:tcPr>
          <w:p w14:paraId="6CECCC3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471</w:t>
            </w:r>
          </w:p>
        </w:tc>
        <w:tc>
          <w:tcPr>
            <w:tcW w:w="1021" w:type="dxa"/>
          </w:tcPr>
          <w:p w14:paraId="31DCEE72" w14:textId="7EA4478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2E69489A" w14:textId="4B012E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812FE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PIĘTRZEO</w:t>
            </w:r>
            <w:r w:rsidRPr="005E78BB">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w:t>
            </w:r>
          </w:p>
        </w:tc>
        <w:tc>
          <w:tcPr>
            <w:tcW w:w="3377" w:type="dxa"/>
            <w:shd w:val="clear" w:color="auto" w:fill="auto"/>
            <w:hideMark/>
          </w:tcPr>
          <w:p w14:paraId="2BA85A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p>
        </w:tc>
        <w:tc>
          <w:tcPr>
            <w:tcW w:w="3401" w:type="dxa"/>
            <w:shd w:val="clear" w:color="auto" w:fill="auto"/>
            <w:hideMark/>
          </w:tcPr>
          <w:p w14:paraId="74ABED59" w14:textId="6E1E28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znajduje.Inne odbudowy/przebudowy też wymagają weryfikacji, bo mogą wykazywać podobne znaczące negatywne oddziaływania.</w:t>
            </w:r>
          </w:p>
        </w:tc>
        <w:tc>
          <w:tcPr>
            <w:tcW w:w="1918" w:type="dxa"/>
            <w:shd w:val="clear" w:color="auto" w:fill="auto"/>
            <w:hideMark/>
          </w:tcPr>
          <w:p w14:paraId="02BD60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2246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C06C2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4EB7D17A" w14:textId="77777777" w:rsidTr="00E92AE6">
        <w:trPr>
          <w:trHeight w:val="454"/>
        </w:trPr>
        <w:tc>
          <w:tcPr>
            <w:tcW w:w="562" w:type="dxa"/>
            <w:shd w:val="clear" w:color="auto" w:fill="auto"/>
            <w:hideMark/>
          </w:tcPr>
          <w:p w14:paraId="610FA5C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472</w:t>
            </w:r>
          </w:p>
        </w:tc>
        <w:tc>
          <w:tcPr>
            <w:tcW w:w="1021" w:type="dxa"/>
          </w:tcPr>
          <w:p w14:paraId="37B4C1C8" w14:textId="7F59B0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21808E46" w14:textId="2944C51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BDED4C4" w14:textId="644C40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ype="page"/>
              <w:t>Bez zmian prawnych oraz rewizji planów inwestycyjnych wynikających z programów sektorowych – PPSS, PZRP i innych, nie ma możliwości osiągnięcia celów IIaPGW i celów RDW.</w:t>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w:t>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3377" w:type="dxa"/>
            <w:shd w:val="clear" w:color="auto" w:fill="auto"/>
            <w:hideMark/>
          </w:tcPr>
          <w:p w14:paraId="0E954C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109286CE" w14:textId="2499DC0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w:t>
            </w:r>
          </w:p>
        </w:tc>
        <w:tc>
          <w:tcPr>
            <w:tcW w:w="1918" w:type="dxa"/>
            <w:shd w:val="clear" w:color="auto" w:fill="auto"/>
            <w:hideMark/>
          </w:tcPr>
          <w:p w14:paraId="604A53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77AD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042D3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4735C7F2" w14:textId="77777777" w:rsidTr="00E92AE6">
        <w:trPr>
          <w:trHeight w:val="454"/>
        </w:trPr>
        <w:tc>
          <w:tcPr>
            <w:tcW w:w="562" w:type="dxa"/>
            <w:shd w:val="clear" w:color="auto" w:fill="auto"/>
            <w:hideMark/>
          </w:tcPr>
          <w:p w14:paraId="7CEC0D5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473</w:t>
            </w:r>
          </w:p>
        </w:tc>
        <w:tc>
          <w:tcPr>
            <w:tcW w:w="1021" w:type="dxa"/>
          </w:tcPr>
          <w:p w14:paraId="022BD95B" w14:textId="2ED16B0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785ACBD6" w14:textId="21D801C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zmiany prawne</w:t>
            </w:r>
          </w:p>
        </w:tc>
        <w:tc>
          <w:tcPr>
            <w:tcW w:w="5663" w:type="dxa"/>
            <w:shd w:val="clear" w:color="auto" w:fill="auto"/>
            <w:hideMark/>
          </w:tcPr>
          <w:p w14:paraId="4E4ACA46" w14:textId="77E4A7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urządzeo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oddziaływać tylko, gdy jedno z działać „łapie się” do oceny) i powinny byd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263ED1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52EE34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175B52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56802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241891C" w14:textId="6A2C3E5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ustawy Prawo wodne,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5E9ECC53" w14:textId="77777777" w:rsidTr="00E92AE6">
        <w:trPr>
          <w:trHeight w:val="454"/>
        </w:trPr>
        <w:tc>
          <w:tcPr>
            <w:tcW w:w="562" w:type="dxa"/>
            <w:shd w:val="clear" w:color="auto" w:fill="auto"/>
            <w:hideMark/>
          </w:tcPr>
          <w:p w14:paraId="7544616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474</w:t>
            </w:r>
          </w:p>
        </w:tc>
        <w:tc>
          <w:tcPr>
            <w:tcW w:w="1021" w:type="dxa"/>
          </w:tcPr>
          <w:p w14:paraId="5971BD6A" w14:textId="330314D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1FEBC020" w14:textId="1F9E231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 xml:space="preserve">SPOŁECZNE </w:t>
            </w:r>
          </w:p>
        </w:tc>
        <w:tc>
          <w:tcPr>
            <w:tcW w:w="5663" w:type="dxa"/>
            <w:shd w:val="clear" w:color="auto" w:fill="auto"/>
            <w:hideMark/>
          </w:tcPr>
          <w:p w14:paraId="32365B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6A61091A" w14:textId="2A8825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27A70E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oddziaływać na obszary Natura 2000 i stan wód”.</w:t>
            </w:r>
          </w:p>
        </w:tc>
        <w:tc>
          <w:tcPr>
            <w:tcW w:w="1918" w:type="dxa"/>
            <w:shd w:val="clear" w:color="auto" w:fill="auto"/>
            <w:hideMark/>
          </w:tcPr>
          <w:p w14:paraId="4EF183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26021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CFC85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posiadaja rangę rozporządzenia, są ogólnodostepne i powszechnie obowiązujące.</w:t>
            </w:r>
          </w:p>
        </w:tc>
      </w:tr>
      <w:tr w:rsidR="0085319C" w:rsidRPr="005E78BB" w14:paraId="14745B09" w14:textId="77777777" w:rsidTr="00E92AE6">
        <w:trPr>
          <w:trHeight w:val="454"/>
        </w:trPr>
        <w:tc>
          <w:tcPr>
            <w:tcW w:w="562" w:type="dxa"/>
            <w:shd w:val="clear" w:color="auto" w:fill="auto"/>
            <w:hideMark/>
          </w:tcPr>
          <w:p w14:paraId="0D11626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475</w:t>
            </w:r>
          </w:p>
        </w:tc>
        <w:tc>
          <w:tcPr>
            <w:tcW w:w="1021" w:type="dxa"/>
          </w:tcPr>
          <w:p w14:paraId="6F120FF3" w14:textId="1843C2F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Przyrodnicze Alauda</w:t>
            </w:r>
          </w:p>
        </w:tc>
        <w:tc>
          <w:tcPr>
            <w:tcW w:w="1630" w:type="dxa"/>
            <w:shd w:val="clear" w:color="auto" w:fill="auto"/>
            <w:hideMark/>
          </w:tcPr>
          <w:p w14:paraId="52184C8D" w14:textId="188C385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93D9F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ocenie postępu działań – co 2 lata</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p>
        </w:tc>
        <w:tc>
          <w:tcPr>
            <w:tcW w:w="3377" w:type="dxa"/>
            <w:shd w:val="clear" w:color="auto" w:fill="auto"/>
            <w:hideMark/>
          </w:tcPr>
          <w:p w14:paraId="1C2C43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3401" w:type="dxa"/>
            <w:shd w:val="clear" w:color="auto" w:fill="auto"/>
            <w:hideMark/>
          </w:tcPr>
          <w:p w14:paraId="691BC7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69C2A6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8758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25365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0557079D" w14:textId="77777777" w:rsidTr="00E92AE6">
        <w:trPr>
          <w:trHeight w:val="454"/>
        </w:trPr>
        <w:tc>
          <w:tcPr>
            <w:tcW w:w="562" w:type="dxa"/>
            <w:shd w:val="clear" w:color="auto" w:fill="auto"/>
            <w:hideMark/>
          </w:tcPr>
          <w:p w14:paraId="4ED536A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476</w:t>
            </w:r>
          </w:p>
        </w:tc>
        <w:tc>
          <w:tcPr>
            <w:tcW w:w="1021" w:type="dxa"/>
          </w:tcPr>
          <w:p w14:paraId="0A01AC9C" w14:textId="7A9B5A6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23E2D7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0757720" w14:textId="4BD6A6A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ype="page"/>
              <w:t xml:space="preserve">W kolejnych uwagach przedstawiono szczegółowe odniesienia do ww. obszarów problemowych.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567D4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3B40BC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3D8265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76E4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227A0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77ABA4A5" w14:textId="77777777" w:rsidTr="00E92AE6">
        <w:trPr>
          <w:trHeight w:val="454"/>
        </w:trPr>
        <w:tc>
          <w:tcPr>
            <w:tcW w:w="562" w:type="dxa"/>
            <w:shd w:val="clear" w:color="auto" w:fill="auto"/>
            <w:hideMark/>
          </w:tcPr>
          <w:p w14:paraId="76CBCA6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477</w:t>
            </w:r>
          </w:p>
        </w:tc>
        <w:tc>
          <w:tcPr>
            <w:tcW w:w="1021" w:type="dxa"/>
          </w:tcPr>
          <w:p w14:paraId="3FADD9BE" w14:textId="34E888C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78423AB2" w14:textId="527EDBF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FD2AC37" w14:textId="6AD61A8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p>
        </w:tc>
        <w:tc>
          <w:tcPr>
            <w:tcW w:w="3377" w:type="dxa"/>
            <w:shd w:val="clear" w:color="auto" w:fill="auto"/>
            <w:hideMark/>
          </w:tcPr>
          <w:p w14:paraId="702573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67D0A89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4ADFC9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64C77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E91BA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1B43082F" w14:textId="77777777" w:rsidTr="00E92AE6">
        <w:trPr>
          <w:trHeight w:val="454"/>
        </w:trPr>
        <w:tc>
          <w:tcPr>
            <w:tcW w:w="562" w:type="dxa"/>
            <w:shd w:val="clear" w:color="auto" w:fill="auto"/>
            <w:hideMark/>
          </w:tcPr>
          <w:p w14:paraId="0ED8555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478</w:t>
            </w:r>
          </w:p>
        </w:tc>
        <w:tc>
          <w:tcPr>
            <w:tcW w:w="1021" w:type="dxa"/>
          </w:tcPr>
          <w:p w14:paraId="58D7F490" w14:textId="57D4D0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1060CE4D" w14:textId="1349877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SPOLECZNE</w:t>
            </w:r>
          </w:p>
        </w:tc>
        <w:tc>
          <w:tcPr>
            <w:tcW w:w="5663" w:type="dxa"/>
            <w:shd w:val="clear" w:color="auto" w:fill="auto"/>
            <w:hideMark/>
          </w:tcPr>
          <w:p w14:paraId="6CD727AD"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chaos</w:t>
            </w:r>
            <w:r w:rsidRPr="005E78BB">
              <w:rPr>
                <w:rFonts w:ascii="Calibri" w:eastAsia="Times New Roman" w:hAnsi="Calibri" w:cs="Calibri"/>
                <w:color w:val="000000"/>
                <w:sz w:val="18"/>
                <w:szCs w:val="18"/>
                <w:lang w:eastAsia="pl-PL"/>
              </w:rPr>
              <w:br/>
            </w:r>
          </w:p>
        </w:tc>
        <w:tc>
          <w:tcPr>
            <w:tcW w:w="3377" w:type="dxa"/>
            <w:shd w:val="clear" w:color="auto" w:fill="auto"/>
            <w:hideMark/>
          </w:tcPr>
          <w:p w14:paraId="151A11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241F67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63D80B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2419A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C5FB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601E5129" w14:textId="77777777" w:rsidTr="00E92AE6">
        <w:trPr>
          <w:trHeight w:val="454"/>
        </w:trPr>
        <w:tc>
          <w:tcPr>
            <w:tcW w:w="562" w:type="dxa"/>
            <w:shd w:val="clear" w:color="auto" w:fill="auto"/>
            <w:hideMark/>
          </w:tcPr>
          <w:p w14:paraId="759DA41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479</w:t>
            </w:r>
          </w:p>
        </w:tc>
        <w:tc>
          <w:tcPr>
            <w:tcW w:w="1021" w:type="dxa"/>
          </w:tcPr>
          <w:p w14:paraId="5116A2C5" w14:textId="1A49E9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5FB1C443" w14:textId="76EEA4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1C32D89" w14:textId="34BFE8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geobaza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7B6A986" w14:textId="5DFEBAE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359261D5" w14:textId="23BE4A3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Działanie Wód Polskich w tym zakresie jest sprzeczne z: </w:t>
            </w:r>
            <w:r w:rsidRPr="005E78BB">
              <w:rPr>
                <w:rFonts w:ascii="Calibri" w:eastAsia="Times New Roman" w:hAnsi="Calibri" w:cs="Calibri"/>
                <w:color w:val="000000"/>
                <w:sz w:val="18"/>
                <w:szCs w:val="18"/>
                <w:lang w:eastAsia="pl-PL"/>
              </w:rPr>
              <w:br w:type="page"/>
              <w:t xml:space="preserve">art. 14 RDW – </w:t>
            </w:r>
            <w:r w:rsidRPr="005E78BB">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BBFEE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2B12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8646FB6" w14:textId="46AFC6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623DBD16" w14:textId="77777777" w:rsidTr="00E92AE6">
        <w:trPr>
          <w:trHeight w:val="454"/>
        </w:trPr>
        <w:tc>
          <w:tcPr>
            <w:tcW w:w="562" w:type="dxa"/>
            <w:shd w:val="clear" w:color="auto" w:fill="auto"/>
            <w:hideMark/>
          </w:tcPr>
          <w:p w14:paraId="061C8D0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480</w:t>
            </w:r>
          </w:p>
        </w:tc>
        <w:tc>
          <w:tcPr>
            <w:tcW w:w="1021" w:type="dxa"/>
          </w:tcPr>
          <w:p w14:paraId="00E628DF" w14:textId="208282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6D1296EF" w14:textId="39FE53D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D3550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3377" w:type="dxa"/>
            <w:shd w:val="clear" w:color="auto" w:fill="auto"/>
            <w:hideMark/>
          </w:tcPr>
          <w:p w14:paraId="01566F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6BEDCC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1CCE72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FA67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F52B0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3ABE36F7" w14:textId="77777777" w:rsidTr="00E92AE6">
        <w:trPr>
          <w:trHeight w:val="454"/>
        </w:trPr>
        <w:tc>
          <w:tcPr>
            <w:tcW w:w="562" w:type="dxa"/>
            <w:shd w:val="clear" w:color="auto" w:fill="auto"/>
            <w:hideMark/>
          </w:tcPr>
          <w:p w14:paraId="758BCFC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481</w:t>
            </w:r>
          </w:p>
        </w:tc>
        <w:tc>
          <w:tcPr>
            <w:tcW w:w="1021" w:type="dxa"/>
          </w:tcPr>
          <w:p w14:paraId="4D5246E8" w14:textId="49E52D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6BCB93C3" w14:textId="13A3770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BF0A0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formularz</w:t>
            </w:r>
          </w:p>
        </w:tc>
        <w:tc>
          <w:tcPr>
            <w:tcW w:w="3377" w:type="dxa"/>
            <w:shd w:val="clear" w:color="auto" w:fill="auto"/>
            <w:hideMark/>
          </w:tcPr>
          <w:p w14:paraId="594137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35F852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126E98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CCF5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CE2FA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85319C" w:rsidRPr="005E78BB" w14:paraId="371E0A1A" w14:textId="77777777" w:rsidTr="00E92AE6">
        <w:trPr>
          <w:trHeight w:val="454"/>
        </w:trPr>
        <w:tc>
          <w:tcPr>
            <w:tcW w:w="562" w:type="dxa"/>
            <w:shd w:val="clear" w:color="auto" w:fill="auto"/>
            <w:hideMark/>
          </w:tcPr>
          <w:p w14:paraId="2E4F7D4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482</w:t>
            </w:r>
          </w:p>
        </w:tc>
        <w:tc>
          <w:tcPr>
            <w:tcW w:w="1021" w:type="dxa"/>
          </w:tcPr>
          <w:p w14:paraId="3D253FDC" w14:textId="7813BB5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54B8DFFE" w14:textId="315632C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375EA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3377" w:type="dxa"/>
            <w:shd w:val="clear" w:color="auto" w:fill="auto"/>
            <w:hideMark/>
          </w:tcPr>
          <w:p w14:paraId="6DA3486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2C1C96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5FB3FD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702C7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0ABBA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02862E76" w14:textId="77777777" w:rsidTr="00E92AE6">
        <w:trPr>
          <w:trHeight w:val="454"/>
        </w:trPr>
        <w:tc>
          <w:tcPr>
            <w:tcW w:w="562" w:type="dxa"/>
            <w:shd w:val="clear" w:color="auto" w:fill="auto"/>
            <w:hideMark/>
          </w:tcPr>
          <w:p w14:paraId="1676663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483</w:t>
            </w:r>
          </w:p>
        </w:tc>
        <w:tc>
          <w:tcPr>
            <w:tcW w:w="1021" w:type="dxa"/>
          </w:tcPr>
          <w:p w14:paraId="4A17F434" w14:textId="2808157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4F3820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755D769" w14:textId="58DE2D8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ogólna</w:t>
            </w:r>
            <w:r w:rsidRPr="005E78BB">
              <w:rPr>
                <w:rFonts w:ascii="Calibri" w:eastAsia="Times New Roman" w:hAnsi="Calibri" w:cs="Calibri"/>
                <w:color w:val="000000"/>
                <w:sz w:val="18"/>
                <w:szCs w:val="18"/>
                <w:lang w:eastAsia="pl-PL"/>
              </w:rPr>
              <w:br w:type="page"/>
              <w:t>Plan gospodarowania wodami w dorzeczu (dalej PGW) jest głównym dokumentem planistycznym, na podstawie którego paostwa członkowskie mają osiągnąd wyznaczone tam cele środowiskowe dla wód i obszarów chronionych od wód zależnych. Cele środowiskowe zgodnie z Ramową Dyrektywą Wodną (RDW) powinny byd co do zasady osiągnięte do 2027 r. Aby to zrealizowad plany wskazują na presje oraz sposoby ich likwidacji poprzez realizacje działao ochronnych. Wskazane są też odstępstwa od celów dyrektywy dla konkretnych części wód – te musza byd jednak właściwie uzasadnione i opisane, w sposób nie budzący zastrzeżeo. Projekt PGW i każda jego aktualizacja powinna podlegad przynajmniej półrocznym konsultacjom społecznym, a proces ten powinien byd przejrzysty, umożliwiający rzeczywisty i skuteczny udział. Paostwa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Odry, a sam proces udziału społecznego budzi wiele zastrzeżeo. Bez wyraźnych zmian w dokumentach i poprawienia możliwości udziału społeczeostwa w jego ustanowieniu dokument ten nie spełni swojej podstawowej funkcji – osiągnięcia celów środowiskowych w zgodzie z Ramową Dyrektywą Wodną. Należy mied na uwadze, że ostatni okres planistyczny nie przyniósł praktycznie żadnej poprawy stanu wód w dorzeczu Odry, np. cele środowiskowe osiągnęło tylko 0,08%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wymagao (stan wód określono w nich jako dobry).</w:t>
            </w:r>
            <w:r w:rsidRPr="005E78BB">
              <w:rPr>
                <w:rFonts w:ascii="Calibri" w:eastAsia="Times New Roman" w:hAnsi="Calibri" w:cs="Calibri"/>
                <w:color w:val="000000"/>
                <w:sz w:val="18"/>
                <w:szCs w:val="18"/>
                <w:lang w:eastAsia="pl-PL"/>
              </w:rPr>
              <w:br w:type="page"/>
              <w:t>W kolejnych uwagach przedstawiono szczegółowe odniesienia do ww. obszarów problemowych.</w:t>
            </w:r>
          </w:p>
        </w:tc>
        <w:tc>
          <w:tcPr>
            <w:tcW w:w="3377" w:type="dxa"/>
            <w:shd w:val="clear" w:color="auto" w:fill="auto"/>
            <w:hideMark/>
          </w:tcPr>
          <w:p w14:paraId="7335A0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zastrzeżeo i propozycji zmian przypisanych do sformułowanych dalej uwag szczegółowych.</w:t>
            </w:r>
          </w:p>
        </w:tc>
        <w:tc>
          <w:tcPr>
            <w:tcW w:w="3401" w:type="dxa"/>
            <w:shd w:val="clear" w:color="auto" w:fill="auto"/>
            <w:hideMark/>
          </w:tcPr>
          <w:p w14:paraId="6B60E1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przedstawiad i legalizowad podział wód, cele środowiskowe, rozpoznanie presji i dobór środków je likwidujących lub łagodzących. Wszelkie odstępstwa od osiągnięcia lub obniżenia celów środowiskowych muszą byd indywidualnie opisane i byd weryfikowalne. PGW musi gwarantowad wykonanie działao zapobiegających presji (środków) i kontrolę ich postępu. Wreszcie powinien byd zapewniony udział społeczeostwa zgodny z zapisami RDW, a Paostwo powinno zachęcad do aktywnego udziału w konsultacjach tych dokumentów</w:t>
            </w:r>
          </w:p>
        </w:tc>
        <w:tc>
          <w:tcPr>
            <w:tcW w:w="1918" w:type="dxa"/>
            <w:shd w:val="clear" w:color="auto" w:fill="auto"/>
            <w:hideMark/>
          </w:tcPr>
          <w:p w14:paraId="7EB462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93644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1EAA9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2C411586" w14:textId="77777777" w:rsidTr="00E92AE6">
        <w:trPr>
          <w:trHeight w:val="454"/>
        </w:trPr>
        <w:tc>
          <w:tcPr>
            <w:tcW w:w="562" w:type="dxa"/>
            <w:shd w:val="clear" w:color="auto" w:fill="auto"/>
            <w:hideMark/>
          </w:tcPr>
          <w:p w14:paraId="70B1294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484</w:t>
            </w:r>
          </w:p>
        </w:tc>
        <w:tc>
          <w:tcPr>
            <w:tcW w:w="1021" w:type="dxa"/>
          </w:tcPr>
          <w:p w14:paraId="684F527C" w14:textId="592C23B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4BAB34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2039B51" w14:textId="2C73E7F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t>Niedopuszczalna była nagła i znacząca zmiana zapisów projektów IIaPGW jedynie na dwa tygodnie przed koocem „przynajmniej półrocznych” konsultacji w trybie przepisów RDW (30 września – publikacja zmian; 14 października – koniec konsultacji). Termin ten bezwzględnie powinien byd przedłużony. Wprowadzone zmiany, nazwane błędnie „erratami” w aż 4 dorzeczach, w tym największych – Wisły i Odry, odnoszą się do dwóch niezależnych kwestii - obszarów chronionych</w:t>
            </w:r>
            <w:r w:rsidRPr="005E78BB">
              <w:rPr>
                <w:rFonts w:ascii="Calibri" w:eastAsia="Times New Roman" w:hAnsi="Calibri" w:cs="Calibri"/>
                <w:color w:val="000000"/>
                <w:sz w:val="18"/>
                <w:szCs w:val="18"/>
                <w:lang w:eastAsia="pl-PL"/>
              </w:rPr>
              <w:br/>
              <w:t>. Zmiany wymagają m.in. ponownej analizy działao zaplanowanych w dorzeczach, a odnoszących się do</w:t>
            </w:r>
            <w:r w:rsidRPr="005E78BB">
              <w:rPr>
                <w:rFonts w:ascii="Calibri" w:eastAsia="Times New Roman" w:hAnsi="Calibri" w:cs="Calibri"/>
                <w:color w:val="000000"/>
                <w:sz w:val="18"/>
                <w:szCs w:val="18"/>
                <w:lang w:eastAsia="pl-PL"/>
              </w:rPr>
              <w:br/>
              <w:t>udrożnieo budowli piętrzących oraz do konkretnych zapisów głównie uszczuplających zestaw działao likwidujących presje zanieczyszczeo komunalnych.</w:t>
            </w:r>
            <w:r w:rsidRPr="005E78BB">
              <w:rPr>
                <w:rFonts w:ascii="Calibri" w:eastAsia="Times New Roman" w:hAnsi="Calibri" w:cs="Calibri"/>
                <w:color w:val="000000"/>
                <w:sz w:val="18"/>
                <w:szCs w:val="18"/>
                <w:lang w:eastAsia="pl-PL"/>
              </w:rPr>
              <w:br/>
              <w:t xml:space="preserve">Ilośd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działao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działao poprawiających ich drożnośd (Zał. 4 do „erraty” wcześniej zał. 1 do zał. 7 IIaPGW). Społeczeostwo zostało zmuszone do dokonania ponownej weryfikacji tego zestawienia (obecnie ponad 3100 działao na konkretnych budowlach), chodby ze względu na całkowitą i nieuzasadnioną zmianę numeracji budowli w stosunku do publikacji w wersji z kwietnia. Liczba budowli położonych na „nowych” obszarach chronionych dla gatunków gospodarczych w dorzeczu Wisły to aż 821. Wszystkie ww. zmiany są znaczące i powinny byd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5F6A1E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działao z kategorii gospodarka ściekowa na możliwośd osiągnięcia celów RDW.</w:t>
            </w:r>
            <w:r w:rsidRPr="005E78BB">
              <w:rPr>
                <w:rFonts w:ascii="Calibri" w:eastAsia="Times New Roman" w:hAnsi="Calibri" w:cs="Calibri"/>
                <w:color w:val="000000"/>
                <w:sz w:val="18"/>
                <w:szCs w:val="18"/>
                <w:lang w:eastAsia="pl-PL"/>
              </w:rPr>
              <w:br/>
              <w:t xml:space="preserve">Minimalny termin pozwalający na chodby pobieżne zapoznanie się ze zmianami to miesiąc od daty ich publikacji. </w:t>
            </w:r>
          </w:p>
        </w:tc>
        <w:tc>
          <w:tcPr>
            <w:tcW w:w="3401" w:type="dxa"/>
            <w:shd w:val="clear" w:color="auto" w:fill="auto"/>
            <w:hideMark/>
          </w:tcPr>
          <w:p w14:paraId="0517AD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w:t>
            </w:r>
            <w:r w:rsidRPr="005E78BB">
              <w:rPr>
                <w:rFonts w:ascii="Calibri" w:eastAsia="Times New Roman" w:hAnsi="Calibri" w:cs="Calibri"/>
                <w:color w:val="000000"/>
                <w:sz w:val="18"/>
                <w:szCs w:val="18"/>
                <w:lang w:eastAsia="pl-PL"/>
              </w:rPr>
              <w:br/>
              <w:t>ale zdecydowanie zbyt późno.</w:t>
            </w:r>
            <w:r w:rsidRPr="005E78BB">
              <w:rPr>
                <w:rFonts w:ascii="Calibri" w:eastAsia="Times New Roman" w:hAnsi="Calibri" w:cs="Calibri"/>
                <w:color w:val="000000"/>
                <w:sz w:val="18"/>
                <w:szCs w:val="18"/>
                <w:lang w:eastAsia="pl-PL"/>
              </w:rPr>
              <w:br/>
              <w:t>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społeczeostwo ma się do tych zagadnieo odnieśd jedynie w dwa tygodnie? Termin publikacji rozporządzenia mógł byd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w:t>
            </w:r>
          </w:p>
        </w:tc>
        <w:tc>
          <w:tcPr>
            <w:tcW w:w="1918" w:type="dxa"/>
            <w:shd w:val="clear" w:color="auto" w:fill="auto"/>
            <w:hideMark/>
          </w:tcPr>
          <w:p w14:paraId="7872C0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54BF4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F85E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7DBADC2D" w14:textId="77777777" w:rsidTr="00E92AE6">
        <w:trPr>
          <w:trHeight w:val="454"/>
        </w:trPr>
        <w:tc>
          <w:tcPr>
            <w:tcW w:w="562" w:type="dxa"/>
            <w:shd w:val="clear" w:color="auto" w:fill="auto"/>
            <w:hideMark/>
          </w:tcPr>
          <w:p w14:paraId="57E38C3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485</w:t>
            </w:r>
          </w:p>
        </w:tc>
        <w:tc>
          <w:tcPr>
            <w:tcW w:w="1021" w:type="dxa"/>
          </w:tcPr>
          <w:p w14:paraId="479C01A6" w14:textId="0D62E0C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11963A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B4028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chaos</w:t>
            </w:r>
            <w:r w:rsidRPr="005E78BB">
              <w:rPr>
                <w:rFonts w:ascii="Calibri" w:eastAsia="Times New Roman" w:hAnsi="Calibri" w:cs="Calibri"/>
                <w:color w:val="000000"/>
                <w:sz w:val="18"/>
                <w:szCs w:val="18"/>
                <w:lang w:eastAsia="pl-PL"/>
              </w:rPr>
              <w:br/>
              <w:t>Zgodnie z komunikatem na stronie internetowej poświęconej konsultacjom IIaPGW https://apgw.gov.pl/ z kooca września 2021 r. od 30 września miały byd</w:t>
            </w:r>
            <w:r w:rsidRPr="005E78BB">
              <w:rPr>
                <w:rFonts w:ascii="Calibri" w:eastAsia="Times New Roman" w:hAnsi="Calibri" w:cs="Calibri"/>
                <w:color w:val="000000"/>
                <w:sz w:val="18"/>
                <w:szCs w:val="18"/>
                <w:lang w:eastAsia="pl-PL"/>
              </w:rPr>
              <w:br/>
              <w:t>to ostatni dzwonek, by wziąd udział w konsultacjach społecznych w ramach drugiej</w:t>
            </w:r>
            <w:r w:rsidRPr="005E78BB">
              <w:rPr>
                <w:rFonts w:ascii="Calibri" w:eastAsia="Times New Roman" w:hAnsi="Calibri" w:cs="Calibri"/>
                <w:color w:val="000000"/>
                <w:sz w:val="18"/>
                <w:szCs w:val="18"/>
                <w:lang w:eastAsia="pl-PL"/>
              </w:rPr>
              <w:br/>
              <w:t>aktualizacji planów gospodarowania wodami, które trwają tylko do 14 października”.</w:t>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składad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7755F9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wyjaśnid różnice pomiędzy oboma procesami konsultacji (szczególnie co do losu i skutków składanych uwag i wniosków), zintegrowad je tak bardzo jak to tylko możliwe. Powinny mied wspólny, przedłużony czas konsultacji przynajmniej do 31 października. Powinno zostad jednoznacznie wyjaśnione, czy uwagi złożone w jednym z procesów będą brane pod uwagę w obu procedurach, czy trzeba powielad składanie uwag w obu procesach.</w:t>
            </w:r>
          </w:p>
        </w:tc>
        <w:tc>
          <w:tcPr>
            <w:tcW w:w="3401" w:type="dxa"/>
            <w:shd w:val="clear" w:color="auto" w:fill="auto"/>
            <w:hideMark/>
          </w:tcPr>
          <w:p w14:paraId="383FFF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składad, na jakich formularzach i jakie to ma konsekwencje – który tryb jest ważniejszy i czy uwagi trzeba złożyd dwukrotnie.</w:t>
            </w:r>
            <w:r w:rsidRPr="005E78BB">
              <w:rPr>
                <w:rFonts w:ascii="Calibri" w:eastAsia="Times New Roman" w:hAnsi="Calibri" w:cs="Calibri"/>
                <w:color w:val="000000"/>
                <w:sz w:val="18"/>
                <w:szCs w:val="18"/>
                <w:lang w:eastAsia="pl-PL"/>
              </w:rPr>
              <w:br/>
              <w:t>Jedynym rozwiązaniem jest ujednolicenie trybu składania uwag i rozszerzenie terminów ich składania.</w:t>
            </w:r>
            <w:r w:rsidRPr="005E78BB">
              <w:rPr>
                <w:rFonts w:ascii="Calibri" w:eastAsia="Times New Roman" w:hAnsi="Calibri" w:cs="Calibri"/>
                <w:color w:val="000000"/>
                <w:sz w:val="18"/>
                <w:szCs w:val="18"/>
                <w:lang w:eastAsia="pl-PL"/>
              </w:rPr>
              <w:br/>
              <w:t xml:space="preserve">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w:t>
            </w:r>
          </w:p>
        </w:tc>
        <w:tc>
          <w:tcPr>
            <w:tcW w:w="1918" w:type="dxa"/>
            <w:shd w:val="clear" w:color="auto" w:fill="auto"/>
            <w:hideMark/>
          </w:tcPr>
          <w:p w14:paraId="0A3015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B905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1293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24BB8A4C" w14:textId="77777777" w:rsidTr="00E92AE6">
        <w:trPr>
          <w:trHeight w:val="454"/>
        </w:trPr>
        <w:tc>
          <w:tcPr>
            <w:tcW w:w="562" w:type="dxa"/>
            <w:shd w:val="clear" w:color="auto" w:fill="auto"/>
            <w:hideMark/>
          </w:tcPr>
          <w:p w14:paraId="049DA9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486</w:t>
            </w:r>
          </w:p>
        </w:tc>
        <w:tc>
          <w:tcPr>
            <w:tcW w:w="1021" w:type="dxa"/>
          </w:tcPr>
          <w:p w14:paraId="36D075C9" w14:textId="2555D5B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1FB601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46F4620" w14:textId="5962330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geobaza</w:t>
            </w:r>
            <w:r w:rsidRPr="005E78BB">
              <w:rPr>
                <w:rFonts w:ascii="Calibri" w:eastAsia="Times New Roman" w:hAnsi="Calibri" w:cs="Calibri"/>
                <w:color w:val="000000"/>
                <w:sz w:val="18"/>
                <w:szCs w:val="18"/>
                <w:lang w:eastAsia="pl-PL"/>
              </w:rPr>
              <w:br w:type="page"/>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sied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podkreślid, że stworzenie bazy danych czy nawet zobrazowanie warstw GIS było możliwe, na co wskazuje chodby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częśd danych przestrzennych chod jest w ich posiadaniu, nie zostanie udostępnionych (sied monitoringu). Jest to naruszenie przepisów o dostępie do informacji o środowisku i sprzeczne z duchem i literą RDW.</w:t>
            </w:r>
          </w:p>
        </w:tc>
        <w:tc>
          <w:tcPr>
            <w:tcW w:w="3377" w:type="dxa"/>
            <w:shd w:val="clear" w:color="auto" w:fill="auto"/>
            <w:hideMark/>
          </w:tcPr>
          <w:p w14:paraId="5BE205C0" w14:textId="4BBF4E7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Powtórzyd / przedłużyd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byd upowszechnione na ogólnodostępnej platformie (jak w przypadku konsultacji aPZRP) oraz dostępne na wniosek.</w:t>
            </w:r>
          </w:p>
        </w:tc>
        <w:tc>
          <w:tcPr>
            <w:tcW w:w="3401" w:type="dxa"/>
            <w:shd w:val="clear" w:color="auto" w:fill="auto"/>
            <w:hideMark/>
          </w:tcPr>
          <w:p w14:paraId="09038593" w14:textId="5DB3AE1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działao ochronnych) znacząco obniża jakośd konsultacji publicznych. Uwaga składana wielokrotnie m.in. w trakcie spotkao konsultacyjnych nie doczekała się żadnej reakcji.</w:t>
            </w:r>
            <w:r w:rsidRPr="005E78BB">
              <w:rPr>
                <w:rFonts w:ascii="Calibri" w:eastAsia="Times New Roman" w:hAnsi="Calibri" w:cs="Calibri"/>
                <w:color w:val="000000"/>
                <w:sz w:val="18"/>
                <w:szCs w:val="18"/>
                <w:lang w:eastAsia="pl-PL"/>
              </w:rPr>
              <w:br w:type="page"/>
              <w:t>Mapy udostępnione wraz z projektem IIaPGW nie są ani czytelne ani możliwe do wykorzystania przez osoby uczestniczące w konsultacjach.</w:t>
            </w:r>
            <w:r w:rsidRPr="005E78BB">
              <w:rPr>
                <w:rFonts w:ascii="Calibri" w:eastAsia="Times New Roman" w:hAnsi="Calibri" w:cs="Calibri"/>
                <w:color w:val="000000"/>
                <w:sz w:val="18"/>
                <w:szCs w:val="18"/>
                <w:lang w:eastAsia="pl-PL"/>
              </w:rPr>
              <w:br w:type="page"/>
              <w:t>Działanie Wód Polskich w tym zakresie jest sprzeczne z:</w:t>
            </w:r>
            <w:r w:rsidRPr="005E78BB">
              <w:rPr>
                <w:rFonts w:ascii="Calibri" w:eastAsia="Times New Roman" w:hAnsi="Calibri" w:cs="Calibri"/>
                <w:color w:val="000000"/>
                <w:sz w:val="18"/>
                <w:szCs w:val="18"/>
                <w:lang w:eastAsia="pl-PL"/>
              </w:rPr>
              <w:br w:type="page"/>
              <w:t>art. 14 RDW –</w:t>
            </w:r>
            <w:r w:rsidRPr="005E78BB">
              <w:rPr>
                <w:rFonts w:ascii="Calibri" w:eastAsia="Times New Roman" w:hAnsi="Calibri" w:cs="Calibri"/>
                <w:color w:val="000000"/>
                <w:sz w:val="18"/>
                <w:szCs w:val="18"/>
                <w:lang w:eastAsia="pl-PL"/>
              </w:rPr>
              <w:br w:type="page"/>
              <w:t>Paostwa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p>
        </w:tc>
        <w:tc>
          <w:tcPr>
            <w:tcW w:w="1918" w:type="dxa"/>
            <w:shd w:val="clear" w:color="auto" w:fill="auto"/>
            <w:hideMark/>
          </w:tcPr>
          <w:p w14:paraId="6727FE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543F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F211F53" w14:textId="71F29CB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39FCB4CC" w14:textId="77777777" w:rsidTr="00E92AE6">
        <w:trPr>
          <w:trHeight w:val="454"/>
        </w:trPr>
        <w:tc>
          <w:tcPr>
            <w:tcW w:w="562" w:type="dxa"/>
            <w:shd w:val="clear" w:color="auto" w:fill="auto"/>
            <w:hideMark/>
          </w:tcPr>
          <w:p w14:paraId="49B5429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487</w:t>
            </w:r>
          </w:p>
        </w:tc>
        <w:tc>
          <w:tcPr>
            <w:tcW w:w="1021" w:type="dxa"/>
          </w:tcPr>
          <w:p w14:paraId="15F73AFA" w14:textId="68F563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3A9C25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34E52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nieskooczonych”.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byd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stanowid to technicznego problemu (po 18 latach nie powinno stanowid go nadal).</w:t>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mówid o prawidłowym przeprowadzeniu konsultacji publicznych. Szczególnie traktowanie tych dokumentów jako nieskooczonych (możliwe zastosowanie odmowy udostępnienia z art. 16 uoś), a mimo tego przygotowanych do obowiązkowych półrocznych konsultacji publicznych (wymienione w projekcie IIaPGW) powoduje, że konsultacje te nie mogą byd uznane za przeprowadzone w trybie art. 14 ust. 1 RDW.</w:t>
            </w:r>
            <w:r w:rsidRPr="005E78BB">
              <w:rPr>
                <w:rFonts w:ascii="Calibri" w:eastAsia="Times New Roman" w:hAnsi="Calibri" w:cs="Calibri"/>
                <w:color w:val="000000"/>
                <w:sz w:val="18"/>
                <w:szCs w:val="18"/>
                <w:lang w:eastAsia="pl-PL"/>
              </w:rPr>
              <w:br/>
              <w:t>Odnieśd można wrażenie, że nieopublikowanie dokumentów w domenie publicznej to celowe ograniczanie udziału interesariuszy. Warto w tym miejscu przytoczyd słowa Dyrektora Departamentu Zarządzania Środowiskiem Wodnym Przemysława Gruszeckiego wygłoszone na spotkaniu konsultacyjnym w Zielonej Górze, że dokumenty źródłowe są udostępniane na indywidualny wniosek, ale nie mogą podlegad dalszemu rozpowszechnianiu nawet w niezmienionej formie, gdyż Wody Polskie „muszą wiedzied jak te dokumenty krążą”.</w:t>
            </w:r>
          </w:p>
        </w:tc>
        <w:tc>
          <w:tcPr>
            <w:tcW w:w="3377" w:type="dxa"/>
            <w:shd w:val="clear" w:color="auto" w:fill="auto"/>
            <w:hideMark/>
          </w:tcPr>
          <w:p w14:paraId="3ECA9B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udostępnid dokumenty źródłowe IIaPGW w domenie publicznej – nawet udostępnienie objętości kilkadziesiąt GB nie stanowi aktualnie żadnego technicznego problemu.</w:t>
            </w:r>
          </w:p>
        </w:tc>
        <w:tc>
          <w:tcPr>
            <w:tcW w:w="3401" w:type="dxa"/>
            <w:shd w:val="clear" w:color="auto" w:fill="auto"/>
            <w:hideMark/>
          </w:tcPr>
          <w:p w14:paraId="7DBD27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postanowieo Konwencji Aarhus i Dyrektywy 2003/4/WE, a co za tym idzie, również ustawy ooś (Dz. U. 2008 Nr 199 poz. 1227 z późn. zm.) i ustawy o dostępie do informacji publicznej.</w:t>
            </w:r>
          </w:p>
        </w:tc>
        <w:tc>
          <w:tcPr>
            <w:tcW w:w="1918" w:type="dxa"/>
            <w:shd w:val="clear" w:color="auto" w:fill="auto"/>
            <w:hideMark/>
          </w:tcPr>
          <w:p w14:paraId="5CA0CF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0326F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9EA3B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63B3A73B" w14:textId="77777777" w:rsidTr="00E92AE6">
        <w:trPr>
          <w:trHeight w:val="454"/>
        </w:trPr>
        <w:tc>
          <w:tcPr>
            <w:tcW w:w="562" w:type="dxa"/>
            <w:shd w:val="clear" w:color="auto" w:fill="auto"/>
            <w:hideMark/>
          </w:tcPr>
          <w:p w14:paraId="2EB0BEA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488</w:t>
            </w:r>
          </w:p>
        </w:tc>
        <w:tc>
          <w:tcPr>
            <w:tcW w:w="1021" w:type="dxa"/>
          </w:tcPr>
          <w:p w14:paraId="79650250" w14:textId="2906E0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6BF1AC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183C4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formularz</w:t>
            </w:r>
            <w:r w:rsidRPr="005E78BB">
              <w:rPr>
                <w:rFonts w:ascii="Calibri" w:eastAsia="Times New Roman" w:hAnsi="Calibri" w:cs="Calibri"/>
                <w:color w:val="000000"/>
                <w:sz w:val="18"/>
                <w:szCs w:val="18"/>
                <w:lang w:eastAsia="pl-PL"/>
              </w:rPr>
              <w:br/>
              <w:t>Niezrozumiałe jest przedstawienie do konsultacji formularza utrudniającego składanie większej ilości uwag., przy jednoczesnej sugestii, że to jedyny sposób składania uwag pocztą e-mail. Uwagi mają byd złożone w formularzu tekstowym, jedna pod drugą: UWAGA, PROPONOWANE ZMIANY i UZASADNIENIE. Aby złożyd więcej uwag, należy kopiowad pola. Lepszym, bardziej przyjaznym użytkownikom i wcześniej praktykowanym przez Wody Polskie sposobem było składanie uwag na formularzu w formie tabeli – z ww. tematycznymi kolumnami.</w:t>
            </w:r>
          </w:p>
        </w:tc>
        <w:tc>
          <w:tcPr>
            <w:tcW w:w="3377" w:type="dxa"/>
            <w:shd w:val="clear" w:color="auto" w:fill="auto"/>
            <w:hideMark/>
          </w:tcPr>
          <w:p w14:paraId="271682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Umożliwid składanie uwag również w innych formach niż załączony na stronach konsultacji formularz, w tym w formie tabelarycznej. Stosowna informacja powinna znaleźd się na stronie https://apgw.gov.pl/pl/konsultacje</w:t>
            </w:r>
          </w:p>
        </w:tc>
        <w:tc>
          <w:tcPr>
            <w:tcW w:w="3401" w:type="dxa"/>
            <w:shd w:val="clear" w:color="auto" w:fill="auto"/>
            <w:hideMark/>
          </w:tcPr>
          <w:p w14:paraId="25A96D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Organy paostwowe powinny ułatwiad składanie uwag w ramach konsultacji IIaPGW, a nie je utrudniad.</w:t>
            </w:r>
          </w:p>
        </w:tc>
        <w:tc>
          <w:tcPr>
            <w:tcW w:w="1918" w:type="dxa"/>
            <w:shd w:val="clear" w:color="auto" w:fill="auto"/>
            <w:hideMark/>
          </w:tcPr>
          <w:p w14:paraId="6FD8CD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4480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FB10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stosowano dodatkowych ograniczeń co do formy przedkładanych uwag.</w:t>
            </w:r>
          </w:p>
        </w:tc>
      </w:tr>
      <w:tr w:rsidR="0085319C" w:rsidRPr="005E78BB" w14:paraId="58BB27D7" w14:textId="77777777" w:rsidTr="00E92AE6">
        <w:trPr>
          <w:trHeight w:val="454"/>
        </w:trPr>
        <w:tc>
          <w:tcPr>
            <w:tcW w:w="562" w:type="dxa"/>
            <w:shd w:val="clear" w:color="auto" w:fill="auto"/>
            <w:hideMark/>
          </w:tcPr>
          <w:p w14:paraId="7E2361E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489</w:t>
            </w:r>
          </w:p>
        </w:tc>
        <w:tc>
          <w:tcPr>
            <w:tcW w:w="1021" w:type="dxa"/>
          </w:tcPr>
          <w:p w14:paraId="08A1478A" w14:textId="07F0950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7F92B3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A0518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707850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Przywrócid dane z poprzedniego okresu planistycznego, dostępne pod starym adresem konsultacji www.apgw.kzgw.gov.pl</w:t>
            </w:r>
          </w:p>
        </w:tc>
        <w:tc>
          <w:tcPr>
            <w:tcW w:w="3401" w:type="dxa"/>
            <w:shd w:val="clear" w:color="auto" w:fill="auto"/>
            <w:hideMark/>
          </w:tcPr>
          <w:p w14:paraId="52B1B3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6530E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5405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151C3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2AF7E1E2" w14:textId="77777777" w:rsidTr="00E92AE6">
        <w:trPr>
          <w:trHeight w:val="454"/>
        </w:trPr>
        <w:tc>
          <w:tcPr>
            <w:tcW w:w="562" w:type="dxa"/>
            <w:shd w:val="clear" w:color="auto" w:fill="auto"/>
            <w:hideMark/>
          </w:tcPr>
          <w:p w14:paraId="1EF43D8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490</w:t>
            </w:r>
          </w:p>
        </w:tc>
        <w:tc>
          <w:tcPr>
            <w:tcW w:w="1021" w:type="dxa"/>
          </w:tcPr>
          <w:p w14:paraId="3EDDEA01" w14:textId="33931E9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195860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E67FDF2" w14:textId="4415F38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Rozdz. 3</w:t>
            </w:r>
            <w:r w:rsidRPr="005E78BB">
              <w:rPr>
                <w:rFonts w:ascii="Calibri" w:eastAsia="Times New Roman" w:hAnsi="Calibri" w:cs="Calibri"/>
                <w:color w:val="000000"/>
                <w:sz w:val="18"/>
                <w:szCs w:val="18"/>
                <w:lang w:eastAsia="pl-PL"/>
              </w:rPr>
              <w:br w:type="page"/>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Częśd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częśd połączono z innymi ciekami, a największa 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długośd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w:t>
            </w:r>
            <w:r w:rsidRPr="005E78BB">
              <w:rPr>
                <w:rFonts w:ascii="Calibri" w:eastAsia="Times New Roman" w:hAnsi="Calibri" w:cs="Calibri"/>
                <w:color w:val="000000"/>
                <w:sz w:val="18"/>
                <w:szCs w:val="18"/>
                <w:lang w:eastAsia="pl-PL"/>
              </w:rPr>
              <w:br w:type="page"/>
              <w:t xml:space="preserve">Nie wystarczy napisad,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zostad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Paostwa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zostad poddane pełnej kontroli publicznej. Nawet jeśli któryś z dokumentów, na podstawie którego dokonano zmian, był przedstawiony do konsultacji publicznych, to informacja o ich wynikach powinna znaleźd się w projekcie IIaPGW. Nie powinno się też wykluczad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26862939" w14:textId="18D290C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Uzasadnid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zweryfikowad zasadnośd wyłączeo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Zweryfikowad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byd możliwe do zweryfikowania także w formie wizualnej. Przedstawione nieczytelne zbiorcze mapy – załączniki IIaPGW - tej roli nie spełniają.</w:t>
            </w:r>
          </w:p>
        </w:tc>
        <w:tc>
          <w:tcPr>
            <w:tcW w:w="3401" w:type="dxa"/>
            <w:shd w:val="clear" w:color="auto" w:fill="auto"/>
            <w:hideMark/>
          </w:tcPr>
          <w:p w14:paraId="03E83060" w14:textId="3CF56E7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byd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częśd wód. IIaPGW powinno zawierad dowód, że za nowym podziałem stoją racjonalne przesłanki, inne niż np. oszczędności na rozbudowie sieci monitoringowej i chęd realizacji większej ilości przedsięwzięd wykazujących presje na wody - znacząco negatywnie oddziałujących na stan wód i obszary chronione zależne od wód. Dziwnym zbiegiem okoliczności, nagle żadne z przedsięwzięd spełniających według Wód Polskich warunki derogacji art. 4.7 nie wykazuje negatywnych oddziaływao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byd położone. Zmniejszenie o 6 jednostek typologii rzek nie może byd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ujednoliceo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w:t>
            </w:r>
          </w:p>
        </w:tc>
        <w:tc>
          <w:tcPr>
            <w:tcW w:w="1918" w:type="dxa"/>
            <w:shd w:val="clear" w:color="auto" w:fill="auto"/>
            <w:hideMark/>
          </w:tcPr>
          <w:p w14:paraId="7D947C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8BAC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66C748" w14:textId="45DEF0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6DB14E36" w14:textId="77777777" w:rsidTr="00E92AE6">
        <w:trPr>
          <w:trHeight w:val="454"/>
        </w:trPr>
        <w:tc>
          <w:tcPr>
            <w:tcW w:w="562" w:type="dxa"/>
            <w:shd w:val="clear" w:color="auto" w:fill="auto"/>
            <w:hideMark/>
          </w:tcPr>
          <w:p w14:paraId="02A174F2"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491</w:t>
            </w:r>
          </w:p>
        </w:tc>
        <w:tc>
          <w:tcPr>
            <w:tcW w:w="1021" w:type="dxa"/>
          </w:tcPr>
          <w:p w14:paraId="23AA03A0" w14:textId="2E086A6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Okręg PZW w Kielcach</w:t>
            </w:r>
          </w:p>
        </w:tc>
        <w:tc>
          <w:tcPr>
            <w:tcW w:w="1630" w:type="dxa"/>
            <w:shd w:val="clear" w:color="auto" w:fill="auto"/>
            <w:hideMark/>
          </w:tcPr>
          <w:p w14:paraId="0EBE4B1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ZAŁĄCZNIKI IIaPGW</w:t>
            </w:r>
          </w:p>
        </w:tc>
        <w:tc>
          <w:tcPr>
            <w:tcW w:w="5663" w:type="dxa"/>
            <w:shd w:val="clear" w:color="auto" w:fill="auto"/>
            <w:hideMark/>
          </w:tcPr>
          <w:p w14:paraId="3553E34D" w14:textId="061B887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Zbiornikowe</w:t>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Zał. 3.1. oraz 8.</w:t>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oznaczad,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6E43DAC6" w14:textId="3FC34D2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Zweryfikowad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Wyłączyd z wyznaczeo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3C2CBF4D" w14:textId="098317B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Takie podejście nie może byd usprawiedliwieniem dla znaczących negatywnych zmian w cennych siedliskach związanych z cofkami niektórych zbiorników wodnych.</w:t>
            </w:r>
          </w:p>
        </w:tc>
        <w:tc>
          <w:tcPr>
            <w:tcW w:w="1918" w:type="dxa"/>
            <w:shd w:val="clear" w:color="auto" w:fill="auto"/>
            <w:hideMark/>
          </w:tcPr>
          <w:p w14:paraId="1BB3B548"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83E497F"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68966BC5" w14:textId="4669A1D8"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407290" w:rsidRPr="00CD6FBC">
              <w:rPr>
                <w:rFonts w:ascii="Calibri" w:eastAsia="Times New Roman" w:hAnsi="Calibri" w:cs="Calibri"/>
                <w:color w:val="000000"/>
                <w:sz w:val="18"/>
                <w:szCs w:val="18"/>
                <w:lang w:eastAsia="pl-PL"/>
              </w:rPr>
              <w:t>Wartości graniczne SCW i SZCW</w:t>
            </w:r>
            <w:r w:rsidR="00407290" w:rsidRPr="00CD6FBC" w:rsidDel="004072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2E68207F" w14:textId="77777777" w:rsidTr="00407290">
        <w:trPr>
          <w:trHeight w:val="454"/>
        </w:trPr>
        <w:tc>
          <w:tcPr>
            <w:tcW w:w="562" w:type="dxa"/>
            <w:shd w:val="clear" w:color="auto" w:fill="auto"/>
            <w:hideMark/>
          </w:tcPr>
          <w:p w14:paraId="4612722A" w14:textId="77777777" w:rsidR="0085319C" w:rsidRPr="00407290" w:rsidRDefault="0085319C" w:rsidP="0085319C">
            <w:pPr>
              <w:ind w:firstLine="0"/>
              <w:jc w:val="center"/>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492</w:t>
            </w:r>
          </w:p>
        </w:tc>
        <w:tc>
          <w:tcPr>
            <w:tcW w:w="1021" w:type="dxa"/>
            <w:shd w:val="clear" w:color="auto" w:fill="auto"/>
          </w:tcPr>
          <w:p w14:paraId="2FA94223" w14:textId="13E6E76F"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hAnsi="Calibri" w:cs="Calibri"/>
                <w:color w:val="000000"/>
                <w:sz w:val="18"/>
                <w:szCs w:val="18"/>
              </w:rPr>
              <w:t>Okręg PZW w Kielcach</w:t>
            </w:r>
          </w:p>
        </w:tc>
        <w:tc>
          <w:tcPr>
            <w:tcW w:w="1630" w:type="dxa"/>
            <w:shd w:val="clear" w:color="auto" w:fill="auto"/>
            <w:hideMark/>
          </w:tcPr>
          <w:p w14:paraId="7B05AE48" w14:textId="77777777"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ZAŁĄCZNIKI IIaPGW</w:t>
            </w:r>
          </w:p>
        </w:tc>
        <w:tc>
          <w:tcPr>
            <w:tcW w:w="5663" w:type="dxa"/>
            <w:shd w:val="clear" w:color="auto" w:fill="auto"/>
            <w:hideMark/>
          </w:tcPr>
          <w:p w14:paraId="23FC065B" w14:textId="0D5B513C"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Rozdz. 3.1.SZCW</w:t>
            </w:r>
            <w:r w:rsidRPr="00407290">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407290">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w:t>
            </w:r>
            <w:r w:rsidRPr="00407290">
              <w:rPr>
                <w:rFonts w:ascii="Calibri" w:eastAsia="Times New Roman" w:hAnsi="Calibri" w:cs="Calibri"/>
                <w:color w:val="000000"/>
                <w:sz w:val="18"/>
                <w:szCs w:val="18"/>
                <w:lang w:eastAsia="pl-PL"/>
              </w:rPr>
              <w:br/>
              <w:t>Zgodnie z art. 4.3. RDW Paostwa Członkowskie mogą wyznaczyd częśd wód powierzchniowych jako sztucznie lub silnie zmienioną, gdy:</w:t>
            </w:r>
            <w:r w:rsidRPr="00407290">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wywrzed znaczący niekorzystny wpływ na: środowisko w szerszym znaczeniu; żeglugę, włączając urządzenia portowe, lub rekreację; działalnośd, do której celów woda jest magazynowana, takie jak zaopatrzenie w wodę do spożycia, wytwarzanie prądu lub nawadnianie; regulację wód, zapobieganie powodzi, odwadnianie ziemi; lub inną jednakowo ważną działalnośd człowieka związaną ze zrównoważonym rozwojem;</w:t>
            </w:r>
            <w:r w:rsidRPr="00407290">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byd racjonalnie osiągnięte za pomocą innych środków, które stanowią opcję znacznie korzystniejszą środowiskowo.</w:t>
            </w:r>
            <w:r w:rsidRPr="00407290">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sześd lat.”</w:t>
            </w:r>
            <w:r w:rsidRPr="00407290">
              <w:rPr>
                <w:rFonts w:ascii="Calibri" w:eastAsia="Times New Roman" w:hAnsi="Calibri" w:cs="Calibri"/>
                <w:color w:val="000000"/>
                <w:sz w:val="18"/>
                <w:szCs w:val="18"/>
                <w:lang w:eastAsia="pl-PL"/>
              </w:rPr>
              <w:br/>
              <w:t>Zgodnie z dokumentem</w:t>
            </w:r>
            <w:r w:rsidRPr="00407290">
              <w:rPr>
                <w:rFonts w:ascii="Calibri" w:eastAsia="Times New Roman" w:hAnsi="Calibri" w:cs="Calibri"/>
                <w:color w:val="000000"/>
                <w:sz w:val="18"/>
                <w:szCs w:val="18"/>
                <w:lang w:eastAsia="pl-PL"/>
              </w:rPr>
              <w:br/>
              <w:t>DOKUMENT ROBOCZY SŁUŻB KOMISJI Drugie plany gospodarowania wodami w dorzeczu – paostwo członkowskie: Polska –</w:t>
            </w:r>
            <w:r w:rsidRPr="00407290">
              <w:rPr>
                <w:rFonts w:ascii="Calibri" w:eastAsia="Times New Roman" w:hAnsi="Calibri" w:cs="Calibri"/>
                <w:color w:val="000000"/>
                <w:sz w:val="18"/>
                <w:szCs w:val="18"/>
                <w:lang w:eastAsia="pl-PL"/>
              </w:rPr>
              <w:br/>
              <w:t>- dostępny np. na stronie konsultacji IIaPGW https://www.apgw.gov.pl/pl/news/show/90</w:t>
            </w:r>
            <w:r w:rsidRPr="00407290">
              <w:rPr>
                <w:rFonts w:ascii="Calibri" w:eastAsia="Times New Roman" w:hAnsi="Calibri" w:cs="Calibri"/>
                <w:color w:val="000000"/>
                <w:sz w:val="18"/>
                <w:szCs w:val="18"/>
                <w:lang w:eastAsia="pl-PL"/>
              </w:rPr>
              <w:br/>
              <w:t>Zalecenie z 2012 r.:</w:t>
            </w:r>
            <w:r w:rsidRPr="00407290">
              <w:rPr>
                <w:rFonts w:ascii="Calibri" w:eastAsia="Times New Roman" w:hAnsi="Calibri" w:cs="Calibri"/>
                <w:color w:val="000000"/>
                <w:sz w:val="18"/>
                <w:szCs w:val="18"/>
                <w:lang w:eastAsia="pl-PL"/>
              </w:rPr>
              <w:br/>
              <w:t>Wyznaczenie silnie zmienionych jednolitych części wód powinno byd zgodne ze wszystkimi wymogami określonymi w art. 4 ust. 3. W planach gospodarowania wodami w dorzeczach należy położyd szczególny nacisk na ocenę „znaczącego niekorzystnego wpływu” na sposób korzystania z wód lub środowisko naturalne oraz brak „opcji znacznie korzystniejszych środowiskowo”. Jest to konieczne do zapewnienia przejrzystości procesu wyznaczania.</w:t>
            </w:r>
            <w:r w:rsidRPr="00407290">
              <w:rPr>
                <w:rFonts w:ascii="Calibri" w:eastAsia="Times New Roman" w:hAnsi="Calibri" w:cs="Calibri"/>
                <w:color w:val="000000"/>
                <w:sz w:val="18"/>
                <w:szCs w:val="18"/>
                <w:lang w:eastAsia="pl-PL"/>
              </w:rPr>
              <w:br/>
              <w:t>Powyższe zalecenie zostało wykonane w IIaPGW tylko częściowo.</w:t>
            </w:r>
            <w:r w:rsidRPr="00407290">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ocenid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407290">
              <w:rPr>
                <w:rFonts w:ascii="Calibri" w:eastAsia="Times New Roman" w:hAnsi="Calibri" w:cs="Calibri"/>
                <w:color w:val="000000"/>
                <w:sz w:val="18"/>
                <w:szCs w:val="18"/>
                <w:lang w:eastAsia="pl-PL"/>
              </w:rPr>
              <w:t xml:space="preserve"> określone w projekcie IIaPGW.</w:t>
            </w:r>
            <w:r w:rsidRPr="00407290">
              <w:rPr>
                <w:rFonts w:ascii="Calibri" w:eastAsia="Times New Roman" w:hAnsi="Calibri" w:cs="Calibri"/>
                <w:color w:val="000000"/>
                <w:sz w:val="18"/>
                <w:szCs w:val="18"/>
                <w:lang w:eastAsia="pl-PL"/>
              </w:rPr>
              <w:br/>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407290">
              <w:rPr>
                <w:rFonts w:ascii="Calibri" w:eastAsia="Times New Roman" w:hAnsi="Calibri" w:cs="Calibri"/>
                <w:color w:val="000000"/>
                <w:sz w:val="18"/>
                <w:szCs w:val="18"/>
                <w:lang w:eastAsia="pl-PL"/>
              </w:rPr>
              <w:br/>
              <w:t>Na tej podstawie nie można ani potwierdzid ani zaprzeczyd, że zmian hydromorfologicznych nie można odwrócid bez szkody dla pełnionych funkcji i nie ma żadnych rozwiązao alternatywnych dla osiągnięcia tych „korzystnych celów”, o których mowa w przytoczonym wyżej zapisie RDW. Zwłaszcza, że powstał nieuwzględniony dostatecznie w IIaPGW – Krajowy Program Renaturyzacji Wód Powierzchniowych (KPRWP).</w:t>
            </w:r>
            <w:r w:rsidRPr="00407290">
              <w:rPr>
                <w:rFonts w:ascii="Calibri" w:eastAsia="Times New Roman" w:hAnsi="Calibri" w:cs="Calibri"/>
                <w:color w:val="000000"/>
                <w:sz w:val="18"/>
                <w:szCs w:val="18"/>
                <w:lang w:eastAsia="pl-PL"/>
              </w:rPr>
              <w:br/>
              <w:t>Jeśli zaś, zachodzi niepewnośd, co do możliwości wyznaczenia SZCW, wyznaczenie takie było nieuprawnione.</w:t>
            </w:r>
          </w:p>
        </w:tc>
        <w:tc>
          <w:tcPr>
            <w:tcW w:w="3377" w:type="dxa"/>
            <w:shd w:val="clear" w:color="auto" w:fill="auto"/>
            <w:hideMark/>
          </w:tcPr>
          <w:p w14:paraId="168C90D3" w14:textId="2C0784EA"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 xml:space="preserve">Każdorazowo udowodnid (dla konkretnej </w:t>
            </w:r>
            <w:r w:rsidR="00513278">
              <w:rPr>
                <w:rFonts w:ascii="Calibri" w:eastAsia="Times New Roman" w:hAnsi="Calibri" w:cs="Calibri"/>
                <w:color w:val="000000"/>
                <w:sz w:val="18"/>
                <w:szCs w:val="18"/>
                <w:lang w:eastAsia="pl-PL"/>
              </w:rPr>
              <w:t>JCWP</w:t>
            </w:r>
            <w:r w:rsidRPr="00407290">
              <w:rPr>
                <w:rFonts w:ascii="Calibri" w:eastAsia="Times New Roman" w:hAnsi="Calibri" w:cs="Calibri"/>
                <w:color w:val="000000"/>
                <w:sz w:val="18"/>
                <w:szCs w:val="18"/>
                <w:lang w:eastAsia="pl-PL"/>
              </w:rPr>
              <w:t>) brak wątpliwości przy wyznaczeniu SZCW, szczególnie udowodnid zmiany charakterystyk hydromorfologicznych tej części wód, które byłyby konieczne dla osiągnięcia dobrego stanu ekologicznego, mogłyby wywrzed znaczący niekorzystny wpływ na dane cele działalności opisanej w RDW, oraz że faktycznie nie było innych opcji znacznie korzystniejszych środowiskowo. Należy przy tym wziąd pod uwagę, indywidualne dla każdej a</w:t>
            </w:r>
            <w:r w:rsidR="00513278">
              <w:rPr>
                <w:rFonts w:ascii="Calibri" w:eastAsia="Times New Roman" w:hAnsi="Calibri" w:cs="Calibri"/>
                <w:color w:val="000000"/>
                <w:sz w:val="18"/>
                <w:szCs w:val="18"/>
                <w:lang w:eastAsia="pl-PL"/>
              </w:rPr>
              <w:t>JCWP</w:t>
            </w:r>
            <w:r w:rsidRPr="00407290">
              <w:rPr>
                <w:rFonts w:ascii="Calibri" w:eastAsia="Times New Roman" w:hAnsi="Calibri" w:cs="Calibri"/>
                <w:color w:val="000000"/>
                <w:sz w:val="18"/>
                <w:szCs w:val="18"/>
                <w:lang w:eastAsia="pl-PL"/>
              </w:rPr>
              <w:t>, ustalenia KPRWP. Na tej podstawie należy nadad status NAT wszystkim częściom wód ujętym w projekcie IIaPGW, które nie spełniają wymogów art. 4.3. RDW.</w:t>
            </w:r>
          </w:p>
        </w:tc>
        <w:tc>
          <w:tcPr>
            <w:tcW w:w="3401" w:type="dxa"/>
            <w:shd w:val="clear" w:color="auto" w:fill="auto"/>
            <w:hideMark/>
          </w:tcPr>
          <w:p w14:paraId="299CB83C" w14:textId="77777777"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Jak w treści uwagi.</w:t>
            </w:r>
          </w:p>
        </w:tc>
        <w:tc>
          <w:tcPr>
            <w:tcW w:w="1918" w:type="dxa"/>
            <w:shd w:val="clear" w:color="auto" w:fill="auto"/>
            <w:hideMark/>
          </w:tcPr>
          <w:p w14:paraId="7C549781" w14:textId="77777777"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 xml:space="preserve"> - </w:t>
            </w:r>
          </w:p>
        </w:tc>
        <w:tc>
          <w:tcPr>
            <w:tcW w:w="1276" w:type="dxa"/>
            <w:shd w:val="clear" w:color="auto" w:fill="auto"/>
            <w:hideMark/>
          </w:tcPr>
          <w:p w14:paraId="54453B87" w14:textId="77777777" w:rsidR="0085319C" w:rsidRPr="00407290"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wyjaśnienie</w:t>
            </w:r>
          </w:p>
        </w:tc>
        <w:tc>
          <w:tcPr>
            <w:tcW w:w="3513" w:type="dxa"/>
            <w:shd w:val="clear" w:color="auto" w:fill="auto"/>
            <w:hideMark/>
          </w:tcPr>
          <w:p w14:paraId="7F099A0F" w14:textId="3255C063" w:rsidR="0085319C" w:rsidRPr="005E78BB" w:rsidRDefault="0085319C" w:rsidP="0085319C">
            <w:pPr>
              <w:ind w:firstLine="0"/>
              <w:jc w:val="left"/>
              <w:rPr>
                <w:rFonts w:ascii="Calibri" w:eastAsia="Times New Roman" w:hAnsi="Calibri" w:cs="Calibri"/>
                <w:color w:val="000000"/>
                <w:sz w:val="18"/>
                <w:szCs w:val="18"/>
                <w:lang w:eastAsia="pl-PL"/>
              </w:rPr>
            </w:pPr>
            <w:r w:rsidRPr="00407290">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w:t>
            </w:r>
            <w:r w:rsidRPr="00CD6FBC">
              <w:rPr>
                <w:rFonts w:ascii="Calibri" w:eastAsia="Times New Roman" w:hAnsi="Calibri" w:cs="Calibri"/>
                <w:color w:val="000000"/>
                <w:sz w:val="18"/>
                <w:szCs w:val="18"/>
                <w:lang w:eastAsia="pl-PL"/>
              </w:rPr>
              <w:t xml:space="preserve">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407290" w:rsidRPr="00CD6FBC">
              <w:rPr>
                <w:rFonts w:ascii="Calibri" w:eastAsia="Times New Roman" w:hAnsi="Calibri" w:cs="Calibri"/>
                <w:color w:val="000000"/>
                <w:sz w:val="18"/>
                <w:szCs w:val="18"/>
                <w:lang w:eastAsia="pl-PL"/>
              </w:rPr>
              <w:t>Wartości graniczne SCW i SZCW</w:t>
            </w:r>
            <w:r w:rsidR="00407290" w:rsidRPr="00CD6FBC" w:rsidDel="004072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759181B8" w14:textId="77777777" w:rsidTr="00E92AE6">
        <w:trPr>
          <w:trHeight w:val="454"/>
        </w:trPr>
        <w:tc>
          <w:tcPr>
            <w:tcW w:w="562" w:type="dxa"/>
            <w:shd w:val="clear" w:color="auto" w:fill="auto"/>
            <w:hideMark/>
          </w:tcPr>
          <w:p w14:paraId="6BB3631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493</w:t>
            </w:r>
          </w:p>
        </w:tc>
        <w:tc>
          <w:tcPr>
            <w:tcW w:w="1021" w:type="dxa"/>
          </w:tcPr>
          <w:p w14:paraId="3F56C998" w14:textId="1C4944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4EEEC1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87CC1AF" w14:textId="20B591A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type="page"/>
              <w:t xml:space="preserve">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2.1.) nie jest prawidłowym utworzenie jednej dużej SZCW z mniejszych o mieszanym statucie.</w:t>
            </w:r>
            <w:r w:rsidRPr="005E78BB">
              <w:rPr>
                <w:rFonts w:ascii="Calibri" w:eastAsia="Times New Roman" w:hAnsi="Calibri" w:cs="Calibri"/>
                <w:color w:val="000000"/>
                <w:sz w:val="18"/>
                <w:szCs w:val="18"/>
                <w:lang w:eastAsia="pl-PL"/>
              </w:rPr>
              <w:br w:type="page"/>
              <w:t xml:space="preserve">Przykładem mogą byd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ype="page"/>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251F398E" w14:textId="536086A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przywrócid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ype="page"/>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39EFD467" w14:textId="15DDDA26" w:rsidR="0085319C" w:rsidRPr="005E78BB" w:rsidRDefault="0085319C" w:rsidP="0085319C">
            <w:pPr>
              <w:ind w:firstLine="0"/>
              <w:jc w:val="left"/>
              <w:rPr>
                <w:rFonts w:ascii="Calibri" w:eastAsia="Times New Roman" w:hAnsi="Calibri" w:cs="Calibri"/>
                <w:color w:val="000000"/>
                <w:sz w:val="18"/>
                <w:szCs w:val="18"/>
                <w:lang w:eastAsia="pl-PL"/>
              </w:rPr>
            </w:pP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częśd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wymagao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(trod wędrowna). Aspekt obszarów dla gatunków „gospodarczych” w ogóle nie został wzięty pod uwagę w uzupełnionym „erratą” IIaPGW.</w:t>
            </w:r>
          </w:p>
        </w:tc>
        <w:tc>
          <w:tcPr>
            <w:tcW w:w="1918" w:type="dxa"/>
            <w:shd w:val="clear" w:color="auto" w:fill="auto"/>
            <w:hideMark/>
          </w:tcPr>
          <w:p w14:paraId="40B448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F5836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2C1E41" w14:textId="2342469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613A12DF" w14:textId="77777777" w:rsidTr="00E92AE6">
        <w:trPr>
          <w:trHeight w:val="454"/>
        </w:trPr>
        <w:tc>
          <w:tcPr>
            <w:tcW w:w="562" w:type="dxa"/>
            <w:shd w:val="clear" w:color="auto" w:fill="auto"/>
            <w:hideMark/>
          </w:tcPr>
          <w:p w14:paraId="6A2A75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494</w:t>
            </w:r>
          </w:p>
        </w:tc>
        <w:tc>
          <w:tcPr>
            <w:tcW w:w="1021" w:type="dxa"/>
          </w:tcPr>
          <w:p w14:paraId="06E22E71" w14:textId="41C3649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5EA40A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62BC479" w14:textId="7676EC2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 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mied status NATuralnych.</w:t>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RW20001229199Wisła od Zgłowiączki do Brdy RW2000122939 Wisła od Brdy do Wdy RW20001229991Wisła od Wdy do Przekopu Wisły</w:t>
            </w:r>
            <w:r w:rsidRPr="005E78BB">
              <w:rPr>
                <w:rFonts w:ascii="Calibri" w:eastAsia="Times New Roman" w:hAnsi="Calibri" w:cs="Calibri"/>
                <w:color w:val="000000"/>
                <w:sz w:val="18"/>
                <w:szCs w:val="18"/>
                <w:lang w:eastAsia="pl-PL"/>
              </w:rPr>
              <w:br/>
              <w:t>W opisie przyczyny wyznaczenia (Zal. 1 Zestawienie Główne) widnieje: „Korekta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jakośd wód, a w następnej kolejności pod uwagę brane jest dopiero jej użytkowanie.</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681D3F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Przywrócid dla: RW20001229199Wisła od Zgłowiączki do Brdy RW2000122939 Wisła od Brdy do Wdy</w:t>
            </w:r>
            <w:r w:rsidRPr="005E78BB">
              <w:rPr>
                <w:rFonts w:ascii="Calibri" w:eastAsia="Times New Roman" w:hAnsi="Calibri" w:cs="Calibri"/>
                <w:color w:val="000000"/>
                <w:sz w:val="18"/>
                <w:szCs w:val="18"/>
                <w:lang w:eastAsia="pl-PL"/>
              </w:rPr>
              <w:br/>
              <w:t>RW20001229991Wisła od Wdy do Przekopu Wisły</w:t>
            </w:r>
            <w:r w:rsidRPr="005E78BB">
              <w:rPr>
                <w:rFonts w:ascii="Calibri" w:eastAsia="Times New Roman" w:hAnsi="Calibri" w:cs="Calibri"/>
                <w:color w:val="000000"/>
                <w:sz w:val="18"/>
                <w:szCs w:val="18"/>
                <w:lang w:eastAsia="pl-PL"/>
              </w:rPr>
              <w:br/>
              <w:t>naturalny status wody (NAT).</w:t>
            </w:r>
          </w:p>
        </w:tc>
        <w:tc>
          <w:tcPr>
            <w:tcW w:w="3401" w:type="dxa"/>
            <w:shd w:val="clear" w:color="auto" w:fill="auto"/>
            <w:hideMark/>
          </w:tcPr>
          <w:p w14:paraId="4506FC87" w14:textId="780B40D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możliwośd osiągnięcia celów środowiskowych. 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uznad za manipulację.</w:t>
            </w:r>
          </w:p>
        </w:tc>
        <w:tc>
          <w:tcPr>
            <w:tcW w:w="1918" w:type="dxa"/>
            <w:shd w:val="clear" w:color="auto" w:fill="auto"/>
            <w:hideMark/>
          </w:tcPr>
          <w:p w14:paraId="3812A7D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EBE23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6E3027" w14:textId="5D3A56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129868BA" w14:textId="77777777" w:rsidTr="00E92AE6">
        <w:trPr>
          <w:trHeight w:val="454"/>
        </w:trPr>
        <w:tc>
          <w:tcPr>
            <w:tcW w:w="562" w:type="dxa"/>
            <w:shd w:val="clear" w:color="auto" w:fill="auto"/>
            <w:hideMark/>
          </w:tcPr>
          <w:p w14:paraId="0BF2D28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495</w:t>
            </w:r>
          </w:p>
        </w:tc>
        <w:tc>
          <w:tcPr>
            <w:tcW w:w="1021" w:type="dxa"/>
          </w:tcPr>
          <w:p w14:paraId="11407BEC" w14:textId="7FF6902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2C502C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CEEFF2" w14:textId="78D1AF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 xml:space="preserve">Sied monitoringu wód powierzchniowych można ocenid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w:t>
            </w:r>
          </w:p>
        </w:tc>
        <w:tc>
          <w:tcPr>
            <w:tcW w:w="3377" w:type="dxa"/>
            <w:shd w:val="clear" w:color="auto" w:fill="auto"/>
            <w:hideMark/>
          </w:tcPr>
          <w:p w14:paraId="0FD7DD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Udostępnid sied lokalizacji ppk w formie wizualnej pozwalającej na ocenę położenia względem obiektów, które sied ma monitorowad. Najlepiej by była to wirtualna mapa z bazą danych, jak w przypadku konsultacji aPZRP.</w:t>
            </w:r>
          </w:p>
        </w:tc>
        <w:tc>
          <w:tcPr>
            <w:tcW w:w="3401" w:type="dxa"/>
            <w:shd w:val="clear" w:color="auto" w:fill="auto"/>
            <w:hideMark/>
          </w:tcPr>
          <w:p w14:paraId="67592F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Sied monitoringowa i jej przedstawienie w czytelnej formie graficznej to wymóg art. 13 w powiązaniu z zał. VII RDW.</w:t>
            </w:r>
          </w:p>
        </w:tc>
        <w:tc>
          <w:tcPr>
            <w:tcW w:w="1918" w:type="dxa"/>
            <w:shd w:val="clear" w:color="auto" w:fill="auto"/>
            <w:hideMark/>
          </w:tcPr>
          <w:p w14:paraId="636DC3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F233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AA54D6E" w14:textId="24E38B2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obszary odpowiedzialności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Informacje zawarte w IIaPGW dotyczące sieci monitoringu na lata 2022-2027 nie stanowią ustalenia sieci monitoringu. Sieć monitoringu ustalana jest w ramach PMŚ stanowiąc zakres właściwości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p>
        </w:tc>
      </w:tr>
      <w:tr w:rsidR="0085319C" w:rsidRPr="005E78BB" w14:paraId="2B162CF8" w14:textId="77777777" w:rsidTr="00E92AE6">
        <w:trPr>
          <w:trHeight w:val="454"/>
        </w:trPr>
        <w:tc>
          <w:tcPr>
            <w:tcW w:w="562" w:type="dxa"/>
            <w:shd w:val="clear" w:color="auto" w:fill="auto"/>
            <w:hideMark/>
          </w:tcPr>
          <w:p w14:paraId="7BF6736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496</w:t>
            </w:r>
          </w:p>
        </w:tc>
        <w:tc>
          <w:tcPr>
            <w:tcW w:w="1021" w:type="dxa"/>
          </w:tcPr>
          <w:p w14:paraId="0D6EBC07" w14:textId="3104205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34D253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3E7149C" w14:textId="432596F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ype="page"/>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byd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Sied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1⁄4 jezior nie jest monitorowana.</w:t>
            </w:r>
          </w:p>
        </w:tc>
        <w:tc>
          <w:tcPr>
            <w:tcW w:w="3377" w:type="dxa"/>
            <w:shd w:val="clear" w:color="auto" w:fill="auto"/>
            <w:hideMark/>
          </w:tcPr>
          <w:p w14:paraId="530E4C4F" w14:textId="05F4CC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objąd monitoringiem (chodby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wzmocnid sied MD dla RW, uzupełnid sied monitoringu dla LW oraz wprowadzid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66924F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Uzupełnienie sieci monitoringu nie będzie powodowad znaczącego obciążenia budżetu paostwa i jest wykonalne przy niewielkim wsparciu struktur GIOŚ / WIOŚ.</w:t>
            </w:r>
          </w:p>
        </w:tc>
        <w:tc>
          <w:tcPr>
            <w:tcW w:w="1918" w:type="dxa"/>
            <w:shd w:val="clear" w:color="auto" w:fill="auto"/>
            <w:hideMark/>
          </w:tcPr>
          <w:p w14:paraId="161075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08B24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4FCA36C" w14:textId="0536F5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05D3E480" w14:textId="77777777" w:rsidTr="00E92AE6">
        <w:trPr>
          <w:trHeight w:val="454"/>
        </w:trPr>
        <w:tc>
          <w:tcPr>
            <w:tcW w:w="562" w:type="dxa"/>
            <w:shd w:val="clear" w:color="auto" w:fill="auto"/>
            <w:hideMark/>
          </w:tcPr>
          <w:p w14:paraId="0CC7EB8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497</w:t>
            </w:r>
          </w:p>
        </w:tc>
        <w:tc>
          <w:tcPr>
            <w:tcW w:w="1021" w:type="dxa"/>
          </w:tcPr>
          <w:p w14:paraId="0C88D3A0" w14:textId="0658DE0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7A5070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AEFBC30" w14:textId="520AA7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Streszczenie niespecjalistyczne; IIaPGW Rozdział 7, 8, 9</w:t>
            </w:r>
            <w:r w:rsidRPr="005E78BB">
              <w:rPr>
                <w:rFonts w:ascii="Calibri" w:eastAsia="Times New Roman" w:hAnsi="Calibri" w:cs="Calibri"/>
                <w:color w:val="000000"/>
                <w:sz w:val="18"/>
                <w:szCs w:val="18"/>
                <w:lang w:eastAsia="pl-PL"/>
              </w:rPr>
              <w:br/>
              <w:t>Presja, Cele środowiskowe,</w:t>
            </w:r>
            <w:r w:rsidRPr="005E78BB">
              <w:rPr>
                <w:rFonts w:ascii="Calibri" w:eastAsia="Times New Roman" w:hAnsi="Calibri" w:cs="Calibri"/>
                <w:color w:val="000000"/>
                <w:sz w:val="18"/>
                <w:szCs w:val="18"/>
                <w:lang w:eastAsia="pl-PL"/>
              </w:rPr>
              <w:br/>
              <w:t xml:space="preserve">Stopieo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znaleźd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działao likwidujących presje hydromorfologiczne był w dorzeczu Wisły na lata 2016-2021 niewielki, w zasadzie określony tylko dla budowli piętrzących (pomijając kilkanaście niezrealizowanych działao w dorzeczu Nidy) i był około 5-krotnie skromniejszy niż planowany obecnie i w znacznej większości nie został wykonany, o czym poniżej dalszej części uwag.</w:t>
            </w:r>
          </w:p>
        </w:tc>
        <w:tc>
          <w:tcPr>
            <w:tcW w:w="3377" w:type="dxa"/>
            <w:shd w:val="clear" w:color="auto" w:fill="auto"/>
            <w:hideMark/>
          </w:tcPr>
          <w:p w14:paraId="5A137565" w14:textId="2584FA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działao: właściwego, szerokiego doboru działao realizujących cele środowiskowe i znacznej redukcji presji, zwłaszcza hydromorfologicznej na wody. Sprowadza się to powinno do realizacji KPRWP w pełnej formie, uzupełnionego o „reakcje” na rozpoznane nowe presje. Należy przy tym ograniczyd wszystkie działania powodujące te presje – działania inwestycyjne i tzw. prace utrzymaniowe.</w:t>
            </w:r>
            <w:r w:rsidRPr="005E78BB">
              <w:rPr>
                <w:rFonts w:ascii="Calibri" w:eastAsia="Times New Roman" w:hAnsi="Calibri" w:cs="Calibri"/>
                <w:color w:val="000000"/>
                <w:sz w:val="18"/>
                <w:szCs w:val="18"/>
                <w:lang w:eastAsia="pl-PL"/>
              </w:rPr>
              <w:br/>
              <w:t>Należy wykreślid z planów IIaPGW, PPSS i aPZRP, i im podobnych z zakresu gospodarki wodnej, te działania które powodują dalsze przekształcenia hydromorfologiczne, a które już teraz nie zostały zweryfikowane pod kątem oddziaływania na stan wód. Bezwzględnie należy usunąd tego typu działania z listy działao ochronnych IIaPGW (PPSS, mała retencja leśna).</w:t>
            </w:r>
          </w:p>
        </w:tc>
        <w:tc>
          <w:tcPr>
            <w:tcW w:w="3401" w:type="dxa"/>
            <w:shd w:val="clear" w:color="auto" w:fill="auto"/>
            <w:hideMark/>
          </w:tcPr>
          <w:p w14:paraId="378B9C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0201A6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5EC3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27AA335" w14:textId="2BE57E5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689A9941" w14:textId="77777777" w:rsidTr="00E92AE6">
        <w:trPr>
          <w:trHeight w:val="454"/>
        </w:trPr>
        <w:tc>
          <w:tcPr>
            <w:tcW w:w="562" w:type="dxa"/>
            <w:shd w:val="clear" w:color="auto" w:fill="auto"/>
            <w:hideMark/>
          </w:tcPr>
          <w:p w14:paraId="2CF1B77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498</w:t>
            </w:r>
          </w:p>
        </w:tc>
        <w:tc>
          <w:tcPr>
            <w:tcW w:w="1021" w:type="dxa"/>
          </w:tcPr>
          <w:p w14:paraId="3444C7FE" w14:textId="1A499B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57FC45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4155D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9</w:t>
            </w:r>
            <w:r w:rsidRPr="005E78BB">
              <w:rPr>
                <w:rFonts w:ascii="Calibri" w:eastAsia="Times New Roman" w:hAnsi="Calibri" w:cs="Calibri"/>
                <w:color w:val="000000"/>
                <w:sz w:val="18"/>
                <w:szCs w:val="18"/>
                <w:lang w:eastAsia="pl-PL"/>
              </w:rPr>
              <w:br/>
              <w:t>Postęp i wdrożenie działao 2016-2021</w:t>
            </w:r>
            <w:r w:rsidRPr="005E78BB">
              <w:rPr>
                <w:rFonts w:ascii="Calibri" w:eastAsia="Times New Roman" w:hAnsi="Calibri" w:cs="Calibri"/>
                <w:color w:val="000000"/>
                <w:sz w:val="18"/>
                <w:szCs w:val="18"/>
                <w:lang w:eastAsia="pl-PL"/>
              </w:rPr>
              <w:br/>
              <w:t>W projekcie IIaPGW nie dokonano oceny wykonania działao za lata 2016-2021 w odniesieniu do presji hydromorfologicznych (HM). Zadao było znacznie mniej niż obecnie (renaturyzacyjnych, innych niż udrożnienia przegród było w dorzeczu Wisły tylko kilkanaście i w ok. 90% dotyczyły zlewni rzeki Nidy i zdecydowana większośd tych działao nie została wykonana, ze względu na brak finansowania projektu RZGW w Krakowie). Co do udrożnieo budowli – można jedynie posiłkowad się wykazem budowli do udrożnienia (w „erracie” zał. 4). Działao z aPWŚK wymieniono tam dla dorzecza Wisły ponad 360, niewykonanych zadao przynajmniej w części jest ok. 240 (prolongacja). Co ciekawsze, częśd działao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częśd działao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42B249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IIaPGW należy uzupełnid o stopieo wykonania działao z aPWŚK w dorzeczu Wisły w odniesieniu do wszystkich kategorii i grup.</w:t>
            </w:r>
          </w:p>
        </w:tc>
        <w:tc>
          <w:tcPr>
            <w:tcW w:w="3401" w:type="dxa"/>
            <w:shd w:val="clear" w:color="auto" w:fill="auto"/>
            <w:hideMark/>
          </w:tcPr>
          <w:p w14:paraId="4CAE3F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działao na najbardziej istotną w skali dorzecza presję – hydromorfologiczną, niemożliwa jest ocena doboru działao na lata 2021-2027. Możliwe do wykonania oceny wskazują, że działania w znakomitej większości nie zostały wykonane, trudno więc mówid o tym, ze zostały „wdrożone wszystkie działania naprawcze”, o których mowa w RDW.</w:t>
            </w:r>
          </w:p>
        </w:tc>
        <w:tc>
          <w:tcPr>
            <w:tcW w:w="1918" w:type="dxa"/>
            <w:shd w:val="clear" w:color="auto" w:fill="auto"/>
            <w:hideMark/>
          </w:tcPr>
          <w:p w14:paraId="53C9F0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525C3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C51A9C" w14:textId="20B308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programów działań wraz ze sporządzeniem raportu dla KE (z I aktualizacji PWŚK) oraz rocznych sprawozdań z realizacji działań zgodnie z art. 328 ustawy Prawo wodne. Dobór działań prolongowanych do IIaPGW (niezrealizowanych w aPWŚK) obejmował szczegółową weryfikacjię zasadności realizacji tych działań, zgodnie z metodyką opracowania zestawu działań (materiał źródłowy do IIaPGW), na podstawie wyników analizy presji oraz wyników monitoringu stanu wód GIOŚ 2019 i zidentyfikowane ryzyko nieoiągniecia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.Na potrzeby IIaPGW uwzględniono najnowsze dane opracowane w ramach Analizy znaczących oddziaływań antropogenicznych wraz z oceną ich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aktualne wyniki z monitoringu GIOŚ z 2020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2apgw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zapewianjącym drożność biologiczną.</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5182274F" w14:textId="77777777" w:rsidTr="00E92AE6">
        <w:trPr>
          <w:trHeight w:val="454"/>
        </w:trPr>
        <w:tc>
          <w:tcPr>
            <w:tcW w:w="562" w:type="dxa"/>
            <w:shd w:val="clear" w:color="auto" w:fill="auto"/>
            <w:hideMark/>
          </w:tcPr>
          <w:p w14:paraId="0DF6308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499</w:t>
            </w:r>
          </w:p>
        </w:tc>
        <w:tc>
          <w:tcPr>
            <w:tcW w:w="1021" w:type="dxa"/>
          </w:tcPr>
          <w:p w14:paraId="55936711" w14:textId="14E49C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3C556E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46BA4D1" w14:textId="452C6FA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 Działania 2aPGW KPRWP – raport</w:t>
            </w:r>
            <w:r w:rsidRPr="005E78BB">
              <w:rPr>
                <w:rFonts w:ascii="Calibri" w:eastAsia="Times New Roman" w:hAnsi="Calibri" w:cs="Calibri"/>
                <w:color w:val="000000"/>
                <w:sz w:val="18"/>
                <w:szCs w:val="18"/>
                <w:lang w:eastAsia="pl-PL"/>
              </w:rPr>
              <w:br w:type="page"/>
              <w:t>Jednym z działao krajowych wpisanych do aPWŚK było stworzenie Krajowego Programu Renaturyzacji Wód Powierzchniowych (KPRWP). Jego utworzenie i realizacja była jednym z argumentów strony polskiej w dyskusji z KE dot. wypełnienie postanowieo RDW (patrz s. 13 Dokument roboczy... https://www.apgw.gov.pl/pl/news/show/90) i właściwe wdrożenie działao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działao IIaPGW.</w:t>
            </w:r>
            <w:r w:rsidRPr="005E78BB">
              <w:rPr>
                <w:rFonts w:ascii="Calibri" w:eastAsia="Times New Roman" w:hAnsi="Calibri" w:cs="Calibri"/>
                <w:color w:val="000000"/>
                <w:sz w:val="18"/>
                <w:szCs w:val="18"/>
                <w:lang w:eastAsia="pl-PL"/>
              </w:rPr>
              <w:br w:type="page"/>
              <w:t xml:space="preserve"> 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w:t>
            </w:r>
            <w:r w:rsidRPr="005E78BB">
              <w:rPr>
                <w:rFonts w:ascii="Calibri" w:eastAsia="Times New Roman" w:hAnsi="Calibri" w:cs="Calibri"/>
                <w:color w:val="000000"/>
                <w:sz w:val="18"/>
                <w:szCs w:val="18"/>
                <w:lang w:eastAsia="pl-PL"/>
              </w:rPr>
              <w:br w:type="page"/>
              <w:t xml:space="preserve">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w:t>
            </w:r>
            <w:r w:rsidRPr="005E78BB">
              <w:rPr>
                <w:rFonts w:ascii="Calibri" w:eastAsia="Times New Roman" w:hAnsi="Calibri" w:cs="Calibri"/>
                <w:color w:val="000000"/>
                <w:sz w:val="18"/>
                <w:szCs w:val="18"/>
                <w:lang w:eastAsia="pl-PL"/>
              </w:rPr>
              <w:br w:type="page"/>
              <w:t xml:space="preserve">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w:t>
            </w:r>
            <w:r w:rsidRPr="005E78BB">
              <w:rPr>
                <w:rFonts w:ascii="Calibri" w:eastAsia="Times New Roman" w:hAnsi="Calibri" w:cs="Calibri"/>
                <w:color w:val="000000"/>
                <w:sz w:val="18"/>
                <w:szCs w:val="18"/>
                <w:lang w:eastAsia="pl-PL"/>
              </w:rPr>
              <w:br w:type="page"/>
              <w:t xml:space="preserve"> wdrożono w IIaPGW jedynie częściowo. Ponadto, w wyniku</w:t>
            </w:r>
            <w:r w:rsidRPr="005E78BB">
              <w:rPr>
                <w:rFonts w:ascii="Calibri" w:eastAsia="Times New Roman" w:hAnsi="Calibri" w:cs="Calibri"/>
                <w:color w:val="000000"/>
                <w:sz w:val="18"/>
                <w:szCs w:val="18"/>
                <w:lang w:eastAsia="pl-PL"/>
              </w:rPr>
              <w:br w:type="page"/>
              <w:t xml:space="preserve"> planowanych działao w ramach IIaPGW (inwestycje uznane za</w:t>
            </w:r>
            <w:r w:rsidRPr="005E78BB">
              <w:rPr>
                <w:rFonts w:ascii="Calibri" w:eastAsia="Times New Roman" w:hAnsi="Calibri" w:cs="Calibri"/>
                <w:color w:val="000000"/>
                <w:sz w:val="18"/>
                <w:szCs w:val="18"/>
                <w:lang w:eastAsia="pl-PL"/>
              </w:rPr>
              <w:br w:type="page"/>
              <w:t xml:space="preserve"> spełniające przesłanki art. 4.7 RDW), PPSS i aPZRP, dodatkowa presja</w:t>
            </w:r>
            <w:r w:rsidRPr="005E78BB">
              <w:rPr>
                <w:rFonts w:ascii="Calibri" w:eastAsia="Times New Roman" w:hAnsi="Calibri" w:cs="Calibri"/>
                <w:color w:val="000000"/>
                <w:sz w:val="18"/>
                <w:szCs w:val="18"/>
                <w:lang w:eastAsia="pl-PL"/>
              </w:rPr>
              <w:br w:type="page"/>
              <w:t xml:space="preserve">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w:t>
            </w:r>
            <w:r w:rsidRPr="005E78BB">
              <w:rPr>
                <w:rFonts w:ascii="Calibri" w:eastAsia="Times New Roman" w:hAnsi="Calibri" w:cs="Calibri"/>
                <w:color w:val="000000"/>
                <w:sz w:val="18"/>
                <w:szCs w:val="18"/>
                <w:lang w:eastAsia="pl-PL"/>
              </w:rPr>
              <w:br w:type="page"/>
              <w:t xml:space="preserve"> utrzymaniowych. Taki stan rzeczy wymaga nie tylko pełnego wdrożenia</w:t>
            </w:r>
            <w:r w:rsidRPr="005E78BB">
              <w:rPr>
                <w:rFonts w:ascii="Calibri" w:eastAsia="Times New Roman" w:hAnsi="Calibri" w:cs="Calibri"/>
                <w:color w:val="000000"/>
                <w:sz w:val="18"/>
                <w:szCs w:val="18"/>
                <w:lang w:eastAsia="pl-PL"/>
              </w:rPr>
              <w:br w:type="page"/>
              <w:t xml:space="preserve"> KPRWP, ale i jego uzupełnienia.</w:t>
            </w:r>
            <w:r w:rsidRPr="005E78BB">
              <w:rPr>
                <w:rFonts w:ascii="Calibri" w:eastAsia="Times New Roman" w:hAnsi="Calibri" w:cs="Calibri"/>
                <w:color w:val="000000"/>
                <w:sz w:val="18"/>
                <w:szCs w:val="18"/>
                <w:lang w:eastAsia="pl-PL"/>
              </w:rPr>
              <w:br w:type="page"/>
              <w:t xml:space="preserve"> Z powyższego wynika, że KPRWP został potraktowany jako „zestaw</w:t>
            </w:r>
            <w:r w:rsidRPr="005E78BB">
              <w:rPr>
                <w:rFonts w:ascii="Calibri" w:eastAsia="Times New Roman" w:hAnsi="Calibri" w:cs="Calibri"/>
                <w:color w:val="000000"/>
                <w:sz w:val="18"/>
                <w:szCs w:val="18"/>
                <w:lang w:eastAsia="pl-PL"/>
              </w:rPr>
              <w:br w:type="page"/>
              <w:t xml:space="preserve"> działao zalecanych”, a nie podstawa do likwidacji znaczących presji. Jest</w:t>
            </w:r>
            <w:r w:rsidRPr="005E78BB">
              <w:rPr>
                <w:rFonts w:ascii="Calibri" w:eastAsia="Times New Roman" w:hAnsi="Calibri" w:cs="Calibri"/>
                <w:color w:val="000000"/>
                <w:sz w:val="18"/>
                <w:szCs w:val="18"/>
                <w:lang w:eastAsia="pl-PL"/>
              </w:rPr>
              <w:br w:type="page"/>
              <w:t xml:space="preserve"> to niedopuszczalne, szczególnie, że jest to dokument późniejszy,</w:t>
            </w:r>
            <w:r w:rsidRPr="005E78BB">
              <w:rPr>
                <w:rFonts w:ascii="Calibri" w:eastAsia="Times New Roman" w:hAnsi="Calibri" w:cs="Calibri"/>
                <w:color w:val="000000"/>
                <w:sz w:val="18"/>
                <w:szCs w:val="18"/>
                <w:lang w:eastAsia="pl-PL"/>
              </w:rPr>
              <w:br w:type="page"/>
              <w:t xml:space="preserve"> Przegląd i weryfikacja metodyk wyznaczania silnie zmienionych i sztucznych części wód</w:t>
            </w:r>
            <w:r w:rsidRPr="005E78BB">
              <w:rPr>
                <w:rFonts w:ascii="Calibri" w:eastAsia="Times New Roman" w:hAnsi="Calibri" w:cs="Calibri"/>
                <w:color w:val="000000"/>
                <w:sz w:val="18"/>
                <w:szCs w:val="18"/>
                <w:lang w:eastAsia="pl-PL"/>
              </w:rPr>
              <w:br w:type="page"/>
              <w:t xml:space="preserve">powierzchniowych wraz ze wstępnym i ostatecznym wyznaczeniem (2019)”; w którym określono katalog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ype="page"/>
              <w:t>http://www.ratujmyrzeki.pl/250-konsultacje-apgw https://hektarydlanatury.pl/downloads/Raport_dla_WWF_zalaczniki.pdf</w:t>
            </w:r>
            <w:r w:rsidRPr="005E78BB">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Brak działao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ype="page"/>
              <w:t xml:space="preserve">Zaniechanie realizacji Programu będzie skutkowad świadomym sabotowaniem osiągnięcia celów środowiskowych w roku 2027. </w:t>
            </w:r>
          </w:p>
        </w:tc>
        <w:tc>
          <w:tcPr>
            <w:tcW w:w="3377" w:type="dxa"/>
            <w:shd w:val="clear" w:color="auto" w:fill="auto"/>
            <w:hideMark/>
          </w:tcPr>
          <w:p w14:paraId="209EB354" w14:textId="6ED75E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Uzupełnid katalog działao o zapisy KPRWP, wraz z analizą dodatkowych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03526959" w14:textId="489322F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ustalid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0BA027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A2818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F4B2975" w14:textId="1A283B2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4EFA66B4" w14:textId="77777777" w:rsidTr="00E92AE6">
        <w:trPr>
          <w:trHeight w:val="454"/>
        </w:trPr>
        <w:tc>
          <w:tcPr>
            <w:tcW w:w="562" w:type="dxa"/>
            <w:shd w:val="clear" w:color="auto" w:fill="auto"/>
            <w:hideMark/>
          </w:tcPr>
          <w:p w14:paraId="092AF3E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500</w:t>
            </w:r>
          </w:p>
        </w:tc>
        <w:tc>
          <w:tcPr>
            <w:tcW w:w="1021" w:type="dxa"/>
          </w:tcPr>
          <w:p w14:paraId="18BAF3A8" w14:textId="21601D1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610EE1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2F0843F" w14:textId="08B9EB0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w:t>
            </w:r>
            <w:r w:rsidRPr="005E78BB">
              <w:rPr>
                <w:rFonts w:ascii="Calibri" w:eastAsia="Times New Roman" w:hAnsi="Calibri" w:cs="Calibri"/>
                <w:color w:val="000000"/>
                <w:sz w:val="18"/>
                <w:szCs w:val="18"/>
                <w:lang w:eastAsia="pl-PL"/>
              </w:rPr>
              <w:br/>
              <w:t>Art. 4.4. i 4.5. RDW</w:t>
            </w:r>
            <w:r w:rsidRPr="005E78BB">
              <w:rPr>
                <w:rFonts w:ascii="Calibri" w:eastAsia="Times New Roman" w:hAnsi="Calibri" w:cs="Calibri"/>
                <w:color w:val="000000"/>
                <w:sz w:val="18"/>
                <w:szCs w:val="18"/>
                <w:lang w:eastAsia="pl-PL"/>
              </w:rPr>
              <w:br/>
              <w:t xml:space="preserve">W stosunku do aPGW (2016-2021) w IIaPGW znacznie zwiększona została ilośd „przyznanych” odstępstw z art. 4.5 RDW (złagodzenie celów środowiskowych).)aPGW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300E0F13" w14:textId="4572C5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Usunąd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których nie wdrożono lub nie zaplanowano możliwych działań naprawczych. </w:t>
            </w:r>
          </w:p>
        </w:tc>
        <w:tc>
          <w:tcPr>
            <w:tcW w:w="3401" w:type="dxa"/>
            <w:shd w:val="clear" w:color="auto" w:fill="auto"/>
            <w:hideMark/>
          </w:tcPr>
          <w:p w14:paraId="266509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D2A0C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2C84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3DB4BDE" w14:textId="0201DBB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to przypadki w których, zależnie od sytuacji, przyczyną złego stanu wód są warunki naturalne LUB przypadki w których uznano, że wystarczające będą krajowe działania horyzontalne wynikające z IIaPGW lub dzialania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powyżej lub jej dopływów.</w:t>
            </w:r>
          </w:p>
        </w:tc>
      </w:tr>
      <w:tr w:rsidR="0085319C" w:rsidRPr="005E78BB" w14:paraId="2BC193AD" w14:textId="77777777" w:rsidTr="00E92AE6">
        <w:trPr>
          <w:trHeight w:val="454"/>
        </w:trPr>
        <w:tc>
          <w:tcPr>
            <w:tcW w:w="562" w:type="dxa"/>
            <w:shd w:val="clear" w:color="auto" w:fill="auto"/>
            <w:hideMark/>
          </w:tcPr>
          <w:p w14:paraId="7742E6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501</w:t>
            </w:r>
          </w:p>
        </w:tc>
        <w:tc>
          <w:tcPr>
            <w:tcW w:w="1021" w:type="dxa"/>
          </w:tcPr>
          <w:p w14:paraId="5851C9DB" w14:textId="7F49EE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79CC3F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BBF6723" w14:textId="768A149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byd przejrzyste, jednoznaczne i odpowiednie oraz powinny zostad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w:t>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działalnośd człowieka np. rolnicza uniemożliwia wdrożenie działao naprawczych typu renaturyzacja czy udrożnienie piętrzeo. W związku z niewdrożeniem wielu działao naprawczych, opisy te wydają się byd nieodpowiednie.</w:t>
            </w:r>
          </w:p>
        </w:tc>
        <w:tc>
          <w:tcPr>
            <w:tcW w:w="3377" w:type="dxa"/>
            <w:shd w:val="clear" w:color="auto" w:fill="auto"/>
            <w:hideMark/>
          </w:tcPr>
          <w:p w14:paraId="68E473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Poprawid opis odstępstw tak, aby było możliwe sprawdzenie czy jego ustanowienie było właściwe.</w:t>
            </w:r>
            <w:r w:rsidRPr="005E78BB">
              <w:rPr>
                <w:rFonts w:ascii="Calibri" w:eastAsia="Times New Roman" w:hAnsi="Calibri" w:cs="Calibri"/>
                <w:color w:val="000000"/>
                <w:sz w:val="18"/>
                <w:szCs w:val="18"/>
                <w:lang w:eastAsia="pl-PL"/>
              </w:rPr>
              <w:br/>
              <w:t>Usunąd z listy odstępstw te, dla których uzasadnienia stoją w sprzeczności z KPRWP i dla których możliwe są działania poprawiające stan fizykochemiczny wód.</w:t>
            </w:r>
          </w:p>
        </w:tc>
        <w:tc>
          <w:tcPr>
            <w:tcW w:w="3401" w:type="dxa"/>
            <w:shd w:val="clear" w:color="auto" w:fill="auto"/>
            <w:hideMark/>
          </w:tcPr>
          <w:p w14:paraId="1F2ACC32" w14:textId="4CE4365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w:t>
            </w:r>
          </w:p>
        </w:tc>
        <w:tc>
          <w:tcPr>
            <w:tcW w:w="1918" w:type="dxa"/>
            <w:shd w:val="clear" w:color="auto" w:fill="auto"/>
            <w:hideMark/>
          </w:tcPr>
          <w:p w14:paraId="47E854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11119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DC1FED" w14:textId="466A357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1ED19344" w14:textId="77777777" w:rsidTr="00E92AE6">
        <w:trPr>
          <w:trHeight w:val="454"/>
        </w:trPr>
        <w:tc>
          <w:tcPr>
            <w:tcW w:w="562" w:type="dxa"/>
            <w:shd w:val="clear" w:color="auto" w:fill="auto"/>
            <w:hideMark/>
          </w:tcPr>
          <w:p w14:paraId="3C4B1F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502</w:t>
            </w:r>
          </w:p>
        </w:tc>
        <w:tc>
          <w:tcPr>
            <w:tcW w:w="1021" w:type="dxa"/>
          </w:tcPr>
          <w:p w14:paraId="76FB1952" w14:textId="523D4C1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14BD6C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1F45A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16, Zał. 6</w:t>
            </w:r>
            <w:r w:rsidRPr="005E78BB">
              <w:rPr>
                <w:rFonts w:ascii="Calibri" w:eastAsia="Times New Roman" w:hAnsi="Calibri" w:cs="Calibri"/>
                <w:color w:val="000000"/>
                <w:sz w:val="18"/>
                <w:szCs w:val="18"/>
                <w:lang w:eastAsia="pl-PL"/>
              </w:rPr>
              <w:br/>
              <w:t>W projekcie IIaPGW opublikowano listę przedsięwzięd, która zgodnie z art. 436 PW, powinna spełniad w sposób obiektywny kryteria art. 68 PW, czyli spełniad warunki art. 4.7 RDW do udzielenia derogacji.</w:t>
            </w:r>
            <w:r w:rsidRPr="005E78BB">
              <w:rPr>
                <w:rFonts w:ascii="Calibri" w:eastAsia="Times New Roman" w:hAnsi="Calibri" w:cs="Calibri"/>
                <w:color w:val="000000"/>
                <w:sz w:val="18"/>
                <w:szCs w:val="18"/>
                <w:lang w:eastAsia="pl-PL"/>
              </w:rPr>
              <w:br/>
              <w:t>Spośród 272 przedsięwzięd rzekomo spełniających ww. kryteria, takie podejście zastosowano jedynie do 5 nowych przedsięwzięd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przedsięwzięd - 267 - została przepisanych z poprzedniego aPGW, tylko na podstawie deklaracji inwestorów chęci kontynuacji ich realizacji. Takie odmienne podejście do „starych” przedsięwzięd jest niedopuszczalne. Zmiana w trybie ujmowania w IIaPGW tego typu przedsięwzięd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zapewnid, aby stosowanie wyłączeo na mocy art. 4 ust. 7 opierało się na dogłębnej ocenie wszystkich etapów wymaganych zgodnie z RDW, w szczególności na ocenie, czy realizacja projektu stanowi nadrzędny interes publiczny i czy korzyści dla społeczeostwa przeważają nad degradacją środowiska, przy uwzględnieniu braku realnych rozwiązao alternatywnych stanowiących korzystniejszą opcję środowiskową. Ponadto projekty te mogą byd realizowane jedynie wówczas, gdy zostaną zastosowane wszystkie możliwe środki w celu złagodzenia negatywnego wpływu na stan/potencjał jednolitych części wód.</w:t>
            </w:r>
            <w:r w:rsidRPr="005E78BB">
              <w:rPr>
                <w:rFonts w:ascii="Calibri" w:eastAsia="Times New Roman" w:hAnsi="Calibri" w:cs="Calibri"/>
                <w:color w:val="000000"/>
                <w:sz w:val="18"/>
                <w:szCs w:val="18"/>
                <w:lang w:eastAsia="pl-PL"/>
              </w:rPr>
              <w:br/>
              <w:t>Spośród 267 „starych” przedsięwzięd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w:t>
            </w:r>
            <w:r w:rsidRPr="005E78BB">
              <w:rPr>
                <w:rFonts w:ascii="Calibri" w:eastAsia="Times New Roman" w:hAnsi="Calibri" w:cs="Calibri"/>
                <w:color w:val="000000"/>
                <w:sz w:val="18"/>
                <w:szCs w:val="18"/>
                <w:lang w:eastAsia="pl-PL"/>
              </w:rPr>
              <w:br/>
              <w:t>rzeki Czarna Nida wraz z zabezpieczeniem przeciwpowodziowym terenów zabudowanych na odcinku od Morawicy do Napękowa, gmina Morawica, Daleszyce, Górno i Bieliny.” – Wody Polskie zaniechały tu działao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zgłoszeo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bocheoski,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przedsięwzięd, aż 10 posiada dśu starszą niż 8 lat, co jest obecnie granicą ważności dokumentu, nie można tu mówid też o jakiejkolwiek dogłębnej i aktualnej ocenie wpływu na cele środowiskowe i analizie spełniania kryteriów derogacyjnych. Najstarsza z nich ukooczyła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przedsięwzięd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w:t>
            </w:r>
            <w:r w:rsidRPr="005E78BB">
              <w:rPr>
                <w:rFonts w:ascii="Calibri" w:eastAsia="Times New Roman" w:hAnsi="Calibri" w:cs="Calibri"/>
                <w:color w:val="000000"/>
                <w:sz w:val="18"/>
                <w:szCs w:val="18"/>
                <w:lang w:eastAsia="pl-PL"/>
              </w:rPr>
              <w:br/>
              <w:t>26 listopada 2020 r. uchylił dśu wydaną przez RDOŚ w Kielcach</w:t>
            </w:r>
            <w:r w:rsidRPr="005E78BB">
              <w:rPr>
                <w:rFonts w:ascii="Calibri" w:eastAsia="Times New Roman" w:hAnsi="Calibri" w:cs="Calibri"/>
                <w:color w:val="000000"/>
                <w:sz w:val="18"/>
                <w:szCs w:val="18"/>
                <w:lang w:eastAsia="pl-PL"/>
              </w:rPr>
              <w:br/>
              <w:t>–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w:t>
            </w:r>
            <w:r w:rsidRPr="005E78BB">
              <w:rPr>
                <w:rFonts w:ascii="Calibri" w:eastAsia="Times New Roman" w:hAnsi="Calibri" w:cs="Calibri"/>
                <w:color w:val="000000"/>
                <w:sz w:val="18"/>
                <w:szCs w:val="18"/>
                <w:lang w:eastAsia="pl-PL"/>
              </w:rPr>
              <w:br/>
              <w:t>od Włocławka do jej ujścia do Zatoki - Stopieo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Na 17 ostałych się „starych” inwestycji, aż 7 zostało przez organizacje ekologiczne uznanych za niespełniających warunków derogacji, a dla 5 derogacja jest wątpliwa. Uwagi te dotyczyły ostatecznej wersji aPGW, a opisy derogacji dla tych działao praktycznie się nie zmieniły. Dla pięciu ostatnich przedsięwzięd uwag nie sporządzono.</w:t>
            </w:r>
            <w:r w:rsidRPr="005E78BB">
              <w:rPr>
                <w:rFonts w:ascii="Calibri" w:eastAsia="Times New Roman" w:hAnsi="Calibri" w:cs="Calibri"/>
                <w:color w:val="000000"/>
                <w:sz w:val="18"/>
                <w:szCs w:val="18"/>
                <w:lang w:eastAsia="pl-PL"/>
              </w:rPr>
              <w:br/>
              <w:t>Ponadto nie są aktualne dane o statusach inwestycji – częśd z nich jest obecnie wykonywana lub nawet zakooczona. Przykładami może byd: Program "Budowa drogi wodnej łączącej Zalew Wiślany z Zatoką Gdaoską"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5639F0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usunąd z listy przedsięwzięd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przedsięwzięd ze „starej” listy aPGW należy ponownie przeanalizowad pod kątem oddziaływania na cele środowiskowe i spełnianie przesłanek do derogacji. Należy też sprawdzid,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Przedsięwzięcia niespełniające wymogów art. 436 PW powinny się znaleźd na innej liście inwestycji i działao, które mogą spowodowad nieosiągnięcie dobrego stanu wód lub pogorszenie dobrego stanu wód – liście działao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Powinno się uaktualnid stan zaawansowania inwestycji – obecnie w IIaPGW status planowanych mają również te zaczęte, a nawet skooczone.</w:t>
            </w:r>
          </w:p>
        </w:tc>
        <w:tc>
          <w:tcPr>
            <w:tcW w:w="3401" w:type="dxa"/>
            <w:shd w:val="clear" w:color="auto" w:fill="auto"/>
            <w:hideMark/>
          </w:tcPr>
          <w:p w14:paraId="07D5E4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Przynajmniej 253 z 272 przedsięwzięd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33A5E1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D099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9009B7" w14:textId="1AC888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FF3804C" w14:textId="77777777" w:rsidTr="00E92AE6">
        <w:trPr>
          <w:trHeight w:val="454"/>
        </w:trPr>
        <w:tc>
          <w:tcPr>
            <w:tcW w:w="562" w:type="dxa"/>
            <w:shd w:val="clear" w:color="auto" w:fill="auto"/>
            <w:hideMark/>
          </w:tcPr>
          <w:p w14:paraId="690B4C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503</w:t>
            </w:r>
          </w:p>
        </w:tc>
        <w:tc>
          <w:tcPr>
            <w:tcW w:w="1021" w:type="dxa"/>
          </w:tcPr>
          <w:p w14:paraId="278F0B20" w14:textId="149E29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2F4C39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A4E37E9" w14:textId="67A256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ype="page"/>
              <w:t xml:space="preserve"> Katalogi działao</w:t>
            </w:r>
            <w:r w:rsidRPr="005E78BB">
              <w:rPr>
                <w:rFonts w:ascii="Calibri" w:eastAsia="Times New Roman" w:hAnsi="Calibri" w:cs="Calibri"/>
                <w:color w:val="000000"/>
                <w:sz w:val="18"/>
                <w:szCs w:val="18"/>
                <w:lang w:eastAsia="pl-PL"/>
              </w:rPr>
              <w:br w:type="page"/>
              <w:t>Należy w katalogu działao IIaPGW</w:t>
            </w:r>
            <w:r w:rsidRPr="005E78BB">
              <w:rPr>
                <w:rFonts w:ascii="Calibri" w:eastAsia="Times New Roman" w:hAnsi="Calibri" w:cs="Calibri"/>
                <w:color w:val="000000"/>
                <w:sz w:val="18"/>
                <w:szCs w:val="18"/>
                <w:lang w:eastAsia="pl-PL"/>
              </w:rPr>
              <w:br w:type="page"/>
              <w:t>działania, które są zgrupowane w pakietach:</w:t>
            </w:r>
            <w:r w:rsidRPr="005E78BB">
              <w:rPr>
                <w:rFonts w:ascii="Calibri" w:eastAsia="Times New Roman" w:hAnsi="Calibri" w:cs="Calibri"/>
                <w:color w:val="000000"/>
                <w:sz w:val="18"/>
                <w:szCs w:val="18"/>
                <w:lang w:eastAsia="pl-PL"/>
              </w:rPr>
              <w:br w:type="page"/>
              <w:t>Adaptacja do zmian klimatu usunąd te</w:t>
            </w:r>
            <w:r w:rsidRPr="005E78BB">
              <w:rPr>
                <w:rFonts w:ascii="Calibri" w:eastAsia="Times New Roman" w:hAnsi="Calibri" w:cs="Calibri"/>
                <w:color w:val="000000"/>
                <w:sz w:val="18"/>
                <w:szCs w:val="18"/>
                <w:lang w:eastAsia="pl-PL"/>
              </w:rPr>
              <w:br w:type="page"/>
              <w:t>Usunąd zapisy pozwalające na realizacji działao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ype="page"/>
              <w:t>Wykreślid działania RWC_01.05 i KPRWP .</w:t>
            </w:r>
            <w:r w:rsidRPr="005E78BB">
              <w:rPr>
                <w:rFonts w:ascii="Calibri" w:eastAsia="Times New Roman" w:hAnsi="Calibri" w:cs="Calibri"/>
                <w:color w:val="000000"/>
                <w:sz w:val="18"/>
                <w:szCs w:val="18"/>
                <w:lang w:eastAsia="pl-PL"/>
              </w:rPr>
              <w:br w:type="page"/>
              <w:t>Jak w treści uwagi.</w:t>
            </w:r>
            <w:r w:rsidRPr="005E78BB">
              <w:rPr>
                <w:rFonts w:ascii="Calibri" w:eastAsia="Times New Roman" w:hAnsi="Calibri" w:cs="Calibri"/>
                <w:color w:val="000000"/>
                <w:sz w:val="18"/>
                <w:szCs w:val="18"/>
                <w:lang w:eastAsia="pl-PL"/>
              </w:rPr>
              <w:br w:type="page"/>
              <w:t>Pod szyldem adaptacji do zmian klimatu wprowadza się działania w większości zwiększające presję hydromorfologiczną oraz presję na siedliska i gatunki od wód zależne (także w obszarach chronionych). Jest to sprzeczne z postanowieniami RDW (powinny podlegad ocenie spłeniania warunków 4.7).</w:t>
            </w:r>
            <w:r w:rsidRPr="005E78BB">
              <w:rPr>
                <w:rFonts w:ascii="Calibri" w:eastAsia="Times New Roman" w:hAnsi="Calibri" w:cs="Calibri"/>
                <w:color w:val="000000"/>
                <w:sz w:val="18"/>
                <w:szCs w:val="18"/>
                <w:lang w:eastAsia="pl-PL"/>
              </w:rPr>
              <w:br w:type="page"/>
              <w:t xml:space="preserve">  Ochrona i zwiększanie retencji na obszarach rolniczych.</w:t>
            </w:r>
            <w:r w:rsidRPr="005E78BB">
              <w:rPr>
                <w:rFonts w:ascii="Calibri" w:eastAsia="Times New Roman" w:hAnsi="Calibri" w:cs="Calibri"/>
                <w:color w:val="000000"/>
                <w:sz w:val="18"/>
                <w:szCs w:val="18"/>
                <w:lang w:eastAsia="pl-PL"/>
              </w:rPr>
              <w:br w:type="page"/>
              <w:t xml:space="preserve"> Ochrona i zwiększanie retencji leśnej.</w:t>
            </w:r>
            <w:r w:rsidRPr="005E78BB">
              <w:rPr>
                <w:rFonts w:ascii="Calibri" w:eastAsia="Times New Roman" w:hAnsi="Calibri" w:cs="Calibri"/>
                <w:color w:val="000000"/>
                <w:sz w:val="18"/>
                <w:szCs w:val="18"/>
                <w:lang w:eastAsia="pl-PL"/>
              </w:rPr>
              <w:br w:type="page"/>
              <w:t xml:space="preserve"> Zgodnie z opisem załączników IIaPGW (Zał. 7.2. - 1) działania te</w:t>
            </w:r>
            <w:r w:rsidRPr="005E78BB">
              <w:rPr>
                <w:rFonts w:ascii="Calibri" w:eastAsia="Times New Roman" w:hAnsi="Calibri" w:cs="Calibri"/>
                <w:color w:val="000000"/>
                <w:sz w:val="18"/>
                <w:szCs w:val="18"/>
                <w:lang w:eastAsia="pl-PL"/>
              </w:rPr>
              <w:br w:type="page"/>
              <w:t xml:space="preserve">  RWC_01.07 oraz RWC_01.05. to również realizacja konkretnych</w:t>
            </w:r>
            <w:r w:rsidRPr="005E78BB">
              <w:rPr>
                <w:rFonts w:ascii="Calibri" w:eastAsia="Times New Roman" w:hAnsi="Calibri" w:cs="Calibri"/>
                <w:color w:val="000000"/>
                <w:sz w:val="18"/>
                <w:szCs w:val="18"/>
                <w:lang w:eastAsia="pl-PL"/>
              </w:rPr>
              <w:br w:type="page"/>
              <w:t>RWC_01.07 lub diametralnie zmienid</w:t>
            </w:r>
            <w:r w:rsidRPr="005E78BB">
              <w:rPr>
                <w:rFonts w:ascii="Calibri" w:eastAsia="Times New Roman" w:hAnsi="Calibri" w:cs="Calibri"/>
                <w:color w:val="000000"/>
                <w:sz w:val="18"/>
                <w:szCs w:val="18"/>
                <w:lang w:eastAsia="pl-PL"/>
              </w:rPr>
              <w:br w:type="page"/>
              <w:t xml:space="preserve">  inwestycji do nich przypisanych.</w:t>
            </w:r>
            <w:r w:rsidRPr="005E78BB">
              <w:rPr>
                <w:rFonts w:ascii="Calibri" w:eastAsia="Times New Roman" w:hAnsi="Calibri" w:cs="Calibri"/>
                <w:color w:val="000000"/>
                <w:sz w:val="18"/>
                <w:szCs w:val="18"/>
                <w:lang w:eastAsia="pl-PL"/>
              </w:rPr>
              <w:br w:type="page"/>
              <w:t>RWC_01.05.</w:t>
            </w:r>
            <w:r w:rsidRPr="005E78BB">
              <w:rPr>
                <w:rFonts w:ascii="Calibri" w:eastAsia="Times New Roman" w:hAnsi="Calibri" w:cs="Calibri"/>
                <w:color w:val="000000"/>
                <w:sz w:val="18"/>
                <w:szCs w:val="18"/>
                <w:lang w:eastAsia="pl-PL"/>
              </w:rPr>
              <w:br w:type="page"/>
              <w:t>Realizacja działao wskazanych w etapie I (działanie RWC_01.04.)</w:t>
            </w:r>
            <w:r w:rsidRPr="005E78BB">
              <w:rPr>
                <w:rFonts w:ascii="Calibri" w:eastAsia="Times New Roman" w:hAnsi="Calibri" w:cs="Calibri"/>
                <w:color w:val="000000"/>
                <w:sz w:val="18"/>
                <w:szCs w:val="18"/>
                <w:lang w:eastAsia="pl-PL"/>
              </w:rPr>
              <w:br w:type="page"/>
              <w:t>polegających na zwiększeniu poziomu retencji wody w zlewni w</w:t>
            </w:r>
            <w:r w:rsidRPr="005E78BB">
              <w:rPr>
                <w:rFonts w:ascii="Calibri" w:eastAsia="Times New Roman" w:hAnsi="Calibri" w:cs="Calibri"/>
                <w:color w:val="000000"/>
                <w:sz w:val="18"/>
                <w:szCs w:val="18"/>
                <w:lang w:eastAsia="pl-PL"/>
              </w:rPr>
              <w:br w:type="page"/>
              <w:t>obszarach leśnych dla ograniczenia wymywania zanieczyszczeo</w:t>
            </w:r>
            <w:r w:rsidRPr="005E78BB">
              <w:rPr>
                <w:rFonts w:ascii="Calibri" w:eastAsia="Times New Roman" w:hAnsi="Calibri" w:cs="Calibri"/>
                <w:color w:val="000000"/>
                <w:sz w:val="18"/>
                <w:szCs w:val="18"/>
                <w:lang w:eastAsia="pl-PL"/>
              </w:rPr>
              <w:br w:type="page"/>
              <w:t>obszarowych w celu poprawy stany wód i osiągnięcia wyznaczonych</w:t>
            </w:r>
            <w:r w:rsidRPr="005E78BB">
              <w:rPr>
                <w:rFonts w:ascii="Calibri" w:eastAsia="Times New Roman" w:hAnsi="Calibri" w:cs="Calibri"/>
                <w:color w:val="000000"/>
                <w:sz w:val="18"/>
                <w:szCs w:val="18"/>
                <w:lang w:eastAsia="pl-PL"/>
              </w:rPr>
              <w:br w:type="page"/>
              <w:t>celów środowiskowych – dobrego stanu wód. Dodatkowo wzrost</w:t>
            </w:r>
            <w:r w:rsidRPr="005E78BB">
              <w:rPr>
                <w:rFonts w:ascii="Calibri" w:eastAsia="Times New Roman" w:hAnsi="Calibri" w:cs="Calibri"/>
                <w:color w:val="000000"/>
                <w:sz w:val="18"/>
                <w:szCs w:val="18"/>
                <w:lang w:eastAsia="pl-PL"/>
              </w:rPr>
              <w:br w:type="page"/>
              <w:t>ich planowany zakres, zgodnie z</w:t>
            </w:r>
            <w:r w:rsidRPr="005E78BB">
              <w:rPr>
                <w:rFonts w:ascii="Calibri" w:eastAsia="Times New Roman" w:hAnsi="Calibri" w:cs="Calibri"/>
                <w:color w:val="000000"/>
                <w:sz w:val="18"/>
                <w:szCs w:val="18"/>
                <w:lang w:eastAsia="pl-PL"/>
              </w:rPr>
              <w:br w:type="page"/>
              <w:t xml:space="preserve"> RWC_01.07</w:t>
            </w:r>
            <w:r w:rsidRPr="005E78BB">
              <w:rPr>
                <w:rFonts w:ascii="Calibri" w:eastAsia="Times New Roman" w:hAnsi="Calibri" w:cs="Calibri"/>
                <w:color w:val="000000"/>
                <w:sz w:val="18"/>
                <w:szCs w:val="18"/>
                <w:lang w:eastAsia="pl-PL"/>
              </w:rPr>
              <w:br w:type="page"/>
              <w:t>Realizacja działao wskazanych w etapie I (działanie RWC_01.06.)</w:t>
            </w:r>
            <w:r w:rsidRPr="005E78BB">
              <w:rPr>
                <w:rFonts w:ascii="Calibri" w:eastAsia="Times New Roman" w:hAnsi="Calibri" w:cs="Calibri"/>
                <w:color w:val="000000"/>
                <w:sz w:val="18"/>
                <w:szCs w:val="18"/>
                <w:lang w:eastAsia="pl-PL"/>
              </w:rPr>
              <w:br w:type="page"/>
              <w:t>polegających na zwiększeniu poziomu retencji wody w zlewni w</w:t>
            </w:r>
            <w:r w:rsidRPr="005E78BB">
              <w:rPr>
                <w:rFonts w:ascii="Calibri" w:eastAsia="Times New Roman" w:hAnsi="Calibri" w:cs="Calibri"/>
                <w:color w:val="000000"/>
                <w:sz w:val="18"/>
                <w:szCs w:val="18"/>
                <w:lang w:eastAsia="pl-PL"/>
              </w:rPr>
              <w:br w:type="page"/>
              <w:t>obszarach rolniczych dla ograniczenia wymywania zanieczyszczeo</w:t>
            </w:r>
            <w:r w:rsidRPr="005E78BB">
              <w:rPr>
                <w:rFonts w:ascii="Calibri" w:eastAsia="Times New Roman" w:hAnsi="Calibri" w:cs="Calibri"/>
                <w:color w:val="000000"/>
                <w:sz w:val="18"/>
                <w:szCs w:val="18"/>
                <w:lang w:eastAsia="pl-PL"/>
              </w:rPr>
              <w:br w:type="page"/>
              <w:t>obszarowych w celu poprawy stany wód i osiągnięcia wyznaczonych</w:t>
            </w:r>
            <w:r w:rsidRPr="005E78BB">
              <w:rPr>
                <w:rFonts w:ascii="Calibri" w:eastAsia="Times New Roman" w:hAnsi="Calibri" w:cs="Calibri"/>
                <w:color w:val="000000"/>
                <w:sz w:val="18"/>
                <w:szCs w:val="18"/>
                <w:lang w:eastAsia="pl-PL"/>
              </w:rPr>
              <w:br w:type="page"/>
              <w:t>celów środowiskowych – dobrego stanu wód. Dodatkowo wzrost</w:t>
            </w:r>
            <w:r w:rsidRPr="005E78BB">
              <w:rPr>
                <w:rFonts w:ascii="Calibri" w:eastAsia="Times New Roman" w:hAnsi="Calibri" w:cs="Calibri"/>
                <w:color w:val="000000"/>
                <w:sz w:val="18"/>
                <w:szCs w:val="18"/>
                <w:lang w:eastAsia="pl-PL"/>
              </w:rPr>
              <w:br w:type="page"/>
              <w:t xml:space="preserve">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ype="page"/>
              <w:t xml:space="preserve"> ramach programu PPSS.</w:t>
            </w:r>
            <w:r w:rsidRPr="005E78BB">
              <w:rPr>
                <w:rFonts w:ascii="Calibri" w:eastAsia="Times New Roman" w:hAnsi="Calibri" w:cs="Calibri"/>
                <w:color w:val="000000"/>
                <w:sz w:val="18"/>
                <w:szCs w:val="18"/>
                <w:lang w:eastAsia="pl-PL"/>
              </w:rPr>
              <w:br w:type="page"/>
              <w:t xml:space="preserve"> Zastosowanie RWC_01.07 (rolnicze) to Budowa oraz przebudowa</w:t>
            </w:r>
            <w:r w:rsidRPr="005E78BB">
              <w:rPr>
                <w:rFonts w:ascii="Calibri" w:eastAsia="Times New Roman" w:hAnsi="Calibri" w:cs="Calibri"/>
                <w:color w:val="000000"/>
                <w:sz w:val="18"/>
                <w:szCs w:val="18"/>
                <w:lang w:eastAsia="pl-PL"/>
              </w:rPr>
              <w:br w:type="page"/>
              <w:t xml:space="preserve"> urządzeo melioracji wodnych dla zwiększania retencji glebowej (w</w:t>
            </w:r>
            <w:r w:rsidRPr="005E78BB">
              <w:rPr>
                <w:rFonts w:ascii="Calibri" w:eastAsia="Times New Roman" w:hAnsi="Calibri" w:cs="Calibri"/>
                <w:color w:val="000000"/>
                <w:sz w:val="18"/>
                <w:szCs w:val="18"/>
                <w:lang w:eastAsia="pl-PL"/>
              </w:rPr>
              <w:br w:type="page"/>
              <w:t xml:space="preserve"> zakresie budowy/przebudowy) oraz inne metody zwiększenia ilości i</w:t>
            </w:r>
            <w:r w:rsidRPr="005E78BB">
              <w:rPr>
                <w:rFonts w:ascii="Calibri" w:eastAsia="Times New Roman" w:hAnsi="Calibri" w:cs="Calibri"/>
                <w:color w:val="000000"/>
                <w:sz w:val="18"/>
                <w:szCs w:val="18"/>
                <w:lang w:eastAsia="pl-PL"/>
              </w:rPr>
              <w:br w:type="page"/>
              <w:t xml:space="preserve"> czasu retencji wód na gruntach rolnych.</w:t>
            </w:r>
            <w:r w:rsidRPr="005E78BB">
              <w:rPr>
                <w:rFonts w:ascii="Calibri" w:eastAsia="Times New Roman" w:hAnsi="Calibri" w:cs="Calibri"/>
                <w:color w:val="000000"/>
                <w:sz w:val="18"/>
                <w:szCs w:val="18"/>
                <w:lang w:eastAsia="pl-PL"/>
              </w:rPr>
              <w:br w:type="page"/>
              <w:t xml:space="preserve"> A implementacja działao leśnych RWC_01.05 ma polegad na realizacji</w:t>
            </w:r>
            <w:r w:rsidRPr="005E78BB">
              <w:rPr>
                <w:rFonts w:ascii="Calibri" w:eastAsia="Times New Roman" w:hAnsi="Calibri" w:cs="Calibri"/>
                <w:color w:val="000000"/>
                <w:sz w:val="18"/>
                <w:szCs w:val="18"/>
                <w:lang w:eastAsia="pl-PL"/>
              </w:rPr>
              <w:br w:type="page"/>
              <w:t xml:space="preserve"> przedsięwzięd w ramach tzw. małej retencji górskiej i nizinnej.</w:t>
            </w:r>
            <w:r w:rsidRPr="005E78BB">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5E78BB">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Paostwowe działania to: zabudowa przeciwerozyjna dróg, szlaków zrywkowych oraz zabezpieczenie obiektów infrastruktury leśnej przed skutkami nadmiernej erozji wodnej związanej z gwałtownymi opadami i spływami wód (m.in. wodospusty, płotki drewniane, kaszyce, narzut kamienny). Są to zwykłe regulacje rzek i potoków płynących np. w sąsiedztwie dróg leśnych wybudowanych wzdłuż cieków.</w:t>
            </w:r>
            <w:r w:rsidRPr="005E78BB">
              <w:rPr>
                <w:rFonts w:ascii="Calibri" w:eastAsia="Times New Roman" w:hAnsi="Calibri" w:cs="Calibri"/>
                <w:color w:val="000000"/>
                <w:sz w:val="18"/>
                <w:szCs w:val="18"/>
                <w:lang w:eastAsia="pl-PL"/>
              </w:rPr>
              <w:br w:type="page"/>
              <w:t>Występuje tu niezgodnośd z celami RDW, celami związanymi z ochroną bioróżnorodności. Wymienione rodzaje działao inwestycyjnych z PPSS, i Małej retencji powinny podlegad ocenom z art. 4.7 a nie byd działaniem mającym spełniad cele RDW, z którymi (w większości) są sprzeczne.</w:t>
            </w:r>
            <w:r w:rsidRPr="005E78BB">
              <w:rPr>
                <w:rFonts w:ascii="Calibri" w:eastAsia="Times New Roman" w:hAnsi="Calibri" w:cs="Calibri"/>
                <w:color w:val="000000"/>
                <w:sz w:val="18"/>
                <w:szCs w:val="18"/>
                <w:lang w:eastAsia="pl-PL"/>
              </w:rPr>
              <w:br w:type="page"/>
              <w:t>Jeśli mają zostad w IIaPGW, musi powstad zapis uniemożliwiający realizacji działao mogących pogorszyd hydromorfologię rzek i potoków oraz wpływad negatywnie na siedliska przyrodnicze z nimi związane. Należałoby wykreślid możliwośd budowy urządzeo technicznych na naturalnych ciekach oraz przekształcanie tych cieków. Należy wprowadzid działania renaturyzacyjne, wpisane w KPRWP.</w:t>
            </w:r>
          </w:p>
        </w:tc>
        <w:tc>
          <w:tcPr>
            <w:tcW w:w="3377" w:type="dxa"/>
            <w:shd w:val="clear" w:color="auto" w:fill="auto"/>
            <w:hideMark/>
          </w:tcPr>
          <w:p w14:paraId="45C39B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Usunąd zapisy pozwalające na realizacji działao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ype="page"/>
              <w:t>Wykreślid działania RWC_01.05 i KPRWP .</w:t>
            </w:r>
          </w:p>
        </w:tc>
        <w:tc>
          <w:tcPr>
            <w:tcW w:w="3401" w:type="dxa"/>
            <w:shd w:val="clear" w:color="auto" w:fill="auto"/>
            <w:hideMark/>
          </w:tcPr>
          <w:p w14:paraId="7C3AA7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Pod szyldem adaptacji do zmian klimatu wprowadza się działania w większości zwiększające presję hydromorfologiczną oraz presję na siedliska i gatunki od wód zależne (także w obszarach chronionych). Jest to sprzeczne z postanowieniami RDW (powinny podlegad ocenie spłeniania warunków 4.7).</w:t>
            </w:r>
          </w:p>
        </w:tc>
        <w:tc>
          <w:tcPr>
            <w:tcW w:w="1918" w:type="dxa"/>
            <w:shd w:val="clear" w:color="auto" w:fill="auto"/>
            <w:hideMark/>
          </w:tcPr>
          <w:p w14:paraId="713523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9B68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AFD3B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76432AD" w14:textId="77777777" w:rsidTr="00E92AE6">
        <w:trPr>
          <w:trHeight w:val="454"/>
        </w:trPr>
        <w:tc>
          <w:tcPr>
            <w:tcW w:w="562" w:type="dxa"/>
            <w:shd w:val="clear" w:color="auto" w:fill="auto"/>
            <w:hideMark/>
          </w:tcPr>
          <w:p w14:paraId="6B8DDB9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504</w:t>
            </w:r>
          </w:p>
        </w:tc>
        <w:tc>
          <w:tcPr>
            <w:tcW w:w="1021" w:type="dxa"/>
          </w:tcPr>
          <w:p w14:paraId="6D016B95" w14:textId="12AA6D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2F5E5B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1DC021E" w14:textId="2FC51D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udrożnienia barier migracyjnych</w:t>
            </w:r>
            <w:r w:rsidRPr="005E78BB">
              <w:rPr>
                <w:rFonts w:ascii="Calibri" w:eastAsia="Times New Roman" w:hAnsi="Calibri" w:cs="Calibri"/>
                <w:color w:val="000000"/>
                <w:sz w:val="18"/>
                <w:szCs w:val="18"/>
                <w:lang w:eastAsia="pl-PL"/>
              </w:rPr>
              <w:br/>
              <w:t>Należy zmienid zakres działao przypisanych budowlom piętrzącym, aby umożliwid realizację celów środowiskowych RDW.</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ciągłośd biologiczną i spełnienie celów środowiskowych. Realizacja działao zgodnie z przeprowadzoną analizą.</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Analiza możliwości likwidacji budowli poprzecznych/przebudowa budowli poprzecznych</w:t>
            </w:r>
            <w:r w:rsidRPr="005E78BB">
              <w:rPr>
                <w:rFonts w:ascii="Calibri" w:eastAsia="Times New Roman" w:hAnsi="Calibri" w:cs="Calibri"/>
                <w:color w:val="000000"/>
                <w:sz w:val="18"/>
                <w:szCs w:val="18"/>
                <w:lang w:eastAsia="pl-PL"/>
              </w:rPr>
              <w:br/>
              <w:t>należy zmienid zapis z „Analiza możliwości...” na „Analiza sposobu...” – pozostawienie działania na poziomie badania możliwości nie gwarantuje podjęcia kroków na rzecz przedsięwzięd sprzyjających osiąganiu celów środowiskowych.</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należy dokonad zmiany na</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zapewnid likwidację piętrzeo (barier) wszędzie tam, gdzie okaże się to w wyniku analizy możliwe.</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„Monitoring skuteczności istniejących urządzeo do migracji ryb.” i/lub „Kontrola funkcjonowania urządzeo do migracji ryb.”</w:t>
            </w:r>
            <w:r w:rsidRPr="005E78BB">
              <w:rPr>
                <w:rFonts w:ascii="Calibri" w:eastAsia="Times New Roman" w:hAnsi="Calibri" w:cs="Calibri"/>
                <w:color w:val="000000"/>
                <w:sz w:val="18"/>
                <w:szCs w:val="18"/>
                <w:lang w:eastAsia="pl-PL"/>
              </w:rPr>
              <w:br/>
              <w:t>należy dodad kolejne działanie (Działanie I lub Działanie II): „Przebudowa lub budowa nowego urządzenia dla migracji organizmów wodnych w wypadku jego braku lub nieskutecznego działania / Przegląd zgód wodnoprawnych w przypadku zaniechania działao udrożnieniowych.”</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ciągłośd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dodad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ciągłośd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działao inwestycyjnych ukierunkowanych na neutralizację negatywnego oddziaływania i osiągnięcie celów środowiskowych.”</w:t>
            </w:r>
          </w:p>
        </w:tc>
        <w:tc>
          <w:tcPr>
            <w:tcW w:w="3377" w:type="dxa"/>
            <w:shd w:val="clear" w:color="auto" w:fill="auto"/>
            <w:hideMark/>
          </w:tcPr>
          <w:p w14:paraId="004A2B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386104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CF3D0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09FD1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E3020B8" w14:textId="148460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01091AD0" w14:textId="77777777" w:rsidTr="00E92AE6">
        <w:trPr>
          <w:trHeight w:val="454"/>
        </w:trPr>
        <w:tc>
          <w:tcPr>
            <w:tcW w:w="562" w:type="dxa"/>
            <w:shd w:val="clear" w:color="auto" w:fill="auto"/>
            <w:hideMark/>
          </w:tcPr>
          <w:p w14:paraId="79F8C5D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505</w:t>
            </w:r>
          </w:p>
        </w:tc>
        <w:tc>
          <w:tcPr>
            <w:tcW w:w="1021" w:type="dxa"/>
          </w:tcPr>
          <w:p w14:paraId="2B9FFFC5" w14:textId="2F2F714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01F6DD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6A5FACB" w14:textId="71CE42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koocem półrocznych konsultacji publicznych nie pozwala na pełne odniesienie się do jego zapisów. Poniżej przedstawiono podstawowe braki w programie działao udrożnieniowych, mogących mied skutki nie tylko lokalnego nieosiągnięcia celów środowiskowych, ale także - w skali całego dorzecza. Zidentyfikowano m.in. zaniechanie realizacji działao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Zaniechania i braki mogące skutkowad wyginięciem łososia w dorzeczu Wisły ze względu na:</w:t>
            </w:r>
            <w:r w:rsidRPr="005E78BB">
              <w:rPr>
                <w:rFonts w:ascii="Calibri" w:eastAsia="Times New Roman" w:hAnsi="Calibri" w:cs="Calibri"/>
                <w:color w:val="000000"/>
                <w:sz w:val="18"/>
                <w:szCs w:val="18"/>
                <w:lang w:eastAsia="pl-PL"/>
              </w:rPr>
              <w:br/>
              <w:t>1. Brak udrożnienia dwóch barier w Lubiczu na Drwęcy – (działania: „Ocena wpływu...” i „Kontrola...” + „Monitoring...”) zamiast działao udrożnieniowych. Zgodnie z PZO obszaru Natura 2000 "Dolina Drwęcy" PLH280001, oba piętrzenia (jaz "przy młynie" oraz jaz wodociągów są niedrożne dla ryb, w tym dla łososia i wymagają działao inwestycyjnych. Słusznośd takich działao rozumieją Wodociągi Toruoskie, które zamówiły koncepcję udrożnienia piętrzenia.</w:t>
            </w:r>
            <w:r w:rsidRPr="005E78BB">
              <w:rPr>
                <w:rFonts w:ascii="Calibri" w:eastAsia="Times New Roman" w:hAnsi="Calibri" w:cs="Calibri"/>
                <w:color w:val="000000"/>
                <w:sz w:val="18"/>
                <w:szCs w:val="18"/>
                <w:lang w:eastAsia="pl-PL"/>
              </w:rPr>
              <w:br/>
              <w:t xml:space="preserve">2. Brak działao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urządzeo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Stopieo w Kozienicach – istnieje i jest niedrożny dla ryb (co pokazują badania). W IIaPGW nie zaplanowano żadnych działao udrożnieniowych czy kontrolnych. Mimo wątpliwej legalności piętrzenia, jest on fizyczną przegrodą.</w:t>
            </w:r>
            <w:r w:rsidRPr="005E78BB">
              <w:rPr>
                <w:rFonts w:ascii="Calibri" w:eastAsia="Times New Roman" w:hAnsi="Calibri" w:cs="Calibri"/>
                <w:color w:val="000000"/>
                <w:sz w:val="18"/>
                <w:szCs w:val="18"/>
                <w:lang w:eastAsia="pl-PL"/>
              </w:rPr>
              <w:br/>
              <w:t>4. Wisłoka - jeden z 3. obszarów dla ochrony tarlisk łososia w górnej Wiśle – wydano kilkadziesiąt miliardów zł na przebudowę piętrzeo w całym dorzeczu, ale nie wykonano najważniejszego – w Mielcu (pierwsze piętrzenie na rzece), chod jest on wpisany w apWŚK. Obecnie w IIaPGW zapisano tylko kontrolę i monitoring przepławki która nie istnieje.</w:t>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piętrzeo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działao inwestycyjnych), a kilkanaście nich w ogóle pominięto w zestawieniu budowli (górna Nida zwana Białą Nidą; Lubrzanka, Brzeźnica). Brak działao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działao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przedsięwzięd rzekomo spełniających warunki derogacji art.4.7 RDW).</w:t>
            </w:r>
            <w:r w:rsidRPr="005E78BB">
              <w:rPr>
                <w:rFonts w:ascii="Calibri" w:eastAsia="Times New Roman" w:hAnsi="Calibri" w:cs="Calibri"/>
                <w:color w:val="000000"/>
                <w:sz w:val="18"/>
                <w:szCs w:val="18"/>
                <w:lang w:eastAsia="pl-PL"/>
              </w:rPr>
              <w:br/>
              <w:t xml:space="preserve">Pilica – powyżej Zbiornika Sulejów – na kilkadziesiąt piętrzeo znajdujących się na Pilicy i jej dopływach w obszarach Natura 2000, udrożnionych wg zał. nr 4 do erraty IIaPGW ma byd tylko kilkanaście. W przypadku obszaru Natura 2000 Dolina Górnej Pilicy, gdzie przedmiotem ochrony jest m.in. kilka gatunków ryb, na blisko 40 piętrzeo (w tym wysokich jazów MEW) do udrożnienia przewidziano tylko 2, reszcie przypisano tylko działania nieinwestorskie: „Ocena wpływu...”. Brak udrożnieo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Narew – 79 piętrzeo w dorzeczu Narwi ma wpisaną w IIaPGW uwagę „Piętrzenie rozpoczyna się po 20 kwietnia po migracji ryb”, również jazy na samej Narwi na odcinku pomiędzy Biebrzaoskim Parkiem Narodowym i Narwiaoskim PN. Tylko 1 na 79 budowli ma przypisane działanie inwestycyjne (udrożnieniowe). 20 kwietnia to dla wielu gatunków środek okresu wędrówek związanych z rozrodem, więc nie może to byd przesłanka pozwalająca na brak podejmowania udrożnieo budowli. Na Narwi w obszarach Natura 2000 wyznaczonych m.in. dla ochrony ryb np. „Ostoja Narwiaoska” znajdują się obiekty niedrożne przez cały rok.</w:t>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działao.</w:t>
            </w:r>
            <w:r w:rsidRPr="005E78BB">
              <w:rPr>
                <w:rFonts w:ascii="Calibri" w:eastAsia="Times New Roman" w:hAnsi="Calibri" w:cs="Calibri"/>
                <w:color w:val="000000"/>
                <w:sz w:val="18"/>
                <w:szCs w:val="18"/>
                <w:lang w:eastAsia="pl-PL"/>
              </w:rPr>
              <w:br/>
              <w:t>Paleśnianka – dwa piętrzenia wpisane do udrożnienia w PZO – brak jakichkolwiek działao w IIaPGW (zał. 4 erraty)</w:t>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działao w zał. 4. (co znamienne, obok znajduje się oddział IRŚ w Żabieocu).</w:t>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Czarna Staszowska – w zestawieniu głównym jest drożnośd do Zb. Chaocza, ale brak jakichkolwiek działao na konkretnych barierach w zał. 4.</w:t>
            </w:r>
            <w:r w:rsidRPr="005E78BB">
              <w:rPr>
                <w:rFonts w:ascii="Calibri" w:eastAsia="Times New Roman" w:hAnsi="Calibri" w:cs="Calibri"/>
                <w:color w:val="000000"/>
                <w:sz w:val="18"/>
                <w:szCs w:val="18"/>
                <w:lang w:eastAsia="pl-PL"/>
              </w:rPr>
              <w:br/>
              <w:t>Niezgodnośd z zapisami dla ochrony ryb ważnych gospodarczo: Pasłęka w Braniewie (niesprawna przepławka),</w:t>
            </w:r>
            <w:r w:rsidRPr="005E78BB">
              <w:rPr>
                <w:rFonts w:ascii="Calibri" w:eastAsia="Times New Roman" w:hAnsi="Calibri" w:cs="Calibri"/>
                <w:color w:val="000000"/>
                <w:sz w:val="18"/>
                <w:szCs w:val="18"/>
                <w:lang w:eastAsia="pl-PL"/>
              </w:rPr>
              <w:br/>
              <w:t>Pasłęka w Zb Pierzchały – brak działao na zaporze zbiornika, Omulew (Dębowiec) – uznana za sprawną przepławka z ponad 1 m piętrzeniem z szandorów.</w:t>
            </w:r>
          </w:p>
        </w:tc>
        <w:tc>
          <w:tcPr>
            <w:tcW w:w="3377" w:type="dxa"/>
            <w:shd w:val="clear" w:color="auto" w:fill="auto"/>
            <w:hideMark/>
          </w:tcPr>
          <w:p w14:paraId="58933B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Uzupełnid listę działao inwestycyjnych – faktycznych udrożnieo o wszystkie wynikające z PZO i innych planów dla cennych przyrodniczo obszarów chronionych.</w:t>
            </w:r>
            <w:r w:rsidRPr="005E78BB">
              <w:rPr>
                <w:rFonts w:ascii="Calibri" w:eastAsia="Times New Roman" w:hAnsi="Calibri" w:cs="Calibri"/>
                <w:color w:val="000000"/>
                <w:sz w:val="18"/>
                <w:szCs w:val="18"/>
                <w:lang w:eastAsia="pl-PL"/>
              </w:rPr>
              <w:br/>
              <w:t>Uzupełnid działania inwestycyjne według wymagao dla ryb (kolumny – X-AD w zał. 4 „erraty”).</w:t>
            </w:r>
            <w:r w:rsidRPr="005E78BB">
              <w:rPr>
                <w:rFonts w:ascii="Calibri" w:eastAsia="Times New Roman" w:hAnsi="Calibri" w:cs="Calibri"/>
                <w:color w:val="000000"/>
                <w:sz w:val="18"/>
                <w:szCs w:val="18"/>
                <w:lang w:eastAsia="pl-PL"/>
              </w:rPr>
              <w:br/>
              <w:t>Dokonad ponownej weryfikacji drożności budowli na podstawie faktycznego stanu budowli, a nie tylko ankietyzacji właściciela lub użytkownika budowli.</w:t>
            </w:r>
            <w:r w:rsidRPr="005E78BB">
              <w:rPr>
                <w:rFonts w:ascii="Calibri" w:eastAsia="Times New Roman" w:hAnsi="Calibri" w:cs="Calibri"/>
                <w:color w:val="000000"/>
                <w:sz w:val="18"/>
                <w:szCs w:val="18"/>
                <w:lang w:eastAsia="pl-PL"/>
              </w:rPr>
              <w:br/>
              <w:t>Umieścid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Uznad za wymagające udrożnienia budowle, które zostały wskazane jako drożne do 20 kwietnia (dorzecze Narwi).</w:t>
            </w:r>
          </w:p>
        </w:tc>
        <w:tc>
          <w:tcPr>
            <w:tcW w:w="3401" w:type="dxa"/>
            <w:shd w:val="clear" w:color="auto" w:fill="auto"/>
            <w:hideMark/>
          </w:tcPr>
          <w:p w14:paraId="234F40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327858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D95E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26FADD50" w14:textId="14DCE57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7E2D31C4" w14:textId="77777777" w:rsidTr="00E92AE6">
        <w:trPr>
          <w:trHeight w:val="454"/>
        </w:trPr>
        <w:tc>
          <w:tcPr>
            <w:tcW w:w="562" w:type="dxa"/>
            <w:shd w:val="clear" w:color="auto" w:fill="auto"/>
            <w:hideMark/>
          </w:tcPr>
          <w:p w14:paraId="55563B6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506</w:t>
            </w:r>
          </w:p>
        </w:tc>
        <w:tc>
          <w:tcPr>
            <w:tcW w:w="1021" w:type="dxa"/>
          </w:tcPr>
          <w:p w14:paraId="6177E43D" w14:textId="4A1A3A0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3B6710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BFBE2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ype="page"/>
              <w:t>ODBUDOWA PIĘTRZEO</w:t>
            </w:r>
            <w:r w:rsidRPr="005E78BB">
              <w:rPr>
                <w:rFonts w:ascii="Calibri" w:eastAsia="Times New Roman" w:hAnsi="Calibri" w:cs="Calibri"/>
                <w:color w:val="000000"/>
                <w:sz w:val="18"/>
                <w:szCs w:val="18"/>
                <w:lang w:eastAsia="pl-PL"/>
              </w:rPr>
              <w:br w:type="page"/>
              <w:t xml:space="preserve">W zał. 4 do „Erraty” nr 1 niesłusznie znalazły się zadania polegające na odbudowie lub budowie nowych barier migracyjnych. W dorzeczu Wisły znalazło się 16 takich działao, z czego tylko jedno zdaje się byd w pełni usprawiedliwione (budowa przepławki dla ryb na rzece Pasłęce w ramach przebudowy/ odbudowy jazu w km 29+537). Większośd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byd traktowane nie jako działanie polepszające warunki hydromorfologiczne lecz jako zagrożenie dla celów środowiskowych. </w:t>
            </w:r>
          </w:p>
        </w:tc>
        <w:tc>
          <w:tcPr>
            <w:tcW w:w="3377" w:type="dxa"/>
            <w:shd w:val="clear" w:color="auto" w:fill="auto"/>
            <w:hideMark/>
          </w:tcPr>
          <w:p w14:paraId="0929A5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Wykreślid z zał. 4 do „erraty” 1 działania które polegają na odbudowie nieistniejących obecnie barier migracyjnych. Odbudowa bądź przebudowa tych, które nie są obecnie barierami powinna byd uznana za zagrożenie dla celów środowiskowych wód i obszarów chronionych i ujęta w stosownym załączniku (patrz CIS Guidance No 20 i 37 oraz art. 435 PW). Bezwzględnie należy wykreślid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p>
        </w:tc>
        <w:tc>
          <w:tcPr>
            <w:tcW w:w="3401" w:type="dxa"/>
            <w:shd w:val="clear" w:color="auto" w:fill="auto"/>
            <w:hideMark/>
          </w:tcPr>
          <w:p w14:paraId="1DBEBA67" w14:textId="28B75E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znajduje.Inne odbudowy/przebudowy też wymagają weryfikacji, bo mogą wykazywad podobne znaczące negatywne oddziaływania.</w:t>
            </w:r>
          </w:p>
        </w:tc>
        <w:tc>
          <w:tcPr>
            <w:tcW w:w="1918" w:type="dxa"/>
            <w:shd w:val="clear" w:color="auto" w:fill="auto"/>
            <w:hideMark/>
          </w:tcPr>
          <w:p w14:paraId="3901BC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B919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201E7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44781D45" w14:textId="77777777" w:rsidTr="00E92AE6">
        <w:trPr>
          <w:trHeight w:val="454"/>
        </w:trPr>
        <w:tc>
          <w:tcPr>
            <w:tcW w:w="562" w:type="dxa"/>
            <w:shd w:val="clear" w:color="auto" w:fill="auto"/>
            <w:hideMark/>
          </w:tcPr>
          <w:p w14:paraId="26DB252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507</w:t>
            </w:r>
          </w:p>
        </w:tc>
        <w:tc>
          <w:tcPr>
            <w:tcW w:w="1021" w:type="dxa"/>
          </w:tcPr>
          <w:p w14:paraId="614A4116" w14:textId="6B316B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08A2D2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980C9BE" w14:textId="0F8791A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Bez zmian prawnych oraz rewizji planów inwestycyjnych wynikających z programów sektorowych – PPSS, PZRP i innych, nie ma możliwości osiągnięcia celów IIaPGW i celów RDW.</w:t>
            </w:r>
            <w:r w:rsidRPr="005E78BB">
              <w:rPr>
                <w:rFonts w:ascii="Calibri" w:eastAsia="Times New Roman" w:hAnsi="Calibri" w:cs="Calibri"/>
                <w:color w:val="000000"/>
                <w:sz w:val="18"/>
                <w:szCs w:val="18"/>
                <w:lang w:eastAsia="pl-PL"/>
              </w:rPr>
              <w:br/>
              <w:t xml:space="preserve">Dokumenty sektorowe powinny byd spójne z IIaPGW, jednak przy ich projektach nie wzięto pod uwagę celów środowiskowych RDW i działao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wykazywad (w większości przypadków) znaczące negatywne oddziaływania na.</w:t>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3377" w:type="dxa"/>
            <w:shd w:val="clear" w:color="auto" w:fill="auto"/>
            <w:hideMark/>
          </w:tcPr>
          <w:p w14:paraId="0CC86D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Umieścid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0012C61A" w14:textId="1884C87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byd spójne z IIaPGW. Jest to wymóg RDW.</w:t>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działao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w:t>
            </w:r>
          </w:p>
        </w:tc>
        <w:tc>
          <w:tcPr>
            <w:tcW w:w="1918" w:type="dxa"/>
            <w:shd w:val="clear" w:color="auto" w:fill="auto"/>
            <w:hideMark/>
          </w:tcPr>
          <w:p w14:paraId="6B46953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DD7E4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6DC7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1E9ECD4B" w14:textId="77777777" w:rsidTr="00E92AE6">
        <w:trPr>
          <w:trHeight w:val="454"/>
        </w:trPr>
        <w:tc>
          <w:tcPr>
            <w:tcW w:w="562" w:type="dxa"/>
            <w:shd w:val="clear" w:color="auto" w:fill="auto"/>
            <w:hideMark/>
          </w:tcPr>
          <w:p w14:paraId="4F07CAD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508</w:t>
            </w:r>
          </w:p>
        </w:tc>
        <w:tc>
          <w:tcPr>
            <w:tcW w:w="1021" w:type="dxa"/>
          </w:tcPr>
          <w:p w14:paraId="0BB24175" w14:textId="6200521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2D6747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E27EB07" w14:textId="70A273D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Konkretne zmiany prawne</w:t>
            </w:r>
            <w:r w:rsidRPr="005E78BB">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prace utrzymaniowe – należy ująd w Prawie wodnym koniecznośd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 dobrych-praktyk-w-zakresie-robot-hydrotechnicznych powinno byd prawnym obowiązkiem zarządców wód i mied na celu ograniczanie praktyk szkodliwych (i przeskalowanych) działao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urządzeo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oddziaływao tylko, gdy jedno z działao „łapie się” do oceny) i powinny byd znacząco obniżone; należy zaznaczyd,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odwoład;</w:t>
            </w:r>
            <w:r w:rsidRPr="005E78BB">
              <w:rPr>
                <w:rFonts w:ascii="Calibri" w:eastAsia="Times New Roman" w:hAnsi="Calibri" w:cs="Calibri"/>
                <w:color w:val="000000"/>
                <w:sz w:val="18"/>
                <w:szCs w:val="18"/>
                <w:lang w:eastAsia="pl-PL"/>
              </w:rPr>
              <w:br/>
              <w:t>- należy uzupełnid art. 416.2 PW o cykliczne przeglądy spełniania wymogów pozwoleo wodnoprawnych na piętrzenie wód.</w:t>
            </w:r>
            <w:r w:rsidRPr="005E78BB">
              <w:rPr>
                <w:rFonts w:ascii="Calibri" w:eastAsia="Times New Roman" w:hAnsi="Calibri" w:cs="Calibri"/>
                <w:color w:val="000000"/>
                <w:sz w:val="18"/>
                <w:szCs w:val="18"/>
                <w:lang w:eastAsia="pl-PL"/>
              </w:rPr>
              <w:br/>
              <w:t>- należy usunąd koniecznośd umieszczania w PGW katalogu odcinków ZAGROŻENIA DLA SWOBODNEGO PRZEPŁYWU WÓD ORAZ SPŁYWU LODÓW lub planowane działania przenieśd do katalogu, o którym mowa w art. 435 PW;</w:t>
            </w:r>
            <w:r w:rsidRPr="005E78BB">
              <w:rPr>
                <w:rFonts w:ascii="Calibri" w:eastAsia="Times New Roman" w:hAnsi="Calibri" w:cs="Calibri"/>
                <w:color w:val="000000"/>
                <w:sz w:val="18"/>
                <w:szCs w:val="18"/>
                <w:lang w:eastAsia="pl-PL"/>
              </w:rPr>
              <w:br/>
              <w:t>- katalog o którym mowa w art. 435 PW powinien byd również publikowany w PGW, a nie tylko te przedsięwzięcia, które zgodnie z art. 436 spełniają wymogi określone w art. 4.7 RDW.</w:t>
            </w:r>
          </w:p>
        </w:tc>
        <w:tc>
          <w:tcPr>
            <w:tcW w:w="3377" w:type="dxa"/>
            <w:shd w:val="clear" w:color="auto" w:fill="auto"/>
            <w:hideMark/>
          </w:tcPr>
          <w:p w14:paraId="0C706E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5046EB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BCC62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F559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16C30F4" w14:textId="3D2EF1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67E87734" w14:textId="77777777" w:rsidTr="00E92AE6">
        <w:trPr>
          <w:trHeight w:val="454"/>
        </w:trPr>
        <w:tc>
          <w:tcPr>
            <w:tcW w:w="562" w:type="dxa"/>
            <w:shd w:val="clear" w:color="auto" w:fill="auto"/>
            <w:hideMark/>
          </w:tcPr>
          <w:p w14:paraId="4D36891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509</w:t>
            </w:r>
          </w:p>
        </w:tc>
        <w:tc>
          <w:tcPr>
            <w:tcW w:w="1021" w:type="dxa"/>
          </w:tcPr>
          <w:p w14:paraId="3A2CA37E" w14:textId="415AEB9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1CE174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03819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532A8D57" w14:textId="3E9988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mied pełne informacje na temat celów środowiskowych i zestawu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wdrażad, zamiast zajmowad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przewartościowad podejście do zasobów wodnych w zakresie retencji (priorytet: odbudowa i ochrona naturalnej retencji), bo obecne podejście tylko oddala nas od osiągnięcia celów RDW.</w:t>
            </w:r>
          </w:p>
        </w:tc>
        <w:tc>
          <w:tcPr>
            <w:tcW w:w="3401" w:type="dxa"/>
            <w:shd w:val="clear" w:color="auto" w:fill="auto"/>
            <w:hideMark/>
          </w:tcPr>
          <w:p w14:paraId="227D33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oddziaływao na obszary Natura 2000 i stan wód”.</w:t>
            </w:r>
          </w:p>
        </w:tc>
        <w:tc>
          <w:tcPr>
            <w:tcW w:w="1918" w:type="dxa"/>
            <w:shd w:val="clear" w:color="auto" w:fill="auto"/>
            <w:hideMark/>
          </w:tcPr>
          <w:p w14:paraId="381D2C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22EF7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ED477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ogólnodostępne i powszechnie obowiązujące.</w:t>
            </w:r>
          </w:p>
        </w:tc>
      </w:tr>
      <w:tr w:rsidR="0085319C" w:rsidRPr="005E78BB" w14:paraId="46D908AC" w14:textId="77777777" w:rsidTr="00E92AE6">
        <w:trPr>
          <w:trHeight w:val="454"/>
        </w:trPr>
        <w:tc>
          <w:tcPr>
            <w:tcW w:w="562" w:type="dxa"/>
            <w:shd w:val="clear" w:color="auto" w:fill="auto"/>
            <w:hideMark/>
          </w:tcPr>
          <w:p w14:paraId="5C31F0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510</w:t>
            </w:r>
          </w:p>
        </w:tc>
        <w:tc>
          <w:tcPr>
            <w:tcW w:w="1021" w:type="dxa"/>
          </w:tcPr>
          <w:p w14:paraId="6AEFB5C6" w14:textId="580CDD8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Kielcach</w:t>
            </w:r>
          </w:p>
        </w:tc>
        <w:tc>
          <w:tcPr>
            <w:tcW w:w="1630" w:type="dxa"/>
            <w:shd w:val="clear" w:color="auto" w:fill="auto"/>
            <w:hideMark/>
          </w:tcPr>
          <w:p w14:paraId="3FBF19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13F3F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ocenie postępu działao – co 2 lata</w:t>
            </w:r>
            <w:r w:rsidRPr="005E78BB">
              <w:rPr>
                <w:rFonts w:ascii="Calibri" w:eastAsia="Times New Roman" w:hAnsi="Calibri" w:cs="Calibri"/>
                <w:color w:val="000000"/>
                <w:sz w:val="18"/>
                <w:szCs w:val="18"/>
                <w:lang w:eastAsia="pl-PL"/>
              </w:rPr>
              <w:br w:type="page"/>
              <w:t>W przypadku budowli do udrożnienia, dla których nie sporządzono dokumentacji, powinny byd ustalone następujące maksymalne terminy do oceny postępu działao: 2 lata – analiza sposobu udrożnienia/ 2 lata – projekt i decyzje / 2 lata – wykonanie.</w:t>
            </w:r>
          </w:p>
        </w:tc>
        <w:tc>
          <w:tcPr>
            <w:tcW w:w="3377" w:type="dxa"/>
            <w:shd w:val="clear" w:color="auto" w:fill="auto"/>
            <w:hideMark/>
          </w:tcPr>
          <w:p w14:paraId="126B0E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3401" w:type="dxa"/>
            <w:shd w:val="clear" w:color="auto" w:fill="auto"/>
            <w:hideMark/>
          </w:tcPr>
          <w:p w14:paraId="300FE6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zapewnid realizację działao naprawczych, co dobitnie pokazał okres planistyczny 2016-2021, w którym zadania niewykonane na półmetku okresu w większości nie doczekały się realizacji.</w:t>
            </w:r>
          </w:p>
        </w:tc>
        <w:tc>
          <w:tcPr>
            <w:tcW w:w="1918" w:type="dxa"/>
            <w:shd w:val="clear" w:color="auto" w:fill="auto"/>
            <w:hideMark/>
          </w:tcPr>
          <w:p w14:paraId="6D1070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AE5F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EA2CE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85319C" w:rsidRPr="005E78BB" w14:paraId="063F595D" w14:textId="77777777" w:rsidTr="00E92AE6">
        <w:trPr>
          <w:trHeight w:val="454"/>
        </w:trPr>
        <w:tc>
          <w:tcPr>
            <w:tcW w:w="562" w:type="dxa"/>
            <w:shd w:val="clear" w:color="auto" w:fill="auto"/>
            <w:hideMark/>
          </w:tcPr>
          <w:p w14:paraId="0F2E983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511</w:t>
            </w:r>
          </w:p>
        </w:tc>
        <w:tc>
          <w:tcPr>
            <w:tcW w:w="1021" w:type="dxa"/>
          </w:tcPr>
          <w:p w14:paraId="449AF505" w14:textId="009AECB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433F8D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78322834" w14:textId="78684532"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p>
        </w:tc>
        <w:tc>
          <w:tcPr>
            <w:tcW w:w="3377" w:type="dxa"/>
            <w:shd w:val="clear" w:color="auto" w:fill="auto"/>
            <w:hideMark/>
          </w:tcPr>
          <w:p w14:paraId="373D59B0" w14:textId="40994BB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47A68616" w14:textId="6F2CC2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5A72C8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9496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6A25F7" w14:textId="327487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7F33207E" w14:textId="77777777" w:rsidTr="00E92AE6">
        <w:trPr>
          <w:trHeight w:val="454"/>
        </w:trPr>
        <w:tc>
          <w:tcPr>
            <w:tcW w:w="562" w:type="dxa"/>
            <w:shd w:val="clear" w:color="auto" w:fill="auto"/>
            <w:hideMark/>
          </w:tcPr>
          <w:p w14:paraId="4754018D"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512</w:t>
            </w:r>
          </w:p>
        </w:tc>
        <w:tc>
          <w:tcPr>
            <w:tcW w:w="1021" w:type="dxa"/>
          </w:tcPr>
          <w:p w14:paraId="013E68E4" w14:textId="5278FC0E"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Badań i Ochrony Przyrody</w:t>
            </w:r>
          </w:p>
        </w:tc>
        <w:tc>
          <w:tcPr>
            <w:tcW w:w="1630" w:type="dxa"/>
            <w:shd w:val="clear" w:color="auto" w:fill="auto"/>
            <w:hideMark/>
          </w:tcPr>
          <w:p w14:paraId="48243AE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30F54621" w14:textId="367AABC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RWr Zbiornikowe Rozdz. 3, 5.1. oraz 8.1., Zał. 3.1. oraz 8., Zał. mapowe</w:t>
            </w:r>
          </w:p>
        </w:tc>
        <w:tc>
          <w:tcPr>
            <w:tcW w:w="3377" w:type="dxa"/>
            <w:shd w:val="clear" w:color="auto" w:fill="auto"/>
            <w:hideMark/>
          </w:tcPr>
          <w:p w14:paraId="4C902406" w14:textId="681E240D"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50C2D152" w14:textId="024D14D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5CE51A24"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C28D1B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25030066" w14:textId="39FDDC2C" w:rsidR="0085319C" w:rsidRPr="00407290"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407290" w:rsidRPr="00CD6FBC">
              <w:rPr>
                <w:rFonts w:ascii="Calibri" w:eastAsia="Times New Roman" w:hAnsi="Calibri" w:cs="Calibri"/>
                <w:color w:val="000000"/>
                <w:sz w:val="18"/>
                <w:szCs w:val="18"/>
                <w:lang w:eastAsia="pl-PL"/>
              </w:rPr>
              <w:t>Wartości graniczne SCW i SZCW</w:t>
            </w:r>
            <w:r w:rsidR="00407290" w:rsidRPr="00CD6FBC" w:rsidDel="004072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248F78F2" w14:textId="77777777" w:rsidTr="00E92AE6">
        <w:trPr>
          <w:trHeight w:val="454"/>
        </w:trPr>
        <w:tc>
          <w:tcPr>
            <w:tcW w:w="562" w:type="dxa"/>
            <w:shd w:val="clear" w:color="auto" w:fill="auto"/>
            <w:hideMark/>
          </w:tcPr>
          <w:p w14:paraId="67728100"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513</w:t>
            </w:r>
          </w:p>
        </w:tc>
        <w:tc>
          <w:tcPr>
            <w:tcW w:w="1021" w:type="dxa"/>
          </w:tcPr>
          <w:p w14:paraId="154AEAF8" w14:textId="066A866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Badań i Ochrony Przyrody</w:t>
            </w:r>
          </w:p>
        </w:tc>
        <w:tc>
          <w:tcPr>
            <w:tcW w:w="1630" w:type="dxa"/>
            <w:shd w:val="clear" w:color="auto" w:fill="auto"/>
            <w:hideMark/>
          </w:tcPr>
          <w:p w14:paraId="5AAA8B53"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5BAFD6A0" w14:textId="7830E56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Zalecenie z 2012 r.: </w:t>
            </w:r>
            <w:r w:rsidRPr="00CD6FBC">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ype="page"/>
              <w:t>Część projektu planu, do którego zgłaszana jest uwaga (numer rozdziału, strona dokumentu, nr załącznika): Rozdz. 3.1.SZCW</w:t>
            </w:r>
          </w:p>
        </w:tc>
        <w:tc>
          <w:tcPr>
            <w:tcW w:w="3377" w:type="dxa"/>
            <w:shd w:val="clear" w:color="auto" w:fill="auto"/>
            <w:hideMark/>
          </w:tcPr>
          <w:p w14:paraId="03C9B269" w14:textId="0362244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6BCE2A6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5F3D9D7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9CEB55F"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6A10E0DD" w14:textId="7296EA04" w:rsidR="0085319C" w:rsidRPr="00407290"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407290" w:rsidRPr="00CD6FBC">
              <w:rPr>
                <w:rFonts w:ascii="Calibri" w:eastAsia="Times New Roman" w:hAnsi="Calibri" w:cs="Calibri"/>
                <w:color w:val="000000"/>
                <w:sz w:val="18"/>
                <w:szCs w:val="18"/>
                <w:lang w:eastAsia="pl-PL"/>
              </w:rPr>
              <w:t>Wartości graniczne SCW i SZCW</w:t>
            </w:r>
            <w:r w:rsidR="00407290" w:rsidRPr="00CD6FBC" w:rsidDel="004072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271898F6" w14:textId="77777777" w:rsidTr="00E92AE6">
        <w:trPr>
          <w:trHeight w:val="454"/>
        </w:trPr>
        <w:tc>
          <w:tcPr>
            <w:tcW w:w="562" w:type="dxa"/>
            <w:shd w:val="clear" w:color="auto" w:fill="auto"/>
            <w:hideMark/>
          </w:tcPr>
          <w:p w14:paraId="2F1F9C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514</w:t>
            </w:r>
          </w:p>
        </w:tc>
        <w:tc>
          <w:tcPr>
            <w:tcW w:w="1021" w:type="dxa"/>
          </w:tcPr>
          <w:p w14:paraId="00316F40" w14:textId="3FB39A4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50C42D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11009C99" w14:textId="274D5A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3377" w:type="dxa"/>
            <w:shd w:val="clear" w:color="auto" w:fill="auto"/>
            <w:hideMark/>
          </w:tcPr>
          <w:p w14:paraId="5F844364" w14:textId="0DDA80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701A3ACD" w14:textId="79B22BA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394EC4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DF0A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0ABBA59" w14:textId="0EBC69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47C5AC3E" w14:textId="77777777" w:rsidTr="00E92AE6">
        <w:trPr>
          <w:trHeight w:val="454"/>
        </w:trPr>
        <w:tc>
          <w:tcPr>
            <w:tcW w:w="562" w:type="dxa"/>
            <w:shd w:val="clear" w:color="auto" w:fill="auto"/>
            <w:hideMark/>
          </w:tcPr>
          <w:p w14:paraId="75B0EA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515</w:t>
            </w:r>
          </w:p>
        </w:tc>
        <w:tc>
          <w:tcPr>
            <w:tcW w:w="1021" w:type="dxa"/>
          </w:tcPr>
          <w:p w14:paraId="35CD5398" w14:textId="6833573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75AB1703" w14:textId="0EE254A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3F9EB38B" w14:textId="2BF190B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5E78BB">
              <w:rPr>
                <w:rFonts w:ascii="Calibri" w:eastAsia="Times New Roman" w:hAnsi="Calibri" w:cs="Calibri"/>
                <w:color w:val="000000"/>
                <w:sz w:val="18"/>
                <w:szCs w:val="18"/>
                <w:lang w:eastAsia="pl-PL"/>
              </w:rPr>
              <w:br/>
              <w:t>Wyznaczenie SZCW niezgodnie z metodyką</w:t>
            </w:r>
          </w:p>
        </w:tc>
        <w:tc>
          <w:tcPr>
            <w:tcW w:w="3377" w:type="dxa"/>
            <w:shd w:val="clear" w:color="auto" w:fill="auto"/>
            <w:hideMark/>
          </w:tcPr>
          <w:p w14:paraId="465AB33D"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09AF98A" w14:textId="684C906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7463D6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52730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806594" w14:textId="2C3745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160793DA" w14:textId="77777777" w:rsidTr="00E92AE6">
        <w:trPr>
          <w:trHeight w:val="454"/>
        </w:trPr>
        <w:tc>
          <w:tcPr>
            <w:tcW w:w="562" w:type="dxa"/>
            <w:shd w:val="clear" w:color="auto" w:fill="auto"/>
            <w:hideMark/>
          </w:tcPr>
          <w:p w14:paraId="056D995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516</w:t>
            </w:r>
          </w:p>
        </w:tc>
        <w:tc>
          <w:tcPr>
            <w:tcW w:w="1021" w:type="dxa"/>
          </w:tcPr>
          <w:p w14:paraId="7F0A95B7" w14:textId="14A67BC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00D43D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693B925B" w14:textId="0BC0BA1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2D6A90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6C4731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023D7F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C3ED2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11FA4F1" w14:textId="32CFB5D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19BCD4BF" w14:textId="77777777" w:rsidTr="00E92AE6">
        <w:trPr>
          <w:trHeight w:val="454"/>
        </w:trPr>
        <w:tc>
          <w:tcPr>
            <w:tcW w:w="562" w:type="dxa"/>
            <w:shd w:val="clear" w:color="auto" w:fill="auto"/>
            <w:hideMark/>
          </w:tcPr>
          <w:p w14:paraId="3BBFC26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517</w:t>
            </w:r>
          </w:p>
        </w:tc>
        <w:tc>
          <w:tcPr>
            <w:tcW w:w="1021" w:type="dxa"/>
          </w:tcPr>
          <w:p w14:paraId="30E0FEE9" w14:textId="51E7591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379089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3F00AF0A" w14:textId="6AA751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1847DFE3" w14:textId="71D099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1864C5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6CF40F3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9F9BF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D43B67E" w14:textId="60E120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29D6F9E9" w14:textId="77777777" w:rsidTr="00E92AE6">
        <w:trPr>
          <w:trHeight w:val="454"/>
        </w:trPr>
        <w:tc>
          <w:tcPr>
            <w:tcW w:w="562" w:type="dxa"/>
            <w:shd w:val="clear" w:color="auto" w:fill="auto"/>
            <w:hideMark/>
          </w:tcPr>
          <w:p w14:paraId="7C3A561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518</w:t>
            </w:r>
          </w:p>
        </w:tc>
        <w:tc>
          <w:tcPr>
            <w:tcW w:w="1021" w:type="dxa"/>
          </w:tcPr>
          <w:p w14:paraId="0D24523C" w14:textId="33525C8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42E6C6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A5973E4" w14:textId="46AD69A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5E78BB">
              <w:rPr>
                <w:rFonts w:ascii="Calibri" w:eastAsia="Times New Roman" w:hAnsi="Calibri" w:cs="Calibri"/>
                <w:color w:val="000000"/>
                <w:sz w:val="18"/>
                <w:szCs w:val="18"/>
                <w:lang w:eastAsia="pl-PL"/>
              </w:rPr>
              <w:br/>
              <w:t xml:space="preserve">Presja, Cele środowiskowe, </w:t>
            </w:r>
          </w:p>
        </w:tc>
        <w:tc>
          <w:tcPr>
            <w:tcW w:w="3377" w:type="dxa"/>
            <w:shd w:val="clear" w:color="auto" w:fill="auto"/>
            <w:hideMark/>
          </w:tcPr>
          <w:p w14:paraId="44BFBA6F" w14:textId="20CA2C5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0A600E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221A92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06ABF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A39E36F" w14:textId="7BFB92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1A280366" w14:textId="77777777" w:rsidTr="00E92AE6">
        <w:trPr>
          <w:trHeight w:val="454"/>
        </w:trPr>
        <w:tc>
          <w:tcPr>
            <w:tcW w:w="562" w:type="dxa"/>
            <w:shd w:val="clear" w:color="auto" w:fill="auto"/>
            <w:hideMark/>
          </w:tcPr>
          <w:p w14:paraId="373E184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519</w:t>
            </w:r>
          </w:p>
        </w:tc>
        <w:tc>
          <w:tcPr>
            <w:tcW w:w="1021" w:type="dxa"/>
          </w:tcPr>
          <w:p w14:paraId="7D01BEEE" w14:textId="79B409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21CAFD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037271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 9, Postęp i wdrożenie działań 2016-2021</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86D70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98075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501EE0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BA7EB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40DA2B7" w14:textId="7CB5C6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5733AE68" w14:textId="77777777" w:rsidTr="00E92AE6">
        <w:trPr>
          <w:trHeight w:val="454"/>
        </w:trPr>
        <w:tc>
          <w:tcPr>
            <w:tcW w:w="562" w:type="dxa"/>
            <w:shd w:val="clear" w:color="auto" w:fill="auto"/>
            <w:hideMark/>
          </w:tcPr>
          <w:p w14:paraId="0C172D6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520</w:t>
            </w:r>
          </w:p>
        </w:tc>
        <w:tc>
          <w:tcPr>
            <w:tcW w:w="1021" w:type="dxa"/>
          </w:tcPr>
          <w:p w14:paraId="6746D4FB" w14:textId="0ADE1DC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34BAFE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04D2F35D" w14:textId="4D27310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5E78BB">
              <w:rPr>
                <w:rFonts w:ascii="Calibri" w:eastAsia="Times New Roman" w:hAnsi="Calibri" w:cs="Calibri"/>
                <w:color w:val="000000"/>
                <w:sz w:val="18"/>
                <w:szCs w:val="18"/>
                <w:lang w:eastAsia="pl-PL"/>
              </w:rPr>
              <w:br/>
              <w:t xml:space="preserve">Działania 2aPGW KPRWP – raport </w:t>
            </w:r>
          </w:p>
        </w:tc>
        <w:tc>
          <w:tcPr>
            <w:tcW w:w="3377" w:type="dxa"/>
            <w:shd w:val="clear" w:color="auto" w:fill="auto"/>
            <w:hideMark/>
          </w:tcPr>
          <w:p w14:paraId="2BCEF6C7" w14:textId="36213F7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r>
          </w:p>
        </w:tc>
        <w:tc>
          <w:tcPr>
            <w:tcW w:w="3401" w:type="dxa"/>
            <w:shd w:val="clear" w:color="auto" w:fill="auto"/>
            <w:hideMark/>
          </w:tcPr>
          <w:p w14:paraId="3DDDE86A" w14:textId="782EDA9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r>
          </w:p>
        </w:tc>
        <w:tc>
          <w:tcPr>
            <w:tcW w:w="1918" w:type="dxa"/>
            <w:shd w:val="clear" w:color="auto" w:fill="auto"/>
            <w:hideMark/>
          </w:tcPr>
          <w:p w14:paraId="052A06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3D78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294F0305" w14:textId="568BE7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66F52DB8" w14:textId="77777777" w:rsidTr="00E92AE6">
        <w:trPr>
          <w:trHeight w:val="454"/>
        </w:trPr>
        <w:tc>
          <w:tcPr>
            <w:tcW w:w="562" w:type="dxa"/>
            <w:shd w:val="clear" w:color="auto" w:fill="auto"/>
            <w:hideMark/>
          </w:tcPr>
          <w:p w14:paraId="74B6B29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521</w:t>
            </w:r>
          </w:p>
        </w:tc>
        <w:tc>
          <w:tcPr>
            <w:tcW w:w="1021" w:type="dxa"/>
          </w:tcPr>
          <w:p w14:paraId="0C324D0C" w14:textId="0629AC9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03B988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7FC4C2A7" w14:textId="4880AC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3A6C733C" w14:textId="504E5EA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p>
        </w:tc>
        <w:tc>
          <w:tcPr>
            <w:tcW w:w="3401" w:type="dxa"/>
            <w:shd w:val="clear" w:color="auto" w:fill="auto"/>
            <w:hideMark/>
          </w:tcPr>
          <w:p w14:paraId="6D8D94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B7EF6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CC5C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1670E1" w14:textId="6F2817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498FA209" w14:textId="77777777" w:rsidTr="00E92AE6">
        <w:trPr>
          <w:trHeight w:val="454"/>
        </w:trPr>
        <w:tc>
          <w:tcPr>
            <w:tcW w:w="562" w:type="dxa"/>
            <w:shd w:val="clear" w:color="auto" w:fill="auto"/>
            <w:hideMark/>
          </w:tcPr>
          <w:p w14:paraId="66E7EA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522</w:t>
            </w:r>
          </w:p>
        </w:tc>
        <w:tc>
          <w:tcPr>
            <w:tcW w:w="1021" w:type="dxa"/>
          </w:tcPr>
          <w:p w14:paraId="3F775D5B" w14:textId="07CE1CE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Anwil S.A. Grupa Orlen</w:t>
            </w:r>
          </w:p>
        </w:tc>
        <w:tc>
          <w:tcPr>
            <w:tcW w:w="1630" w:type="dxa"/>
            <w:shd w:val="clear" w:color="auto" w:fill="auto"/>
            <w:hideMark/>
          </w:tcPr>
          <w:p w14:paraId="6F4567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48E62C4" w14:textId="2017D86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Wniosek o zastosowanie odstępstwa, wskazanego w art. 4, ust. 5 w Dyrektywie 2000/60/WE Parlamentu Europejskiego i Rady z dnia 23 października 2000 r. ustanawiająca ramy wspólnotowego działania w dziedzinie polityki wodnej (Dz. U. UE. L. z 2000 r. Nr 327, str. 1 z późn. zm.), oraz art. 63 Ustawy z dnia 20 lipca 2017 r. Prawo wodne (t.j. Dz. U. z 2021 r. poz. 624 z późn. zm.), w zakresie przewodności,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(PLRW2000122199</w:t>
            </w:r>
            <w:r w:rsidRPr="005E78BB">
              <w:rPr>
                <w:rFonts w:ascii="Calibri" w:eastAsia="Times New Roman" w:hAnsi="Calibri" w:cs="Calibri"/>
                <w:color w:val="000000"/>
                <w:sz w:val="18"/>
                <w:szCs w:val="18"/>
                <w:lang w:eastAsia="pl-PL"/>
              </w:rPr>
              <w:br w:type="page"/>
              <w:t>„Wisła od Zgłowiączki do Brdy”).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Uzasadnienie znajduje się w załączonym pliku.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56FD0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5D98A3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1918" w:type="dxa"/>
            <w:shd w:val="clear" w:color="auto" w:fill="auto"/>
            <w:hideMark/>
          </w:tcPr>
          <w:p w14:paraId="43BE7B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522_ANWIL Grupa Orlen_Wisła</w:t>
            </w:r>
          </w:p>
        </w:tc>
        <w:tc>
          <w:tcPr>
            <w:tcW w:w="1276" w:type="dxa"/>
            <w:shd w:val="clear" w:color="auto" w:fill="auto"/>
            <w:hideMark/>
          </w:tcPr>
          <w:p w14:paraId="7D986B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B57922D" w14:textId="66560FD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 uwagi na przewidywane zmiany w ocenie stanu/potencjału wód do 2022 r. wprowadzone Rozporządzeniem w sprawie klasyfikacji stanu ekologicznego, potencjału ekologicznego i stanu chemicznego oraz sposobu klasyfikacji stanu jednolitych części wód powierzchniowych, a także środowiskowych norm jakości dla substancji priorytetowych (Dz.U z 2021 r, poz.1475), w okresie obowiązywania IIaPGW (2022-2027) stężenie chlorków nie będzie już parametrem diagnostycznych dobrego stanu/potencjału wód, a zasolenie wód powierzchniowych typu RwN (wielka rzeka nizinna) scharakteryzowane zostanie wielkością przewodności elektrolitycznej właściwej (PEW) ustalonym na dopuszczalnym poziomie 850 μS/cm. Dokonano analizy przekroczeń parametru PEW w punktach monitoringu ppk. Górsk i Przechowo wg najbardziej aktualnych danych PMŚ z 2019 r. Zaobserwować można, iż prezentowana ocena potencjału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oparta o zagregowane dane pomiarowe z obu ppk podaje wartość zagregowaną 764 µS/cm, podczas gdy w ppk. Górsk i ppk. Przechowo stwierdzono wartości średnie parametru na poziomie 667 µS/cm i 873 µS/cm (przekroczenie normy dobrego potencjału), odpowiednio i przy średniej wartości zagregowanej 770 µS/cm; Istotne znaczenie ma przy tym częstotliwość przekroczenia normy PEW w ppk. Przechowo w 2019 r., które dotyczyły 50% wykonanych pomiarów, a przekroczenia sięgały od 9% do 33% wartości normy dobrego potencjału.</w:t>
            </w:r>
            <w:r w:rsidRPr="005E78BB">
              <w:rPr>
                <w:rFonts w:ascii="Calibri" w:eastAsia="Times New Roman" w:hAnsi="Calibri" w:cs="Calibri"/>
                <w:color w:val="000000"/>
                <w:sz w:val="18"/>
                <w:szCs w:val="18"/>
                <w:lang w:eastAsia="pl-PL"/>
              </w:rPr>
              <w:br w:type="page"/>
              <w:t xml:space="preserve">Udokumentowane w badaniach monitoringowych i ocenach stanu Głównego Inspektoratu Ochrony Środowiska (w ramach Państwowego Monitoringu Środowiska) przekroczenie dopuszczalnych poziomów przewodności elektrolitycznej właściwej PEW w ppk. Przechowo w 2019 r. zlokalizowanym na zamknięciu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wskazuje na trwały wpływ antropopresji na wody i zasadność dalszego utrzymania przyznanej jej derogacji z art. 4(5) RDW zapisanej w Planie gospodarowania wodami na obszarze dorzecza Wisły (Dz.U. z 2016 r. poz. 1911).</w:t>
            </w:r>
            <w:r w:rsidRPr="005E78BB">
              <w:rPr>
                <w:rFonts w:ascii="Calibri" w:eastAsia="Times New Roman" w:hAnsi="Calibri" w:cs="Calibri"/>
                <w:color w:val="000000"/>
                <w:sz w:val="18"/>
                <w:szCs w:val="18"/>
                <w:lang w:eastAsia="pl-PL"/>
              </w:rPr>
              <w:br w:type="page"/>
              <w:t xml:space="preserve">Aktualizacja Planu gospodarowania wodami na obszarze dorzecza Wisły na lata 2022-2027 wprowadza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Wisła od dopł. z Sierzchowa do Wdy (RW2000212939) na dwie nowe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Wisła od Zgłowiączki do Brdy (RW20001229199) oraz Wisła od Brdy do Wdy (RW2000122939) (vide pkt 1), na które w świetle powyższych analiz, zasadnym jest przeniesienie przedmiotowej derogacji przy uwzględnieniu PEW, co wynika ze sposobu oceny potencjału ekologicznego po 2022 r.</w:t>
            </w:r>
          </w:p>
        </w:tc>
      </w:tr>
      <w:tr w:rsidR="0085319C" w:rsidRPr="005E78BB" w14:paraId="2D99AE83" w14:textId="77777777" w:rsidTr="00E92AE6">
        <w:trPr>
          <w:trHeight w:val="454"/>
        </w:trPr>
        <w:tc>
          <w:tcPr>
            <w:tcW w:w="562" w:type="dxa"/>
            <w:shd w:val="clear" w:color="auto" w:fill="auto"/>
            <w:hideMark/>
          </w:tcPr>
          <w:p w14:paraId="26481D5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523</w:t>
            </w:r>
          </w:p>
        </w:tc>
        <w:tc>
          <w:tcPr>
            <w:tcW w:w="1021" w:type="dxa"/>
          </w:tcPr>
          <w:p w14:paraId="374A2034" w14:textId="0936B44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63A846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9975926" w14:textId="006C676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4E43D5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1B675EA0" w14:textId="38D45E5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67A5F1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42E79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5E56D29" w14:textId="6E5F9BA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235A005" w14:textId="77777777" w:rsidTr="00E92AE6">
        <w:trPr>
          <w:trHeight w:val="454"/>
        </w:trPr>
        <w:tc>
          <w:tcPr>
            <w:tcW w:w="562" w:type="dxa"/>
            <w:shd w:val="clear" w:color="auto" w:fill="auto"/>
            <w:hideMark/>
          </w:tcPr>
          <w:p w14:paraId="7BC8B1A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524</w:t>
            </w:r>
          </w:p>
        </w:tc>
        <w:tc>
          <w:tcPr>
            <w:tcW w:w="1021" w:type="dxa"/>
          </w:tcPr>
          <w:p w14:paraId="03AE58CD" w14:textId="12AF387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034B4F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7B4873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9 Postęp i wdrożenie działań 2016-2021</w:t>
            </w:r>
            <w:r w:rsidRPr="005E78BB">
              <w:rPr>
                <w:rFonts w:ascii="Calibri" w:eastAsia="Times New Roman" w:hAnsi="Calibri" w:cs="Calibri"/>
                <w:color w:val="000000"/>
                <w:sz w:val="18"/>
                <w:szCs w:val="18"/>
                <w:lang w:eastAsia="pl-PL"/>
              </w:rPr>
              <w:br/>
              <w:t>Treść uwagi: 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25795B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p>
        </w:tc>
        <w:tc>
          <w:tcPr>
            <w:tcW w:w="3401" w:type="dxa"/>
            <w:shd w:val="clear" w:color="auto" w:fill="auto"/>
            <w:hideMark/>
          </w:tcPr>
          <w:p w14:paraId="3BB82F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240D4C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D2DF3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E4CA66" w14:textId="4EEB27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0D036C27" w14:textId="77777777" w:rsidTr="00E92AE6">
        <w:trPr>
          <w:trHeight w:val="454"/>
        </w:trPr>
        <w:tc>
          <w:tcPr>
            <w:tcW w:w="562" w:type="dxa"/>
            <w:shd w:val="clear" w:color="auto" w:fill="auto"/>
            <w:hideMark/>
          </w:tcPr>
          <w:p w14:paraId="7E48A80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525</w:t>
            </w:r>
          </w:p>
        </w:tc>
        <w:tc>
          <w:tcPr>
            <w:tcW w:w="1021" w:type="dxa"/>
          </w:tcPr>
          <w:p w14:paraId="2E63B692" w14:textId="67165F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3FB425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7D115C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16, Zał. 6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E072F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14A41A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6A4FC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27B30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AEF6506" w14:textId="790A569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3142CB7D" w14:textId="77777777" w:rsidTr="00E92AE6">
        <w:trPr>
          <w:trHeight w:val="454"/>
        </w:trPr>
        <w:tc>
          <w:tcPr>
            <w:tcW w:w="562" w:type="dxa"/>
            <w:shd w:val="clear" w:color="auto" w:fill="auto"/>
            <w:hideMark/>
          </w:tcPr>
          <w:p w14:paraId="5758C6E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526</w:t>
            </w:r>
          </w:p>
        </w:tc>
        <w:tc>
          <w:tcPr>
            <w:tcW w:w="1021" w:type="dxa"/>
          </w:tcPr>
          <w:p w14:paraId="720A41AB" w14:textId="605FB65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5448FB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0EE5E7CC" w14:textId="4172E90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Rozdz. 10 Działania 2aPGW KPRWP – raport </w:t>
            </w:r>
            <w:r w:rsidRPr="005E78BB">
              <w:rPr>
                <w:rFonts w:ascii="Calibri" w:eastAsia="Times New Roman" w:hAnsi="Calibri" w:cs="Calibri"/>
                <w:color w:val="000000"/>
                <w:sz w:val="18"/>
                <w:szCs w:val="18"/>
                <w:lang w:eastAsia="pl-PL"/>
              </w:rPr>
              <w:br/>
              <w:t xml:space="preserve">Treść uwagi: 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p>
        </w:tc>
        <w:tc>
          <w:tcPr>
            <w:tcW w:w="3377" w:type="dxa"/>
            <w:shd w:val="clear" w:color="auto" w:fill="auto"/>
            <w:hideMark/>
          </w:tcPr>
          <w:p w14:paraId="24FA45B8" w14:textId="3289CD2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305157B2" w14:textId="6DFDAA0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3B9E15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AB7B7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50F9137" w14:textId="53DF73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w:t>
            </w:r>
          </w:p>
        </w:tc>
      </w:tr>
      <w:tr w:rsidR="0085319C" w:rsidRPr="005E78BB" w14:paraId="0D634C85" w14:textId="77777777" w:rsidTr="00E92AE6">
        <w:trPr>
          <w:trHeight w:val="454"/>
        </w:trPr>
        <w:tc>
          <w:tcPr>
            <w:tcW w:w="562" w:type="dxa"/>
            <w:shd w:val="clear" w:color="auto" w:fill="auto"/>
            <w:hideMark/>
          </w:tcPr>
          <w:p w14:paraId="6A8552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527</w:t>
            </w:r>
          </w:p>
        </w:tc>
        <w:tc>
          <w:tcPr>
            <w:tcW w:w="1021" w:type="dxa"/>
          </w:tcPr>
          <w:p w14:paraId="4A569FAA" w14:textId="52E34E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2CDD05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36325BFC" w14:textId="64312C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Katalogi działań</w:t>
            </w:r>
          </w:p>
        </w:tc>
        <w:tc>
          <w:tcPr>
            <w:tcW w:w="3377" w:type="dxa"/>
            <w:shd w:val="clear" w:color="auto" w:fill="auto"/>
            <w:hideMark/>
          </w:tcPr>
          <w:p w14:paraId="44FFA6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1E93AE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spełeniania warunków 4.7). </w:t>
            </w:r>
          </w:p>
        </w:tc>
        <w:tc>
          <w:tcPr>
            <w:tcW w:w="1918" w:type="dxa"/>
            <w:shd w:val="clear" w:color="auto" w:fill="auto"/>
            <w:hideMark/>
          </w:tcPr>
          <w:p w14:paraId="229A3E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67A0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C85358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DD11A94" w14:textId="77777777" w:rsidTr="00E92AE6">
        <w:trPr>
          <w:trHeight w:val="454"/>
        </w:trPr>
        <w:tc>
          <w:tcPr>
            <w:tcW w:w="562" w:type="dxa"/>
            <w:shd w:val="clear" w:color="auto" w:fill="auto"/>
            <w:hideMark/>
          </w:tcPr>
          <w:p w14:paraId="357B40F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528</w:t>
            </w:r>
          </w:p>
        </w:tc>
        <w:tc>
          <w:tcPr>
            <w:tcW w:w="1021" w:type="dxa"/>
          </w:tcPr>
          <w:p w14:paraId="1AC4DD63" w14:textId="7551BE9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79394F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6B23115" w14:textId="0B7820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8.1. – 8.4., Art. 4.4. i 4.5. RDW</w:t>
            </w:r>
            <w:r w:rsidRPr="005E78BB">
              <w:rPr>
                <w:rFonts w:ascii="Calibri" w:eastAsia="Times New Roman" w:hAnsi="Calibri" w:cs="Calibri"/>
                <w:color w:val="000000"/>
                <w:sz w:val="18"/>
                <w:szCs w:val="18"/>
                <w:lang w:eastAsia="pl-PL"/>
              </w:rPr>
              <w:br w:type="page"/>
              <w:t>Treść uwagi: 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&lt;1%</w:t>
            </w:r>
            <w:r w:rsidRPr="005E78BB">
              <w:rPr>
                <w:rFonts w:ascii="Calibri" w:eastAsia="Times New Roman" w:hAnsi="Calibri" w:cs="Calibri"/>
                <w:color w:val="000000"/>
                <w:sz w:val="18"/>
                <w:szCs w:val="18"/>
                <w:lang w:eastAsia="pl-PL"/>
              </w:rPr>
              <w:br w:type="page"/>
              <w:t xml:space="preserve">IIaPGW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1068/1719 = 62%.</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Tylko 238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na 1719 (niecałe 14%) nie ma wyznaczonej żadnej derogacji (4.3, 4.4., 4.5), przy czym nie ma w projekcie IIaPGW zestawienia pozwalającego łatwe sprawdzenie, ile z tych 238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ma przyznaną wstępnie derogację 4.7.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Przyznanie derogacji odstępstwa złagodzenia celów (4.5) możne nastąpić tylko wtedy gdy osiągnięcie celów środowiskowych  byłoby niemożliwe lub nieproporcjonalnie (do korzyści) kosztowne, przy jednoczesnym wdrożeniu wszystkich realnych działań naprawczych. Mając na uwadze, że działania przeciwko presji hydromorfologicznej oraz fizykochemicznej nie zostały odpowiednio wdrożone do aPGW i w dużej części nie zostały wykonane, a z nowego okresu planistycznego wykreślono działania z KPRWP, a dodatkowo w ramach „erraty” ograniczono działania z VIaKPOŚK –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których obniżone zostały wskaźniki oceny, wrażliwe na ww. presje wyznaczenie odstępstwa nie powinno mieć miejsca.</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D11C414" w14:textId="5FB40C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D9BF7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37C5B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C8E3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9C24B57" w14:textId="0C182F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5E78BB">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8BD2005" w14:textId="77777777" w:rsidTr="00E92AE6">
        <w:trPr>
          <w:trHeight w:val="454"/>
        </w:trPr>
        <w:tc>
          <w:tcPr>
            <w:tcW w:w="562" w:type="dxa"/>
            <w:shd w:val="clear" w:color="auto" w:fill="auto"/>
            <w:hideMark/>
          </w:tcPr>
          <w:p w14:paraId="79F56EA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529</w:t>
            </w:r>
          </w:p>
        </w:tc>
        <w:tc>
          <w:tcPr>
            <w:tcW w:w="1021" w:type="dxa"/>
          </w:tcPr>
          <w:p w14:paraId="49BEC442" w14:textId="5C0AB88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2FD512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C34F607" w14:textId="4BE0CA5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36CF1F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42F33529" w14:textId="688A37A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w:t>
            </w:r>
          </w:p>
        </w:tc>
        <w:tc>
          <w:tcPr>
            <w:tcW w:w="1918" w:type="dxa"/>
            <w:shd w:val="clear" w:color="auto" w:fill="auto"/>
            <w:hideMark/>
          </w:tcPr>
          <w:p w14:paraId="074B41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D295D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EEF86B" w14:textId="0097A30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447A4986" w14:textId="77777777" w:rsidTr="00E92AE6">
        <w:trPr>
          <w:trHeight w:val="454"/>
        </w:trPr>
        <w:tc>
          <w:tcPr>
            <w:tcW w:w="562" w:type="dxa"/>
            <w:shd w:val="clear" w:color="auto" w:fill="auto"/>
            <w:hideMark/>
          </w:tcPr>
          <w:p w14:paraId="0A82696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530</w:t>
            </w:r>
          </w:p>
        </w:tc>
        <w:tc>
          <w:tcPr>
            <w:tcW w:w="1021" w:type="dxa"/>
          </w:tcPr>
          <w:p w14:paraId="49C549F2" w14:textId="2256A4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6C3256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621F2D0B" w14:textId="668CA9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3377" w:type="dxa"/>
            <w:shd w:val="clear" w:color="auto" w:fill="auto"/>
            <w:hideMark/>
          </w:tcPr>
          <w:p w14:paraId="610FDEFA"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401" w:type="dxa"/>
            <w:shd w:val="clear" w:color="auto" w:fill="auto"/>
            <w:hideMark/>
          </w:tcPr>
          <w:p w14:paraId="38EA10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0693B5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B758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3C76BAA" w14:textId="11705B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59DD76F2" w14:textId="77777777" w:rsidTr="00E92AE6">
        <w:trPr>
          <w:trHeight w:val="454"/>
        </w:trPr>
        <w:tc>
          <w:tcPr>
            <w:tcW w:w="562" w:type="dxa"/>
            <w:shd w:val="clear" w:color="auto" w:fill="auto"/>
            <w:hideMark/>
          </w:tcPr>
          <w:p w14:paraId="226381C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531</w:t>
            </w:r>
          </w:p>
        </w:tc>
        <w:tc>
          <w:tcPr>
            <w:tcW w:w="1021" w:type="dxa"/>
          </w:tcPr>
          <w:p w14:paraId="5059D4F0" w14:textId="70E46F7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63B108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9A0EB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Rozdz. 16, Zał. 6 </w:t>
            </w:r>
            <w:r w:rsidRPr="005E78BB">
              <w:rPr>
                <w:rFonts w:ascii="Calibri" w:eastAsia="Times New Roman" w:hAnsi="Calibri" w:cs="Calibri"/>
                <w:color w:val="000000"/>
                <w:sz w:val="18"/>
                <w:szCs w:val="18"/>
                <w:lang w:eastAsia="pl-PL"/>
              </w:rPr>
              <w:br w:type="page"/>
              <w:t xml:space="preserve">Treść uwagi: 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D7FF9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18F3B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EE4FD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E109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13E30A8" w14:textId="30163C9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14EA2950" w14:textId="77777777" w:rsidTr="00E92AE6">
        <w:trPr>
          <w:trHeight w:val="454"/>
        </w:trPr>
        <w:tc>
          <w:tcPr>
            <w:tcW w:w="562" w:type="dxa"/>
            <w:shd w:val="clear" w:color="auto" w:fill="auto"/>
            <w:hideMark/>
          </w:tcPr>
          <w:p w14:paraId="2028FA8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532</w:t>
            </w:r>
          </w:p>
        </w:tc>
        <w:tc>
          <w:tcPr>
            <w:tcW w:w="1021" w:type="dxa"/>
          </w:tcPr>
          <w:p w14:paraId="527315D4" w14:textId="069424E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0D7816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2F6EB20" w14:textId="396B22C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Katalogi działań</w:t>
            </w:r>
            <w:r w:rsidRPr="005E78BB">
              <w:rPr>
                <w:rFonts w:ascii="Calibri" w:eastAsia="Times New Roman" w:hAnsi="Calibri" w:cs="Calibri"/>
                <w:color w:val="000000"/>
                <w:sz w:val="18"/>
                <w:szCs w:val="18"/>
                <w:lang w:eastAsia="pl-PL"/>
              </w:rPr>
              <w:br/>
              <w:t>Treść uwagi: 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3377" w:type="dxa"/>
            <w:shd w:val="clear" w:color="auto" w:fill="auto"/>
            <w:hideMark/>
          </w:tcPr>
          <w:p w14:paraId="65A708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53F894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02596B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8294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B8694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78DE14A2" w14:textId="77777777" w:rsidTr="00E92AE6">
        <w:trPr>
          <w:trHeight w:val="454"/>
        </w:trPr>
        <w:tc>
          <w:tcPr>
            <w:tcW w:w="562" w:type="dxa"/>
            <w:shd w:val="clear" w:color="auto" w:fill="auto"/>
            <w:hideMark/>
          </w:tcPr>
          <w:p w14:paraId="763FA8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533</w:t>
            </w:r>
          </w:p>
        </w:tc>
        <w:tc>
          <w:tcPr>
            <w:tcW w:w="1021" w:type="dxa"/>
          </w:tcPr>
          <w:p w14:paraId="7B3A1D9E" w14:textId="7C57BC0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259AD7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039D9A8" w14:textId="5004C0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r>
          </w:p>
        </w:tc>
        <w:tc>
          <w:tcPr>
            <w:tcW w:w="3377" w:type="dxa"/>
            <w:shd w:val="clear" w:color="auto" w:fill="auto"/>
            <w:hideMark/>
          </w:tcPr>
          <w:p w14:paraId="065FE62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80C99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67B7C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76AA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580CA4F" w14:textId="7A6DEE8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28AED7DF" w14:textId="77777777" w:rsidTr="00E92AE6">
        <w:trPr>
          <w:trHeight w:val="454"/>
        </w:trPr>
        <w:tc>
          <w:tcPr>
            <w:tcW w:w="562" w:type="dxa"/>
            <w:shd w:val="clear" w:color="auto" w:fill="auto"/>
            <w:hideMark/>
          </w:tcPr>
          <w:p w14:paraId="7ACA862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534</w:t>
            </w:r>
          </w:p>
        </w:tc>
        <w:tc>
          <w:tcPr>
            <w:tcW w:w="1021" w:type="dxa"/>
          </w:tcPr>
          <w:p w14:paraId="35A9F29F" w14:textId="4CD649A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D1BED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37E3959" w14:textId="471763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barier migracyjnych</w:t>
            </w:r>
            <w:r w:rsidRPr="005E78BB">
              <w:rPr>
                <w:rFonts w:ascii="Calibri" w:eastAsia="Times New Roman" w:hAnsi="Calibri" w:cs="Calibri"/>
                <w:color w:val="000000"/>
                <w:sz w:val="18"/>
                <w:szCs w:val="18"/>
                <w:lang w:eastAsia="pl-PL"/>
              </w:rPr>
              <w:br w:type="page"/>
              <w:t>Treść uwagi: 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t xml:space="preserve">lub </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 xml:space="preserve">należy dokonać zmiany na </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„Monitoring skuteczności istniejących urządzeń do migracji ryb.” i/lub </w:t>
            </w:r>
            <w:r w:rsidRPr="005E78BB">
              <w:rPr>
                <w:rFonts w:ascii="Calibri" w:eastAsia="Times New Roman" w:hAnsi="Calibri" w:cs="Calibri"/>
                <w:color w:val="000000"/>
                <w:sz w:val="18"/>
                <w:szCs w:val="18"/>
                <w:lang w:eastAsia="pl-PL"/>
              </w:rPr>
              <w:br w:type="page"/>
              <w:t>„Kontrola funkcjonowania urządzeń do migracji ryb.”</w:t>
            </w:r>
            <w:r w:rsidRPr="005E78BB">
              <w:rPr>
                <w:rFonts w:ascii="Calibri" w:eastAsia="Times New Roman" w:hAnsi="Calibri" w:cs="Calibri"/>
                <w:color w:val="000000"/>
                <w:sz w:val="18"/>
                <w:szCs w:val="18"/>
                <w:lang w:eastAsia="pl-PL"/>
              </w:rPr>
              <w:br w:type="page"/>
              <w:t>należy dodać kolejne działanie (Działanie I lub Działanie II):</w:t>
            </w:r>
            <w:r w:rsidRPr="005E78BB">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C6AD2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0917FA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8048F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20BC2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83BC984" w14:textId="6F6F4DF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0317CED6" w14:textId="77777777" w:rsidTr="00E92AE6">
        <w:trPr>
          <w:trHeight w:val="454"/>
        </w:trPr>
        <w:tc>
          <w:tcPr>
            <w:tcW w:w="562" w:type="dxa"/>
            <w:shd w:val="clear" w:color="auto" w:fill="auto"/>
            <w:hideMark/>
          </w:tcPr>
          <w:p w14:paraId="569C56D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535</w:t>
            </w:r>
          </w:p>
        </w:tc>
        <w:tc>
          <w:tcPr>
            <w:tcW w:w="1021" w:type="dxa"/>
          </w:tcPr>
          <w:p w14:paraId="11324123" w14:textId="53D3E96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5E041E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F05D286" w14:textId="74037469"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Treść uwagi:Publikacja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7D6A516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p>
        </w:tc>
        <w:tc>
          <w:tcPr>
            <w:tcW w:w="3401" w:type="dxa"/>
            <w:shd w:val="clear" w:color="auto" w:fill="auto"/>
            <w:hideMark/>
          </w:tcPr>
          <w:p w14:paraId="72C16D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18172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E0501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110F872" w14:textId="1D19A18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których dotyczy rozporządzenie.</w:t>
            </w:r>
            <w:r w:rsidRPr="005E78BB">
              <w:rPr>
                <w:rFonts w:ascii="Calibri" w:eastAsia="Times New Roman" w:hAnsi="Calibri" w:cs="Calibri"/>
                <w:color w:val="000000"/>
                <w:sz w:val="18"/>
                <w:szCs w:val="18"/>
                <w:lang w:eastAsia="pl-PL"/>
              </w:rPr>
              <w:br/>
              <w:t xml:space="preserve">Należy podkreślić, iż w ramach IIaPGW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w obrebie których zlokalizowane są obszary chronione zaplanowane zostały działania Realizacja działań wynikających z planów ochrony i planów zadań ochronnych dla obszarów chronionych RWC_02.01. Jeżeli w PZO i PO znajduje się informacja na temat konieczności udrożnienia cieku, jako działań niezbędnych do utrzymania lub poprawy stanu obszarów chronionych i obiektów ochrony, to zgodnie z działaniem RWC_02.01 powinny być one zrealizowane zgodnie z zapisami PZO i 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Na podstawie przekazanych informacji skorygowano działania dla wskazanych obiektów na rzece Stara Rega, Grabia oraz Ukleja.</w:t>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 xml:space="preserve">Nazwa działania: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Opis działania: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r w:rsidRPr="005E78BB">
              <w:rPr>
                <w:rFonts w:ascii="Calibri" w:eastAsia="Times New Roman" w:hAnsi="Calibri" w:cs="Calibri"/>
                <w:color w:val="000000"/>
                <w:sz w:val="18"/>
                <w:szCs w:val="18"/>
                <w:lang w:eastAsia="pl-PL"/>
              </w:rPr>
              <w:br/>
              <w:t>Wobec tego działania te dopuszczają możliwość przebudowy budowli w przypadku, gdy będą one zagrażały osiągnięciu celów środowiskowych (np. w przypadku budowli zlokalizowanych wzdłuż Narwi). W opracowani Błachuta i in. 2010 nie wskazano jako koniecznego, udrożnienia Zb. Jeziorsko.</w:t>
            </w:r>
          </w:p>
        </w:tc>
      </w:tr>
      <w:tr w:rsidR="0085319C" w:rsidRPr="005E78BB" w14:paraId="37EA5663" w14:textId="77777777" w:rsidTr="00E92AE6">
        <w:trPr>
          <w:trHeight w:val="454"/>
        </w:trPr>
        <w:tc>
          <w:tcPr>
            <w:tcW w:w="562" w:type="dxa"/>
            <w:shd w:val="clear" w:color="auto" w:fill="auto"/>
            <w:hideMark/>
          </w:tcPr>
          <w:p w14:paraId="43669BA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536</w:t>
            </w:r>
          </w:p>
        </w:tc>
        <w:tc>
          <w:tcPr>
            <w:tcW w:w="1021" w:type="dxa"/>
          </w:tcPr>
          <w:p w14:paraId="365E40CC" w14:textId="03AED41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002464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0F2B5A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PIĘTRZEŃ</w:t>
            </w:r>
          </w:p>
        </w:tc>
        <w:tc>
          <w:tcPr>
            <w:tcW w:w="3377" w:type="dxa"/>
            <w:shd w:val="clear" w:color="auto" w:fill="auto"/>
            <w:hideMark/>
          </w:tcPr>
          <w:p w14:paraId="0D45EB4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p>
        </w:tc>
        <w:tc>
          <w:tcPr>
            <w:tcW w:w="3401" w:type="dxa"/>
            <w:shd w:val="clear" w:color="auto" w:fill="auto"/>
            <w:hideMark/>
          </w:tcPr>
          <w:p w14:paraId="4E5F84A6" w14:textId="5A0F54F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4170A4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5F2B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7326F0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2BF99BD0" w14:textId="77777777" w:rsidTr="00E92AE6">
        <w:trPr>
          <w:trHeight w:val="454"/>
        </w:trPr>
        <w:tc>
          <w:tcPr>
            <w:tcW w:w="562" w:type="dxa"/>
            <w:shd w:val="clear" w:color="auto" w:fill="auto"/>
            <w:hideMark/>
          </w:tcPr>
          <w:p w14:paraId="3400DE3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537</w:t>
            </w:r>
          </w:p>
        </w:tc>
        <w:tc>
          <w:tcPr>
            <w:tcW w:w="1021" w:type="dxa"/>
          </w:tcPr>
          <w:p w14:paraId="71195AF2" w14:textId="650A3F0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339C50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EC3A6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Zał. 4 do erraty nr 1 Zaktualizowany wykaz budowli dla których zaplanowane zostały działania</w:t>
            </w:r>
            <w:r w:rsidRPr="005E78BB">
              <w:rPr>
                <w:rFonts w:ascii="Calibri" w:eastAsia="Times New Roman" w:hAnsi="Calibri" w:cs="Calibri"/>
                <w:color w:val="000000"/>
                <w:sz w:val="18"/>
                <w:szCs w:val="18"/>
                <w:lang w:eastAsia="pl-PL"/>
              </w:rPr>
              <w:br w:type="page"/>
              <w:t>w projekcie IIaPGW – obszar dorzecza Wisły, ODBUDOWA PIĘTRZEŃ</w:t>
            </w:r>
            <w:r w:rsidRPr="005E78BB">
              <w:rPr>
                <w:rFonts w:ascii="Calibri" w:eastAsia="Times New Roman" w:hAnsi="Calibri" w:cs="Calibri"/>
                <w:color w:val="000000"/>
                <w:sz w:val="18"/>
                <w:szCs w:val="18"/>
                <w:lang w:eastAsia="pl-PL"/>
              </w:rPr>
              <w:br w:type="page"/>
              <w:t>Treść uwagi: W zał. 4 do „Erraty” nr 1 niesłusznie znalazły się zadania polegające na</w:t>
            </w:r>
            <w:r w:rsidRPr="005E78BB">
              <w:rPr>
                <w:rFonts w:ascii="Calibri" w:eastAsia="Times New Roman" w:hAnsi="Calibri" w:cs="Calibri"/>
                <w:color w:val="000000"/>
                <w:sz w:val="18"/>
                <w:szCs w:val="18"/>
                <w:lang w:eastAsia="pl-PL"/>
              </w:rPr>
              <w:br w:type="page"/>
              <w:t>odbudowie lub budowie nowych barier migracyjnych. W dorzeczu Wisły</w:t>
            </w:r>
            <w:r w:rsidRPr="005E78BB">
              <w:rPr>
                <w:rFonts w:ascii="Calibri" w:eastAsia="Times New Roman" w:hAnsi="Calibri" w:cs="Calibri"/>
                <w:color w:val="000000"/>
                <w:sz w:val="18"/>
                <w:szCs w:val="18"/>
                <w:lang w:eastAsia="pl-PL"/>
              </w:rPr>
              <w:br w:type="page"/>
              <w:t>znalazło się 16 takich działań, z czego tylko jedno zdaje się być w pełni</w:t>
            </w:r>
            <w:r w:rsidRPr="005E78BB">
              <w:rPr>
                <w:rFonts w:ascii="Calibri" w:eastAsia="Times New Roman" w:hAnsi="Calibri" w:cs="Calibri"/>
                <w:color w:val="000000"/>
                <w:sz w:val="18"/>
                <w:szCs w:val="18"/>
                <w:lang w:eastAsia="pl-PL"/>
              </w:rPr>
              <w:br w:type="page"/>
              <w:t>usprawiedliwione (budowa przepławki dla ryb na rzece Pasłęce w</w:t>
            </w:r>
            <w:r w:rsidRPr="005E78BB">
              <w:rPr>
                <w:rFonts w:ascii="Calibri" w:eastAsia="Times New Roman" w:hAnsi="Calibri" w:cs="Calibri"/>
                <w:color w:val="000000"/>
                <w:sz w:val="18"/>
                <w:szCs w:val="18"/>
                <w:lang w:eastAsia="pl-PL"/>
              </w:rPr>
              <w:br w:type="page"/>
              <w:t>ramach przebudowy/ odbudowy jazu w km 29+537). Większość z</w:t>
            </w:r>
            <w:r w:rsidRPr="005E78BB">
              <w:rPr>
                <w:rFonts w:ascii="Calibri" w:eastAsia="Times New Roman" w:hAnsi="Calibri" w:cs="Calibri"/>
                <w:color w:val="000000"/>
                <w:sz w:val="18"/>
                <w:szCs w:val="18"/>
                <w:lang w:eastAsia="pl-PL"/>
              </w:rPr>
              <w:br w:type="page"/>
              <w:t>budowli do odbudowy/przebudowy prawdopodobnie nie istnieje albo</w:t>
            </w:r>
            <w:r w:rsidRPr="005E78BB">
              <w:rPr>
                <w:rFonts w:ascii="Calibri" w:eastAsia="Times New Roman" w:hAnsi="Calibri" w:cs="Calibri"/>
                <w:color w:val="000000"/>
                <w:sz w:val="18"/>
                <w:szCs w:val="18"/>
                <w:lang w:eastAsia="pl-PL"/>
              </w:rPr>
              <w:br w:type="page"/>
              <w:t>istnieją one w stanie umożliwiającym gatunkom wodnym migrację.</w:t>
            </w:r>
            <w:r w:rsidRPr="005E78BB">
              <w:rPr>
                <w:rFonts w:ascii="Calibri" w:eastAsia="Times New Roman" w:hAnsi="Calibri" w:cs="Calibri"/>
                <w:color w:val="000000"/>
                <w:sz w:val="18"/>
                <w:szCs w:val="18"/>
                <w:lang w:eastAsia="pl-PL"/>
              </w:rPr>
              <w:br w:type="page"/>
              <w:t>Odbudowa jazów, czy to na cele rolnicze, czy w ramach budowy MEW</w:t>
            </w:r>
            <w:r w:rsidRPr="005E78BB">
              <w:rPr>
                <w:rFonts w:ascii="Calibri" w:eastAsia="Times New Roman" w:hAnsi="Calibri" w:cs="Calibri"/>
                <w:color w:val="000000"/>
                <w:sz w:val="18"/>
                <w:szCs w:val="18"/>
                <w:lang w:eastAsia="pl-PL"/>
              </w:rPr>
              <w:br w:type="page"/>
              <w:t>(vide nieistniejący jaz na rz. Kamienna w km 50+130 – identyfikator w</w:t>
            </w:r>
            <w:r w:rsidRPr="005E78BB">
              <w:rPr>
                <w:rFonts w:ascii="Calibri" w:eastAsia="Times New Roman" w:hAnsi="Calibri" w:cs="Calibri"/>
                <w:color w:val="000000"/>
                <w:sz w:val="18"/>
                <w:szCs w:val="18"/>
                <w:lang w:eastAsia="pl-PL"/>
              </w:rPr>
              <w:br w:type="page"/>
              <w:t>bazie hymo 170002010201, nr w IIaPGW według zał. 4 - 4701) powinny</w:t>
            </w:r>
            <w:r w:rsidRPr="005E78BB">
              <w:rPr>
                <w:rFonts w:ascii="Calibri" w:eastAsia="Times New Roman" w:hAnsi="Calibri" w:cs="Calibri"/>
                <w:color w:val="000000"/>
                <w:sz w:val="18"/>
                <w:szCs w:val="18"/>
                <w:lang w:eastAsia="pl-PL"/>
              </w:rPr>
              <w:br w:type="page"/>
              <w:t>być traktowane nie jako działanie polepszające warunki</w:t>
            </w:r>
            <w:r w:rsidRPr="005E78BB">
              <w:rPr>
                <w:rFonts w:ascii="Calibri" w:eastAsia="Times New Roman" w:hAnsi="Calibri" w:cs="Calibri"/>
                <w:color w:val="000000"/>
                <w:sz w:val="18"/>
                <w:szCs w:val="18"/>
                <w:lang w:eastAsia="pl-PL"/>
              </w:rPr>
              <w:br w:type="page"/>
              <w:t>hydromorfologiczne lecz jako zagrożenie dla celów środowiskowych.</w:t>
            </w:r>
          </w:p>
        </w:tc>
        <w:tc>
          <w:tcPr>
            <w:tcW w:w="3377" w:type="dxa"/>
            <w:shd w:val="clear" w:color="auto" w:fill="auto"/>
            <w:hideMark/>
          </w:tcPr>
          <w:p w14:paraId="02D559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w:t>
            </w:r>
            <w:r w:rsidRPr="005E78BB">
              <w:rPr>
                <w:rFonts w:ascii="Calibri" w:eastAsia="Times New Roman" w:hAnsi="Calibri" w:cs="Calibri"/>
                <w:color w:val="000000"/>
                <w:sz w:val="18"/>
                <w:szCs w:val="18"/>
                <w:lang w:eastAsia="pl-PL"/>
              </w:rPr>
              <w:br w:type="page"/>
              <w:t>działania które polegają na</w:t>
            </w:r>
            <w:r w:rsidRPr="005E78BB">
              <w:rPr>
                <w:rFonts w:ascii="Calibri" w:eastAsia="Times New Roman" w:hAnsi="Calibri" w:cs="Calibri"/>
                <w:color w:val="000000"/>
                <w:sz w:val="18"/>
                <w:szCs w:val="18"/>
                <w:lang w:eastAsia="pl-PL"/>
              </w:rPr>
              <w:br w:type="page"/>
              <w:t>odbudowie nieistniejących obecnie</w:t>
            </w:r>
            <w:r w:rsidRPr="005E78BB">
              <w:rPr>
                <w:rFonts w:ascii="Calibri" w:eastAsia="Times New Roman" w:hAnsi="Calibri" w:cs="Calibri"/>
                <w:color w:val="000000"/>
                <w:sz w:val="18"/>
                <w:szCs w:val="18"/>
                <w:lang w:eastAsia="pl-PL"/>
              </w:rPr>
              <w:br w:type="page"/>
              <w:t>barier migracyjnych. Odbudowa bądź</w:t>
            </w:r>
            <w:r w:rsidRPr="005E78BB">
              <w:rPr>
                <w:rFonts w:ascii="Calibri" w:eastAsia="Times New Roman" w:hAnsi="Calibri" w:cs="Calibri"/>
                <w:color w:val="000000"/>
                <w:sz w:val="18"/>
                <w:szCs w:val="18"/>
                <w:lang w:eastAsia="pl-PL"/>
              </w:rPr>
              <w:br w:type="page"/>
              <w:t>przebudowa tych, które nie są</w:t>
            </w:r>
            <w:r w:rsidRPr="005E78BB">
              <w:rPr>
                <w:rFonts w:ascii="Calibri" w:eastAsia="Times New Roman" w:hAnsi="Calibri" w:cs="Calibri"/>
                <w:color w:val="000000"/>
                <w:sz w:val="18"/>
                <w:szCs w:val="18"/>
                <w:lang w:eastAsia="pl-PL"/>
              </w:rPr>
              <w:br w:type="page"/>
              <w:t>obecnie barierami powinna być</w:t>
            </w:r>
            <w:r w:rsidRPr="005E78BB">
              <w:rPr>
                <w:rFonts w:ascii="Calibri" w:eastAsia="Times New Roman" w:hAnsi="Calibri" w:cs="Calibri"/>
                <w:color w:val="000000"/>
                <w:sz w:val="18"/>
                <w:szCs w:val="18"/>
                <w:lang w:eastAsia="pl-PL"/>
              </w:rPr>
              <w:br w:type="page"/>
              <w:t>uznana za zagrożenie dla celów</w:t>
            </w:r>
            <w:r w:rsidRPr="005E78BB">
              <w:rPr>
                <w:rFonts w:ascii="Calibri" w:eastAsia="Times New Roman" w:hAnsi="Calibri" w:cs="Calibri"/>
                <w:color w:val="000000"/>
                <w:sz w:val="18"/>
                <w:szCs w:val="18"/>
                <w:lang w:eastAsia="pl-PL"/>
              </w:rPr>
              <w:br w:type="page"/>
              <w:t>środowiskowych wód i obszarów</w:t>
            </w:r>
            <w:r w:rsidRPr="005E78BB">
              <w:rPr>
                <w:rFonts w:ascii="Calibri" w:eastAsia="Times New Roman" w:hAnsi="Calibri" w:cs="Calibri"/>
                <w:color w:val="000000"/>
                <w:sz w:val="18"/>
                <w:szCs w:val="18"/>
                <w:lang w:eastAsia="pl-PL"/>
              </w:rPr>
              <w:br w:type="page"/>
              <w:t>chronionych i ujęta w stosownym</w:t>
            </w:r>
            <w:r w:rsidRPr="005E78BB">
              <w:rPr>
                <w:rFonts w:ascii="Calibri" w:eastAsia="Times New Roman" w:hAnsi="Calibri" w:cs="Calibri"/>
                <w:color w:val="000000"/>
                <w:sz w:val="18"/>
                <w:szCs w:val="18"/>
                <w:lang w:eastAsia="pl-PL"/>
              </w:rPr>
              <w:br w:type="page"/>
              <w:t>załączniku (patrz CIS Guidance No 20</w:t>
            </w:r>
            <w:r w:rsidRPr="005E78BB">
              <w:rPr>
                <w:rFonts w:ascii="Calibri" w:eastAsia="Times New Roman" w:hAnsi="Calibri" w:cs="Calibri"/>
                <w:color w:val="000000"/>
                <w:sz w:val="18"/>
                <w:szCs w:val="18"/>
                <w:lang w:eastAsia="pl-PL"/>
              </w:rPr>
              <w:br w:type="page"/>
              <w:t>i 37 oraz art. 435 PW). Bezwzględnie</w:t>
            </w:r>
            <w:r w:rsidRPr="005E78BB">
              <w:rPr>
                <w:rFonts w:ascii="Calibri" w:eastAsia="Times New Roman" w:hAnsi="Calibri" w:cs="Calibri"/>
                <w:color w:val="000000"/>
                <w:sz w:val="18"/>
                <w:szCs w:val="18"/>
                <w:lang w:eastAsia="pl-PL"/>
              </w:rPr>
              <w:br w:type="page"/>
              <w:t>należy wykreślić działanie</w:t>
            </w:r>
            <w:r w:rsidRPr="005E78BB">
              <w:rPr>
                <w:rFonts w:ascii="Calibri" w:eastAsia="Times New Roman" w:hAnsi="Calibri" w:cs="Calibri"/>
                <w:color w:val="000000"/>
                <w:sz w:val="18"/>
                <w:szCs w:val="18"/>
                <w:lang w:eastAsia="pl-PL"/>
              </w:rPr>
              <w:br w:type="page"/>
              <w:t>„wykonanie przepławki dla ryb w</w:t>
            </w:r>
            <w:r w:rsidRPr="005E78BB">
              <w:rPr>
                <w:rFonts w:ascii="Calibri" w:eastAsia="Times New Roman" w:hAnsi="Calibri" w:cs="Calibri"/>
                <w:color w:val="000000"/>
                <w:sz w:val="18"/>
                <w:szCs w:val="18"/>
                <w:lang w:eastAsia="pl-PL"/>
              </w:rPr>
              <w:br w:type="page"/>
              <w:t>ramach zadania "Odbudowa</w:t>
            </w:r>
            <w:r w:rsidRPr="005E78BB">
              <w:rPr>
                <w:rFonts w:ascii="Calibri" w:eastAsia="Times New Roman" w:hAnsi="Calibri" w:cs="Calibri"/>
                <w:color w:val="000000"/>
                <w:sz w:val="18"/>
                <w:szCs w:val="18"/>
                <w:lang w:eastAsia="pl-PL"/>
              </w:rPr>
              <w:br w:type="page"/>
              <w:t>piętrzenia wody na rzece Kamiennej w km 50+130"”, jako próbę</w:t>
            </w:r>
            <w:r w:rsidRPr="005E78BB">
              <w:rPr>
                <w:rFonts w:ascii="Calibri" w:eastAsia="Times New Roman" w:hAnsi="Calibri" w:cs="Calibri"/>
                <w:color w:val="000000"/>
                <w:sz w:val="18"/>
                <w:szCs w:val="18"/>
                <w:lang w:eastAsia="pl-PL"/>
              </w:rPr>
              <w:br w:type="page"/>
              <w:t>„podpięcia” pod działania ochronne</w:t>
            </w:r>
            <w:r w:rsidRPr="005E78BB">
              <w:rPr>
                <w:rFonts w:ascii="Calibri" w:eastAsia="Times New Roman" w:hAnsi="Calibri" w:cs="Calibri"/>
                <w:color w:val="000000"/>
                <w:sz w:val="18"/>
                <w:szCs w:val="18"/>
                <w:lang w:eastAsia="pl-PL"/>
              </w:rPr>
              <w:br w:type="page"/>
              <w:t>budowy nowego piętrzenia</w:t>
            </w:r>
            <w:r w:rsidRPr="005E78BB">
              <w:rPr>
                <w:rFonts w:ascii="Calibri" w:eastAsia="Times New Roman" w:hAnsi="Calibri" w:cs="Calibri"/>
                <w:color w:val="000000"/>
                <w:sz w:val="18"/>
                <w:szCs w:val="18"/>
                <w:lang w:eastAsia="pl-PL"/>
              </w:rPr>
              <w:br w:type="page"/>
              <w:t>stwarzającego nową barierę</w:t>
            </w:r>
            <w:r w:rsidRPr="005E78BB">
              <w:rPr>
                <w:rFonts w:ascii="Calibri" w:eastAsia="Times New Roman" w:hAnsi="Calibri" w:cs="Calibri"/>
                <w:color w:val="000000"/>
                <w:sz w:val="18"/>
                <w:szCs w:val="18"/>
                <w:lang w:eastAsia="pl-PL"/>
              </w:rPr>
              <w:br w:type="page"/>
              <w:t>migracyjnej w postaci nie tylko</w:t>
            </w:r>
            <w:r w:rsidRPr="005E78BB">
              <w:rPr>
                <w:rFonts w:ascii="Calibri" w:eastAsia="Times New Roman" w:hAnsi="Calibri" w:cs="Calibri"/>
                <w:color w:val="000000"/>
                <w:sz w:val="18"/>
                <w:szCs w:val="18"/>
                <w:lang w:eastAsia="pl-PL"/>
              </w:rPr>
              <w:br w:type="page"/>
              <w:t>piętrzenia, ale i bariery</w:t>
            </w:r>
            <w:r w:rsidRPr="005E78BB">
              <w:rPr>
                <w:rFonts w:ascii="Calibri" w:eastAsia="Times New Roman" w:hAnsi="Calibri" w:cs="Calibri"/>
                <w:color w:val="000000"/>
                <w:sz w:val="18"/>
                <w:szCs w:val="18"/>
                <w:lang w:eastAsia="pl-PL"/>
              </w:rPr>
              <w:br w:type="page"/>
              <w:t>behawioralnej w postaci cofki</w:t>
            </w:r>
            <w:r w:rsidRPr="005E78BB">
              <w:rPr>
                <w:rFonts w:ascii="Calibri" w:eastAsia="Times New Roman" w:hAnsi="Calibri" w:cs="Calibri"/>
                <w:color w:val="000000"/>
                <w:sz w:val="18"/>
                <w:szCs w:val="18"/>
                <w:lang w:eastAsia="pl-PL"/>
              </w:rPr>
              <w:br w:type="page"/>
              <w:t>piętrzenia. Działanie to jest sprzeczne</w:t>
            </w:r>
            <w:r w:rsidRPr="005E78BB">
              <w:rPr>
                <w:rFonts w:ascii="Calibri" w:eastAsia="Times New Roman" w:hAnsi="Calibri" w:cs="Calibri"/>
                <w:color w:val="000000"/>
                <w:sz w:val="18"/>
                <w:szCs w:val="18"/>
                <w:lang w:eastAsia="pl-PL"/>
              </w:rPr>
              <w:br w:type="page"/>
              <w:t>z wymogami środowiskowymi dla</w:t>
            </w:r>
            <w:r w:rsidRPr="005E78BB">
              <w:rPr>
                <w:rFonts w:ascii="Calibri" w:eastAsia="Times New Roman" w:hAnsi="Calibri" w:cs="Calibri"/>
                <w:color w:val="000000"/>
                <w:sz w:val="18"/>
                <w:szCs w:val="18"/>
                <w:lang w:eastAsia="pl-PL"/>
              </w:rPr>
              <w:br w:type="page"/>
              <w:t>gatunków będących przedmiotami</w:t>
            </w:r>
            <w:r w:rsidRPr="005E78BB">
              <w:rPr>
                <w:rFonts w:ascii="Calibri" w:eastAsia="Times New Roman" w:hAnsi="Calibri" w:cs="Calibri"/>
                <w:color w:val="000000"/>
                <w:sz w:val="18"/>
                <w:szCs w:val="18"/>
                <w:lang w:eastAsia="pl-PL"/>
              </w:rPr>
              <w:br w:type="page"/>
              <w:t>ochrony obszaru Natura 2000</w:t>
            </w:r>
            <w:r w:rsidRPr="005E78BB">
              <w:rPr>
                <w:rFonts w:ascii="Calibri" w:eastAsia="Times New Roman" w:hAnsi="Calibri" w:cs="Calibri"/>
                <w:color w:val="000000"/>
                <w:sz w:val="18"/>
                <w:szCs w:val="18"/>
                <w:lang w:eastAsia="pl-PL"/>
              </w:rPr>
              <w:br w:type="page"/>
              <w:t>„Dolina Kamienicy”.</w:t>
            </w:r>
          </w:p>
        </w:tc>
        <w:tc>
          <w:tcPr>
            <w:tcW w:w="3401" w:type="dxa"/>
            <w:shd w:val="clear" w:color="auto" w:fill="auto"/>
            <w:hideMark/>
          </w:tcPr>
          <w:p w14:paraId="4DC9082D" w14:textId="7E41826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Działanie to kumuluje się z innymi</w:t>
            </w:r>
            <w:r w:rsidRPr="005E78BB">
              <w:rPr>
                <w:rFonts w:ascii="Calibri" w:eastAsia="Times New Roman" w:hAnsi="Calibri" w:cs="Calibri"/>
                <w:color w:val="000000"/>
                <w:sz w:val="18"/>
                <w:szCs w:val="18"/>
                <w:lang w:eastAsia="pl-PL"/>
              </w:rPr>
              <w:br w:type="page"/>
              <w:t>niedawno wykonanymi nowymi</w:t>
            </w:r>
            <w:r w:rsidRPr="005E78BB">
              <w:rPr>
                <w:rFonts w:ascii="Calibri" w:eastAsia="Times New Roman" w:hAnsi="Calibri" w:cs="Calibri"/>
                <w:color w:val="000000"/>
                <w:sz w:val="18"/>
                <w:szCs w:val="18"/>
                <w:lang w:eastAsia="pl-PL"/>
              </w:rPr>
              <w:br w:type="page"/>
              <w:t>przegrodami (MEW Skoki) i jest</w:t>
            </w:r>
            <w:r w:rsidRPr="005E78BB">
              <w:rPr>
                <w:rFonts w:ascii="Calibri" w:eastAsia="Times New Roman" w:hAnsi="Calibri" w:cs="Calibri"/>
                <w:color w:val="000000"/>
                <w:sz w:val="18"/>
                <w:szCs w:val="18"/>
                <w:lang w:eastAsia="pl-PL"/>
              </w:rPr>
              <w:br w:type="page"/>
              <w:t>sprzeczne z celami</w:t>
            </w:r>
            <w:r w:rsidRPr="005E78BB">
              <w:rPr>
                <w:rFonts w:ascii="Calibri" w:eastAsia="Times New Roman" w:hAnsi="Calibri" w:cs="Calibri"/>
                <w:color w:val="000000"/>
                <w:sz w:val="18"/>
                <w:szCs w:val="18"/>
                <w:lang w:eastAsia="pl-PL"/>
              </w:rPr>
              <w:br w:type="page"/>
              <w:t xml:space="preserve">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w:t>
            </w:r>
            <w:r w:rsidRPr="005E78BB">
              <w:rPr>
                <w:rFonts w:ascii="Calibri" w:eastAsia="Times New Roman" w:hAnsi="Calibri" w:cs="Calibri"/>
                <w:color w:val="000000"/>
                <w:sz w:val="18"/>
                <w:szCs w:val="18"/>
                <w:lang w:eastAsia="pl-PL"/>
              </w:rPr>
              <w:br w:type="page"/>
              <w:t>Natura 2000, na którym się</w:t>
            </w:r>
            <w:r w:rsidRPr="005E78BB">
              <w:rPr>
                <w:rFonts w:ascii="Calibri" w:eastAsia="Times New Roman" w:hAnsi="Calibri" w:cs="Calibri"/>
                <w:color w:val="000000"/>
                <w:sz w:val="18"/>
                <w:szCs w:val="18"/>
                <w:lang w:eastAsia="pl-PL"/>
              </w:rPr>
              <w:br w:type="page"/>
              <w:t>znajduje.</w:t>
            </w:r>
            <w:r w:rsidRPr="005E78BB">
              <w:rPr>
                <w:rFonts w:ascii="Calibri" w:eastAsia="Times New Roman" w:hAnsi="Calibri" w:cs="Calibri"/>
                <w:color w:val="000000"/>
                <w:sz w:val="18"/>
                <w:szCs w:val="18"/>
                <w:lang w:eastAsia="pl-PL"/>
              </w:rPr>
              <w:br w:type="page"/>
              <w:t>Inne odbudowy/przebudowy też</w:t>
            </w:r>
            <w:r w:rsidRPr="005E78BB">
              <w:rPr>
                <w:rFonts w:ascii="Calibri" w:eastAsia="Times New Roman" w:hAnsi="Calibri" w:cs="Calibri"/>
                <w:color w:val="000000"/>
                <w:sz w:val="18"/>
                <w:szCs w:val="18"/>
                <w:lang w:eastAsia="pl-PL"/>
              </w:rPr>
              <w:br w:type="page"/>
              <w:t>wymagają weryfikacji, bo mogą</w:t>
            </w:r>
            <w:r w:rsidRPr="005E78BB">
              <w:rPr>
                <w:rFonts w:ascii="Calibri" w:eastAsia="Times New Roman" w:hAnsi="Calibri" w:cs="Calibri"/>
                <w:color w:val="000000"/>
                <w:sz w:val="18"/>
                <w:szCs w:val="18"/>
                <w:lang w:eastAsia="pl-PL"/>
              </w:rPr>
              <w:br w:type="page"/>
              <w:t>wykazywać podobne znaczące</w:t>
            </w:r>
            <w:r w:rsidRPr="005E78BB">
              <w:rPr>
                <w:rFonts w:ascii="Calibri" w:eastAsia="Times New Roman" w:hAnsi="Calibri" w:cs="Calibri"/>
                <w:color w:val="000000"/>
                <w:sz w:val="18"/>
                <w:szCs w:val="18"/>
                <w:lang w:eastAsia="pl-PL"/>
              </w:rPr>
              <w:br w:type="page"/>
              <w:t>negatywne oddziaływania.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44B81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A9D8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1DBE5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 RWHM_02.01 Analiza możliwości przebudowy budowli piętrzących w zakresie zapewniającym ciągłość biologiczną i spełnienie celów środowiskowych. Realizacja działań zgodnie z przeprowadzoną analizą.</w:t>
            </w:r>
          </w:p>
        </w:tc>
      </w:tr>
      <w:tr w:rsidR="0085319C" w:rsidRPr="005E78BB" w14:paraId="40582289" w14:textId="77777777" w:rsidTr="00E92AE6">
        <w:trPr>
          <w:trHeight w:val="454"/>
        </w:trPr>
        <w:tc>
          <w:tcPr>
            <w:tcW w:w="562" w:type="dxa"/>
            <w:shd w:val="clear" w:color="auto" w:fill="auto"/>
            <w:hideMark/>
          </w:tcPr>
          <w:p w14:paraId="21DB3B4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538</w:t>
            </w:r>
          </w:p>
        </w:tc>
        <w:tc>
          <w:tcPr>
            <w:tcW w:w="1021" w:type="dxa"/>
          </w:tcPr>
          <w:p w14:paraId="76576F6B" w14:textId="551FF75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060E4B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D6E65D5" w14:textId="1EBCC4D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prawne i administracyjne</w:t>
            </w:r>
          </w:p>
        </w:tc>
        <w:tc>
          <w:tcPr>
            <w:tcW w:w="3377" w:type="dxa"/>
            <w:shd w:val="clear" w:color="auto" w:fill="auto"/>
            <w:hideMark/>
          </w:tcPr>
          <w:p w14:paraId="3F4592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6B2202A2" w14:textId="760BCD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12CBE2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2C51C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DAF0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721962B0" w14:textId="77777777" w:rsidTr="00E92AE6">
        <w:trPr>
          <w:trHeight w:val="454"/>
        </w:trPr>
        <w:tc>
          <w:tcPr>
            <w:tcW w:w="562" w:type="dxa"/>
            <w:shd w:val="clear" w:color="auto" w:fill="auto"/>
            <w:hideMark/>
          </w:tcPr>
          <w:p w14:paraId="1031B51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539</w:t>
            </w:r>
          </w:p>
        </w:tc>
        <w:tc>
          <w:tcPr>
            <w:tcW w:w="1021" w:type="dxa"/>
          </w:tcPr>
          <w:p w14:paraId="0B7CE2CF" w14:textId="466150C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4FD909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45C8401" w14:textId="2A7D5B3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prawne i administracyjne</w:t>
            </w:r>
            <w:r w:rsidRPr="005E78BB">
              <w:rPr>
                <w:rFonts w:ascii="Calibri" w:eastAsia="Times New Roman" w:hAnsi="Calibri" w:cs="Calibri"/>
                <w:color w:val="000000"/>
                <w:sz w:val="18"/>
                <w:szCs w:val="18"/>
                <w:lang w:eastAsia="pl-PL"/>
              </w:rPr>
              <w:br/>
              <w:t xml:space="preserve">Treść uwagi: 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3377" w:type="dxa"/>
            <w:shd w:val="clear" w:color="auto" w:fill="auto"/>
            <w:hideMark/>
          </w:tcPr>
          <w:p w14:paraId="7C410B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66747790" w14:textId="76CEBB2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1D1BCD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98D0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78DB3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6DE20575" w14:textId="77777777" w:rsidTr="00E92AE6">
        <w:trPr>
          <w:trHeight w:val="454"/>
        </w:trPr>
        <w:tc>
          <w:tcPr>
            <w:tcW w:w="562" w:type="dxa"/>
            <w:shd w:val="clear" w:color="auto" w:fill="auto"/>
            <w:hideMark/>
          </w:tcPr>
          <w:p w14:paraId="52EBE9A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540</w:t>
            </w:r>
          </w:p>
        </w:tc>
        <w:tc>
          <w:tcPr>
            <w:tcW w:w="1021" w:type="dxa"/>
          </w:tcPr>
          <w:p w14:paraId="4EC9D6CD" w14:textId="1E64994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392467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492BB96" w14:textId="02058A1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ype="page"/>
              <w:t xml:space="preserve"> -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ype="page"/>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ype="page"/>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Konkretne zmiany prawne</w:t>
            </w:r>
          </w:p>
        </w:tc>
        <w:tc>
          <w:tcPr>
            <w:tcW w:w="3377" w:type="dxa"/>
            <w:shd w:val="clear" w:color="auto" w:fill="auto"/>
            <w:hideMark/>
          </w:tcPr>
          <w:p w14:paraId="4C333D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64BC50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760D6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18F3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3FA677" w14:textId="1C3EEF6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696FC972" w14:textId="77777777" w:rsidTr="00E92AE6">
        <w:trPr>
          <w:trHeight w:val="454"/>
        </w:trPr>
        <w:tc>
          <w:tcPr>
            <w:tcW w:w="562" w:type="dxa"/>
            <w:shd w:val="clear" w:color="auto" w:fill="auto"/>
            <w:hideMark/>
          </w:tcPr>
          <w:p w14:paraId="12F85E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541</w:t>
            </w:r>
          </w:p>
        </w:tc>
        <w:tc>
          <w:tcPr>
            <w:tcW w:w="1021" w:type="dxa"/>
          </w:tcPr>
          <w:p w14:paraId="7C9F6CC1" w14:textId="145992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688C13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0D13580" w14:textId="001783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Konkretne zmiany prawne</w:t>
            </w:r>
            <w:r w:rsidRPr="005E78BB">
              <w:rPr>
                <w:rFonts w:ascii="Calibri" w:eastAsia="Times New Roman" w:hAnsi="Calibri" w:cs="Calibri"/>
                <w:color w:val="000000"/>
                <w:sz w:val="18"/>
                <w:szCs w:val="18"/>
                <w:lang w:eastAsia="pl-PL"/>
              </w:rPr>
              <w:br/>
              <w:t>Treść uwagi: 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54FE5C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3D331F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D3AAB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EC226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94865A1" w14:textId="1A55EFC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30B121D1" w14:textId="77777777" w:rsidTr="00E92AE6">
        <w:trPr>
          <w:trHeight w:val="454"/>
        </w:trPr>
        <w:tc>
          <w:tcPr>
            <w:tcW w:w="562" w:type="dxa"/>
            <w:shd w:val="clear" w:color="auto" w:fill="auto"/>
            <w:hideMark/>
          </w:tcPr>
          <w:p w14:paraId="0090134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542</w:t>
            </w:r>
          </w:p>
        </w:tc>
        <w:tc>
          <w:tcPr>
            <w:tcW w:w="1021" w:type="dxa"/>
          </w:tcPr>
          <w:p w14:paraId="5296D959" w14:textId="4B49066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658D8F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2CC88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w funkcjonowaniu zarządzania wód</w:t>
            </w:r>
            <w:r w:rsidRPr="005E78BB">
              <w:rPr>
                <w:rFonts w:ascii="Calibri" w:eastAsia="Times New Roman" w:hAnsi="Calibri" w:cs="Calibri"/>
                <w:color w:val="000000"/>
                <w:sz w:val="18"/>
                <w:szCs w:val="18"/>
                <w:lang w:eastAsia="pl-PL"/>
              </w:rPr>
              <w:br/>
              <w:t>Treść uwagi: 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7B9665A3" w14:textId="5F87B6A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53C612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70C96B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365F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2F088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1465CDDF" w14:textId="77777777" w:rsidTr="00E92AE6">
        <w:trPr>
          <w:trHeight w:val="454"/>
        </w:trPr>
        <w:tc>
          <w:tcPr>
            <w:tcW w:w="562" w:type="dxa"/>
            <w:shd w:val="clear" w:color="auto" w:fill="auto"/>
            <w:hideMark/>
          </w:tcPr>
          <w:p w14:paraId="166B12D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543</w:t>
            </w:r>
          </w:p>
        </w:tc>
        <w:tc>
          <w:tcPr>
            <w:tcW w:w="1021" w:type="dxa"/>
          </w:tcPr>
          <w:p w14:paraId="73A1630F" w14:textId="4B87C9F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14B510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1525C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3377" w:type="dxa"/>
            <w:shd w:val="clear" w:color="auto" w:fill="auto"/>
            <w:hideMark/>
          </w:tcPr>
          <w:p w14:paraId="4FA0F399" w14:textId="6BD6222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6CAE0E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6C7D61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15E3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BDEE24" w14:textId="77777777" w:rsidR="0085319C" w:rsidRPr="005E78BB" w:rsidRDefault="0085319C" w:rsidP="0085319C">
            <w:pPr>
              <w:ind w:firstLine="0"/>
              <w:jc w:val="left"/>
              <w:rPr>
                <w:rFonts w:ascii="Calibri" w:eastAsia="Times New Roman" w:hAnsi="Calibri" w:cs="Calibri"/>
                <w:color w:val="000000"/>
                <w:sz w:val="18"/>
                <w:szCs w:val="18"/>
                <w:lang w:eastAsia="pl-PL"/>
              </w:rPr>
            </w:pPr>
          </w:p>
        </w:tc>
      </w:tr>
      <w:tr w:rsidR="0085319C" w:rsidRPr="005E78BB" w14:paraId="267D176D" w14:textId="77777777" w:rsidTr="00E92AE6">
        <w:trPr>
          <w:trHeight w:val="454"/>
        </w:trPr>
        <w:tc>
          <w:tcPr>
            <w:tcW w:w="562" w:type="dxa"/>
            <w:shd w:val="clear" w:color="auto" w:fill="auto"/>
            <w:hideMark/>
          </w:tcPr>
          <w:p w14:paraId="2097A1F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544</w:t>
            </w:r>
          </w:p>
        </w:tc>
        <w:tc>
          <w:tcPr>
            <w:tcW w:w="1021" w:type="dxa"/>
          </w:tcPr>
          <w:p w14:paraId="7FAC66AA" w14:textId="335C61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hideMark/>
          </w:tcPr>
          <w:p w14:paraId="1D76AF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D3FB5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Zmiany w ocenie postępu działań – co 2 lata </w:t>
            </w:r>
            <w:r w:rsidRPr="005E78BB">
              <w:rPr>
                <w:rFonts w:ascii="Calibri" w:eastAsia="Times New Roman" w:hAnsi="Calibri" w:cs="Calibri"/>
                <w:color w:val="000000"/>
                <w:sz w:val="18"/>
                <w:szCs w:val="18"/>
                <w:lang w:eastAsia="pl-PL"/>
              </w:rPr>
              <w:br w:type="page"/>
              <w:t>Treść uwagi: W przypadku budowli do udrożnienia, dla których nie sporządzono dokumentacji, powinny być ustalone następujące maksymalne terminy do oceny postępu działań: 2 lata – analiza sposobu udrożnienia/ 2 lata – projekt i decyzje / 2 lata – wykonanie.</w:t>
            </w:r>
          </w:p>
        </w:tc>
        <w:tc>
          <w:tcPr>
            <w:tcW w:w="3377" w:type="dxa"/>
            <w:shd w:val="clear" w:color="auto" w:fill="auto"/>
            <w:hideMark/>
          </w:tcPr>
          <w:p w14:paraId="4022EE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171C00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284CC9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4D296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DDB70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85319C" w:rsidRPr="005E78BB" w14:paraId="035DCEB1" w14:textId="77777777" w:rsidTr="00E92AE6">
        <w:trPr>
          <w:trHeight w:val="454"/>
        </w:trPr>
        <w:tc>
          <w:tcPr>
            <w:tcW w:w="562" w:type="dxa"/>
            <w:shd w:val="clear" w:color="auto" w:fill="auto"/>
            <w:hideMark/>
          </w:tcPr>
          <w:p w14:paraId="27F86DE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545</w:t>
            </w:r>
          </w:p>
        </w:tc>
        <w:tc>
          <w:tcPr>
            <w:tcW w:w="1021" w:type="dxa"/>
          </w:tcPr>
          <w:p w14:paraId="4AC67CFA" w14:textId="7A2390F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w:t>
            </w:r>
          </w:p>
        </w:tc>
        <w:tc>
          <w:tcPr>
            <w:tcW w:w="1630" w:type="dxa"/>
            <w:shd w:val="clear" w:color="auto" w:fill="auto"/>
            <w:hideMark/>
          </w:tcPr>
          <w:p w14:paraId="10F256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BEC12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3377" w:type="dxa"/>
            <w:shd w:val="clear" w:color="auto" w:fill="auto"/>
            <w:hideMark/>
          </w:tcPr>
          <w:p w14:paraId="6A8FE8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DC6077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2118A0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D69F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CA14E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4B05202B" w14:textId="77777777" w:rsidTr="00E92AE6">
        <w:trPr>
          <w:trHeight w:val="454"/>
        </w:trPr>
        <w:tc>
          <w:tcPr>
            <w:tcW w:w="562" w:type="dxa"/>
            <w:shd w:val="clear" w:color="auto" w:fill="auto"/>
            <w:hideMark/>
          </w:tcPr>
          <w:p w14:paraId="40CF01B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546</w:t>
            </w:r>
          </w:p>
        </w:tc>
        <w:tc>
          <w:tcPr>
            <w:tcW w:w="1021" w:type="dxa"/>
          </w:tcPr>
          <w:p w14:paraId="391DA0A5" w14:textId="417DFF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3D117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861C5E" w14:textId="4AB18D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ogólna</w:t>
            </w:r>
            <w:r w:rsidRPr="005E78BB">
              <w:rPr>
                <w:rFonts w:ascii="Calibri" w:eastAsia="Times New Roman" w:hAnsi="Calibri" w:cs="Calibri"/>
                <w:color w:val="000000"/>
                <w:sz w:val="18"/>
                <w:szCs w:val="18"/>
                <w:lang w:eastAsia="pl-PL"/>
              </w:rPr>
              <w:br/>
              <w:t>Plan gospodarowania wodami w dorzeczu (dalej PGW) jest głównym dokumentem planistycznym, na podstawie którego paostwa członkowskie mają osiągnąd wyznaczone tam cele środowiskowe dla wód i obszarów chronionych od wód zależnych. Cele środowiskowe zgodnie z Ramową Dyrektywą Wodną (RDW) powinny byd co do zasady osiągnięte do 2027 r. Aby to zrealizowad plany wskazują na presje oraz sposoby ich likwidacji poprzez realizacje działao ochronnych. Wskazane są też odstępstwa od celów dyrektywy dla konkretnych części wód – te musza byd jednak właściwie uzasadnione i opisane, w sposób nie budzący zastrzeżeo. Projekt PGW i każda jego aktualizacja powinna podlegad przynajmniej półrocznym konsultacjom społecznym, a proces ten powinien byd przejrzysty, umożliwiający rzeczywisty i skuteczny udział. Paostwa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zastrzeżeo. Bez wyraźnych zmian w dokumentach i poprawienia możliwości udziału społeczeostwa w jego ustanowieniu dokument ten nie spełni swojej podstawowej funkcji – osiągnięcia celów środowiskowych w zgodzie z Ramową Dyrektywą Wodną. Należy mied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wymagao (stan wód określono w nich jako dobry).</w:t>
            </w:r>
            <w:r w:rsidRPr="005E78BB">
              <w:rPr>
                <w:rFonts w:ascii="Calibri" w:eastAsia="Times New Roman" w:hAnsi="Calibri" w:cs="Calibri"/>
                <w:color w:val="000000"/>
                <w:sz w:val="18"/>
                <w:szCs w:val="18"/>
                <w:lang w:eastAsia="pl-PL"/>
              </w:rPr>
              <w:br/>
              <w:t>W kolejnych uwagach przedstawiono szczegółowe odniesienia do ww. obszarów problemowych.</w:t>
            </w:r>
          </w:p>
        </w:tc>
        <w:tc>
          <w:tcPr>
            <w:tcW w:w="3377" w:type="dxa"/>
            <w:shd w:val="clear" w:color="auto" w:fill="auto"/>
            <w:hideMark/>
          </w:tcPr>
          <w:p w14:paraId="7EFB17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zastrzeżeo i propozycji zmian przypisanych do sformułowanych dalej uwag szczegółowych.</w:t>
            </w:r>
          </w:p>
        </w:tc>
        <w:tc>
          <w:tcPr>
            <w:tcW w:w="3401" w:type="dxa"/>
            <w:shd w:val="clear" w:color="auto" w:fill="auto"/>
            <w:hideMark/>
          </w:tcPr>
          <w:p w14:paraId="01CC91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przedstawiad i legalizowad podział wód, cele środowiskowe, rozpoznanie presji i dobór środków je likwidujących lub łagodzących. Wszelkie odstępstwa od osiągnięcia lub obniżenia celów środowiskowych muszą byd indywidualnie opisane i byd weryfikowalne. PGW musi gwarantowad wykonanie działao zapobiegających presji (środków) i kontrolę ich postępu. Wreszcie powinien byd zapewniony udział społeczeostwa zgodny z zapisami RDW, a Paostwo powinno zachęcad do aktywnego udziału w konsultacjach tych dokumentów.</w:t>
            </w:r>
          </w:p>
        </w:tc>
        <w:tc>
          <w:tcPr>
            <w:tcW w:w="1918" w:type="dxa"/>
            <w:shd w:val="clear" w:color="auto" w:fill="auto"/>
            <w:hideMark/>
          </w:tcPr>
          <w:p w14:paraId="200325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3CDA3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316C1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557693A7" w14:textId="77777777" w:rsidTr="00E92AE6">
        <w:trPr>
          <w:trHeight w:val="454"/>
        </w:trPr>
        <w:tc>
          <w:tcPr>
            <w:tcW w:w="562" w:type="dxa"/>
            <w:shd w:val="clear" w:color="auto" w:fill="auto"/>
            <w:hideMark/>
          </w:tcPr>
          <w:p w14:paraId="1EAFF68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547</w:t>
            </w:r>
          </w:p>
        </w:tc>
        <w:tc>
          <w:tcPr>
            <w:tcW w:w="1021" w:type="dxa"/>
          </w:tcPr>
          <w:p w14:paraId="1F42DCA8" w14:textId="19C900F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0A89C2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1F162EA" w14:textId="78334A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t>Niedopuszczalna była nagła i znacząca zmiana zapisów projektów IIaPGW jedynie na dwa tygodnie przed koocem „przynajmniej półrocznych” konsultacji w trybie przepisów RDW (30 września – publikacja zmian; 14 października – koniec konsultacji). Termin ten bezwzględnie powinien byd przedłużony.</w:t>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w:t>
            </w:r>
            <w:r w:rsidRPr="005E78BB">
              <w:rPr>
                <w:rFonts w:ascii="Calibri" w:eastAsia="Times New Roman" w:hAnsi="Calibri" w:cs="Calibri"/>
                <w:color w:val="000000"/>
                <w:sz w:val="18"/>
                <w:szCs w:val="18"/>
                <w:lang w:eastAsia="pl-PL"/>
              </w:rPr>
              <w:br/>
              <w:t>. Zmiany wymagają m.in. ponownej analizy działao zaplanowanych w dorzeczach, a odnoszących się do</w:t>
            </w:r>
            <w:r w:rsidRPr="005E78BB">
              <w:rPr>
                <w:rFonts w:ascii="Calibri" w:eastAsia="Times New Roman" w:hAnsi="Calibri" w:cs="Calibri"/>
                <w:color w:val="000000"/>
                <w:sz w:val="18"/>
                <w:szCs w:val="18"/>
                <w:lang w:eastAsia="pl-PL"/>
              </w:rPr>
              <w:br/>
              <w:t>udrożnieo budowli piętrzących oraz do konkretnych zapisów głównie uszczuplających zestaw działao likwidujących presje zanieczyszczeo komunalnych.</w:t>
            </w:r>
            <w:r w:rsidRPr="005E78BB">
              <w:rPr>
                <w:rFonts w:ascii="Calibri" w:eastAsia="Times New Roman" w:hAnsi="Calibri" w:cs="Calibri"/>
                <w:color w:val="000000"/>
                <w:sz w:val="18"/>
                <w:szCs w:val="18"/>
                <w:lang w:eastAsia="pl-PL"/>
              </w:rPr>
              <w:br/>
              <w:t xml:space="preserve">Ilośd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działao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działao poprawiających ich drożnośd (Zał. 4 do „erraty” wcześniej zał. 1 do zał. 7 IIaPGW). Społeczeostwo zostało zmuszone do dokonania ponownej weryfikacji tego zestawienia (obecnie ponad 3100 działao na konkretnych budowlach), chodby ze względu na całkowitą i nieuzasadnioną zmianę numeracji budowli w stosunku do publikacji w wersji z kwietnia. Liczba budowli położonych na „nowych” obszarach chronionych dla gatunków gospodarczych w dorzeczu Wisły to aż 821. Wszystkie ww. zmiany są znaczące i powinny byd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046C86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działao z kategorii gospodarka ściekowa na możliwośd osiągnięcia celów RDW.</w:t>
            </w:r>
            <w:r w:rsidRPr="005E78BB">
              <w:rPr>
                <w:rFonts w:ascii="Calibri" w:eastAsia="Times New Roman" w:hAnsi="Calibri" w:cs="Calibri"/>
                <w:color w:val="000000"/>
                <w:sz w:val="18"/>
                <w:szCs w:val="18"/>
                <w:lang w:eastAsia="pl-PL"/>
              </w:rPr>
              <w:br/>
              <w:t>Minimalny termin pozwalający na chodby pobieżne zapoznanie się ze zmianami to miesiąc od daty ich publikacji.</w:t>
            </w:r>
          </w:p>
        </w:tc>
        <w:tc>
          <w:tcPr>
            <w:tcW w:w="3401" w:type="dxa"/>
            <w:shd w:val="clear" w:color="auto" w:fill="auto"/>
            <w:hideMark/>
          </w:tcPr>
          <w:p w14:paraId="527647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 Zgodnie z zapisami RDW, konsultacje projektów planów gospodarowania wodami w dorzeczu trwają pół roku. Nieuzasadnione jest skrócenie tego okresu do jedynie dwóch tygodni. IIaPGW został uzupełniony , co prawda o niezbędny element, jakim są obszary chronione</w:t>
            </w:r>
            <w:r w:rsidRPr="005E78BB">
              <w:rPr>
                <w:rFonts w:ascii="Calibri" w:eastAsia="Times New Roman" w:hAnsi="Calibri" w:cs="Calibri"/>
                <w:color w:val="000000"/>
                <w:sz w:val="18"/>
                <w:szCs w:val="18"/>
                <w:lang w:eastAsia="pl-PL"/>
              </w:rPr>
              <w:br/>
              <w:t>ale zdecydowanie zbyt późno.</w:t>
            </w:r>
            <w:r w:rsidRPr="005E78BB">
              <w:rPr>
                <w:rFonts w:ascii="Calibri" w:eastAsia="Times New Roman" w:hAnsi="Calibri" w:cs="Calibri"/>
                <w:color w:val="000000"/>
                <w:sz w:val="18"/>
                <w:szCs w:val="18"/>
                <w:lang w:eastAsia="pl-PL"/>
              </w:rPr>
              <w:br/>
              <w:t>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społeczeostwo ma się do tych zagadnieo odnieśd jedynie w dwa tygodnie? Termin publikacji rozporządzenia mógł byd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w:t>
            </w:r>
          </w:p>
        </w:tc>
        <w:tc>
          <w:tcPr>
            <w:tcW w:w="1918" w:type="dxa"/>
            <w:shd w:val="clear" w:color="auto" w:fill="auto"/>
            <w:hideMark/>
          </w:tcPr>
          <w:p w14:paraId="1E9DFD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E17E0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51443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42866DB4" w14:textId="77777777" w:rsidTr="00E92AE6">
        <w:trPr>
          <w:trHeight w:val="454"/>
        </w:trPr>
        <w:tc>
          <w:tcPr>
            <w:tcW w:w="562" w:type="dxa"/>
            <w:shd w:val="clear" w:color="auto" w:fill="auto"/>
            <w:hideMark/>
          </w:tcPr>
          <w:p w14:paraId="410B552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548</w:t>
            </w:r>
          </w:p>
        </w:tc>
        <w:tc>
          <w:tcPr>
            <w:tcW w:w="1021" w:type="dxa"/>
          </w:tcPr>
          <w:p w14:paraId="22E80A95" w14:textId="4F365DD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0587F4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BAA36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chaos</w:t>
            </w:r>
            <w:r w:rsidRPr="005E78BB">
              <w:rPr>
                <w:rFonts w:ascii="Calibri" w:eastAsia="Times New Roman" w:hAnsi="Calibri" w:cs="Calibri"/>
                <w:color w:val="000000"/>
                <w:sz w:val="18"/>
                <w:szCs w:val="18"/>
                <w:lang w:eastAsia="pl-PL"/>
              </w:rPr>
              <w:br w:type="page"/>
              <w:t>Zgodnie z komunikatem na stronie internetowej poświęconej konsultacjom IIaPGW https://apgw.gov.pl/ z kooca września 2021 r. od 30 września miały byd</w:t>
            </w:r>
            <w:r w:rsidRPr="005E78BB">
              <w:rPr>
                <w:rFonts w:ascii="Calibri" w:eastAsia="Times New Roman" w:hAnsi="Calibri" w:cs="Calibri"/>
                <w:color w:val="000000"/>
                <w:sz w:val="18"/>
                <w:szCs w:val="18"/>
                <w:lang w:eastAsia="pl-PL"/>
              </w:rPr>
              <w:br w:type="page"/>
              <w:t>to ostatni dzwonek, by wziąd udział w konsultacjach społecznych w ramach drugiej</w:t>
            </w:r>
            <w:r w:rsidRPr="005E78BB">
              <w:rPr>
                <w:rFonts w:ascii="Calibri" w:eastAsia="Times New Roman" w:hAnsi="Calibri" w:cs="Calibri"/>
                <w:color w:val="000000"/>
                <w:sz w:val="18"/>
                <w:szCs w:val="18"/>
                <w:lang w:eastAsia="pl-PL"/>
              </w:rPr>
              <w:br w:type="page"/>
              <w:t>aktualizacji planów gospodarowania wodami, które trwają tylko do 14 października”.</w:t>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składad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p>
        </w:tc>
        <w:tc>
          <w:tcPr>
            <w:tcW w:w="3377" w:type="dxa"/>
            <w:shd w:val="clear" w:color="auto" w:fill="auto"/>
            <w:hideMark/>
          </w:tcPr>
          <w:p w14:paraId="5BEAFA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wyjaśnid różnice pomiędzy oboma procesami konsultacji (szczególnie co do losu i skutków składanych uwag i wniosków), zintegrowad je tak bardzo jak to tylko możliwe. Powinny mied wspólny, przedłużony czas konsultacji przynajmniej do 31 października. Powinno zostad jednoznacznie wyjaśnione, czy uwagi złożone w jednym z procesów będą brane pod uwagę w obu procedurach, czy trzeba powielad składanie uwag w obu procesach.</w:t>
            </w:r>
          </w:p>
        </w:tc>
        <w:tc>
          <w:tcPr>
            <w:tcW w:w="3401" w:type="dxa"/>
            <w:shd w:val="clear" w:color="auto" w:fill="auto"/>
            <w:hideMark/>
          </w:tcPr>
          <w:p w14:paraId="60A69B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składad, na jakich formularzach i jakie to ma konsekwencje – który tryb jest ważniejszy i czy uwagi trzeba złożyd dwukrotnie.</w:t>
            </w:r>
            <w:r w:rsidRPr="005E78BB">
              <w:rPr>
                <w:rFonts w:ascii="Calibri" w:eastAsia="Times New Roman" w:hAnsi="Calibri" w:cs="Calibri"/>
                <w:color w:val="000000"/>
                <w:sz w:val="18"/>
                <w:szCs w:val="18"/>
                <w:lang w:eastAsia="pl-PL"/>
              </w:rPr>
              <w:br w:type="page"/>
              <w:t>Jedynym rozwiązaniem jest ujednolicenie trybu składania uwag i rozszerzenie terminów ich składania.</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zostad wyznaczony przynajmniej na 31 października.</w:t>
            </w:r>
          </w:p>
        </w:tc>
        <w:tc>
          <w:tcPr>
            <w:tcW w:w="1918" w:type="dxa"/>
            <w:shd w:val="clear" w:color="auto" w:fill="auto"/>
            <w:hideMark/>
          </w:tcPr>
          <w:p w14:paraId="729D90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1B3F0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1C0F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3C9EC37C" w14:textId="77777777" w:rsidTr="00E92AE6">
        <w:trPr>
          <w:trHeight w:val="454"/>
        </w:trPr>
        <w:tc>
          <w:tcPr>
            <w:tcW w:w="562" w:type="dxa"/>
            <w:shd w:val="clear" w:color="auto" w:fill="auto"/>
            <w:hideMark/>
          </w:tcPr>
          <w:p w14:paraId="3A2B631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549</w:t>
            </w:r>
          </w:p>
        </w:tc>
        <w:tc>
          <w:tcPr>
            <w:tcW w:w="1021" w:type="dxa"/>
          </w:tcPr>
          <w:p w14:paraId="59AFB781" w14:textId="73B9F83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6A4A9F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BD73804" w14:textId="748870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geobaza</w:t>
            </w:r>
            <w:r w:rsidRPr="005E78BB">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sied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podkreślid, że stworzenie bazy danych czy nawet zobrazowanie warstw GIS było możliwe, na co wskazuje chodby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częśd danych przestrzennych chod jest w ich posiadaniu, nie zostanie udostępnionych (sied monitoringu). Jest to naruszenie przepisów o dostępie do informacji o środowisku i sprzeczne z duchem i literą RDW.</w:t>
            </w:r>
          </w:p>
        </w:tc>
        <w:tc>
          <w:tcPr>
            <w:tcW w:w="3377" w:type="dxa"/>
            <w:shd w:val="clear" w:color="auto" w:fill="auto"/>
            <w:hideMark/>
          </w:tcPr>
          <w:p w14:paraId="1A8CC4DA" w14:textId="34097B8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Powtórzyd / przedłużyd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byd upowszechnione na ogólnodostępnej platformie (jak w przypadku konsultacji aPZRP) oraz dostępne na wniosek.</w:t>
            </w:r>
          </w:p>
        </w:tc>
        <w:tc>
          <w:tcPr>
            <w:tcW w:w="3401" w:type="dxa"/>
            <w:shd w:val="clear" w:color="auto" w:fill="auto"/>
            <w:hideMark/>
          </w:tcPr>
          <w:p w14:paraId="2568990B" w14:textId="0CBF8D4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działao ochronnych) znacząco obniża jakośd konsultacji publicznych. Uwaga składana wielokrotnie m.in. w trakcie spotkao konsultacyjnych nie doczekała się żadnej reakcji.</w:t>
            </w:r>
            <w:r w:rsidRPr="005E78BB">
              <w:rPr>
                <w:rFonts w:ascii="Calibri" w:eastAsia="Times New Roman" w:hAnsi="Calibri" w:cs="Calibri"/>
                <w:color w:val="000000"/>
                <w:sz w:val="18"/>
                <w:szCs w:val="18"/>
                <w:lang w:eastAsia="pl-PL"/>
              </w:rPr>
              <w:br/>
              <w:t>Mapy udostępnione wraz z projektem IIaPGW nie są ani czytelne ani możliwe do wykorzystania przez osoby uczestniczące w konsultacjach.</w:t>
            </w:r>
            <w:r w:rsidRPr="005E78BB">
              <w:rPr>
                <w:rFonts w:ascii="Calibri" w:eastAsia="Times New Roman" w:hAnsi="Calibri" w:cs="Calibri"/>
                <w:color w:val="000000"/>
                <w:sz w:val="18"/>
                <w:szCs w:val="18"/>
                <w:lang w:eastAsia="pl-PL"/>
              </w:rPr>
              <w:br/>
              <w:t>Działanie Wód Polskich w tym zakresie jest sprzeczne z:</w:t>
            </w:r>
            <w:r w:rsidRPr="005E78BB">
              <w:rPr>
                <w:rFonts w:ascii="Calibri" w:eastAsia="Times New Roman" w:hAnsi="Calibri" w:cs="Calibri"/>
                <w:color w:val="000000"/>
                <w:sz w:val="18"/>
                <w:szCs w:val="18"/>
                <w:lang w:eastAsia="pl-PL"/>
              </w:rPr>
              <w:br/>
              <w:t>art. 14 RDW –</w:t>
            </w:r>
            <w:r w:rsidRPr="005E78BB">
              <w:rPr>
                <w:rFonts w:ascii="Calibri" w:eastAsia="Times New Roman" w:hAnsi="Calibri" w:cs="Calibri"/>
                <w:color w:val="000000"/>
                <w:sz w:val="18"/>
                <w:szCs w:val="18"/>
                <w:lang w:eastAsia="pl-PL"/>
              </w:rPr>
              <w:br/>
              <w:t>Paostwa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p>
        </w:tc>
        <w:tc>
          <w:tcPr>
            <w:tcW w:w="1918" w:type="dxa"/>
            <w:shd w:val="clear" w:color="auto" w:fill="auto"/>
            <w:hideMark/>
          </w:tcPr>
          <w:p w14:paraId="38C3F7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EDDA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FE91A32" w14:textId="11801E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7A6C2588" w14:textId="77777777" w:rsidTr="00E92AE6">
        <w:trPr>
          <w:trHeight w:val="454"/>
        </w:trPr>
        <w:tc>
          <w:tcPr>
            <w:tcW w:w="562" w:type="dxa"/>
            <w:shd w:val="clear" w:color="auto" w:fill="auto"/>
            <w:hideMark/>
          </w:tcPr>
          <w:p w14:paraId="31BE454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550</w:t>
            </w:r>
          </w:p>
        </w:tc>
        <w:tc>
          <w:tcPr>
            <w:tcW w:w="1021" w:type="dxa"/>
          </w:tcPr>
          <w:p w14:paraId="69BE5B92" w14:textId="40740EE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7EFBB3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9346F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nieskooczonych”.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t>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 de3e47637a63/Guidance%20No%208%20- %20Public%20participation%20%28WG%202.9%29.pdf (rozdział 5.2.). Już w 2003 r. wytyczne te precyzowały, że dostęp do materiałów/dokumentów źródłowych powinien byd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stanowid to technicznego problemu (po 18 latach nie powinno stanowid go nadal).</w:t>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mówid o prawidłowym przeprowadzeniu konsultacji publicznych. Szczególnie traktowanie tych dokumentów jako nieskooczonych (możliwe zastosowanie odmowy udostępnienia z art. 16 uoś), a mimo tego przygotowanych do obowiązkowych półrocznych konsultacji publicznych (wymienione w projekcie IIaPGW) powoduje, że konsultacje te nie mogą byd uznane za przeprowadzone w trybie art. 14 ust. 1 RDW.</w:t>
            </w:r>
            <w:r w:rsidRPr="005E78BB">
              <w:rPr>
                <w:rFonts w:ascii="Calibri" w:eastAsia="Times New Roman" w:hAnsi="Calibri" w:cs="Calibri"/>
                <w:color w:val="000000"/>
                <w:sz w:val="18"/>
                <w:szCs w:val="18"/>
                <w:lang w:eastAsia="pl-PL"/>
              </w:rPr>
              <w:br/>
              <w:t>Odnieśd można wrażenie, że nieopublikowanie dokumentów w domenie publicznej to celowe ograniczanie udziału interesariuszy. Warto w tym miejscu przytoczyd słowa Dyrektora Departamentu Zarządzania Środowiskiem Wodnym Przemysława Gruszeckiego wygłoszone na spotkaniu konsultacyjnym w Zielonej Górze, że dokumenty źródłowe są udostępniane na indywidualny wniosek, ale nie mogą podlegad dalszemu rozpowszechnianiu nawet w niezmienionej formie, gdyż Wody Polskie „muszą wiedzied jak te dokumenty krążą”.</w:t>
            </w:r>
          </w:p>
        </w:tc>
        <w:tc>
          <w:tcPr>
            <w:tcW w:w="3377" w:type="dxa"/>
            <w:shd w:val="clear" w:color="auto" w:fill="auto"/>
            <w:hideMark/>
          </w:tcPr>
          <w:p w14:paraId="0BA5D7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udostępnid dokumenty źródłowe IIaPGW w domenie publicznej – nawet udostępnienie objętości kilkadziesiąt GB nie stanowi aktualnie żadnego technicznego problemu.</w:t>
            </w:r>
          </w:p>
        </w:tc>
        <w:tc>
          <w:tcPr>
            <w:tcW w:w="3401" w:type="dxa"/>
            <w:shd w:val="clear" w:color="auto" w:fill="auto"/>
            <w:hideMark/>
          </w:tcPr>
          <w:p w14:paraId="74368E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postanowieo Konwencji Aarhus i Dyrektywy 2003/4/WE, a co za tym idzie, również ustawy ooś (Dz. U. 2008 Nr 199 poz. 1227 z późn. zm.) i ustawy o dostępie do informacji publicznej.</w:t>
            </w:r>
          </w:p>
        </w:tc>
        <w:tc>
          <w:tcPr>
            <w:tcW w:w="1918" w:type="dxa"/>
            <w:shd w:val="clear" w:color="auto" w:fill="auto"/>
            <w:hideMark/>
          </w:tcPr>
          <w:p w14:paraId="6C0C04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40CB6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6BA0C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72619576" w14:textId="77777777" w:rsidTr="00E92AE6">
        <w:trPr>
          <w:trHeight w:val="454"/>
        </w:trPr>
        <w:tc>
          <w:tcPr>
            <w:tcW w:w="562" w:type="dxa"/>
            <w:shd w:val="clear" w:color="auto" w:fill="auto"/>
            <w:hideMark/>
          </w:tcPr>
          <w:p w14:paraId="21E8CD1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551</w:t>
            </w:r>
          </w:p>
        </w:tc>
        <w:tc>
          <w:tcPr>
            <w:tcW w:w="1021" w:type="dxa"/>
          </w:tcPr>
          <w:p w14:paraId="16344A13" w14:textId="3F6D75B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272B59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50E73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formularz</w:t>
            </w:r>
            <w:r w:rsidRPr="005E78BB">
              <w:rPr>
                <w:rFonts w:ascii="Calibri" w:eastAsia="Times New Roman" w:hAnsi="Calibri" w:cs="Calibri"/>
                <w:color w:val="000000"/>
                <w:sz w:val="18"/>
                <w:szCs w:val="18"/>
                <w:lang w:eastAsia="pl-PL"/>
              </w:rPr>
              <w:br w:type="page"/>
              <w:t>Niezrozumiałe jest przedstawienie do konsultacji formularza utrudniającego składanie większej ilości uwag., przy jednoczesnej sugestii, że to jedyny sposób składania uwag pocztą e-mail. Uwagi mają byd złożone w formularzu tekstowym, jedna pod drugą: UWAGA, PROPONOWANE ZMIANY i UZASADNIENIE. Aby złożyd więcej uwag, należy kopiowad pola. Lepszym, bardziej przyjaznym użytkownikom i wcześniej praktykowanym przez Wody Polskie sposobem było składanie uwag na formularzu w formie tabeli – z ww. tematycznymi kolumnami.</w:t>
            </w:r>
          </w:p>
        </w:tc>
        <w:tc>
          <w:tcPr>
            <w:tcW w:w="3377" w:type="dxa"/>
            <w:shd w:val="clear" w:color="auto" w:fill="auto"/>
            <w:hideMark/>
          </w:tcPr>
          <w:p w14:paraId="567312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Umożliwid składanie uwag również w innych formach niż załączony na stronach konsultacji formularz, w tym w formie tabelarycznej. Stosowna informacja powinna znaleźd się na stronie https://apgw.gov.pl/pl/konsultacje</w:t>
            </w:r>
          </w:p>
        </w:tc>
        <w:tc>
          <w:tcPr>
            <w:tcW w:w="3401" w:type="dxa"/>
            <w:shd w:val="clear" w:color="auto" w:fill="auto"/>
            <w:hideMark/>
          </w:tcPr>
          <w:p w14:paraId="17AAFF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t>Organy paostwowe powinny ułatwiad składanie uwag w ramach konsultacji IIaPGW, a nie je utrudniad.</w:t>
            </w:r>
          </w:p>
        </w:tc>
        <w:tc>
          <w:tcPr>
            <w:tcW w:w="1918" w:type="dxa"/>
            <w:shd w:val="clear" w:color="auto" w:fill="auto"/>
            <w:hideMark/>
          </w:tcPr>
          <w:p w14:paraId="162110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D945C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F9C18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zróznicowane kanały komunikacji dostępne dla zainteresowanych. Nie zastosowano dodatkowych ograniczeń co do formy przedkładanych uwag.</w:t>
            </w:r>
          </w:p>
        </w:tc>
      </w:tr>
      <w:tr w:rsidR="0085319C" w:rsidRPr="005E78BB" w14:paraId="5B07B73B" w14:textId="77777777" w:rsidTr="00E92AE6">
        <w:trPr>
          <w:trHeight w:val="454"/>
        </w:trPr>
        <w:tc>
          <w:tcPr>
            <w:tcW w:w="562" w:type="dxa"/>
            <w:shd w:val="clear" w:color="auto" w:fill="auto"/>
            <w:hideMark/>
          </w:tcPr>
          <w:p w14:paraId="24AFD2D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552</w:t>
            </w:r>
          </w:p>
        </w:tc>
        <w:tc>
          <w:tcPr>
            <w:tcW w:w="1021" w:type="dxa"/>
          </w:tcPr>
          <w:p w14:paraId="7D16FDF8" w14:textId="654A8CC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781782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907F3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01138C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Przywrócid dane z poprzedniego okresu planistycznego, dostępne pod starym adresem konsultacji www.apgw.kzgw.gov.pl</w:t>
            </w:r>
          </w:p>
        </w:tc>
        <w:tc>
          <w:tcPr>
            <w:tcW w:w="3401" w:type="dxa"/>
            <w:shd w:val="clear" w:color="auto" w:fill="auto"/>
            <w:hideMark/>
          </w:tcPr>
          <w:p w14:paraId="65F359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3AD29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52226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A33A9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4865F93C" w14:textId="77777777" w:rsidTr="00E92AE6">
        <w:trPr>
          <w:trHeight w:val="454"/>
        </w:trPr>
        <w:tc>
          <w:tcPr>
            <w:tcW w:w="562" w:type="dxa"/>
            <w:shd w:val="clear" w:color="auto" w:fill="auto"/>
            <w:hideMark/>
          </w:tcPr>
          <w:p w14:paraId="520D44A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553</w:t>
            </w:r>
          </w:p>
        </w:tc>
        <w:tc>
          <w:tcPr>
            <w:tcW w:w="1021" w:type="dxa"/>
          </w:tcPr>
          <w:p w14:paraId="607766F6" w14:textId="7806B1A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617A6C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0999ADE" w14:textId="355E788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Rozdz. 3</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Częśd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częśd połączono z innymi ciekami, a największa 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długośd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w:t>
            </w:r>
            <w:r w:rsidRPr="005E78BB">
              <w:rPr>
                <w:rFonts w:ascii="Calibri" w:eastAsia="Times New Roman" w:hAnsi="Calibri" w:cs="Calibri"/>
                <w:color w:val="000000"/>
                <w:sz w:val="18"/>
                <w:szCs w:val="18"/>
                <w:lang w:eastAsia="pl-PL"/>
              </w:rPr>
              <w:br/>
              <w:t xml:space="preserve">Nie wystarczy napisad,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zostad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Paostwa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zostad poddane pełnej kontroli publicznej. Nawet jeśli któryś z dokumentów, na podstawie którego dokonano zmian, był przedstawiony do konsultacji publicznych, to informacja o ich wynikach powinna znaleźd się w projekcie IIaPGW. Nie powinno się też wykluczad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0FD708C6" w14:textId="29D9E28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Uzasadnid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zweryfikowad zasadnośd wyłączeo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Zweryfikowad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byd możliwe do zweryfikowania także w formie wizualnej. Przedstawione nieczytelne zbiorcze mapy – załączniki IIaPGW - tej roli nie spełniają.</w:t>
            </w:r>
          </w:p>
        </w:tc>
        <w:tc>
          <w:tcPr>
            <w:tcW w:w="3401" w:type="dxa"/>
            <w:shd w:val="clear" w:color="auto" w:fill="auto"/>
            <w:hideMark/>
          </w:tcPr>
          <w:p w14:paraId="47784A67" w14:textId="2F304B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byd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częśd wód. IIaPGW powinno zawierad dowód, że za nowym podziałem stoją racjonalne przesłanki, inne niż np. oszczędności na rozbudowie sieci monitoringowej i chęd realizacji większej ilości przedsięwzięd wykazujących presje na wody - znacząco negatywnie oddziałujących na stan wód i obszary chronione zależne od wód. Dziwnym zbiegiem okoliczności, nagle żadne z przedsięwzięd spełniających według Wód Polskich warunki derogacji art. 4.7 nie wykazuje negatywnych oddziaływao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byd położone.</w:t>
            </w:r>
            <w:r w:rsidRPr="005E78BB">
              <w:rPr>
                <w:rFonts w:ascii="Calibri" w:eastAsia="Times New Roman" w:hAnsi="Calibri" w:cs="Calibri"/>
                <w:color w:val="000000"/>
                <w:sz w:val="18"/>
                <w:szCs w:val="18"/>
                <w:lang w:eastAsia="pl-PL"/>
              </w:rPr>
              <w:br/>
              <w:t xml:space="preserve">Zmniejszenie o 6 jednostek typologii rzek nie może byd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ujednoliceo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w:t>
            </w:r>
          </w:p>
        </w:tc>
        <w:tc>
          <w:tcPr>
            <w:tcW w:w="1918" w:type="dxa"/>
            <w:shd w:val="clear" w:color="auto" w:fill="auto"/>
            <w:hideMark/>
          </w:tcPr>
          <w:p w14:paraId="6CCB2D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94F1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1F468D0" w14:textId="77A62D0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5C965FC2" w14:textId="77777777" w:rsidTr="00E92AE6">
        <w:trPr>
          <w:trHeight w:val="454"/>
        </w:trPr>
        <w:tc>
          <w:tcPr>
            <w:tcW w:w="562" w:type="dxa"/>
            <w:shd w:val="clear" w:color="auto" w:fill="auto"/>
            <w:hideMark/>
          </w:tcPr>
          <w:p w14:paraId="0B174E70"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554</w:t>
            </w:r>
          </w:p>
        </w:tc>
        <w:tc>
          <w:tcPr>
            <w:tcW w:w="1021" w:type="dxa"/>
          </w:tcPr>
          <w:p w14:paraId="5B3E9538" w14:textId="33DB842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Dla Biebrzy</w:t>
            </w:r>
          </w:p>
        </w:tc>
        <w:tc>
          <w:tcPr>
            <w:tcW w:w="1630" w:type="dxa"/>
            <w:shd w:val="clear" w:color="auto" w:fill="auto"/>
            <w:hideMark/>
          </w:tcPr>
          <w:p w14:paraId="71EAFD3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ZAŁĄCZNIKI IIaPGW</w:t>
            </w:r>
          </w:p>
        </w:tc>
        <w:tc>
          <w:tcPr>
            <w:tcW w:w="5663" w:type="dxa"/>
            <w:shd w:val="clear" w:color="auto" w:fill="auto"/>
            <w:hideMark/>
          </w:tcPr>
          <w:p w14:paraId="5F0197A6" w14:textId="103BC46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Zbiornikowe</w:t>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Zał. 3.1. oraz 8.</w:t>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oznaczad,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5B23A5A0" w14:textId="739A59D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Zweryfikowad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Wyłączyd z wyznaczeo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0195E1AA" w14:textId="53D1325F"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Takie podejście nie może byd usprawiedliwieniem dla znaczących negatywnych zmian w cennych siedliskach związanych z cofkami niektórych zbiorników wodnych.</w:t>
            </w:r>
          </w:p>
        </w:tc>
        <w:tc>
          <w:tcPr>
            <w:tcW w:w="1918" w:type="dxa"/>
            <w:shd w:val="clear" w:color="auto" w:fill="auto"/>
            <w:hideMark/>
          </w:tcPr>
          <w:p w14:paraId="6DFEF7D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6977F9E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6CADD09F" w14:textId="196725CF" w:rsidR="00517A66" w:rsidRPr="00517A66" w:rsidRDefault="0085319C" w:rsidP="00517A66">
            <w:pPr>
              <w:ind w:firstLine="0"/>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517A66" w:rsidRPr="00CD6FBC">
              <w:rPr>
                <w:rFonts w:ascii="Calibri" w:eastAsia="Times New Roman" w:hAnsi="Calibri" w:cs="Calibri"/>
                <w:color w:val="000000"/>
                <w:sz w:val="18"/>
                <w:szCs w:val="18"/>
                <w:lang w:eastAsia="pl-PL"/>
              </w:rPr>
              <w:t>Wartości graniczne SCW i SZCW</w:t>
            </w:r>
          </w:p>
          <w:p w14:paraId="3ABC15A0" w14:textId="54ED759E" w:rsidR="0085319C" w:rsidRPr="00517A66"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438D9E2B" w14:textId="77777777" w:rsidTr="00E92AE6">
        <w:trPr>
          <w:trHeight w:val="454"/>
        </w:trPr>
        <w:tc>
          <w:tcPr>
            <w:tcW w:w="562" w:type="dxa"/>
            <w:shd w:val="clear" w:color="auto" w:fill="auto"/>
            <w:hideMark/>
          </w:tcPr>
          <w:p w14:paraId="0FE47E01"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555</w:t>
            </w:r>
          </w:p>
        </w:tc>
        <w:tc>
          <w:tcPr>
            <w:tcW w:w="1021" w:type="dxa"/>
          </w:tcPr>
          <w:p w14:paraId="1C7F5B9C" w14:textId="0769B67F"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Dla Biebrzy</w:t>
            </w:r>
          </w:p>
        </w:tc>
        <w:tc>
          <w:tcPr>
            <w:tcW w:w="1630" w:type="dxa"/>
            <w:shd w:val="clear" w:color="auto" w:fill="auto"/>
            <w:hideMark/>
          </w:tcPr>
          <w:p w14:paraId="06B6D30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ZAŁĄCZNIKI IIaPGW</w:t>
            </w:r>
          </w:p>
        </w:tc>
        <w:tc>
          <w:tcPr>
            <w:tcW w:w="5663" w:type="dxa"/>
            <w:shd w:val="clear" w:color="auto" w:fill="auto"/>
            <w:hideMark/>
          </w:tcPr>
          <w:p w14:paraId="2ECB17ED" w14:textId="7E6DBFE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Rozdz. 3.1.SZCW</w:t>
            </w:r>
            <w:r w:rsidRPr="00CD6FBC">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w:t>
            </w:r>
            <w:r w:rsidRPr="00CD6FBC">
              <w:rPr>
                <w:rFonts w:ascii="Calibri" w:eastAsia="Times New Roman" w:hAnsi="Calibri" w:cs="Calibri"/>
                <w:color w:val="000000"/>
                <w:sz w:val="18"/>
                <w:szCs w:val="18"/>
                <w:lang w:eastAsia="pl-PL"/>
              </w:rPr>
              <w:br w:type="page"/>
              <w:t>Zgodnie z art. 4.3. RDW Paostwa Członkowskie mogą wyznaczyd częśd wód powierzchniowych jako sztucznie lub silnie zmienioną, gdy:</w:t>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wywrzed znaczący niekorzystny wpływ na: środowisko w szerszym znaczeniu; żeglugę, włączając urządzenia portowe, lub rekreację; działalnośd, do której celów woda jest magazynowana, takie jak zaopatrzenie w wodę do spożycia, wytwarzanie prądu lub nawadnianie; regulację wód, zapobieganie powodzi, odwadnianie ziemi; lub inną jednakowo ważną działalnośd człowieka związaną ze zrównoważonym rozwojem;</w:t>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byd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sześd lat.”</w:t>
            </w:r>
            <w:r w:rsidRPr="00CD6FBC">
              <w:rPr>
                <w:rFonts w:ascii="Calibri" w:eastAsia="Times New Roman" w:hAnsi="Calibri" w:cs="Calibri"/>
                <w:color w:val="000000"/>
                <w:sz w:val="18"/>
                <w:szCs w:val="18"/>
                <w:lang w:eastAsia="pl-PL"/>
              </w:rPr>
              <w:br w:type="page"/>
              <w:t>Zgodnie z dokumentem</w:t>
            </w:r>
            <w:r w:rsidRPr="00CD6FBC">
              <w:rPr>
                <w:rFonts w:ascii="Calibri" w:eastAsia="Times New Roman" w:hAnsi="Calibri" w:cs="Calibri"/>
                <w:color w:val="000000"/>
                <w:sz w:val="18"/>
                <w:szCs w:val="18"/>
                <w:lang w:eastAsia="pl-PL"/>
              </w:rPr>
              <w:br w:type="page"/>
              <w:t>DOKUMENT ROBOCZY SŁUŻB KOMISJI Drugie plany gospodarowania wodami w dorzeczu – paostwo członkowskie: Polska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t>Zalecenie z 2012 r.:</w:t>
            </w:r>
            <w:r w:rsidRPr="00CD6FBC">
              <w:rPr>
                <w:rFonts w:ascii="Calibri" w:eastAsia="Times New Roman" w:hAnsi="Calibri" w:cs="Calibri"/>
                <w:color w:val="000000"/>
                <w:sz w:val="18"/>
                <w:szCs w:val="18"/>
                <w:lang w:eastAsia="pl-PL"/>
              </w:rPr>
              <w:br w:type="page"/>
              <w:t>Wyznaczenie silnie zmienionych jednolitych części wód powinno byd zgodne ze wszystkimi wymogami określonymi w art. 4 ust. 3. W planach gospodarowania wodami w dorzeczach należy położyd szczególny nacisk na ocenę „znaczącego niekorzystnego wpływu” na sposób korzystania z wód lub środowisko naturalne oraz brak „opcji znacznie korzystniejszych środowiskowo”. Jest to konieczne do zapewnienia przejrzystości procesu wyznaczania.</w:t>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ocenid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t>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w:t>
            </w:r>
            <w:r w:rsidRPr="00CD6FBC">
              <w:rPr>
                <w:rFonts w:ascii="Calibri" w:eastAsia="Times New Roman" w:hAnsi="Calibri" w:cs="Calibri"/>
                <w:color w:val="000000"/>
                <w:sz w:val="18"/>
                <w:szCs w:val="18"/>
                <w:lang w:eastAsia="pl-PL"/>
              </w:rPr>
              <w:br w:type="page"/>
              <w:t>Na tej podstawie nie można ani potwierdzid ani zaprzeczyd, że zmian hydromorfologicznych nie można odwrócid bez szkody dla pełnionych funkcji i nie ma żadnych rozwiązao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Jeśli zaś, zachodzi niepewnośd, co do możliwości wyznaczenia SZCW, wyznaczenie takie było nieuprawnione.</w:t>
            </w:r>
          </w:p>
        </w:tc>
        <w:tc>
          <w:tcPr>
            <w:tcW w:w="3377" w:type="dxa"/>
            <w:shd w:val="clear" w:color="auto" w:fill="auto"/>
            <w:hideMark/>
          </w:tcPr>
          <w:p w14:paraId="4061AB26" w14:textId="180B16BE"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udowodnid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udowodnid zmiany charakterystyk hydromorfologicznych tej części wód, które byłyby konieczne dla osiągnięcia dobrego stanu ekologicznego, mogłyby wywrzed znaczący niekorzystny wpływ na dane cele działalności opisanej w RDW, oraz że faktycznie nie było innych opcji znacznie korzystniejszych środowiskowo. Należy przy tym wziąd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 Na tej podstawie należy nadad status NAT wszystkim częściom wód ujętym w projekcie IIaPGW, które nie spełniają wymogów art. 4.3. RDW.</w:t>
            </w:r>
          </w:p>
        </w:tc>
        <w:tc>
          <w:tcPr>
            <w:tcW w:w="3401" w:type="dxa"/>
            <w:shd w:val="clear" w:color="auto" w:fill="auto"/>
            <w:hideMark/>
          </w:tcPr>
          <w:p w14:paraId="7DEFB8A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708BD56D"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3F87B30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E864760" w14:textId="0F86A290" w:rsidR="00517A66" w:rsidRPr="00CD6FBC" w:rsidRDefault="0085319C" w:rsidP="00517A66">
            <w:pPr>
              <w:ind w:firstLine="0"/>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517A66" w:rsidRPr="00CD6FBC">
              <w:rPr>
                <w:rFonts w:ascii="Calibri" w:eastAsia="Times New Roman" w:hAnsi="Calibri" w:cs="Calibri"/>
                <w:color w:val="000000"/>
                <w:sz w:val="18"/>
                <w:szCs w:val="18"/>
                <w:lang w:eastAsia="pl-PL"/>
              </w:rPr>
              <w:t>Wartości graniczne SCW i SZCW</w:t>
            </w:r>
          </w:p>
          <w:p w14:paraId="53ECEEAF" w14:textId="4A43BD1D" w:rsidR="0085319C" w:rsidRPr="00517A66"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393DF429" w14:textId="77777777" w:rsidTr="00E92AE6">
        <w:trPr>
          <w:trHeight w:val="454"/>
        </w:trPr>
        <w:tc>
          <w:tcPr>
            <w:tcW w:w="562" w:type="dxa"/>
            <w:shd w:val="clear" w:color="auto" w:fill="auto"/>
            <w:hideMark/>
          </w:tcPr>
          <w:p w14:paraId="2AF9B55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556</w:t>
            </w:r>
          </w:p>
        </w:tc>
        <w:tc>
          <w:tcPr>
            <w:tcW w:w="1021" w:type="dxa"/>
          </w:tcPr>
          <w:p w14:paraId="207DD602" w14:textId="7D8ACF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073C82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7742D73" w14:textId="43E7B0A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t xml:space="preserve">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2.1.) nie jest prawidłowym utworzenie jednej dużej SZCW z mniejszych o mieszanym statucie.</w:t>
            </w:r>
            <w:r w:rsidRPr="005E78BB">
              <w:rPr>
                <w:rFonts w:ascii="Calibri" w:eastAsia="Times New Roman" w:hAnsi="Calibri" w:cs="Calibri"/>
                <w:color w:val="000000"/>
                <w:sz w:val="18"/>
                <w:szCs w:val="18"/>
                <w:lang w:eastAsia="pl-PL"/>
              </w:rPr>
              <w:br/>
              <w:t xml:space="preserve">Przykładem mogą byd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7F006938" w14:textId="6EDE07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przywrócid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4DD17E62" w14:textId="7D672450" w:rsidR="0085319C" w:rsidRPr="005E78BB" w:rsidRDefault="0085319C" w:rsidP="0085319C">
            <w:pPr>
              <w:ind w:firstLine="0"/>
              <w:jc w:val="left"/>
              <w:rPr>
                <w:rFonts w:ascii="Calibri" w:eastAsia="Times New Roman" w:hAnsi="Calibri" w:cs="Calibri"/>
                <w:color w:val="000000"/>
                <w:sz w:val="18"/>
                <w:szCs w:val="18"/>
                <w:lang w:eastAsia="pl-PL"/>
              </w:rPr>
            </w:pPr>
            <w:r w:rsidRPr="00FD0BB0">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częśd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wymagao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(trod wędrowna). Aspekt obszarów dla gatunków „gospodarczych” w ogóle nie został wzięty pod uwagę w uzupełnionym „erratą” IIaPGW.</w:t>
            </w:r>
          </w:p>
        </w:tc>
        <w:tc>
          <w:tcPr>
            <w:tcW w:w="1918" w:type="dxa"/>
            <w:shd w:val="clear" w:color="auto" w:fill="auto"/>
            <w:hideMark/>
          </w:tcPr>
          <w:p w14:paraId="78EA44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6405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E40710D" w14:textId="678240F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2592D0F8" w14:textId="77777777" w:rsidTr="00E92AE6">
        <w:trPr>
          <w:trHeight w:val="454"/>
        </w:trPr>
        <w:tc>
          <w:tcPr>
            <w:tcW w:w="562" w:type="dxa"/>
            <w:shd w:val="clear" w:color="auto" w:fill="auto"/>
            <w:hideMark/>
          </w:tcPr>
          <w:p w14:paraId="18CCAD3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557</w:t>
            </w:r>
          </w:p>
        </w:tc>
        <w:tc>
          <w:tcPr>
            <w:tcW w:w="1021" w:type="dxa"/>
          </w:tcPr>
          <w:p w14:paraId="7497F485" w14:textId="51585E6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76B07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FFF25BB" w14:textId="6C768C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 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mied status NATuralnych.</w:t>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RW20001229199Wisła od Zgłowiączki do Brdy RW2000122939 Wisła od Brdy do Wdy RW20001229991Wisła od Wdy do Przekopu Wisły</w:t>
            </w:r>
            <w:r w:rsidRPr="005E78BB">
              <w:rPr>
                <w:rFonts w:ascii="Calibri" w:eastAsia="Times New Roman" w:hAnsi="Calibri" w:cs="Calibri"/>
                <w:color w:val="000000"/>
                <w:sz w:val="18"/>
                <w:szCs w:val="18"/>
                <w:lang w:eastAsia="pl-PL"/>
              </w:rPr>
              <w:br/>
              <w:t>W opisie przyczyny wyznaczenia (Zal. 1 Zestawienie Główne) widnieje: „Korekta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jakośd wód, a w następnej kolejności pod uwagę brane jest dopiero jej użytkowanie.</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2A5775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Przywrócid dla: RW20001229199Wisła od Zgłowiączki do Brdy RW2000122939 Wisła od Brdy do Wdy</w:t>
            </w:r>
            <w:r w:rsidRPr="005E78BB">
              <w:rPr>
                <w:rFonts w:ascii="Calibri" w:eastAsia="Times New Roman" w:hAnsi="Calibri" w:cs="Calibri"/>
                <w:color w:val="000000"/>
                <w:sz w:val="18"/>
                <w:szCs w:val="18"/>
                <w:lang w:eastAsia="pl-PL"/>
              </w:rPr>
              <w:br/>
              <w:t>RW20001229991Wisła od Wdy do Przekopu Wisły</w:t>
            </w:r>
            <w:r w:rsidRPr="005E78BB">
              <w:rPr>
                <w:rFonts w:ascii="Calibri" w:eastAsia="Times New Roman" w:hAnsi="Calibri" w:cs="Calibri"/>
                <w:color w:val="000000"/>
                <w:sz w:val="18"/>
                <w:szCs w:val="18"/>
                <w:lang w:eastAsia="pl-PL"/>
              </w:rPr>
              <w:br/>
              <w:t>naturalny status wody (NAT).</w:t>
            </w:r>
          </w:p>
        </w:tc>
        <w:tc>
          <w:tcPr>
            <w:tcW w:w="3401" w:type="dxa"/>
            <w:shd w:val="clear" w:color="auto" w:fill="auto"/>
            <w:hideMark/>
          </w:tcPr>
          <w:p w14:paraId="784BADD7" w14:textId="516D51C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możliwośd osiągnięcia celów środowiskowych. 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uznad za manipulację.</w:t>
            </w:r>
          </w:p>
        </w:tc>
        <w:tc>
          <w:tcPr>
            <w:tcW w:w="1918" w:type="dxa"/>
            <w:shd w:val="clear" w:color="auto" w:fill="auto"/>
            <w:hideMark/>
          </w:tcPr>
          <w:p w14:paraId="0A5912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624F3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2A16B01" w14:textId="3F292C2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40ACAFC5" w14:textId="77777777" w:rsidTr="00E92AE6">
        <w:trPr>
          <w:trHeight w:val="454"/>
        </w:trPr>
        <w:tc>
          <w:tcPr>
            <w:tcW w:w="562" w:type="dxa"/>
            <w:shd w:val="clear" w:color="auto" w:fill="auto"/>
            <w:hideMark/>
          </w:tcPr>
          <w:p w14:paraId="0C67782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558</w:t>
            </w:r>
          </w:p>
        </w:tc>
        <w:tc>
          <w:tcPr>
            <w:tcW w:w="1021" w:type="dxa"/>
          </w:tcPr>
          <w:p w14:paraId="1E681AE1" w14:textId="4629F65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5A4B1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A2A9C31" w14:textId="07EB163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ype="page"/>
              <w:t xml:space="preserve">Sied monitoringu wód powierzchniowych można ocenid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w:t>
            </w:r>
          </w:p>
        </w:tc>
        <w:tc>
          <w:tcPr>
            <w:tcW w:w="3377" w:type="dxa"/>
            <w:shd w:val="clear" w:color="auto" w:fill="auto"/>
            <w:hideMark/>
          </w:tcPr>
          <w:p w14:paraId="2FB6DF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Udostępnid sied lokalizacji ppk w formie wizualnej pozwalającej na ocenę położenia względem obiektów, które sied ma monitorowad. Najlepiej by była to wirtualna mapa z bazą danych, jak w przypadku konsultacji aPZRP.</w:t>
            </w:r>
          </w:p>
        </w:tc>
        <w:tc>
          <w:tcPr>
            <w:tcW w:w="3401" w:type="dxa"/>
            <w:shd w:val="clear" w:color="auto" w:fill="auto"/>
            <w:hideMark/>
          </w:tcPr>
          <w:p w14:paraId="15AF4A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Sied monitoringowa i jej przedstawienie w czytelnej formie graficznej to wymóg art. 13 w powiązaniu z zał. VII RDW.</w:t>
            </w:r>
          </w:p>
        </w:tc>
        <w:tc>
          <w:tcPr>
            <w:tcW w:w="1918" w:type="dxa"/>
            <w:shd w:val="clear" w:color="auto" w:fill="auto"/>
            <w:hideMark/>
          </w:tcPr>
          <w:p w14:paraId="00D3D1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2025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142F48E" w14:textId="3B66CEC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45A740C5" w14:textId="77777777" w:rsidTr="00E92AE6">
        <w:trPr>
          <w:trHeight w:val="454"/>
        </w:trPr>
        <w:tc>
          <w:tcPr>
            <w:tcW w:w="562" w:type="dxa"/>
            <w:shd w:val="clear" w:color="auto" w:fill="auto"/>
            <w:hideMark/>
          </w:tcPr>
          <w:p w14:paraId="3BDFFDA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559</w:t>
            </w:r>
          </w:p>
        </w:tc>
        <w:tc>
          <w:tcPr>
            <w:tcW w:w="1021" w:type="dxa"/>
          </w:tcPr>
          <w:p w14:paraId="0088AFBC" w14:textId="52DB996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2F7AB4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15D360D" w14:textId="2A56D6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byd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Sied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1⁄4 jezior nie jest monitorowana.</w:t>
            </w:r>
          </w:p>
        </w:tc>
        <w:tc>
          <w:tcPr>
            <w:tcW w:w="3377" w:type="dxa"/>
            <w:shd w:val="clear" w:color="auto" w:fill="auto"/>
            <w:hideMark/>
          </w:tcPr>
          <w:p w14:paraId="3FEF3EF4" w14:textId="5B134BA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objąd monitoringiem (chodby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wzmocnid sied MD dla RW, uzupełnid sied monitoringu dla LW oraz wprowadzid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584EF3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Uzupełnienie sieci monitoringu nie będzie powodowad znaczącego obciążenia budżetu paostwa i jest wykonalne przy niewielkim wsparciu struktur GIOŚ / WIOŚ.</w:t>
            </w:r>
          </w:p>
        </w:tc>
        <w:tc>
          <w:tcPr>
            <w:tcW w:w="1918" w:type="dxa"/>
            <w:shd w:val="clear" w:color="auto" w:fill="auto"/>
            <w:hideMark/>
          </w:tcPr>
          <w:p w14:paraId="67D6CB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4C7A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F009D82" w14:textId="24053D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4D6B1D0" w14:textId="77777777" w:rsidTr="00E92AE6">
        <w:trPr>
          <w:trHeight w:val="454"/>
        </w:trPr>
        <w:tc>
          <w:tcPr>
            <w:tcW w:w="562" w:type="dxa"/>
            <w:shd w:val="clear" w:color="auto" w:fill="auto"/>
            <w:hideMark/>
          </w:tcPr>
          <w:p w14:paraId="3C6C966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560</w:t>
            </w:r>
          </w:p>
        </w:tc>
        <w:tc>
          <w:tcPr>
            <w:tcW w:w="1021" w:type="dxa"/>
          </w:tcPr>
          <w:p w14:paraId="6D3223AA" w14:textId="4D9806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3E63DA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7C8004D" w14:textId="3758559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Streszczenie niespecjalistyczne; IIaPGW Rozdział 7, 8, 9</w:t>
            </w:r>
            <w:r w:rsidRPr="005E78BB">
              <w:rPr>
                <w:rFonts w:ascii="Calibri" w:eastAsia="Times New Roman" w:hAnsi="Calibri" w:cs="Calibri"/>
                <w:color w:val="000000"/>
                <w:sz w:val="18"/>
                <w:szCs w:val="18"/>
                <w:lang w:eastAsia="pl-PL"/>
              </w:rPr>
              <w:br/>
              <w:t>Presja, Cele środowiskowe,</w:t>
            </w:r>
            <w:r w:rsidRPr="005E78BB">
              <w:rPr>
                <w:rFonts w:ascii="Calibri" w:eastAsia="Times New Roman" w:hAnsi="Calibri" w:cs="Calibri"/>
                <w:color w:val="000000"/>
                <w:sz w:val="18"/>
                <w:szCs w:val="18"/>
                <w:lang w:eastAsia="pl-PL"/>
              </w:rPr>
              <w:br/>
              <w:t xml:space="preserve">Stopieo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znaleźd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działao likwidujących presje hydromorfologiczne był w dorzeczu Wisły na lata 2016-2021 niewielki, w zasadzie określony tylko dla budowli piętrzących (pomijając kilkanaście niezrealizowanych działao w dorzeczu Nidy) i był około 5-krotnie skromniejszy niż planowany obecnie i w znacznej większości nie został wykonany, o czym poniżej dalszej części uwag.</w:t>
            </w:r>
          </w:p>
        </w:tc>
        <w:tc>
          <w:tcPr>
            <w:tcW w:w="3377" w:type="dxa"/>
            <w:shd w:val="clear" w:color="auto" w:fill="auto"/>
            <w:hideMark/>
          </w:tcPr>
          <w:p w14:paraId="6EC05652" w14:textId="7924C1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działao: właściwego, szerokiego doboru działao realizujących cele środowiskowe i znacznej redukcji presji, zwłaszcza hydromorfologicznej na wody. Sprowadza się to powinno do realizacji KPRWP w pełnej formie, uzupełnionego o „reakcje” na rozpoznane nowe presje. Należy przy tym ograniczyd wszystkie działania powodujące te presje – działania inwestycyjne i tzw. prace utrzymaniowe.</w:t>
            </w:r>
            <w:r w:rsidRPr="005E78BB">
              <w:rPr>
                <w:rFonts w:ascii="Calibri" w:eastAsia="Times New Roman" w:hAnsi="Calibri" w:cs="Calibri"/>
                <w:color w:val="000000"/>
                <w:sz w:val="18"/>
                <w:szCs w:val="18"/>
                <w:lang w:eastAsia="pl-PL"/>
              </w:rPr>
              <w:br/>
              <w:t>Należy wykreślid z planów IIaPGW, PPSS i aPZRP, i im podobnych z zakresu gospodarki wodnej, te działania które powodują dalsze przekształcenia hydromorfologiczne, a które już teraz nie zostały zweryfikowane pod kątem oddziaływania na stan wód. Bezwzględnie należy usunąd tego typu działania z listy działao ochronnych IIaPGW (PPSS, mała retencja leśna).</w:t>
            </w:r>
          </w:p>
        </w:tc>
        <w:tc>
          <w:tcPr>
            <w:tcW w:w="3401" w:type="dxa"/>
            <w:shd w:val="clear" w:color="auto" w:fill="auto"/>
            <w:hideMark/>
          </w:tcPr>
          <w:p w14:paraId="63BC8B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534107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B709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03E0E0" w14:textId="51B1772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5A7A66BE" w14:textId="77777777" w:rsidTr="00E92AE6">
        <w:trPr>
          <w:trHeight w:val="454"/>
        </w:trPr>
        <w:tc>
          <w:tcPr>
            <w:tcW w:w="562" w:type="dxa"/>
            <w:shd w:val="clear" w:color="auto" w:fill="auto"/>
            <w:hideMark/>
          </w:tcPr>
          <w:p w14:paraId="6B7065F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561</w:t>
            </w:r>
          </w:p>
        </w:tc>
        <w:tc>
          <w:tcPr>
            <w:tcW w:w="1021" w:type="dxa"/>
          </w:tcPr>
          <w:p w14:paraId="090769A8" w14:textId="5C31509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0A5C5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3284BB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9</w:t>
            </w:r>
            <w:r w:rsidRPr="005E78BB">
              <w:rPr>
                <w:rFonts w:ascii="Calibri" w:eastAsia="Times New Roman" w:hAnsi="Calibri" w:cs="Calibri"/>
                <w:color w:val="000000"/>
                <w:sz w:val="18"/>
                <w:szCs w:val="18"/>
                <w:lang w:eastAsia="pl-PL"/>
              </w:rPr>
              <w:br w:type="page"/>
              <w:t>Postęp i wdrożenie działao 2016-2021</w:t>
            </w:r>
            <w:r w:rsidRPr="005E78BB">
              <w:rPr>
                <w:rFonts w:ascii="Calibri" w:eastAsia="Times New Roman" w:hAnsi="Calibri" w:cs="Calibri"/>
                <w:color w:val="000000"/>
                <w:sz w:val="18"/>
                <w:szCs w:val="18"/>
                <w:lang w:eastAsia="pl-PL"/>
              </w:rPr>
              <w:br w:type="page"/>
              <w:t>W projekcie IIaPGW nie dokonano oceny wykonania działao za lata 2016-2021 w odniesieniu do presji hydromorfologicznych (HM). Zadao było znacznie mniej niż obecnie (renaturyzacyjnych, innych niż udrożnienia przegród było w dorzeczu Wisły tylko kilkanaście i w ok. 90% dotyczyły zlewni rzeki Nidy i zdecydowana większośd tych działao nie została wykonana, ze względu na brak finansowania projektu RZGW w Krakowie). Co do udrożnieo budowli – można jedynie posiłkowad się wykazem budowli do udrożnienia (w „erracie” zał. 4). Działao z aPWŚK wymieniono tam dla dorzecza Wisły ponad 360, niewykonanych zadao przynajmniej w części jest ok. 240 (prolongacja). Co ciekawsze, częśd działao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częśd działao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2913E6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IIaPGW należy uzupełnid o stopieo wykonania działao z aPWŚK w dorzeczu Wisły w odniesieniu do wszystkich kategorii i grup.</w:t>
            </w:r>
          </w:p>
        </w:tc>
        <w:tc>
          <w:tcPr>
            <w:tcW w:w="3401" w:type="dxa"/>
            <w:shd w:val="clear" w:color="auto" w:fill="auto"/>
            <w:hideMark/>
          </w:tcPr>
          <w:p w14:paraId="7B90CD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działao na najbardziej istotną w skali dorzecza presję – hydromorfologiczną, niemożliwa jest ocena doboru działao na lata 2021-2027. Możliwe do wykonania oceny wskazują, że działania w znakomitej większości nie zostały wykonane, trudno więc mówid o tym, ze zostały „wdrożone wszystkie działania naprawcze”, o których mowa w RDW.</w:t>
            </w:r>
          </w:p>
        </w:tc>
        <w:tc>
          <w:tcPr>
            <w:tcW w:w="1918" w:type="dxa"/>
            <w:shd w:val="clear" w:color="auto" w:fill="auto"/>
            <w:hideMark/>
          </w:tcPr>
          <w:p w14:paraId="7D2E48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9D3F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985ED1" w14:textId="133EBF7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7429441D" w14:textId="77777777" w:rsidTr="00E92AE6">
        <w:trPr>
          <w:trHeight w:val="454"/>
        </w:trPr>
        <w:tc>
          <w:tcPr>
            <w:tcW w:w="562" w:type="dxa"/>
            <w:shd w:val="clear" w:color="auto" w:fill="auto"/>
            <w:hideMark/>
          </w:tcPr>
          <w:p w14:paraId="24C479B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562</w:t>
            </w:r>
          </w:p>
        </w:tc>
        <w:tc>
          <w:tcPr>
            <w:tcW w:w="1021" w:type="dxa"/>
          </w:tcPr>
          <w:p w14:paraId="7E5C33AE" w14:textId="6AEEDC0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8BC17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2CECB3B" w14:textId="0B42C0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 Działania 2aPGW KPRWP – raport</w:t>
            </w:r>
            <w:r w:rsidRPr="005E78BB">
              <w:rPr>
                <w:rFonts w:ascii="Calibri" w:eastAsia="Times New Roman" w:hAnsi="Calibri" w:cs="Calibri"/>
                <w:color w:val="000000"/>
                <w:sz w:val="18"/>
                <w:szCs w:val="18"/>
                <w:lang w:eastAsia="pl-PL"/>
              </w:rPr>
              <w:br/>
              <w:t>Jednym z działao krajowych wpisanych do aPWŚK było stworzenie Krajowego Programu Renaturyzacji Wód Powierzchniowych (KPRWP). Jego utworzenie i realizacja była jednym z argumentów strony polskiej w dyskusji z KE dot. wypełnienie postanowieo RDW (patrz s. 13 Dokument roboczy... https://www.apgw.gov.pl/pl/news/show/90) i właściwe wdrożenie działao naprawczych przypisanych do znaczących presji. 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działao IIaPGW.</w:t>
            </w:r>
            <w:r w:rsidRPr="005E78BB">
              <w:rPr>
                <w:rFonts w:ascii="Calibri" w:eastAsia="Times New Roman" w:hAnsi="Calibri" w:cs="Calibri"/>
                <w:color w:val="000000"/>
                <w:sz w:val="18"/>
                <w:szCs w:val="18"/>
                <w:lang w:eastAsia="pl-PL"/>
              </w:rPr>
              <w:br/>
              <w:t xml:space="preserve"> 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w:t>
            </w:r>
            <w:r w:rsidRPr="005E78BB">
              <w:rPr>
                <w:rFonts w:ascii="Calibri" w:eastAsia="Times New Roman" w:hAnsi="Calibri" w:cs="Calibri"/>
                <w:color w:val="000000"/>
                <w:sz w:val="18"/>
                <w:szCs w:val="18"/>
                <w:lang w:eastAsia="pl-PL"/>
              </w:rPr>
              <w:br/>
              <w:t xml:space="preserve">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w:t>
            </w:r>
            <w:r w:rsidRPr="005E78BB">
              <w:rPr>
                <w:rFonts w:ascii="Calibri" w:eastAsia="Times New Roman" w:hAnsi="Calibri" w:cs="Calibri"/>
                <w:color w:val="000000"/>
                <w:sz w:val="18"/>
                <w:szCs w:val="18"/>
                <w:lang w:eastAsia="pl-PL"/>
              </w:rPr>
              <w:br/>
              <w:t xml:space="preserve">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w:t>
            </w:r>
            <w:r w:rsidRPr="005E78BB">
              <w:rPr>
                <w:rFonts w:ascii="Calibri" w:eastAsia="Times New Roman" w:hAnsi="Calibri" w:cs="Calibri"/>
                <w:color w:val="000000"/>
                <w:sz w:val="18"/>
                <w:szCs w:val="18"/>
                <w:lang w:eastAsia="pl-PL"/>
              </w:rPr>
              <w:br/>
              <w:t xml:space="preserve"> wdrożono w IIaPGW jedynie częściowo. Ponadto, w wyniku</w:t>
            </w:r>
            <w:r w:rsidRPr="005E78BB">
              <w:rPr>
                <w:rFonts w:ascii="Calibri" w:eastAsia="Times New Roman" w:hAnsi="Calibri" w:cs="Calibri"/>
                <w:color w:val="000000"/>
                <w:sz w:val="18"/>
                <w:szCs w:val="18"/>
                <w:lang w:eastAsia="pl-PL"/>
              </w:rPr>
              <w:br/>
              <w:t xml:space="preserve"> planowanych działao w ramach IIaPGW (inwestycje uznane za</w:t>
            </w:r>
            <w:r w:rsidRPr="005E78BB">
              <w:rPr>
                <w:rFonts w:ascii="Calibri" w:eastAsia="Times New Roman" w:hAnsi="Calibri" w:cs="Calibri"/>
                <w:color w:val="000000"/>
                <w:sz w:val="18"/>
                <w:szCs w:val="18"/>
                <w:lang w:eastAsia="pl-PL"/>
              </w:rPr>
              <w:br/>
              <w:t xml:space="preserve"> spełniające przesłanki art. 4.7 RDW), PPSS i aPZRP, dodatkowa presja</w:t>
            </w:r>
            <w:r w:rsidRPr="005E78BB">
              <w:rPr>
                <w:rFonts w:ascii="Calibri" w:eastAsia="Times New Roman" w:hAnsi="Calibri" w:cs="Calibri"/>
                <w:color w:val="000000"/>
                <w:sz w:val="18"/>
                <w:szCs w:val="18"/>
                <w:lang w:eastAsia="pl-PL"/>
              </w:rPr>
              <w:br/>
              <w:t xml:space="preserve">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w:t>
            </w:r>
            <w:r w:rsidRPr="005E78BB">
              <w:rPr>
                <w:rFonts w:ascii="Calibri" w:eastAsia="Times New Roman" w:hAnsi="Calibri" w:cs="Calibri"/>
                <w:color w:val="000000"/>
                <w:sz w:val="18"/>
                <w:szCs w:val="18"/>
                <w:lang w:eastAsia="pl-PL"/>
              </w:rPr>
              <w:br/>
              <w:t xml:space="preserve"> utrzymaniowych. Taki stan rzeczy wymaga nie tylko pełnego wdrożenia</w:t>
            </w:r>
            <w:r w:rsidRPr="005E78BB">
              <w:rPr>
                <w:rFonts w:ascii="Calibri" w:eastAsia="Times New Roman" w:hAnsi="Calibri" w:cs="Calibri"/>
                <w:color w:val="000000"/>
                <w:sz w:val="18"/>
                <w:szCs w:val="18"/>
                <w:lang w:eastAsia="pl-PL"/>
              </w:rPr>
              <w:br/>
              <w:t xml:space="preserve"> KPRWP, ale i jego uzupełnienia.</w:t>
            </w:r>
            <w:r w:rsidRPr="005E78BB">
              <w:rPr>
                <w:rFonts w:ascii="Calibri" w:eastAsia="Times New Roman" w:hAnsi="Calibri" w:cs="Calibri"/>
                <w:color w:val="000000"/>
                <w:sz w:val="18"/>
                <w:szCs w:val="18"/>
                <w:lang w:eastAsia="pl-PL"/>
              </w:rPr>
              <w:br/>
              <w:t xml:space="preserve"> Z powyższego wynika, że KPRWP został potraktowany jako „zestaw</w:t>
            </w:r>
            <w:r w:rsidRPr="005E78BB">
              <w:rPr>
                <w:rFonts w:ascii="Calibri" w:eastAsia="Times New Roman" w:hAnsi="Calibri" w:cs="Calibri"/>
                <w:color w:val="000000"/>
                <w:sz w:val="18"/>
                <w:szCs w:val="18"/>
                <w:lang w:eastAsia="pl-PL"/>
              </w:rPr>
              <w:br/>
              <w:t xml:space="preserve"> działao zalecanych”, a nie podstawa do likwidacji znaczących presji. Jest</w:t>
            </w:r>
            <w:r w:rsidRPr="005E78BB">
              <w:rPr>
                <w:rFonts w:ascii="Calibri" w:eastAsia="Times New Roman" w:hAnsi="Calibri" w:cs="Calibri"/>
                <w:color w:val="000000"/>
                <w:sz w:val="18"/>
                <w:szCs w:val="18"/>
                <w:lang w:eastAsia="pl-PL"/>
              </w:rPr>
              <w:br/>
              <w:t xml:space="preserve"> to niedopuszczalne, szczególnie, że jest to dokument późniejszy,</w:t>
            </w:r>
            <w:r w:rsidRPr="005E78BB">
              <w:rPr>
                <w:rFonts w:ascii="Calibri" w:eastAsia="Times New Roman" w:hAnsi="Calibri" w:cs="Calibri"/>
                <w:color w:val="000000"/>
                <w:sz w:val="18"/>
                <w:szCs w:val="18"/>
                <w:lang w:eastAsia="pl-PL"/>
              </w:rPr>
              <w:br/>
              <w:t xml:space="preserve"> Przegląd i weryfikacja metodyk wyznaczania silnie zmienionych i sztucznych części wód</w:t>
            </w:r>
            <w:r w:rsidRPr="005E78BB">
              <w:rPr>
                <w:rFonts w:ascii="Calibri" w:eastAsia="Times New Roman" w:hAnsi="Calibri" w:cs="Calibri"/>
                <w:color w:val="000000"/>
                <w:sz w:val="18"/>
                <w:szCs w:val="18"/>
                <w:lang w:eastAsia="pl-PL"/>
              </w:rPr>
              <w:br/>
              <w:t xml:space="preserve">powierzchniowych wraz ze wstępnym i ostatecznym wyznaczeniem (2019)”; w którym określono katalog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 https://hektarydlanatury.pl/downloads/Raport_dla_WWF_zalaczniki.pdf</w:t>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działao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skutkowad świadomym sabotowaniem osiągnięcia celów środowiskowych w roku 2027.</w:t>
            </w:r>
          </w:p>
        </w:tc>
        <w:tc>
          <w:tcPr>
            <w:tcW w:w="3377" w:type="dxa"/>
            <w:shd w:val="clear" w:color="auto" w:fill="auto"/>
            <w:hideMark/>
          </w:tcPr>
          <w:p w14:paraId="02579CA2" w14:textId="712F87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Uzupełnid katalog działao o zapisy KPRWP, wraz z analizą dodatkowych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p>
        </w:tc>
        <w:tc>
          <w:tcPr>
            <w:tcW w:w="3401" w:type="dxa"/>
            <w:shd w:val="clear" w:color="auto" w:fill="auto"/>
            <w:hideMark/>
          </w:tcPr>
          <w:p w14:paraId="7620B29D" w14:textId="2EF8EEB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ustalid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p>
        </w:tc>
        <w:tc>
          <w:tcPr>
            <w:tcW w:w="1918" w:type="dxa"/>
            <w:shd w:val="clear" w:color="auto" w:fill="auto"/>
            <w:hideMark/>
          </w:tcPr>
          <w:p w14:paraId="5F7120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0B15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E56D4A9" w14:textId="1DB1D96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5E060C53" w14:textId="77777777" w:rsidTr="00E92AE6">
        <w:trPr>
          <w:trHeight w:val="454"/>
        </w:trPr>
        <w:tc>
          <w:tcPr>
            <w:tcW w:w="562" w:type="dxa"/>
            <w:shd w:val="clear" w:color="auto" w:fill="auto"/>
            <w:hideMark/>
          </w:tcPr>
          <w:p w14:paraId="6E26FBE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563</w:t>
            </w:r>
          </w:p>
        </w:tc>
        <w:tc>
          <w:tcPr>
            <w:tcW w:w="1021" w:type="dxa"/>
          </w:tcPr>
          <w:p w14:paraId="1751871B" w14:textId="687B9A1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6D0AC4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1285952" w14:textId="44ED7D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w:t>
            </w:r>
            <w:r w:rsidRPr="005E78BB">
              <w:rPr>
                <w:rFonts w:ascii="Calibri" w:eastAsia="Times New Roman" w:hAnsi="Calibri" w:cs="Calibri"/>
                <w:color w:val="000000"/>
                <w:sz w:val="18"/>
                <w:szCs w:val="18"/>
                <w:lang w:eastAsia="pl-PL"/>
              </w:rPr>
              <w:br/>
              <w:t>Art. 4.4. i 4.5. RDW</w:t>
            </w:r>
            <w:r w:rsidRPr="005E78BB">
              <w:rPr>
                <w:rFonts w:ascii="Calibri" w:eastAsia="Times New Roman" w:hAnsi="Calibri" w:cs="Calibri"/>
                <w:color w:val="000000"/>
                <w:sz w:val="18"/>
                <w:szCs w:val="18"/>
                <w:lang w:eastAsia="pl-PL"/>
              </w:rPr>
              <w:br/>
              <w:t xml:space="preserve">W stosunku do aPGW (2016-2021) w IIaPGW znacznie zwiększona została ilośd „przyznanych” odstępstw z art. 4.5 RDW (złagodzenie celów środowiskowych).)aPGW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13F7806C" w14:textId="6973A43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Usunąd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działao naprawczych.</w:t>
            </w:r>
          </w:p>
        </w:tc>
        <w:tc>
          <w:tcPr>
            <w:tcW w:w="3401" w:type="dxa"/>
            <w:shd w:val="clear" w:color="auto" w:fill="auto"/>
            <w:hideMark/>
          </w:tcPr>
          <w:p w14:paraId="19067C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8EB24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FF3F3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CDE0F84" w14:textId="405C49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3F9F7C14" w14:textId="77777777" w:rsidTr="00E92AE6">
        <w:trPr>
          <w:trHeight w:val="454"/>
        </w:trPr>
        <w:tc>
          <w:tcPr>
            <w:tcW w:w="562" w:type="dxa"/>
            <w:shd w:val="clear" w:color="auto" w:fill="auto"/>
            <w:hideMark/>
          </w:tcPr>
          <w:p w14:paraId="2913B00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564</w:t>
            </w:r>
          </w:p>
        </w:tc>
        <w:tc>
          <w:tcPr>
            <w:tcW w:w="1021" w:type="dxa"/>
          </w:tcPr>
          <w:p w14:paraId="27D2E60F" w14:textId="68D40C6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1F2BD4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F89E4CE" w14:textId="79C17C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byd przejrzyste, jednoznaczne i odpowiednie oraz powinny zostad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w:t>
            </w:r>
            <w:r w:rsidRPr="005E78BB">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działalnośd człowieka np. rolnicza uniemożliwia wdrożenie działao naprawczych typu renaturyzacja czy udrożnienie piętrzeo. W związku z niewdrożeniem wielu działao naprawczych, opisy te wydają się byd nieodpowiednie.</w:t>
            </w:r>
          </w:p>
        </w:tc>
        <w:tc>
          <w:tcPr>
            <w:tcW w:w="3377" w:type="dxa"/>
            <w:shd w:val="clear" w:color="auto" w:fill="auto"/>
            <w:hideMark/>
          </w:tcPr>
          <w:p w14:paraId="181BA0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Poprawid opis odstępstw tak, aby było możliwe sprawdzenie czy jego ustanowienie było właściwe.</w:t>
            </w:r>
            <w:r w:rsidRPr="005E78BB">
              <w:rPr>
                <w:rFonts w:ascii="Calibri" w:eastAsia="Times New Roman" w:hAnsi="Calibri" w:cs="Calibri"/>
                <w:color w:val="000000"/>
                <w:sz w:val="18"/>
                <w:szCs w:val="18"/>
                <w:lang w:eastAsia="pl-PL"/>
              </w:rPr>
              <w:br w:type="page"/>
              <w:t>Usunąd z listy odstępstw te, dla których uzasadnienia stoją w sprzeczności z KPRWP i dla których możliwe są działania poprawiające stan fizykochemiczny wód.</w:t>
            </w:r>
          </w:p>
        </w:tc>
        <w:tc>
          <w:tcPr>
            <w:tcW w:w="3401" w:type="dxa"/>
            <w:shd w:val="clear" w:color="auto" w:fill="auto"/>
            <w:hideMark/>
          </w:tcPr>
          <w:p w14:paraId="76E498A7" w14:textId="5E2BD8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w:t>
            </w:r>
          </w:p>
        </w:tc>
        <w:tc>
          <w:tcPr>
            <w:tcW w:w="1918" w:type="dxa"/>
            <w:shd w:val="clear" w:color="auto" w:fill="auto"/>
            <w:hideMark/>
          </w:tcPr>
          <w:p w14:paraId="3AC142B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285C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676521" w14:textId="5C09FAB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DCDA64E" w14:textId="77777777" w:rsidTr="00E92AE6">
        <w:trPr>
          <w:trHeight w:val="454"/>
        </w:trPr>
        <w:tc>
          <w:tcPr>
            <w:tcW w:w="562" w:type="dxa"/>
            <w:shd w:val="clear" w:color="auto" w:fill="auto"/>
            <w:hideMark/>
          </w:tcPr>
          <w:p w14:paraId="6467E3F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565</w:t>
            </w:r>
          </w:p>
        </w:tc>
        <w:tc>
          <w:tcPr>
            <w:tcW w:w="1021" w:type="dxa"/>
          </w:tcPr>
          <w:p w14:paraId="3F723645" w14:textId="29EC71E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5F9129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EFA1A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16, Zał. 6</w:t>
            </w:r>
            <w:r w:rsidRPr="005E78BB">
              <w:rPr>
                <w:rFonts w:ascii="Calibri" w:eastAsia="Times New Roman" w:hAnsi="Calibri" w:cs="Calibri"/>
                <w:color w:val="000000"/>
                <w:sz w:val="18"/>
                <w:szCs w:val="18"/>
                <w:lang w:eastAsia="pl-PL"/>
              </w:rPr>
              <w:br/>
              <w:t>W projekcie IIaPGW opublikowano listę przedsięwzięd, która zgodnie z art. 436 PW, powinna spełniad w sposób obiektywny kryteria art. 68 PW, czyli spełniad warunki art. 4.7 RDW do udzielenia derogacji.</w:t>
            </w:r>
            <w:r w:rsidRPr="005E78BB">
              <w:rPr>
                <w:rFonts w:ascii="Calibri" w:eastAsia="Times New Roman" w:hAnsi="Calibri" w:cs="Calibri"/>
                <w:color w:val="000000"/>
                <w:sz w:val="18"/>
                <w:szCs w:val="18"/>
                <w:lang w:eastAsia="pl-PL"/>
              </w:rPr>
              <w:br/>
              <w:t>Spośród 272 przedsięwzięd rzekomo spełniających ww. kryteria, takie podejście zastosowano jedynie do 5 nowych przedsięwzięd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przedsięwzięd - 267 - została przepisanych z poprzedniego aPGW, tylko na podstawie deklaracji inwestorów chęci kontynuacji ich realizacji. Takie odmienne podejście do „starych” przedsięwzięd jest niedopuszczalne. Zmiana w trybie ujmowania w IIaPGW tego typu przedsięwzięd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 Polska musi zapewnid, aby stosowanie wyłączeo na mocy art. 4 ust. 7 opierało się na dogłębnej ocenie wszystkich etapów wymaganych zgodnie z RDW, w szczególności na ocenie, czy realizacja projektu stanowi nadrzędny interes publiczny i czy korzyści dla społeczeostwa przeważają nad degradacją środowiska, przy uwzględnieniu braku realnych rozwiązao alternatywnych stanowiących korzystniejszą opcję środowiskową. Ponadto projekty te mogą byd realizowane jedynie wówczas, gdy zostaną zastosowane wszystkie możliwe środki w celu złagodzenia negatywnego wpływu na stan/potencjał jednolitych części wód.</w:t>
            </w:r>
            <w:r w:rsidRPr="005E78BB">
              <w:rPr>
                <w:rFonts w:ascii="Calibri" w:eastAsia="Times New Roman" w:hAnsi="Calibri" w:cs="Calibri"/>
                <w:color w:val="000000"/>
                <w:sz w:val="18"/>
                <w:szCs w:val="18"/>
                <w:lang w:eastAsia="pl-PL"/>
              </w:rPr>
              <w:br/>
              <w:t>Spośród 267 „starych” przedsięwzięd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w:t>
            </w:r>
            <w:r w:rsidRPr="005E78BB">
              <w:rPr>
                <w:rFonts w:ascii="Calibri" w:eastAsia="Times New Roman" w:hAnsi="Calibri" w:cs="Calibri"/>
                <w:color w:val="000000"/>
                <w:sz w:val="18"/>
                <w:szCs w:val="18"/>
                <w:lang w:eastAsia="pl-PL"/>
              </w:rPr>
              <w:br/>
              <w:t>rzeki Czarna Nida wraz z zabezpieczeniem przeciwpowodziowym terenów zabudowanych na odcinku od Morawicy do Napękowa, gmina Morawica, Daleszyce, Górno i Bieliny.” – Wody Polskie zaniechały tu działao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zgłoszeo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bocheoski,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przedsięwzięd, aż 10 posiada dśu starszą niż 8 lat, co jest obecnie granicą ważności dokumentu, nie można tu mówid też o jakiejkolwiek dogłębnej i aktualnej ocenie wpływu na cele środowiskowe i analizie spełniania kryteriów derogacyjnych. Najstarsza z nich ukooczyła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przedsięwzięd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w:t>
            </w:r>
            <w:r w:rsidRPr="005E78BB">
              <w:rPr>
                <w:rFonts w:ascii="Calibri" w:eastAsia="Times New Roman" w:hAnsi="Calibri" w:cs="Calibri"/>
                <w:color w:val="000000"/>
                <w:sz w:val="18"/>
                <w:szCs w:val="18"/>
                <w:lang w:eastAsia="pl-PL"/>
              </w:rPr>
              <w:br/>
              <w:t>26 listopada 2020 r. uchylił dśu wydaną przez RDOŚ w Kielcach</w:t>
            </w:r>
            <w:r w:rsidRPr="005E78BB">
              <w:rPr>
                <w:rFonts w:ascii="Calibri" w:eastAsia="Times New Roman" w:hAnsi="Calibri" w:cs="Calibri"/>
                <w:color w:val="000000"/>
                <w:sz w:val="18"/>
                <w:szCs w:val="18"/>
                <w:lang w:eastAsia="pl-PL"/>
              </w:rPr>
              <w:br/>
              <w:t>–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w:t>
            </w:r>
            <w:r w:rsidRPr="005E78BB">
              <w:rPr>
                <w:rFonts w:ascii="Calibri" w:eastAsia="Times New Roman" w:hAnsi="Calibri" w:cs="Calibri"/>
                <w:color w:val="000000"/>
                <w:sz w:val="18"/>
                <w:szCs w:val="18"/>
                <w:lang w:eastAsia="pl-PL"/>
              </w:rPr>
              <w:br/>
              <w:t>od Włocławka do jej ujścia do Zatoki - Stopieo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w:t>
            </w:r>
            <w:r w:rsidRPr="005E78BB">
              <w:rPr>
                <w:rFonts w:ascii="Calibri" w:eastAsia="Times New Roman" w:hAnsi="Calibri" w:cs="Calibri"/>
                <w:color w:val="000000"/>
                <w:sz w:val="18"/>
                <w:szCs w:val="18"/>
                <w:lang w:eastAsia="pl-PL"/>
              </w:rPr>
              <w:br/>
              <w:t>ekologiczne uznanych za niespełniających warunków derogacji, a dla 5 derogacja jest wątpliwa. Uwagi te dotyczyły ostatecznej wersji aPGW, a opisy derogacji dla tych działao praktycznie się nie zmieniły. Dla pięciu ostatnich przedsięwzięd uwag nie sporządzono.</w:t>
            </w:r>
            <w:r w:rsidRPr="005E78BB">
              <w:rPr>
                <w:rFonts w:ascii="Calibri" w:eastAsia="Times New Roman" w:hAnsi="Calibri" w:cs="Calibri"/>
                <w:color w:val="000000"/>
                <w:sz w:val="18"/>
                <w:szCs w:val="18"/>
                <w:lang w:eastAsia="pl-PL"/>
              </w:rPr>
              <w:br/>
              <w:t>Ponadto nie są aktualne dane o statusach inwestycji – częśd z nich jest obecnie wykonywana lub nawet zakooczona. Przykładami może byd: Program "Budowa drogi wodnej łączącej Zalew Wiślany z Zatoką Gdaoską"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3BC7A3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usunąd z listy przedsięwzięd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przedsięwzięd ze „starej” listy aPGW należy ponownie przeanalizowad pod kątem oddziaływania na cele środowiskowe i spełnianie przesłanek do derogacji. Należy też sprawdzid,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Przedsięwzięcia niespełniające wymogów art. 436 PW powinny się znaleźd na innej liście inwestycji i działao, które mogą spowodowad nieosiągnięcie dobrego stanu wód lub pogorszenie dobrego stanu wód – liście działao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Powinno się uaktualnid stan zaawansowania inwestycji – obecnie w IIaPGW status planowanych mają również te zaczęte, a nawet skooczone.</w:t>
            </w:r>
          </w:p>
        </w:tc>
        <w:tc>
          <w:tcPr>
            <w:tcW w:w="3401" w:type="dxa"/>
            <w:shd w:val="clear" w:color="auto" w:fill="auto"/>
            <w:hideMark/>
          </w:tcPr>
          <w:p w14:paraId="74DEC3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Przynajmniej 253 z 272 przedsięwzięd nie spełniają żadnych kryteriów do uznania za spełniających warunki odstępstwa z art. 4.7 RDW (68 PW z tego ponad 230 nie posiada decyzji o środowiskowych uwarunkowaniach. Wymagane wymogi RDW, potwierdzone przez KE, w przypadku tych inwestycji nie zostały spełnione.</w:t>
            </w:r>
          </w:p>
        </w:tc>
        <w:tc>
          <w:tcPr>
            <w:tcW w:w="1918" w:type="dxa"/>
            <w:shd w:val="clear" w:color="auto" w:fill="auto"/>
            <w:hideMark/>
          </w:tcPr>
          <w:p w14:paraId="21035E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5A1A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0C5C2C4" w14:textId="7666938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0A64104F" w14:textId="77777777" w:rsidTr="00E92AE6">
        <w:trPr>
          <w:trHeight w:val="454"/>
        </w:trPr>
        <w:tc>
          <w:tcPr>
            <w:tcW w:w="562" w:type="dxa"/>
            <w:shd w:val="clear" w:color="auto" w:fill="auto"/>
            <w:hideMark/>
          </w:tcPr>
          <w:p w14:paraId="4571D4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566</w:t>
            </w:r>
          </w:p>
        </w:tc>
        <w:tc>
          <w:tcPr>
            <w:tcW w:w="1021" w:type="dxa"/>
          </w:tcPr>
          <w:p w14:paraId="51ADBBC9" w14:textId="6EDB9F3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547610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05DE2F3" w14:textId="442B748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Katalogi działao</w:t>
            </w:r>
            <w:r w:rsidRPr="005E78BB">
              <w:rPr>
                <w:rFonts w:ascii="Calibri" w:eastAsia="Times New Roman" w:hAnsi="Calibri" w:cs="Calibri"/>
                <w:color w:val="000000"/>
                <w:sz w:val="18"/>
                <w:szCs w:val="18"/>
                <w:lang w:eastAsia="pl-PL"/>
              </w:rPr>
              <w:br/>
              <w:t>Należy w katalogu działao IIaPGW</w:t>
            </w:r>
            <w:r w:rsidRPr="005E78BB">
              <w:rPr>
                <w:rFonts w:ascii="Calibri" w:eastAsia="Times New Roman" w:hAnsi="Calibri" w:cs="Calibri"/>
                <w:color w:val="000000"/>
                <w:sz w:val="18"/>
                <w:szCs w:val="18"/>
                <w:lang w:eastAsia="pl-PL"/>
              </w:rPr>
              <w:br/>
              <w:t>działania, które są zgrupowane w pakietach:</w:t>
            </w:r>
            <w:r w:rsidRPr="005E78BB">
              <w:rPr>
                <w:rFonts w:ascii="Calibri" w:eastAsia="Times New Roman" w:hAnsi="Calibri" w:cs="Calibri"/>
                <w:color w:val="000000"/>
                <w:sz w:val="18"/>
                <w:szCs w:val="18"/>
                <w:lang w:eastAsia="pl-PL"/>
              </w:rPr>
              <w:br/>
              <w:t>Adaptacja do zmian klimatu usunąd te</w:t>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podlegad ocenie spłeniania warunków 4.7).</w:t>
            </w:r>
            <w:r w:rsidRPr="005E78BB">
              <w:rPr>
                <w:rFonts w:ascii="Calibri" w:eastAsia="Times New Roman" w:hAnsi="Calibri" w:cs="Calibri"/>
                <w:color w:val="000000"/>
                <w:sz w:val="18"/>
                <w:szCs w:val="18"/>
                <w:lang w:eastAsia="pl-PL"/>
              </w:rPr>
              <w:br/>
              <w:t xml:space="preserve">  Ochrona i zwiększanie retencji na obszarach rolniczych.</w:t>
            </w:r>
            <w:r w:rsidRPr="005E78BB">
              <w:rPr>
                <w:rFonts w:ascii="Calibri" w:eastAsia="Times New Roman" w:hAnsi="Calibri" w:cs="Calibri"/>
                <w:color w:val="000000"/>
                <w:sz w:val="18"/>
                <w:szCs w:val="18"/>
                <w:lang w:eastAsia="pl-PL"/>
              </w:rPr>
              <w:br/>
              <w:t xml:space="preserve"> Ochrona i zwiększanie retencji leśnej.</w:t>
            </w:r>
            <w:r w:rsidRPr="005E78BB">
              <w:rPr>
                <w:rFonts w:ascii="Calibri" w:eastAsia="Times New Roman" w:hAnsi="Calibri" w:cs="Calibri"/>
                <w:color w:val="000000"/>
                <w:sz w:val="18"/>
                <w:szCs w:val="18"/>
                <w:lang w:eastAsia="pl-PL"/>
              </w:rPr>
              <w:br/>
              <w:t xml:space="preserve"> Zgodnie z opisem załączników IIaPGW (Zał. 7.2. - 1) działania te</w:t>
            </w:r>
            <w:r w:rsidRPr="005E78BB">
              <w:rPr>
                <w:rFonts w:ascii="Calibri" w:eastAsia="Times New Roman" w:hAnsi="Calibri" w:cs="Calibri"/>
                <w:color w:val="000000"/>
                <w:sz w:val="18"/>
                <w:szCs w:val="18"/>
                <w:lang w:eastAsia="pl-PL"/>
              </w:rPr>
              <w:br/>
              <w:t xml:space="preserve">  RWC_01.07 oraz RWC_01.05. to również realizacja konkretnych</w:t>
            </w:r>
            <w:r w:rsidRPr="005E78BB">
              <w:rPr>
                <w:rFonts w:ascii="Calibri" w:eastAsia="Times New Roman" w:hAnsi="Calibri" w:cs="Calibri"/>
                <w:color w:val="000000"/>
                <w:sz w:val="18"/>
                <w:szCs w:val="18"/>
                <w:lang w:eastAsia="pl-PL"/>
              </w:rPr>
              <w:br/>
              <w:t>RWC_01.07 lub diametralnie zmienid</w:t>
            </w:r>
            <w:r w:rsidRPr="005E78BB">
              <w:rPr>
                <w:rFonts w:ascii="Calibri" w:eastAsia="Times New Roman" w:hAnsi="Calibri" w:cs="Calibri"/>
                <w:color w:val="000000"/>
                <w:sz w:val="18"/>
                <w:szCs w:val="18"/>
                <w:lang w:eastAsia="pl-PL"/>
              </w:rPr>
              <w:br/>
              <w:t xml:space="preserve">  inwestycji do nich przypisanych.</w:t>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Realizacja działao wskazanych w etapie I (działanie RWC_01.04.)</w:t>
            </w:r>
            <w:r w:rsidRPr="005E78BB">
              <w:rPr>
                <w:rFonts w:ascii="Calibri" w:eastAsia="Times New Roman" w:hAnsi="Calibri" w:cs="Calibri"/>
                <w:color w:val="000000"/>
                <w:sz w:val="18"/>
                <w:szCs w:val="18"/>
                <w:lang w:eastAsia="pl-PL"/>
              </w:rPr>
              <w:br/>
              <w:t>polegających na zwiększeniu poziomu retencji wody w zlewni w</w:t>
            </w:r>
            <w:r w:rsidRPr="005E78BB">
              <w:rPr>
                <w:rFonts w:ascii="Calibri" w:eastAsia="Times New Roman" w:hAnsi="Calibri" w:cs="Calibri"/>
                <w:color w:val="000000"/>
                <w:sz w:val="18"/>
                <w:szCs w:val="18"/>
                <w:lang w:eastAsia="pl-PL"/>
              </w:rPr>
              <w:br/>
              <w:t>obszarach leśnych dla ograniczenia wymywania zanieczyszczeo</w:t>
            </w:r>
            <w:r w:rsidRPr="005E78BB">
              <w:rPr>
                <w:rFonts w:ascii="Calibri" w:eastAsia="Times New Roman" w:hAnsi="Calibri" w:cs="Calibri"/>
                <w:color w:val="000000"/>
                <w:sz w:val="18"/>
                <w:szCs w:val="18"/>
                <w:lang w:eastAsia="pl-PL"/>
              </w:rPr>
              <w:br/>
              <w:t>obszarowych w celu poprawy stany wód i osiągnięcia wyznaczonych</w:t>
            </w:r>
            <w:r w:rsidRPr="005E78BB">
              <w:rPr>
                <w:rFonts w:ascii="Calibri" w:eastAsia="Times New Roman" w:hAnsi="Calibri" w:cs="Calibri"/>
                <w:color w:val="000000"/>
                <w:sz w:val="18"/>
                <w:szCs w:val="18"/>
                <w:lang w:eastAsia="pl-PL"/>
              </w:rPr>
              <w:br/>
              <w:t>celów środowiskowych – dobrego stanu wód. Dodatkowo wzrost</w:t>
            </w:r>
            <w:r w:rsidRPr="005E78BB">
              <w:rPr>
                <w:rFonts w:ascii="Calibri" w:eastAsia="Times New Roman" w:hAnsi="Calibri" w:cs="Calibri"/>
                <w:color w:val="000000"/>
                <w:sz w:val="18"/>
                <w:szCs w:val="18"/>
                <w:lang w:eastAsia="pl-PL"/>
              </w:rPr>
              <w:br/>
              <w:t>ich planowany zakres, zgodnie z</w:t>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Realizacja działao wskazanych w etapie I (działanie RWC_01.06.)</w:t>
            </w:r>
            <w:r w:rsidRPr="005E78BB">
              <w:rPr>
                <w:rFonts w:ascii="Calibri" w:eastAsia="Times New Roman" w:hAnsi="Calibri" w:cs="Calibri"/>
                <w:color w:val="000000"/>
                <w:sz w:val="18"/>
                <w:szCs w:val="18"/>
                <w:lang w:eastAsia="pl-PL"/>
              </w:rPr>
              <w:br/>
              <w:t>polegających na zwiększeniu poziomu retencji wody w zlewni w</w:t>
            </w:r>
            <w:r w:rsidRPr="005E78BB">
              <w:rPr>
                <w:rFonts w:ascii="Calibri" w:eastAsia="Times New Roman" w:hAnsi="Calibri" w:cs="Calibri"/>
                <w:color w:val="000000"/>
                <w:sz w:val="18"/>
                <w:szCs w:val="18"/>
                <w:lang w:eastAsia="pl-PL"/>
              </w:rPr>
              <w:br/>
              <w:t>obszarach rolniczych dla ograniczenia wymywania zanieczyszczeo</w:t>
            </w:r>
            <w:r w:rsidRPr="005E78BB">
              <w:rPr>
                <w:rFonts w:ascii="Calibri" w:eastAsia="Times New Roman" w:hAnsi="Calibri" w:cs="Calibri"/>
                <w:color w:val="000000"/>
                <w:sz w:val="18"/>
                <w:szCs w:val="18"/>
                <w:lang w:eastAsia="pl-PL"/>
              </w:rPr>
              <w:br/>
              <w:t>obszarowych w celu poprawy stany wód i osiągnięcia wyznaczonych</w:t>
            </w:r>
            <w:r w:rsidRPr="005E78BB">
              <w:rPr>
                <w:rFonts w:ascii="Calibri" w:eastAsia="Times New Roman" w:hAnsi="Calibri" w:cs="Calibri"/>
                <w:color w:val="000000"/>
                <w:sz w:val="18"/>
                <w:szCs w:val="18"/>
                <w:lang w:eastAsia="pl-PL"/>
              </w:rPr>
              <w:br/>
              <w:t>celów środowiskowych – dobrego stanu wód. Dodatkowo wzrost</w:t>
            </w:r>
            <w:r w:rsidRPr="005E78BB">
              <w:rPr>
                <w:rFonts w:ascii="Calibri" w:eastAsia="Times New Roman" w:hAnsi="Calibri" w:cs="Calibri"/>
                <w:color w:val="000000"/>
                <w:sz w:val="18"/>
                <w:szCs w:val="18"/>
                <w:lang w:eastAsia="pl-PL"/>
              </w:rPr>
              <w:br/>
              <w:t xml:space="preserve">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 xml:space="preserve">ramach programu PPSS.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w:t>
            </w:r>
            <w:r w:rsidRPr="005E78BB">
              <w:rPr>
                <w:rFonts w:ascii="Calibri" w:eastAsia="Times New Roman" w:hAnsi="Calibri" w:cs="Calibri"/>
                <w:color w:val="000000"/>
                <w:sz w:val="18"/>
                <w:szCs w:val="18"/>
                <w:lang w:eastAsia="pl-PL"/>
              </w:rPr>
              <w:br/>
              <w:t xml:space="preserve"> ramach programu PPSS.</w:t>
            </w:r>
            <w:r w:rsidRPr="005E78BB">
              <w:rPr>
                <w:rFonts w:ascii="Calibri" w:eastAsia="Times New Roman" w:hAnsi="Calibri" w:cs="Calibri"/>
                <w:color w:val="000000"/>
                <w:sz w:val="18"/>
                <w:szCs w:val="18"/>
                <w:lang w:eastAsia="pl-PL"/>
              </w:rPr>
              <w:br/>
              <w:t xml:space="preserve"> Zastosowanie RWC_01.07 (rolnicze) to Budowa oraz przebudowa</w:t>
            </w:r>
            <w:r w:rsidRPr="005E78BB">
              <w:rPr>
                <w:rFonts w:ascii="Calibri" w:eastAsia="Times New Roman" w:hAnsi="Calibri" w:cs="Calibri"/>
                <w:color w:val="000000"/>
                <w:sz w:val="18"/>
                <w:szCs w:val="18"/>
                <w:lang w:eastAsia="pl-PL"/>
              </w:rPr>
              <w:br/>
              <w:t xml:space="preserve"> urządzeo melioracji wodnych dla zwiększania retencji glebowej (w</w:t>
            </w:r>
            <w:r w:rsidRPr="005E78BB">
              <w:rPr>
                <w:rFonts w:ascii="Calibri" w:eastAsia="Times New Roman" w:hAnsi="Calibri" w:cs="Calibri"/>
                <w:color w:val="000000"/>
                <w:sz w:val="18"/>
                <w:szCs w:val="18"/>
                <w:lang w:eastAsia="pl-PL"/>
              </w:rPr>
              <w:br/>
              <w:t xml:space="preserve"> zakresie budowy/przebudowy) oraz inne metody zwiększenia ilości i</w:t>
            </w:r>
            <w:r w:rsidRPr="005E78BB">
              <w:rPr>
                <w:rFonts w:ascii="Calibri" w:eastAsia="Times New Roman" w:hAnsi="Calibri" w:cs="Calibri"/>
                <w:color w:val="000000"/>
                <w:sz w:val="18"/>
                <w:szCs w:val="18"/>
                <w:lang w:eastAsia="pl-PL"/>
              </w:rPr>
              <w:br/>
              <w:t xml:space="preserve"> czasu retencji wód na gruntach rolnych.</w:t>
            </w:r>
            <w:r w:rsidRPr="005E78BB">
              <w:rPr>
                <w:rFonts w:ascii="Calibri" w:eastAsia="Times New Roman" w:hAnsi="Calibri" w:cs="Calibri"/>
                <w:color w:val="000000"/>
                <w:sz w:val="18"/>
                <w:szCs w:val="18"/>
                <w:lang w:eastAsia="pl-PL"/>
              </w:rPr>
              <w:br/>
              <w:t xml:space="preserve"> A implementacja działao leśnych RWC_01.05 ma polegad na realizacji</w:t>
            </w:r>
            <w:r w:rsidRPr="005E78BB">
              <w:rPr>
                <w:rFonts w:ascii="Calibri" w:eastAsia="Times New Roman" w:hAnsi="Calibri" w:cs="Calibri"/>
                <w:color w:val="000000"/>
                <w:sz w:val="18"/>
                <w:szCs w:val="18"/>
                <w:lang w:eastAsia="pl-PL"/>
              </w:rPr>
              <w:br/>
              <w:t xml:space="preserve"> przedsięwzięd w ramach tzw. małej retencji górskiej i nizinnej.</w:t>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Paostwowe działania to: zabudowa przeciwerozyjna dróg, szlaków zrywkowych oraz zabezpieczenie obiektów infrastruktury leśnej przed skutkami nadmiernej erozji wodnej związanej z gwałtownymi opadami i spływami wód (m.in. wodospusty, płotki drewniane, kaszyce, narzut kamienny). Są to zwykłe regulacje rzek i potoków płynących np. w sąsiedztwie dróg leśnych wybudowanych wzdłuż cieków.</w:t>
            </w:r>
            <w:r w:rsidRPr="005E78BB">
              <w:rPr>
                <w:rFonts w:ascii="Calibri" w:eastAsia="Times New Roman" w:hAnsi="Calibri" w:cs="Calibri"/>
                <w:color w:val="000000"/>
                <w:sz w:val="18"/>
                <w:szCs w:val="18"/>
                <w:lang w:eastAsia="pl-PL"/>
              </w:rPr>
              <w:br/>
              <w:t>Występuje tu niezgodnośd z celami RDW, celami związanymi z ochroną bioróżnorodności. Wymienione rodzaje działao inwestycyjnych z PPSS, i Małej retencji powinny podlegad ocenom z art. 4.7 a nie byd działaniem mającym spełniad cele RDW, z którymi (w większości) są sprzeczne.</w:t>
            </w:r>
            <w:r w:rsidRPr="005E78BB">
              <w:rPr>
                <w:rFonts w:ascii="Calibri" w:eastAsia="Times New Roman" w:hAnsi="Calibri" w:cs="Calibri"/>
                <w:color w:val="000000"/>
                <w:sz w:val="18"/>
                <w:szCs w:val="18"/>
                <w:lang w:eastAsia="pl-PL"/>
              </w:rPr>
              <w:br/>
              <w:t>Jeśli mają zostad w IIaPGW, musi powstad zapis uniemożliwiający realizacji działao mogących pogorszyd hydromorfologię rzek i potoków oraz wpływad negatywnie na siedliska przyrodnicze z nimi związane. Należałoby wykreślid możliwośd budowy urządzeo technicznych na naturalnych ciekach oraz przekształcanie tych cieków. Należy wprowadzid działania renaturyzacyjne, wpisane w KPRWP.</w:t>
            </w:r>
          </w:p>
        </w:tc>
        <w:tc>
          <w:tcPr>
            <w:tcW w:w="3377" w:type="dxa"/>
            <w:shd w:val="clear" w:color="auto" w:fill="auto"/>
            <w:hideMark/>
          </w:tcPr>
          <w:p w14:paraId="3CD85C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Usunąd zapisy pozwalające na realizacji działao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Wykreślid działania RWC_01.05 i KPRWP .</w:t>
            </w:r>
          </w:p>
        </w:tc>
        <w:tc>
          <w:tcPr>
            <w:tcW w:w="3401" w:type="dxa"/>
            <w:shd w:val="clear" w:color="auto" w:fill="auto"/>
            <w:hideMark/>
          </w:tcPr>
          <w:p w14:paraId="5351DA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podlegad ocenie spłeniania warunków 4.7).</w:t>
            </w:r>
          </w:p>
        </w:tc>
        <w:tc>
          <w:tcPr>
            <w:tcW w:w="1918" w:type="dxa"/>
            <w:shd w:val="clear" w:color="auto" w:fill="auto"/>
            <w:hideMark/>
          </w:tcPr>
          <w:p w14:paraId="06276D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19C0C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AA080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25D2D7B8" w14:textId="77777777" w:rsidTr="00E92AE6">
        <w:trPr>
          <w:trHeight w:val="454"/>
        </w:trPr>
        <w:tc>
          <w:tcPr>
            <w:tcW w:w="562" w:type="dxa"/>
            <w:shd w:val="clear" w:color="auto" w:fill="auto"/>
            <w:hideMark/>
          </w:tcPr>
          <w:p w14:paraId="3BD2550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567</w:t>
            </w:r>
          </w:p>
        </w:tc>
        <w:tc>
          <w:tcPr>
            <w:tcW w:w="1021" w:type="dxa"/>
          </w:tcPr>
          <w:p w14:paraId="4749AF7A" w14:textId="7A78B09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0A2908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6341887D" w14:textId="1E702F8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udrożnienia barier migracyjnych</w:t>
            </w:r>
            <w:r w:rsidRPr="005E78BB">
              <w:rPr>
                <w:rFonts w:ascii="Calibri" w:eastAsia="Times New Roman" w:hAnsi="Calibri" w:cs="Calibri"/>
                <w:color w:val="000000"/>
                <w:sz w:val="18"/>
                <w:szCs w:val="18"/>
                <w:lang w:eastAsia="pl-PL"/>
              </w:rPr>
              <w:br w:type="page"/>
              <w:t>Należy zmienid zakres działao przypisanych budowlom piętrzącym, aby umożliwid realizację celów środowiskowych RDW.</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ciągłośd biologiczną i spełnienie celów środowiskowych. Realizacja działao zgodnie z przeprowadzoną analizą.</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Analiza możliwości likwidacji budowli poprzecznych/przebudowa budowli poprzecznych</w:t>
            </w:r>
            <w:r w:rsidRPr="005E78BB">
              <w:rPr>
                <w:rFonts w:ascii="Calibri" w:eastAsia="Times New Roman" w:hAnsi="Calibri" w:cs="Calibri"/>
                <w:color w:val="000000"/>
                <w:sz w:val="18"/>
                <w:szCs w:val="18"/>
                <w:lang w:eastAsia="pl-PL"/>
              </w:rPr>
              <w:br w:type="page"/>
              <w:t>należy zmienid zapis z „Analiza możliwości...” na „Analiza sposobu...” – pozostawienie działania na poziomie badania możliwości nie gwarantuje podjęcia kroków na rzecz przedsięwzięd sprzyjających osiąganiu celów środowiskowych.</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należy dokonad zmiany na</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zapewnid likwidację piętrzeo (barier) wszędzie tam, gdzie okaże się to w wyniku analizy możliwe.</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„Monitoring skuteczności istniejących urządzeo do migracji ryb.” i/lub „Kontrola funkcjonowania urządzeo do migracji ryb.”</w:t>
            </w:r>
            <w:r w:rsidRPr="005E78BB">
              <w:rPr>
                <w:rFonts w:ascii="Calibri" w:eastAsia="Times New Roman" w:hAnsi="Calibri" w:cs="Calibri"/>
                <w:color w:val="000000"/>
                <w:sz w:val="18"/>
                <w:szCs w:val="18"/>
                <w:lang w:eastAsia="pl-PL"/>
              </w:rPr>
              <w:br w:type="page"/>
              <w:t>należy dodad kolejne działanie (Działanie I lub Działanie II): „Przebudowa lub budowa nowego urządzenia dla migracji organizmów wodnych w wypadku jego braku lub nieskutecznego działania / Przegląd zgód wodnoprawnych w przypadku zaniechania działao udrożnieniowych.”</w:t>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ciągłośd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dodad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ciągłośd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działao inwestycyjnych ukierunkowanych na neutralizację negatywnego oddziaływania i osiągnięcie celów środowiskowych.”</w:t>
            </w:r>
          </w:p>
        </w:tc>
        <w:tc>
          <w:tcPr>
            <w:tcW w:w="3377" w:type="dxa"/>
            <w:shd w:val="clear" w:color="auto" w:fill="auto"/>
            <w:hideMark/>
          </w:tcPr>
          <w:p w14:paraId="641DFB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6D5874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56B9B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C4BDA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50682C0" w14:textId="6ED1F6C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534D2D9E" w14:textId="77777777" w:rsidTr="00E92AE6">
        <w:trPr>
          <w:trHeight w:val="454"/>
        </w:trPr>
        <w:tc>
          <w:tcPr>
            <w:tcW w:w="562" w:type="dxa"/>
            <w:shd w:val="clear" w:color="auto" w:fill="auto"/>
            <w:hideMark/>
          </w:tcPr>
          <w:p w14:paraId="24AA6AC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568</w:t>
            </w:r>
          </w:p>
        </w:tc>
        <w:tc>
          <w:tcPr>
            <w:tcW w:w="1021" w:type="dxa"/>
          </w:tcPr>
          <w:p w14:paraId="05648D18" w14:textId="031B6B0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664A9E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7AEABC0" w14:textId="43D2A9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koocem półrocznych konsultacji publicznych nie pozwala na pełne odniesienie się do jego zapisów. Poniżej przedstawiono podstawowe braki w programie działao udrożnieniowych, mogących mied skutki nie tylko lokalnego nieosiągnięcia celów środowiskowych, ale także - w skali całego dorzecza. Zidentyfikowano m.in. zaniechanie realizacji działao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Zaniechania i braki mogące skutkowad wyginięciem łososia w dorzeczu Wisły ze względu na:</w:t>
            </w:r>
            <w:r w:rsidRPr="005E78BB">
              <w:rPr>
                <w:rFonts w:ascii="Calibri" w:eastAsia="Times New Roman" w:hAnsi="Calibri" w:cs="Calibri"/>
                <w:color w:val="000000"/>
                <w:sz w:val="18"/>
                <w:szCs w:val="18"/>
                <w:lang w:eastAsia="pl-PL"/>
              </w:rPr>
              <w:br/>
              <w:t>1. Brak udrożnienia dwóch barier w Lubiczu na Drwęcy – (działania: „Ocena wpływu...” i „Kontrola...” + „Monitoring...”) zamiast działao udrożnieniowych. Zgodnie z PZO obszaru Natura 2000 "Dolina Drwęcy" PLH280001, oba piętrzenia (jaz "przy młynie" oraz jaz wodociągów są niedrożne dla ryb, w tym dla łososia i wymagają działao inwestycyjnych. Słusznośd takich działao rozumieją Wodociągi Toruoskie, które zamówiły koncepcję udrożnienia piętrzenia.</w:t>
            </w:r>
            <w:r w:rsidRPr="005E78BB">
              <w:rPr>
                <w:rFonts w:ascii="Calibri" w:eastAsia="Times New Roman" w:hAnsi="Calibri" w:cs="Calibri"/>
                <w:color w:val="000000"/>
                <w:sz w:val="18"/>
                <w:szCs w:val="18"/>
                <w:lang w:eastAsia="pl-PL"/>
              </w:rPr>
              <w:br/>
              <w:t xml:space="preserve">2. Brak działao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urządzeo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Stopieo w Kozienicach – istnieje i jest niedrożny dla ryb (co pokazują badania). W IIaPGW nie zaplanowano żadnych działao udrożnieniowych czy kontrolnych. Mimo wątpliwej legalności piętrzenia, jest on fizyczną przegrodą.</w:t>
            </w:r>
            <w:r w:rsidRPr="005E78BB">
              <w:rPr>
                <w:rFonts w:ascii="Calibri" w:eastAsia="Times New Roman" w:hAnsi="Calibri" w:cs="Calibri"/>
                <w:color w:val="000000"/>
                <w:sz w:val="18"/>
                <w:szCs w:val="18"/>
                <w:lang w:eastAsia="pl-PL"/>
              </w:rPr>
              <w:br/>
              <w:t>4. Wisłoka - jeden z 3. obszarów dla ochrony tarlisk łososia w górnej Wiśle – wydano kilkadziesiąt miliardów zł na przebudowę piętrzeo w całym dorzeczu, ale nie wykonano najważniejszego – w Mielcu (pierwsze piętrzenie na rzece), chod jest on wpisany w apWŚK. Obecnie w IIaPGW zapisano tylko kontrolę i monitoring przepławki która nie istnieje.</w:t>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piętrzeo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działao inwestycyjnych), a kilkanaście nich w ogóle pominięto w zestawieniu budowli (górna Nida zwana Białą Nidą; Lubrzanka, Brzeźnica). Brak działao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działao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przedsięwzięd rzekomo spełniających warunki derogacji art.4.7 RDW).</w:t>
            </w:r>
            <w:r w:rsidRPr="005E78BB">
              <w:rPr>
                <w:rFonts w:ascii="Calibri" w:eastAsia="Times New Roman" w:hAnsi="Calibri" w:cs="Calibri"/>
                <w:color w:val="000000"/>
                <w:sz w:val="18"/>
                <w:szCs w:val="18"/>
                <w:lang w:eastAsia="pl-PL"/>
              </w:rPr>
              <w:br/>
              <w:t xml:space="preserve">Pilica – powyżej Zbiornika Sulejów – na kilkadziesiąt piętrzeo znajdujących się na Pilicy i jej dopływach w obszarach Natura 2000, udrożnionych wg zał. nr 4 do erraty IIaPGW ma byd tylko kilkanaście. W przypadku obszaru Natura 2000 Dolina Górnej Pilicy, gdzie przedmiotem ochrony jest m.in. kilka gatunków ryb, na blisko 40 piętrzeo (w tym wysokich jazów MEW) do udrożnienia przewidziano tylko 2, reszcie przypisano tylko działania nieinwestorskie: „Ocena wpływu...”. Brak udrożnieo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Narew – 79 piętrzeo w dorzeczu Narwi ma wpisaną w IIaPGW uwagę „Piętrzenie rozpoczyna się po 20 kwietnia po migracji ryb”, również jazy na samej Narwi na odcinku pomiędzy Biebrzaoskim Parkiem Narodowym i Narwiaoskim PN. Tylko 1 na 79 budowli ma przypisane działanie inwestycyjne (udrożnieniowe). 20 kwietnia to dla wielu gatunków środek okresu wędrówek związanych z rozrodem, więc nie może to byd przesłanka pozwalająca na brak podejmowania udrożnieo budowli. Na Narwi w obszarach Natura 2000 wyznaczonych m.in. dla ochrony ryb np. „Ostoja Narwiaoska” znajdują się obiekty niedrożne przez cały rok.</w:t>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działao.</w:t>
            </w:r>
            <w:r w:rsidRPr="005E78BB">
              <w:rPr>
                <w:rFonts w:ascii="Calibri" w:eastAsia="Times New Roman" w:hAnsi="Calibri" w:cs="Calibri"/>
                <w:color w:val="000000"/>
                <w:sz w:val="18"/>
                <w:szCs w:val="18"/>
                <w:lang w:eastAsia="pl-PL"/>
              </w:rPr>
              <w:br/>
              <w:t>Paleśnianka – dwa piętrzenia wpisane do udrożnienia w PZO – brak jakichkolwiek działao w IIaPGW (zał. 4 erraty)</w:t>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działao w zał. 4. (co znamienne, obok znajduje się oddział IRŚ w Żabieocu).</w:t>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Czarna Staszowska – w zestawieniu głównym jest drożnośd do Zb. Chaocza, ale brak jakichkolwiek działao na konkretnych barierach w zał. 4.</w:t>
            </w:r>
            <w:r w:rsidRPr="005E78BB">
              <w:rPr>
                <w:rFonts w:ascii="Calibri" w:eastAsia="Times New Roman" w:hAnsi="Calibri" w:cs="Calibri"/>
                <w:color w:val="000000"/>
                <w:sz w:val="18"/>
                <w:szCs w:val="18"/>
                <w:lang w:eastAsia="pl-PL"/>
              </w:rPr>
              <w:br/>
              <w:t>Niezgodnośd z zapisami dla ochrony ryb ważnych gospodarczo: Pasłęka w Braniewie (niesprawna przepławka),</w:t>
            </w:r>
            <w:r w:rsidRPr="005E78BB">
              <w:rPr>
                <w:rFonts w:ascii="Calibri" w:eastAsia="Times New Roman" w:hAnsi="Calibri" w:cs="Calibri"/>
                <w:color w:val="000000"/>
                <w:sz w:val="18"/>
                <w:szCs w:val="18"/>
                <w:lang w:eastAsia="pl-PL"/>
              </w:rPr>
              <w:br/>
              <w:t>Pasłęka w Zb Pierzchały – brak działao na zaporze zbiornika, Omulew (Dębowiec) – uznana za sprawną przepławka z ponad 1 m piętrzeniem z szandorów.</w:t>
            </w:r>
          </w:p>
        </w:tc>
        <w:tc>
          <w:tcPr>
            <w:tcW w:w="3377" w:type="dxa"/>
            <w:shd w:val="clear" w:color="auto" w:fill="auto"/>
            <w:hideMark/>
          </w:tcPr>
          <w:p w14:paraId="62FFC1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Uzupełnid listę działao inwestycyjnych – faktycznych udrożnieo o wszystkie wynikające z PZO i innych planów dla cennych przyrodniczo obszarów chronionych.</w:t>
            </w:r>
            <w:r w:rsidRPr="005E78BB">
              <w:rPr>
                <w:rFonts w:ascii="Calibri" w:eastAsia="Times New Roman" w:hAnsi="Calibri" w:cs="Calibri"/>
                <w:color w:val="000000"/>
                <w:sz w:val="18"/>
                <w:szCs w:val="18"/>
                <w:lang w:eastAsia="pl-PL"/>
              </w:rPr>
              <w:br/>
              <w:t>Uzupełnid działania inwestycyjne według wymagao dla ryb (kolumny – X-AD w zał. 4 „erraty”).</w:t>
            </w:r>
            <w:r w:rsidRPr="005E78BB">
              <w:rPr>
                <w:rFonts w:ascii="Calibri" w:eastAsia="Times New Roman" w:hAnsi="Calibri" w:cs="Calibri"/>
                <w:color w:val="000000"/>
                <w:sz w:val="18"/>
                <w:szCs w:val="18"/>
                <w:lang w:eastAsia="pl-PL"/>
              </w:rPr>
              <w:br/>
              <w:t>Dokonad ponownej weryfikacji drożności budowli na podstawie faktycznego stanu budowli, a nie tylko ankietyzacji właściciela lub użytkownika budowli.</w:t>
            </w:r>
            <w:r w:rsidRPr="005E78BB">
              <w:rPr>
                <w:rFonts w:ascii="Calibri" w:eastAsia="Times New Roman" w:hAnsi="Calibri" w:cs="Calibri"/>
                <w:color w:val="000000"/>
                <w:sz w:val="18"/>
                <w:szCs w:val="18"/>
                <w:lang w:eastAsia="pl-PL"/>
              </w:rPr>
              <w:br/>
              <w:t>Umieścid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Uznad za wymagające udrożnienia budowle, które zostały wskazane jako drożne do 20 kwietnia (dorzecze Narwi).</w:t>
            </w:r>
          </w:p>
        </w:tc>
        <w:tc>
          <w:tcPr>
            <w:tcW w:w="3401" w:type="dxa"/>
            <w:shd w:val="clear" w:color="auto" w:fill="auto"/>
            <w:hideMark/>
          </w:tcPr>
          <w:p w14:paraId="08A134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B59BC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CA993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08A4386" w14:textId="3B0839D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58E8C4D7" w14:textId="77777777" w:rsidTr="00E92AE6">
        <w:trPr>
          <w:trHeight w:val="454"/>
        </w:trPr>
        <w:tc>
          <w:tcPr>
            <w:tcW w:w="562" w:type="dxa"/>
            <w:shd w:val="clear" w:color="auto" w:fill="auto"/>
            <w:hideMark/>
          </w:tcPr>
          <w:p w14:paraId="52DBDA3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569</w:t>
            </w:r>
          </w:p>
        </w:tc>
        <w:tc>
          <w:tcPr>
            <w:tcW w:w="1021" w:type="dxa"/>
          </w:tcPr>
          <w:p w14:paraId="07FD0DB3" w14:textId="4DE47FE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433E5A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A2B7D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 udrożnienia</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PIĘTRZEO</w:t>
            </w:r>
            <w:r w:rsidRPr="005E78BB">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Wisły znalazło się 16 takich działao, z czego tylko jedno zdaje się byd w pełni usprawiedliwione (budowa przepławki dla ryb na rzece Pasłęce w ramach przebudowy/ odbudowy jazu w km 29+537). Większośd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byd traktowane nie jako działanie polepszające warunki hydromorfologiczne lecz jako zagrożenie dla celów środowiskowych.</w:t>
            </w:r>
          </w:p>
        </w:tc>
        <w:tc>
          <w:tcPr>
            <w:tcW w:w="3377" w:type="dxa"/>
            <w:shd w:val="clear" w:color="auto" w:fill="auto"/>
            <w:hideMark/>
          </w:tcPr>
          <w:p w14:paraId="01878D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Wykreślid z zał. 4 do „erraty” 1 działania które polegają na odbudowie nieistniejących obecnie barier migracyjnych. Odbudowa bądź przebudowa tych, które nie są obecnie barierami powinna byd uznana za zagrożenie dla celów środowiskowych wód i obszarów chronionych i ujęta w stosownym załączniku (patrz CIS Guidance No 20 i 37 oraz art. 435 PW). Bezwzględnie należy wykreślid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p>
        </w:tc>
        <w:tc>
          <w:tcPr>
            <w:tcW w:w="3401" w:type="dxa"/>
            <w:shd w:val="clear" w:color="auto" w:fill="auto"/>
            <w:hideMark/>
          </w:tcPr>
          <w:p w14:paraId="4839286B" w14:textId="3A9835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znajduje.Inne odbudowy/przebudowy też wymagają weryfikacji, bo mogą wykazywad podobne znaczące negatywne oddziaływania.</w:t>
            </w:r>
          </w:p>
        </w:tc>
        <w:tc>
          <w:tcPr>
            <w:tcW w:w="1918" w:type="dxa"/>
            <w:shd w:val="clear" w:color="auto" w:fill="auto"/>
            <w:hideMark/>
          </w:tcPr>
          <w:p w14:paraId="53D06E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E2D3E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8C998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6EA9C32E" w14:textId="77777777" w:rsidTr="00E92AE6">
        <w:trPr>
          <w:trHeight w:val="454"/>
        </w:trPr>
        <w:tc>
          <w:tcPr>
            <w:tcW w:w="562" w:type="dxa"/>
            <w:shd w:val="clear" w:color="auto" w:fill="auto"/>
            <w:hideMark/>
          </w:tcPr>
          <w:p w14:paraId="74D45DF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570</w:t>
            </w:r>
          </w:p>
        </w:tc>
        <w:tc>
          <w:tcPr>
            <w:tcW w:w="1021" w:type="dxa"/>
          </w:tcPr>
          <w:p w14:paraId="22320354" w14:textId="520B441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77FBE8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6211A4A" w14:textId="1447797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ype="page"/>
              <w:t>Bez zmian prawnych oraz rewizji planów inwestycyjnych wynikających z programów sektorowych – PPSS, PZRP i innych, nie ma możliwości osiągnięcia celów IIaPGW i celów RDW.</w:t>
            </w:r>
            <w:r w:rsidRPr="005E78BB">
              <w:rPr>
                <w:rFonts w:ascii="Calibri" w:eastAsia="Times New Roman" w:hAnsi="Calibri" w:cs="Calibri"/>
                <w:color w:val="000000"/>
                <w:sz w:val="18"/>
                <w:szCs w:val="18"/>
                <w:lang w:eastAsia="pl-PL"/>
              </w:rPr>
              <w:br w:type="page"/>
              <w:t xml:space="preserve">Dokumenty sektorowe powinny byd spójne z IIaPGW, jednak przy ich projektach nie wzięto pod uwagę celów środowiskowych RDW i działao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wykazywad (w większości przypadków) znaczące negatywne oddziaływania na.</w:t>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p>
        </w:tc>
        <w:tc>
          <w:tcPr>
            <w:tcW w:w="3377" w:type="dxa"/>
            <w:shd w:val="clear" w:color="auto" w:fill="auto"/>
            <w:hideMark/>
          </w:tcPr>
          <w:p w14:paraId="0EFA3E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Umieścid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314662F5" w14:textId="797725A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byd spójne z IIaPGW. Jest to wymóg RDW.</w:t>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działao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w:t>
            </w:r>
          </w:p>
        </w:tc>
        <w:tc>
          <w:tcPr>
            <w:tcW w:w="1918" w:type="dxa"/>
            <w:shd w:val="clear" w:color="auto" w:fill="auto"/>
            <w:hideMark/>
          </w:tcPr>
          <w:p w14:paraId="744F19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964F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68385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22A98559" w14:textId="77777777" w:rsidTr="00E92AE6">
        <w:trPr>
          <w:trHeight w:val="454"/>
        </w:trPr>
        <w:tc>
          <w:tcPr>
            <w:tcW w:w="562" w:type="dxa"/>
            <w:shd w:val="clear" w:color="auto" w:fill="auto"/>
            <w:hideMark/>
          </w:tcPr>
          <w:p w14:paraId="01B1B22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571</w:t>
            </w:r>
          </w:p>
        </w:tc>
        <w:tc>
          <w:tcPr>
            <w:tcW w:w="1021" w:type="dxa"/>
          </w:tcPr>
          <w:p w14:paraId="3B7C4ADA" w14:textId="153F22C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27F3F3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4D87DB4" w14:textId="136AEA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Konkretne zmiany prawne</w:t>
            </w:r>
            <w:r w:rsidRPr="005E78BB">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prace utrzymaniowe – należy ująd w Prawie wodnym koniecznośd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byd prawnym obowiązkiem zarządców wód i mied na celu ograniczanie praktyk szkodliwych (i przeskalowanych) działao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urządzeo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oddziaływao tylko, gdy jedno z działao „łapie się” do oceny) i powinny byd znacząco obniżone; należy zaznaczyd,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odwoład;</w:t>
            </w:r>
            <w:r w:rsidRPr="005E78BB">
              <w:rPr>
                <w:rFonts w:ascii="Calibri" w:eastAsia="Times New Roman" w:hAnsi="Calibri" w:cs="Calibri"/>
                <w:color w:val="000000"/>
                <w:sz w:val="18"/>
                <w:szCs w:val="18"/>
                <w:lang w:eastAsia="pl-PL"/>
              </w:rPr>
              <w:br/>
              <w:t>- należy uzupełnid art. 416.2 PW o cykliczne przeglądy spełniania wymogów pozwoleo wodnoprawnych na piętrzenie wód.</w:t>
            </w:r>
            <w:r w:rsidRPr="005E78BB">
              <w:rPr>
                <w:rFonts w:ascii="Calibri" w:eastAsia="Times New Roman" w:hAnsi="Calibri" w:cs="Calibri"/>
                <w:color w:val="000000"/>
                <w:sz w:val="18"/>
                <w:szCs w:val="18"/>
                <w:lang w:eastAsia="pl-PL"/>
              </w:rPr>
              <w:br/>
              <w:t>- należy usunąd koniecznośd umieszczania w PGW katalogu odcinków ZAGROŻENIA DLA SWOBODNEGO PRZEPŁYWU WÓD ORAZ SPŁYWU LODÓW lub planowane działania przenieśd do katalogu, o którym mowa w art. 435 PW;</w:t>
            </w:r>
            <w:r w:rsidRPr="005E78BB">
              <w:rPr>
                <w:rFonts w:ascii="Calibri" w:eastAsia="Times New Roman" w:hAnsi="Calibri" w:cs="Calibri"/>
                <w:color w:val="000000"/>
                <w:sz w:val="18"/>
                <w:szCs w:val="18"/>
                <w:lang w:eastAsia="pl-PL"/>
              </w:rPr>
              <w:br/>
              <w:t>- katalog o którym mowa w art. 435 PW powinien byd również publikowany w PGW, a nie tylko te przedsięwzięcia, które zgodnie z art. 436 spełniają wymogi określone w art. 4.7 RDW.</w:t>
            </w:r>
          </w:p>
        </w:tc>
        <w:tc>
          <w:tcPr>
            <w:tcW w:w="3377" w:type="dxa"/>
            <w:shd w:val="clear" w:color="auto" w:fill="auto"/>
            <w:hideMark/>
          </w:tcPr>
          <w:p w14:paraId="105B49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19169E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p>
        </w:tc>
        <w:tc>
          <w:tcPr>
            <w:tcW w:w="1918" w:type="dxa"/>
            <w:shd w:val="clear" w:color="auto" w:fill="auto"/>
            <w:hideMark/>
          </w:tcPr>
          <w:p w14:paraId="13CF5F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58304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3E9A12" w14:textId="009A2D2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ustawy Prawo wodne, która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107254D1" w14:textId="77777777" w:rsidTr="00E92AE6">
        <w:trPr>
          <w:trHeight w:val="454"/>
        </w:trPr>
        <w:tc>
          <w:tcPr>
            <w:tcW w:w="562" w:type="dxa"/>
            <w:shd w:val="clear" w:color="auto" w:fill="auto"/>
            <w:hideMark/>
          </w:tcPr>
          <w:p w14:paraId="5C6D74E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572</w:t>
            </w:r>
          </w:p>
        </w:tc>
        <w:tc>
          <w:tcPr>
            <w:tcW w:w="1021" w:type="dxa"/>
          </w:tcPr>
          <w:p w14:paraId="6ADB06F0" w14:textId="32262DF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56E49E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B9BC0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412C5EFA" w14:textId="2215187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mied pełne informacje na temat celów środowiskowych i zestawu działao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wdrażad, zamiast zajmowad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przewartościowad podejście do zasobów wodnych w zakresie retencji (priorytet: odbudowa i ochrona naturalnej retencji), bo obecne podejście tylko oddala nas od osiągnięcia celów RDW.</w:t>
            </w:r>
          </w:p>
        </w:tc>
        <w:tc>
          <w:tcPr>
            <w:tcW w:w="3401" w:type="dxa"/>
            <w:shd w:val="clear" w:color="auto" w:fill="auto"/>
            <w:hideMark/>
          </w:tcPr>
          <w:p w14:paraId="5E4467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oddziaływao na obszary Natura 2000 i stan wód”.</w:t>
            </w:r>
          </w:p>
        </w:tc>
        <w:tc>
          <w:tcPr>
            <w:tcW w:w="1918" w:type="dxa"/>
            <w:shd w:val="clear" w:color="auto" w:fill="auto"/>
            <w:hideMark/>
          </w:tcPr>
          <w:p w14:paraId="01559C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C5E69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152D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17371A1D" w14:textId="77777777" w:rsidTr="00E92AE6">
        <w:trPr>
          <w:trHeight w:val="454"/>
        </w:trPr>
        <w:tc>
          <w:tcPr>
            <w:tcW w:w="562" w:type="dxa"/>
            <w:shd w:val="clear" w:color="auto" w:fill="auto"/>
            <w:hideMark/>
          </w:tcPr>
          <w:p w14:paraId="0D2C7E0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573</w:t>
            </w:r>
          </w:p>
        </w:tc>
        <w:tc>
          <w:tcPr>
            <w:tcW w:w="1021" w:type="dxa"/>
          </w:tcPr>
          <w:p w14:paraId="513D9E5F" w14:textId="7DBF533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Dla Biebrzy</w:t>
            </w:r>
          </w:p>
        </w:tc>
        <w:tc>
          <w:tcPr>
            <w:tcW w:w="1630" w:type="dxa"/>
            <w:shd w:val="clear" w:color="auto" w:fill="auto"/>
            <w:hideMark/>
          </w:tcPr>
          <w:p w14:paraId="1C479A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01F9C3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ocenie postępu działao – co 2 lata</w:t>
            </w:r>
            <w:r w:rsidRPr="005E78BB">
              <w:rPr>
                <w:rFonts w:ascii="Calibri" w:eastAsia="Times New Roman" w:hAnsi="Calibri" w:cs="Calibri"/>
                <w:color w:val="000000"/>
                <w:sz w:val="18"/>
                <w:szCs w:val="18"/>
                <w:lang w:eastAsia="pl-PL"/>
              </w:rPr>
              <w:br/>
              <w:t>W przypadku budowli do udrożnienia, dla których nie sporządzono dokumentacji, powinny byd ustalone następujące maksymalne terminy do oceny postępu działao: 2 lata – analiza sposobu udrożnienia/ 2 lata – projekt i decyzje / 2 lata – wykonanie.</w:t>
            </w:r>
          </w:p>
        </w:tc>
        <w:tc>
          <w:tcPr>
            <w:tcW w:w="3377" w:type="dxa"/>
            <w:shd w:val="clear" w:color="auto" w:fill="auto"/>
            <w:hideMark/>
          </w:tcPr>
          <w:p w14:paraId="65DBEC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410F7D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zapewnid realizację działao naprawczych, co dobitnie pokazał okres planistyczny 2016-2021, w którym zadania niewykonane na półmetku okresu w większości nie doczekały się realizacji.</w:t>
            </w:r>
          </w:p>
        </w:tc>
        <w:tc>
          <w:tcPr>
            <w:tcW w:w="1918" w:type="dxa"/>
            <w:shd w:val="clear" w:color="auto" w:fill="auto"/>
            <w:hideMark/>
          </w:tcPr>
          <w:p w14:paraId="0A4D73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842DF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879E4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335FEABB" w14:textId="77777777" w:rsidTr="00E92AE6">
        <w:trPr>
          <w:trHeight w:val="454"/>
        </w:trPr>
        <w:tc>
          <w:tcPr>
            <w:tcW w:w="562" w:type="dxa"/>
            <w:shd w:val="clear" w:color="auto" w:fill="auto"/>
            <w:hideMark/>
          </w:tcPr>
          <w:p w14:paraId="37F1855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574</w:t>
            </w:r>
          </w:p>
        </w:tc>
        <w:tc>
          <w:tcPr>
            <w:tcW w:w="1021" w:type="dxa"/>
          </w:tcPr>
          <w:p w14:paraId="23338F3F" w14:textId="2FE8856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6AA3D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5C06BD87" w14:textId="2E65DF4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Ogólna uwaga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ype="page"/>
              <w:t xml:space="preserve">W kolejnych uwagach przedstawiono szczegółowe odniesienia do ww. obszarów problemowych. </w:t>
            </w:r>
          </w:p>
        </w:tc>
        <w:tc>
          <w:tcPr>
            <w:tcW w:w="3377" w:type="dxa"/>
            <w:shd w:val="clear" w:color="auto" w:fill="auto"/>
            <w:hideMark/>
          </w:tcPr>
          <w:p w14:paraId="09A1D6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w:t>
            </w:r>
          </w:p>
        </w:tc>
        <w:tc>
          <w:tcPr>
            <w:tcW w:w="3401" w:type="dxa"/>
            <w:shd w:val="clear" w:color="auto" w:fill="auto"/>
            <w:hideMark/>
          </w:tcPr>
          <w:p w14:paraId="20A76E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524B55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F22A3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ED884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3B31C93C" w14:textId="77777777" w:rsidTr="00E92AE6">
        <w:trPr>
          <w:trHeight w:val="454"/>
        </w:trPr>
        <w:tc>
          <w:tcPr>
            <w:tcW w:w="562" w:type="dxa"/>
            <w:shd w:val="clear" w:color="auto" w:fill="auto"/>
            <w:hideMark/>
          </w:tcPr>
          <w:p w14:paraId="01BCE5A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575</w:t>
            </w:r>
          </w:p>
        </w:tc>
        <w:tc>
          <w:tcPr>
            <w:tcW w:w="1021" w:type="dxa"/>
          </w:tcPr>
          <w:p w14:paraId="24DBEACC" w14:textId="065296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CD881A6" w14:textId="142951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8F2B603" w14:textId="0F9F38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123D82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5CD0F5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5754EA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B906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435C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6F0C1C5F" w14:textId="77777777" w:rsidTr="00E92AE6">
        <w:trPr>
          <w:trHeight w:val="454"/>
        </w:trPr>
        <w:tc>
          <w:tcPr>
            <w:tcW w:w="562" w:type="dxa"/>
            <w:shd w:val="clear" w:color="auto" w:fill="auto"/>
            <w:hideMark/>
          </w:tcPr>
          <w:p w14:paraId="0001D09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576</w:t>
            </w:r>
          </w:p>
        </w:tc>
        <w:tc>
          <w:tcPr>
            <w:tcW w:w="1021" w:type="dxa"/>
          </w:tcPr>
          <w:p w14:paraId="4CC4A647" w14:textId="29596E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9838776" w14:textId="2DEA4A3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5F08000" w14:textId="0944A08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666B5A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3F795D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2E0E20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0D76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84E3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31A83528" w14:textId="77777777" w:rsidTr="00E92AE6">
        <w:trPr>
          <w:trHeight w:val="454"/>
        </w:trPr>
        <w:tc>
          <w:tcPr>
            <w:tcW w:w="562" w:type="dxa"/>
            <w:shd w:val="clear" w:color="auto" w:fill="auto"/>
            <w:hideMark/>
          </w:tcPr>
          <w:p w14:paraId="3EA95F6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577</w:t>
            </w:r>
          </w:p>
        </w:tc>
        <w:tc>
          <w:tcPr>
            <w:tcW w:w="1021" w:type="dxa"/>
          </w:tcPr>
          <w:p w14:paraId="40633E2D" w14:textId="66F60E9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649774FC" w14:textId="502E23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geobaza</w:t>
            </w:r>
          </w:p>
        </w:tc>
        <w:tc>
          <w:tcPr>
            <w:tcW w:w="5663" w:type="dxa"/>
            <w:shd w:val="clear" w:color="auto" w:fill="auto"/>
            <w:hideMark/>
          </w:tcPr>
          <w:p w14:paraId="216FCFED" w14:textId="7666143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5988828D" w14:textId="4479569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650531B0" w14:textId="59492F8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Działanie Wód Polskich w tym zakresie jest sprzeczne z: </w:t>
            </w:r>
            <w:r w:rsidRPr="005E78BB">
              <w:rPr>
                <w:rFonts w:ascii="Calibri" w:eastAsia="Times New Roman" w:hAnsi="Calibri" w:cs="Calibri"/>
                <w:color w:val="000000"/>
                <w:sz w:val="18"/>
                <w:szCs w:val="18"/>
                <w:lang w:eastAsia="pl-PL"/>
              </w:rPr>
              <w:br w:type="page"/>
              <w:t xml:space="preserve">art. 14 RDW – </w:t>
            </w:r>
            <w:r w:rsidRPr="005E78BB">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13501E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A769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81ABCA" w14:textId="4435294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22EA9892" w14:textId="77777777" w:rsidTr="00E92AE6">
        <w:trPr>
          <w:trHeight w:val="454"/>
        </w:trPr>
        <w:tc>
          <w:tcPr>
            <w:tcW w:w="562" w:type="dxa"/>
            <w:shd w:val="clear" w:color="auto" w:fill="auto"/>
            <w:hideMark/>
          </w:tcPr>
          <w:p w14:paraId="1D0C120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578</w:t>
            </w:r>
          </w:p>
        </w:tc>
        <w:tc>
          <w:tcPr>
            <w:tcW w:w="1021" w:type="dxa"/>
          </w:tcPr>
          <w:p w14:paraId="6E122D81" w14:textId="089AE3F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4FC122E" w14:textId="095B910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dokumenty źródłowe</w:t>
            </w:r>
          </w:p>
        </w:tc>
        <w:tc>
          <w:tcPr>
            <w:tcW w:w="5663" w:type="dxa"/>
            <w:shd w:val="clear" w:color="auto" w:fill="auto"/>
            <w:hideMark/>
          </w:tcPr>
          <w:p w14:paraId="75523EA8" w14:textId="7F7D6A6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6F3AAB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38E403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1E5A33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572EB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4CB36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0AFE9597" w14:textId="77777777" w:rsidTr="00E92AE6">
        <w:trPr>
          <w:trHeight w:val="454"/>
        </w:trPr>
        <w:tc>
          <w:tcPr>
            <w:tcW w:w="562" w:type="dxa"/>
            <w:shd w:val="clear" w:color="auto" w:fill="auto"/>
            <w:hideMark/>
          </w:tcPr>
          <w:p w14:paraId="1CEBD74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579</w:t>
            </w:r>
          </w:p>
        </w:tc>
        <w:tc>
          <w:tcPr>
            <w:tcW w:w="1021" w:type="dxa"/>
          </w:tcPr>
          <w:p w14:paraId="2AD9ABB8" w14:textId="39275EA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30D24C5" w14:textId="608F1A8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formularz</w:t>
            </w:r>
          </w:p>
        </w:tc>
        <w:tc>
          <w:tcPr>
            <w:tcW w:w="5663" w:type="dxa"/>
            <w:shd w:val="clear" w:color="auto" w:fill="auto"/>
            <w:hideMark/>
          </w:tcPr>
          <w:p w14:paraId="3A487761" w14:textId="1943A5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3377" w:type="dxa"/>
            <w:shd w:val="clear" w:color="auto" w:fill="auto"/>
            <w:hideMark/>
          </w:tcPr>
          <w:p w14:paraId="091887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0D16DD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414557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35F5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0B06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zastosowano dodatkowych ograniczeń co do formy przedkładanych uwag.</w:t>
            </w:r>
          </w:p>
        </w:tc>
      </w:tr>
      <w:tr w:rsidR="0085319C" w:rsidRPr="005E78BB" w14:paraId="3307B199" w14:textId="77777777" w:rsidTr="00E92AE6">
        <w:trPr>
          <w:trHeight w:val="454"/>
        </w:trPr>
        <w:tc>
          <w:tcPr>
            <w:tcW w:w="562" w:type="dxa"/>
            <w:shd w:val="clear" w:color="auto" w:fill="auto"/>
            <w:hideMark/>
          </w:tcPr>
          <w:p w14:paraId="63BD89D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580</w:t>
            </w:r>
          </w:p>
        </w:tc>
        <w:tc>
          <w:tcPr>
            <w:tcW w:w="1021" w:type="dxa"/>
          </w:tcPr>
          <w:p w14:paraId="65A5AE83" w14:textId="36671F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3FFDC3A7" w14:textId="5FCC8C7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 / dane ze storny aPGW</w:t>
            </w:r>
          </w:p>
        </w:tc>
        <w:tc>
          <w:tcPr>
            <w:tcW w:w="5663" w:type="dxa"/>
            <w:shd w:val="clear" w:color="auto" w:fill="auto"/>
            <w:hideMark/>
          </w:tcPr>
          <w:p w14:paraId="0547C5E6" w14:textId="342883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2D7FAF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166C06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95388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497F4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4927E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69C065C7" w14:textId="77777777" w:rsidTr="00E92AE6">
        <w:trPr>
          <w:trHeight w:val="454"/>
        </w:trPr>
        <w:tc>
          <w:tcPr>
            <w:tcW w:w="562" w:type="dxa"/>
            <w:shd w:val="clear" w:color="auto" w:fill="auto"/>
            <w:hideMark/>
          </w:tcPr>
          <w:p w14:paraId="49350A6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581</w:t>
            </w:r>
          </w:p>
        </w:tc>
        <w:tc>
          <w:tcPr>
            <w:tcW w:w="1021" w:type="dxa"/>
          </w:tcPr>
          <w:p w14:paraId="3DCB3733" w14:textId="2D2330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04DE453" w14:textId="1C4CFE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73D0689" w14:textId="5ED2C73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ype="page"/>
              <w:t>Rozdz. 3</w:t>
            </w:r>
            <w:r w:rsidRPr="005E78BB">
              <w:rPr>
                <w:rFonts w:ascii="Calibri" w:eastAsia="Times New Roman" w:hAnsi="Calibri" w:cs="Calibri"/>
                <w:color w:val="000000"/>
                <w:sz w:val="18"/>
                <w:szCs w:val="18"/>
                <w:lang w:eastAsia="pl-PL"/>
              </w:rPr>
              <w:br w:type="page"/>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2B30B36D" w14:textId="0A9734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06602788" w14:textId="64E057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31D932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63AA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937370" w14:textId="7128742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r w:rsidRPr="005E78BB">
              <w:rPr>
                <w:rFonts w:ascii="Calibri" w:eastAsia="Times New Roman" w:hAnsi="Calibri" w:cs="Calibri"/>
                <w:color w:val="000000"/>
                <w:sz w:val="18"/>
                <w:szCs w:val="18"/>
                <w:lang w:eastAsia="pl-PL"/>
              </w:rPr>
              <w:br w:type="page"/>
              <w:t>Projekty IIaPGW zawierają informacje wymagane w tym zakresie wskazując dokonane zmiany w okresie obowiązywania poprzedniego planu tj. aPGW.</w:t>
            </w:r>
            <w:r w:rsidRPr="005E78BB">
              <w:rPr>
                <w:rFonts w:ascii="Calibri" w:eastAsia="Times New Roman" w:hAnsi="Calibri" w:cs="Calibri"/>
                <w:color w:val="000000"/>
                <w:sz w:val="18"/>
                <w:szCs w:val="18"/>
                <w:lang w:eastAsia="pl-PL"/>
              </w:rPr>
              <w:br w:type="page"/>
              <w:t>Zgłoszona uwaga dotyczy materiału źródłowego do projektów IIaPGW, które dostępne są dla społeczeństwa w ramach udostępnienia informacji o środowisku - w tym metodyki realizacji przywołanych prac.</w:t>
            </w:r>
          </w:p>
        </w:tc>
      </w:tr>
      <w:tr w:rsidR="0085319C" w:rsidRPr="005E78BB" w14:paraId="6526A61A" w14:textId="77777777" w:rsidTr="00CD6FBC">
        <w:trPr>
          <w:trHeight w:val="454"/>
        </w:trPr>
        <w:tc>
          <w:tcPr>
            <w:tcW w:w="562" w:type="dxa"/>
            <w:shd w:val="clear" w:color="auto" w:fill="auto"/>
            <w:hideMark/>
          </w:tcPr>
          <w:p w14:paraId="150D782F"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582</w:t>
            </w:r>
          </w:p>
        </w:tc>
        <w:tc>
          <w:tcPr>
            <w:tcW w:w="1021" w:type="dxa"/>
            <w:shd w:val="clear" w:color="auto" w:fill="auto"/>
          </w:tcPr>
          <w:p w14:paraId="0EDA7A4F" w14:textId="3A02B8F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Badań i Ochrony Przyrody w Kielcach</w:t>
            </w:r>
          </w:p>
        </w:tc>
        <w:tc>
          <w:tcPr>
            <w:tcW w:w="1630" w:type="dxa"/>
            <w:shd w:val="clear" w:color="auto" w:fill="auto"/>
            <w:hideMark/>
          </w:tcPr>
          <w:p w14:paraId="62BE1919" w14:textId="0F1CBCD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31D5B677" w14:textId="09AA9CD3"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br/>
              <w:t>RWr Zbiornikowe</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 xml:space="preserve">Zał. 3.1. oraz 8.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w:t>
            </w:r>
          </w:p>
        </w:tc>
        <w:tc>
          <w:tcPr>
            <w:tcW w:w="3377" w:type="dxa"/>
            <w:shd w:val="clear" w:color="auto" w:fill="auto"/>
            <w:hideMark/>
          </w:tcPr>
          <w:p w14:paraId="6EC5B9A9" w14:textId="49E5DB3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r w:rsidRPr="00CD6FBC">
              <w:rPr>
                <w:rFonts w:ascii="Calibri" w:eastAsia="Times New Roman" w:hAnsi="Calibri" w:cs="Calibri"/>
                <w:color w:val="000000"/>
                <w:sz w:val="18"/>
                <w:szCs w:val="18"/>
                <w:lang w:eastAsia="pl-PL"/>
              </w:rPr>
              <w:br/>
              <w:t>"</w:t>
            </w:r>
          </w:p>
        </w:tc>
        <w:tc>
          <w:tcPr>
            <w:tcW w:w="3401" w:type="dxa"/>
            <w:shd w:val="clear" w:color="auto" w:fill="auto"/>
            <w:hideMark/>
          </w:tcPr>
          <w:p w14:paraId="32707EB5" w14:textId="07A24D8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Takie podejście nie może być usprawiedliwieniem dla znaczących negatywnych zmian w cennych siedliskach związanych z cofkami niektórych zbiorników wodnych. "</w:t>
            </w:r>
          </w:p>
        </w:tc>
        <w:tc>
          <w:tcPr>
            <w:tcW w:w="1918" w:type="dxa"/>
            <w:shd w:val="clear" w:color="auto" w:fill="auto"/>
            <w:hideMark/>
          </w:tcPr>
          <w:p w14:paraId="20B9B86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0FE4084F"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59EED611" w14:textId="22BA32D6" w:rsidR="00910846" w:rsidRPr="006A6D35" w:rsidRDefault="0085319C" w:rsidP="00910846">
            <w:pP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W zał</w:t>
            </w:r>
            <w:r w:rsidR="00910846" w:rsidRPr="006A6D35">
              <w:rPr>
                <w:rFonts w:ascii="Calibri" w:eastAsia="Times New Roman" w:hAnsi="Calibri" w:cs="Calibri"/>
                <w:color w:val="000000"/>
                <w:sz w:val="18"/>
                <w:szCs w:val="18"/>
                <w:lang w:eastAsia="pl-PL"/>
              </w:rPr>
              <w:t>. Wartości graniczne SCW i SZCW</w:t>
            </w:r>
          </w:p>
          <w:p w14:paraId="3A1F7DB7" w14:textId="68E384E9" w:rsidR="0085319C" w:rsidRPr="006A6D35"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72F045B6" w14:textId="77777777" w:rsidTr="00CD6FBC">
        <w:trPr>
          <w:trHeight w:val="454"/>
        </w:trPr>
        <w:tc>
          <w:tcPr>
            <w:tcW w:w="562" w:type="dxa"/>
            <w:shd w:val="clear" w:color="auto" w:fill="auto"/>
            <w:hideMark/>
          </w:tcPr>
          <w:p w14:paraId="16BF1E5F"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583</w:t>
            </w:r>
          </w:p>
        </w:tc>
        <w:tc>
          <w:tcPr>
            <w:tcW w:w="1021" w:type="dxa"/>
            <w:shd w:val="clear" w:color="auto" w:fill="auto"/>
          </w:tcPr>
          <w:p w14:paraId="15D89C35" w14:textId="157EFED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Badań i Ochrony Przyrody w Kielcach</w:t>
            </w:r>
          </w:p>
        </w:tc>
        <w:tc>
          <w:tcPr>
            <w:tcW w:w="1630" w:type="dxa"/>
            <w:shd w:val="clear" w:color="auto" w:fill="auto"/>
            <w:hideMark/>
          </w:tcPr>
          <w:p w14:paraId="4BD22F43" w14:textId="6C94571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596BF441" w14:textId="2F6C96B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Rozdz. 3.1.SZCW</w:t>
            </w:r>
            <w:r w:rsidRPr="00CD6FBC">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Zgodnie z dokumentem  </w:t>
            </w:r>
            <w:r w:rsidRPr="00CD6FBC">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Zalecenie z 2012 r.: </w:t>
            </w:r>
            <w:r w:rsidRPr="00CD6FBC">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Jeśli zaś, zachodzi niepewność, co do możliwości wyznaczenia SZCW, wyznaczenie takie było nieuprawnione. "</w:t>
            </w:r>
          </w:p>
        </w:tc>
        <w:tc>
          <w:tcPr>
            <w:tcW w:w="3377" w:type="dxa"/>
            <w:shd w:val="clear" w:color="auto" w:fill="auto"/>
            <w:hideMark/>
          </w:tcPr>
          <w:p w14:paraId="1D86566E" w14:textId="5D74A6D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401" w:type="dxa"/>
            <w:shd w:val="clear" w:color="auto" w:fill="auto"/>
            <w:hideMark/>
          </w:tcPr>
          <w:p w14:paraId="45AE7441"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50AEC79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C2BCDD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136E875C" w14:textId="08F7A204" w:rsidR="00910846" w:rsidRPr="006A6D35" w:rsidRDefault="0085319C" w:rsidP="00910846">
            <w:pP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910846" w:rsidRPr="006A6D35">
              <w:rPr>
                <w:rFonts w:ascii="Calibri" w:eastAsia="Times New Roman" w:hAnsi="Calibri" w:cs="Calibri"/>
                <w:color w:val="000000"/>
                <w:sz w:val="18"/>
                <w:szCs w:val="18"/>
                <w:lang w:eastAsia="pl-PL"/>
              </w:rPr>
              <w:t>Wartości graniczne SCW i SZCW</w:t>
            </w:r>
          </w:p>
          <w:p w14:paraId="1785613E" w14:textId="51902E48" w:rsidR="0085319C" w:rsidRPr="006A6D35"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0F381B85" w14:textId="77777777" w:rsidTr="00E92AE6">
        <w:trPr>
          <w:trHeight w:val="454"/>
        </w:trPr>
        <w:tc>
          <w:tcPr>
            <w:tcW w:w="562" w:type="dxa"/>
            <w:shd w:val="clear" w:color="auto" w:fill="auto"/>
            <w:hideMark/>
          </w:tcPr>
          <w:p w14:paraId="06AF4E2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584</w:t>
            </w:r>
          </w:p>
        </w:tc>
        <w:tc>
          <w:tcPr>
            <w:tcW w:w="1021" w:type="dxa"/>
          </w:tcPr>
          <w:p w14:paraId="7B7AC25B" w14:textId="4403B5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3B9A0F78" w14:textId="11F5D42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050315B" w14:textId="575BCF7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type="page"/>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3F8243D4" w14:textId="51191AF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0370F8B5" w14:textId="771E3A6A" w:rsidR="0085319C" w:rsidRPr="005E78BB" w:rsidRDefault="0085319C" w:rsidP="0085319C">
            <w:pPr>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2001DF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2E0FC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4A0896" w14:textId="589540A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7E8B5ACA" w14:textId="77777777" w:rsidTr="00E92AE6">
        <w:trPr>
          <w:trHeight w:val="454"/>
        </w:trPr>
        <w:tc>
          <w:tcPr>
            <w:tcW w:w="562" w:type="dxa"/>
            <w:shd w:val="clear" w:color="auto" w:fill="auto"/>
            <w:hideMark/>
          </w:tcPr>
          <w:p w14:paraId="76846A3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585</w:t>
            </w:r>
          </w:p>
        </w:tc>
        <w:tc>
          <w:tcPr>
            <w:tcW w:w="1021" w:type="dxa"/>
          </w:tcPr>
          <w:p w14:paraId="3ADD21BA" w14:textId="5D4C6F9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38F23BE" w14:textId="614FFF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55B08BD" w14:textId="701E05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w:t>
            </w:r>
            <w:r w:rsidRPr="005E78BB">
              <w:rPr>
                <w:rFonts w:ascii="Calibri" w:eastAsia="Times New Roman" w:hAnsi="Calibri" w:cs="Calibri"/>
                <w:color w:val="000000"/>
                <w:sz w:val="18"/>
                <w:szCs w:val="18"/>
                <w:lang w:eastAsia="pl-PL"/>
              </w:rPr>
              <w:br/>
              <w:t>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006B16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75A4009" w14:textId="7A5066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4C5761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52B4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2D3B31E" w14:textId="30E79CD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67A903F3" w14:textId="77777777" w:rsidTr="00E92AE6">
        <w:trPr>
          <w:trHeight w:val="454"/>
        </w:trPr>
        <w:tc>
          <w:tcPr>
            <w:tcW w:w="562" w:type="dxa"/>
            <w:shd w:val="clear" w:color="auto" w:fill="auto"/>
            <w:hideMark/>
          </w:tcPr>
          <w:p w14:paraId="4326EFD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586</w:t>
            </w:r>
          </w:p>
        </w:tc>
        <w:tc>
          <w:tcPr>
            <w:tcW w:w="1021" w:type="dxa"/>
          </w:tcPr>
          <w:p w14:paraId="18C4B513" w14:textId="58613D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1CCC14E9" w14:textId="48DAA2C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C4AFCA5" w14:textId="65EA368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"Rozdz. 5 </w:t>
            </w:r>
            <w:r w:rsidRPr="005E78BB">
              <w:rPr>
                <w:rFonts w:ascii="Calibri" w:eastAsia="Times New Roman" w:hAnsi="Calibri" w:cs="Calibri"/>
                <w:color w:val="000000"/>
                <w:sz w:val="18"/>
                <w:szCs w:val="18"/>
                <w:lang w:eastAsia="pl-PL"/>
              </w:rPr>
              <w:t>Monitoring"</w:t>
            </w:r>
            <w:r w:rsidRPr="005E78BB">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43CB23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631067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075FC5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03B33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A389495" w14:textId="301FE3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7AB58AC8" w14:textId="77777777" w:rsidTr="00E92AE6">
        <w:trPr>
          <w:trHeight w:val="454"/>
        </w:trPr>
        <w:tc>
          <w:tcPr>
            <w:tcW w:w="562" w:type="dxa"/>
            <w:shd w:val="clear" w:color="auto" w:fill="auto"/>
            <w:hideMark/>
          </w:tcPr>
          <w:p w14:paraId="5A09783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587</w:t>
            </w:r>
          </w:p>
        </w:tc>
        <w:tc>
          <w:tcPr>
            <w:tcW w:w="1021" w:type="dxa"/>
          </w:tcPr>
          <w:p w14:paraId="7714E2F7" w14:textId="258B0FC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38CBB02" w14:textId="2017ED4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6CB56B82" w14:textId="77777777" w:rsidR="0085319C"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w:t>
            </w:r>
            <w:r>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ype="page"/>
              <w:t>Monitoring"</w:t>
            </w:r>
          </w:p>
          <w:p w14:paraId="68EF01DB" w14:textId="259B701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br w:type="page"/>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34272F5D" w14:textId="3262E4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5E50BF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Uzupełnienie sieci monitoringu nie będzie powodować znaczącego obciążenia budżetu państwa i jest wykonalne przy niewielkim wsparciu struktur GIOŚ / WIOŚ."</w:t>
            </w:r>
          </w:p>
        </w:tc>
        <w:tc>
          <w:tcPr>
            <w:tcW w:w="1918" w:type="dxa"/>
            <w:shd w:val="clear" w:color="auto" w:fill="auto"/>
            <w:hideMark/>
          </w:tcPr>
          <w:p w14:paraId="5ACE8A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094FF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F08ABDA" w14:textId="162C498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3CFBF288" w14:textId="77777777" w:rsidTr="00E92AE6">
        <w:trPr>
          <w:trHeight w:val="454"/>
        </w:trPr>
        <w:tc>
          <w:tcPr>
            <w:tcW w:w="562" w:type="dxa"/>
            <w:shd w:val="clear" w:color="auto" w:fill="auto"/>
            <w:hideMark/>
          </w:tcPr>
          <w:p w14:paraId="219A0A8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588</w:t>
            </w:r>
          </w:p>
        </w:tc>
        <w:tc>
          <w:tcPr>
            <w:tcW w:w="1021" w:type="dxa"/>
          </w:tcPr>
          <w:p w14:paraId="7091910E" w14:textId="62E8DFA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6BD8C350" w14:textId="7F1892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75C9BF95" w14:textId="32D9588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"Streszczenie niespecjalistyczne; IIaPGW Rozdział 7, 8,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Presja, Cele środowiskowe, "</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p>
        </w:tc>
        <w:tc>
          <w:tcPr>
            <w:tcW w:w="3377" w:type="dxa"/>
            <w:shd w:val="clear" w:color="auto" w:fill="auto"/>
            <w:hideMark/>
          </w:tcPr>
          <w:p w14:paraId="57C7AA25" w14:textId="166849D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1D720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550252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52C7E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6FC6D5B" w14:textId="0296F85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4CB57D46" w14:textId="77777777" w:rsidTr="00E92AE6">
        <w:trPr>
          <w:trHeight w:val="454"/>
        </w:trPr>
        <w:tc>
          <w:tcPr>
            <w:tcW w:w="562" w:type="dxa"/>
            <w:shd w:val="clear" w:color="auto" w:fill="auto"/>
            <w:hideMark/>
          </w:tcPr>
          <w:p w14:paraId="2894274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589</w:t>
            </w:r>
          </w:p>
        </w:tc>
        <w:tc>
          <w:tcPr>
            <w:tcW w:w="1021" w:type="dxa"/>
          </w:tcPr>
          <w:p w14:paraId="3462F07F" w14:textId="1AD97A9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38137963" w14:textId="776A629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5E24A3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"Rozdz.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3E99C7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C77C2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09791F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6BCE9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8569597" w14:textId="4B2AE52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3D77526A" w14:textId="77777777" w:rsidTr="00E92AE6">
        <w:trPr>
          <w:trHeight w:val="454"/>
        </w:trPr>
        <w:tc>
          <w:tcPr>
            <w:tcW w:w="562" w:type="dxa"/>
            <w:shd w:val="clear" w:color="auto" w:fill="auto"/>
            <w:hideMark/>
          </w:tcPr>
          <w:p w14:paraId="6993C1D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590</w:t>
            </w:r>
          </w:p>
        </w:tc>
        <w:tc>
          <w:tcPr>
            <w:tcW w:w="1021" w:type="dxa"/>
          </w:tcPr>
          <w:p w14:paraId="6C0EAC61" w14:textId="243FBF2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80B23C1" w14:textId="228B8D5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E677935" w14:textId="4D1D95E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w:t>
            </w:r>
            <w:r>
              <w:rPr>
                <w:rFonts w:ascii="Calibri" w:eastAsia="Times New Roman" w:hAnsi="Calibri" w:cs="Calibri"/>
                <w:color w:val="000000"/>
                <w:sz w:val="18"/>
                <w:szCs w:val="18"/>
                <w:lang w:eastAsia="pl-PL"/>
              </w:rPr>
              <w:t xml:space="preserve"> </w:t>
            </w:r>
            <w:r w:rsidRPr="005E78BB">
              <w:rPr>
                <w:rFonts w:ascii="Calibri" w:eastAsia="Times New Roman" w:hAnsi="Calibri" w:cs="Calibri"/>
                <w:color w:val="000000"/>
                <w:sz w:val="18"/>
                <w:szCs w:val="18"/>
                <w:lang w:eastAsia="pl-PL"/>
              </w:rPr>
              <w:br w:type="page"/>
              <w:t>Działania 2aPGW KPRWP – raport "</w:t>
            </w:r>
            <w:r w:rsidRPr="005E78BB">
              <w:rPr>
                <w:rFonts w:ascii="Calibri" w:eastAsia="Times New Roman" w:hAnsi="Calibri" w:cs="Calibri"/>
                <w:color w:val="000000"/>
                <w:sz w:val="18"/>
                <w:szCs w:val="18"/>
                <w:lang w:eastAsia="pl-PL"/>
              </w:rPr>
              <w:br w:type="page"/>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ype="page"/>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ype="page"/>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ype="page"/>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ype="page"/>
              <w:t>http://www.ratujmyrzeki.pl/250-konsultacje-apgw</w:t>
            </w:r>
            <w:r w:rsidRPr="005E78BB">
              <w:rPr>
                <w:rFonts w:ascii="Calibri" w:eastAsia="Times New Roman" w:hAnsi="Calibri" w:cs="Calibri"/>
                <w:color w:val="000000"/>
                <w:sz w:val="18"/>
                <w:szCs w:val="18"/>
                <w:lang w:eastAsia="pl-PL"/>
              </w:rPr>
              <w:br w:type="page"/>
              <w:t>https://hektarydlanatury.pl/downloads/Raport_dla_WWF_zalaczniki.pdf</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ype="page"/>
              <w:t>Zaniechanie realizacji Programu będzie skutkować świadomym sabotowaniem osiągnięcia celów środowiskowych w roku 2027."</w:t>
            </w:r>
          </w:p>
        </w:tc>
        <w:tc>
          <w:tcPr>
            <w:tcW w:w="3377" w:type="dxa"/>
            <w:shd w:val="clear" w:color="auto" w:fill="auto"/>
            <w:hideMark/>
          </w:tcPr>
          <w:p w14:paraId="72A1B4C7" w14:textId="00D4E7E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40A11DEB" w14:textId="2BAD04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0005A2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304D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1F132B78" w14:textId="0EF77DC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6F4BE0C7" w14:textId="77777777" w:rsidTr="00E92AE6">
        <w:trPr>
          <w:trHeight w:val="454"/>
        </w:trPr>
        <w:tc>
          <w:tcPr>
            <w:tcW w:w="562" w:type="dxa"/>
            <w:shd w:val="clear" w:color="auto" w:fill="auto"/>
            <w:hideMark/>
          </w:tcPr>
          <w:p w14:paraId="25A192B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591</w:t>
            </w:r>
          </w:p>
        </w:tc>
        <w:tc>
          <w:tcPr>
            <w:tcW w:w="1021" w:type="dxa"/>
          </w:tcPr>
          <w:p w14:paraId="0AF87199" w14:textId="3C960B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E9FFDB7" w14:textId="593023F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4AD514CB" w14:textId="1C2196C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Art. 4.4. i 4.5. RDW"</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6B8B9C3D" w14:textId="3C0952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65F5D0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25E50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742FD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012E0EF" w14:textId="42EEC90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C2AD672" w14:textId="77777777" w:rsidTr="00E92AE6">
        <w:trPr>
          <w:trHeight w:val="454"/>
        </w:trPr>
        <w:tc>
          <w:tcPr>
            <w:tcW w:w="562" w:type="dxa"/>
            <w:shd w:val="clear" w:color="auto" w:fill="auto"/>
            <w:hideMark/>
          </w:tcPr>
          <w:p w14:paraId="4CFB15B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592</w:t>
            </w:r>
          </w:p>
        </w:tc>
        <w:tc>
          <w:tcPr>
            <w:tcW w:w="1021" w:type="dxa"/>
          </w:tcPr>
          <w:p w14:paraId="17B4EF03" w14:textId="6344D5E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7B8727E7" w14:textId="207669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0B12D437" w14:textId="5351255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6C63E8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4FE970E7" w14:textId="101485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499D29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D448C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9D14402" w14:textId="4D30E3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42A0E364" w14:textId="77777777" w:rsidTr="00E92AE6">
        <w:trPr>
          <w:trHeight w:val="454"/>
        </w:trPr>
        <w:tc>
          <w:tcPr>
            <w:tcW w:w="562" w:type="dxa"/>
            <w:shd w:val="clear" w:color="auto" w:fill="auto"/>
            <w:hideMark/>
          </w:tcPr>
          <w:p w14:paraId="0271A5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593</w:t>
            </w:r>
          </w:p>
        </w:tc>
        <w:tc>
          <w:tcPr>
            <w:tcW w:w="1021" w:type="dxa"/>
          </w:tcPr>
          <w:p w14:paraId="682F1D65" w14:textId="62CF61B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69E28D48" w14:textId="756B8E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3352E7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Rozdz. 16, Zał. 6 </w:t>
            </w:r>
            <w:r w:rsidRPr="005E78BB">
              <w:rPr>
                <w:rFonts w:ascii="Calibri" w:eastAsia="Times New Roman" w:hAnsi="Calibri" w:cs="Calibri"/>
                <w:color w:val="000000"/>
                <w:sz w:val="18"/>
                <w:szCs w:val="18"/>
                <w:lang w:eastAsia="pl-PL"/>
              </w:rPr>
              <w:br w:type="page"/>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0E92E1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p>
        </w:tc>
        <w:tc>
          <w:tcPr>
            <w:tcW w:w="3401" w:type="dxa"/>
            <w:shd w:val="clear" w:color="auto" w:fill="auto"/>
            <w:hideMark/>
          </w:tcPr>
          <w:p w14:paraId="33E8E4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088CE1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BE79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35739B" w14:textId="4AD211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01427E1A" w14:textId="77777777" w:rsidTr="00E92AE6">
        <w:trPr>
          <w:trHeight w:val="454"/>
        </w:trPr>
        <w:tc>
          <w:tcPr>
            <w:tcW w:w="562" w:type="dxa"/>
            <w:shd w:val="clear" w:color="auto" w:fill="auto"/>
            <w:hideMark/>
          </w:tcPr>
          <w:p w14:paraId="3140444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594</w:t>
            </w:r>
          </w:p>
        </w:tc>
        <w:tc>
          <w:tcPr>
            <w:tcW w:w="1021" w:type="dxa"/>
          </w:tcPr>
          <w:p w14:paraId="54D27BCD" w14:textId="48E4EF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1A3A9A6" w14:textId="08B8CC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1EB00D50" w14:textId="09B1B2D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Katalogi działań</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62FB7E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Wykreślić działania RWC_01.05 i RWC_01.07 lub diametralnie zmienić ich planowany zakres, zgodnie z KPRWP . "</w:t>
            </w:r>
          </w:p>
        </w:tc>
        <w:tc>
          <w:tcPr>
            <w:tcW w:w="3401" w:type="dxa"/>
            <w:shd w:val="clear" w:color="auto" w:fill="auto"/>
            <w:hideMark/>
          </w:tcPr>
          <w:p w14:paraId="653FDF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5E7F2F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3D65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E5BC2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367DD57" w14:textId="77777777" w:rsidTr="00E92AE6">
        <w:trPr>
          <w:trHeight w:val="454"/>
        </w:trPr>
        <w:tc>
          <w:tcPr>
            <w:tcW w:w="562" w:type="dxa"/>
            <w:shd w:val="clear" w:color="auto" w:fill="auto"/>
            <w:hideMark/>
          </w:tcPr>
          <w:p w14:paraId="6EEC62B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595</w:t>
            </w:r>
          </w:p>
        </w:tc>
        <w:tc>
          <w:tcPr>
            <w:tcW w:w="1021" w:type="dxa"/>
          </w:tcPr>
          <w:p w14:paraId="3556E3FA" w14:textId="11CE17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59A7435" w14:textId="0642629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KONSULTACJE </w:t>
            </w:r>
            <w:r>
              <w:rPr>
                <w:rFonts w:ascii="Calibri" w:eastAsia="Times New Roman" w:hAnsi="Calibri" w:cs="Calibri"/>
                <w:color w:val="000000"/>
                <w:sz w:val="18"/>
                <w:szCs w:val="18"/>
                <w:lang w:eastAsia="pl-PL"/>
              </w:rPr>
              <w:t>SPOŁECZNE</w:t>
            </w:r>
          </w:p>
        </w:tc>
        <w:tc>
          <w:tcPr>
            <w:tcW w:w="5663" w:type="dxa"/>
            <w:shd w:val="clear" w:color="auto" w:fill="auto"/>
            <w:hideMark/>
          </w:tcPr>
          <w:p w14:paraId="2168FC95" w14:textId="20322B5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udrożnienia barier migracyjnych</w:t>
            </w:r>
            <w:r w:rsidRPr="005E78BB">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53AEA6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6E2773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A750B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74997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D4DF975" w14:textId="3C7A99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36EDD9BC" w14:textId="77777777" w:rsidTr="00E92AE6">
        <w:trPr>
          <w:trHeight w:val="454"/>
        </w:trPr>
        <w:tc>
          <w:tcPr>
            <w:tcW w:w="562" w:type="dxa"/>
            <w:shd w:val="clear" w:color="auto" w:fill="auto"/>
            <w:hideMark/>
          </w:tcPr>
          <w:p w14:paraId="12A3124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596</w:t>
            </w:r>
          </w:p>
        </w:tc>
        <w:tc>
          <w:tcPr>
            <w:tcW w:w="1021" w:type="dxa"/>
          </w:tcPr>
          <w:p w14:paraId="557BCE54" w14:textId="2A61BA0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7CD24089" w14:textId="46ADF62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902D310" w14:textId="6B8BF63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Zał. 4 do erraty nr 1 Zaktualizowany wykaz budowli dla których zaplanowane zostały działania</w:t>
            </w:r>
            <w:r w:rsidRPr="005E78BB">
              <w:rPr>
                <w:rFonts w:ascii="Calibri" w:eastAsia="Times New Roman" w:hAnsi="Calibri" w:cs="Calibri"/>
                <w:color w:val="000000"/>
                <w:sz w:val="18"/>
                <w:szCs w:val="18"/>
                <w:lang w:eastAsia="pl-PL"/>
              </w:rPr>
              <w:br w:type="page"/>
              <w:t>w projekcie IIaPGW – obszar dorzecza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i braki mogące skutkować wyginięciem łososia w dorzeczu Wisły ze względu na:</w:t>
            </w:r>
            <w:r w:rsidRPr="005E78BB">
              <w:rPr>
                <w:rFonts w:ascii="Calibri" w:eastAsia="Times New Roman" w:hAnsi="Calibri" w:cs="Calibri"/>
                <w:color w:val="000000"/>
                <w:sz w:val="18"/>
                <w:szCs w:val="18"/>
                <w:lang w:eastAsia="pl-PL"/>
              </w:rPr>
              <w:br w:type="page"/>
              <w:t xml:space="preserve">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ype="page"/>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ype="page"/>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ype="page"/>
              <w:t xml:space="preserve">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udrożnienia w skali zlewni:</w:t>
            </w:r>
            <w:r w:rsidRPr="005E78BB">
              <w:rPr>
                <w:rFonts w:ascii="Calibri" w:eastAsia="Times New Roman" w:hAnsi="Calibri" w:cs="Calibri"/>
                <w:color w:val="000000"/>
                <w:sz w:val="18"/>
                <w:szCs w:val="18"/>
                <w:lang w:eastAsia="pl-PL"/>
              </w:rPr>
              <w:br w:type="page"/>
              <w:t>Nida – kilkadziesiąt piętrzeń do udrożnienia w latach 2016-2021 (wpisanych aPWŚK).</w:t>
            </w:r>
            <w:r w:rsidRPr="005E78BB">
              <w:rPr>
                <w:rFonts w:ascii="Calibri" w:eastAsia="Times New Roman" w:hAnsi="Calibri" w:cs="Calibri"/>
                <w:color w:val="000000"/>
                <w:sz w:val="18"/>
                <w:szCs w:val="18"/>
                <w:lang w:eastAsia="pl-PL"/>
              </w:rPr>
              <w:br w:type="page"/>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sprzeczne z celami i zadaniami  dla obszarów Natura 2000: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ype="page"/>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obszary chronione:</w:t>
            </w:r>
            <w:r w:rsidRPr="005E78BB">
              <w:rPr>
                <w:rFonts w:ascii="Calibri" w:eastAsia="Times New Roman" w:hAnsi="Calibri" w:cs="Calibri"/>
                <w:color w:val="000000"/>
                <w:sz w:val="18"/>
                <w:szCs w:val="18"/>
                <w:lang w:eastAsia="pl-PL"/>
              </w:rPr>
              <w:br w:type="page"/>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ype="page"/>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Niezgodność z zapisami dla ochrony ryb ważnych gospodarczo:</w:t>
            </w:r>
            <w:r w:rsidRPr="005E78BB">
              <w:rPr>
                <w:rFonts w:ascii="Calibri" w:eastAsia="Times New Roman" w:hAnsi="Calibri" w:cs="Calibri"/>
                <w:color w:val="000000"/>
                <w:sz w:val="18"/>
                <w:szCs w:val="18"/>
                <w:lang w:eastAsia="pl-PL"/>
              </w:rPr>
              <w:br w:type="page"/>
              <w:t xml:space="preserve">Pasłęka w Braniewie (niesprawna przepławka), </w:t>
            </w:r>
            <w:r w:rsidRPr="005E78BB">
              <w:rPr>
                <w:rFonts w:ascii="Calibri" w:eastAsia="Times New Roman" w:hAnsi="Calibri" w:cs="Calibri"/>
                <w:color w:val="000000"/>
                <w:sz w:val="18"/>
                <w:szCs w:val="18"/>
                <w:lang w:eastAsia="pl-PL"/>
              </w:rPr>
              <w:br w:type="page"/>
              <w:t>Pasłęka w Zb Pierzchały – brak działań na zaporze zbiornika,</w:t>
            </w:r>
            <w:r w:rsidRPr="005E78BB">
              <w:rPr>
                <w:rFonts w:ascii="Calibri" w:eastAsia="Times New Roman" w:hAnsi="Calibri" w:cs="Calibri"/>
                <w:color w:val="000000"/>
                <w:sz w:val="18"/>
                <w:szCs w:val="18"/>
                <w:lang w:eastAsia="pl-PL"/>
              </w:rPr>
              <w:br w:type="page"/>
              <w:t>Omulew (Dębowiec) – uznana za sprawną przepławka z ponad 1 m piętrzeniem z szandorów."</w:t>
            </w:r>
          </w:p>
        </w:tc>
        <w:tc>
          <w:tcPr>
            <w:tcW w:w="3377" w:type="dxa"/>
            <w:shd w:val="clear" w:color="auto" w:fill="auto"/>
            <w:hideMark/>
          </w:tcPr>
          <w:p w14:paraId="6C67DA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Uzupełnić działania inwestycyjne   według wymagań dla ryb (kolumny – X-AD 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67257C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41573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5FD52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2544BD4" w14:textId="401F8F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0F6AE2B2" w14:textId="77777777" w:rsidTr="00E92AE6">
        <w:trPr>
          <w:trHeight w:val="454"/>
        </w:trPr>
        <w:tc>
          <w:tcPr>
            <w:tcW w:w="562" w:type="dxa"/>
            <w:shd w:val="clear" w:color="auto" w:fill="auto"/>
            <w:hideMark/>
          </w:tcPr>
          <w:p w14:paraId="5DC6D35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597</w:t>
            </w:r>
          </w:p>
        </w:tc>
        <w:tc>
          <w:tcPr>
            <w:tcW w:w="1021" w:type="dxa"/>
          </w:tcPr>
          <w:p w14:paraId="71FADA73" w14:textId="022B319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8416DBA" w14:textId="561526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11B46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Zał. 4 do erraty nr 1 Zaktualizowany wykaz budowli dla których zaplanowane zostały działania</w:t>
            </w:r>
            <w:r w:rsidRPr="005E78BB">
              <w:rPr>
                <w:rFonts w:ascii="Calibri" w:eastAsia="Times New Roman" w:hAnsi="Calibri" w:cs="Calibri"/>
                <w:color w:val="000000"/>
                <w:sz w:val="18"/>
                <w:szCs w:val="18"/>
                <w:lang w:eastAsia="pl-PL"/>
              </w:rPr>
              <w:br/>
              <w:t>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p>
        </w:tc>
        <w:tc>
          <w:tcPr>
            <w:tcW w:w="3377" w:type="dxa"/>
            <w:shd w:val="clear" w:color="auto" w:fill="auto"/>
            <w:hideMark/>
          </w:tcPr>
          <w:p w14:paraId="3E60CC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2A15A37" w14:textId="2E29964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230EAE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5481E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ABA12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 RWHM_02.01 Analiza możliwości przebudowy budowli piętrzących w zakresie zapewniającym ciągłość biologiczną i spełnienie celów środowiskowych. Realizacja działań zgodnie z przeprowadzoną analizą.</w:t>
            </w:r>
          </w:p>
        </w:tc>
      </w:tr>
      <w:tr w:rsidR="0085319C" w:rsidRPr="005E78BB" w14:paraId="7B4C0E01" w14:textId="77777777" w:rsidTr="00E92AE6">
        <w:trPr>
          <w:trHeight w:val="454"/>
        </w:trPr>
        <w:tc>
          <w:tcPr>
            <w:tcW w:w="562" w:type="dxa"/>
            <w:shd w:val="clear" w:color="auto" w:fill="auto"/>
            <w:hideMark/>
          </w:tcPr>
          <w:p w14:paraId="12877F7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598</w:t>
            </w:r>
          </w:p>
        </w:tc>
        <w:tc>
          <w:tcPr>
            <w:tcW w:w="1021" w:type="dxa"/>
          </w:tcPr>
          <w:p w14:paraId="497DC06E" w14:textId="4E1AD9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51C36560" w14:textId="2DF3670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014FCB3" w14:textId="68C677C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502F3D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3F4F06B1" w14:textId="797A04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55C080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51743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894B0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dotyczącycych poszczególnych inwestycji przedstawionych w Zestawieniu inwestycji kierunkowych powinno się odbyć poprzez zgłoszenie i wprowadzenie zmian do PPI oraz aPZRP.</w:t>
            </w:r>
          </w:p>
        </w:tc>
      </w:tr>
      <w:tr w:rsidR="0085319C" w:rsidRPr="005E78BB" w14:paraId="7F750D6F" w14:textId="77777777" w:rsidTr="00E92AE6">
        <w:trPr>
          <w:trHeight w:val="454"/>
        </w:trPr>
        <w:tc>
          <w:tcPr>
            <w:tcW w:w="562" w:type="dxa"/>
            <w:shd w:val="clear" w:color="auto" w:fill="auto"/>
            <w:hideMark/>
          </w:tcPr>
          <w:p w14:paraId="2FC23F1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599</w:t>
            </w:r>
          </w:p>
        </w:tc>
        <w:tc>
          <w:tcPr>
            <w:tcW w:w="1021" w:type="dxa"/>
          </w:tcPr>
          <w:p w14:paraId="19940F28" w14:textId="7719ED8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669917DF" w14:textId="75E74CC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A35C338" w14:textId="1F685B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Konkretne zmiany prawne</w:t>
            </w:r>
            <w:r w:rsidRPr="005E78BB">
              <w:rPr>
                <w:rFonts w:ascii="Calibri" w:eastAsia="Times New Roman" w:hAnsi="Calibri" w:cs="Calibri"/>
                <w:color w:val="000000"/>
                <w:sz w:val="18"/>
                <w:szCs w:val="18"/>
                <w:lang w:eastAsia="pl-PL"/>
              </w:rPr>
              <w:br w:type="page"/>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ype="page"/>
              <w:t xml:space="preserve"> </w:t>
            </w:r>
            <w:r w:rsidRPr="005E78BB">
              <w:rPr>
                <w:rFonts w:ascii="Calibri" w:eastAsia="Times New Roman" w:hAnsi="Calibri" w:cs="Calibri"/>
                <w:color w:val="000000"/>
                <w:sz w:val="18"/>
                <w:szCs w:val="18"/>
                <w:lang w:eastAsia="pl-PL"/>
              </w:rPr>
              <w:br w:type="page"/>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ype="page"/>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ype="page"/>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1B8F02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586C3D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B7D8A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A399B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F1C65A9" w14:textId="7395C5F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2BFCD054" w14:textId="77777777" w:rsidTr="00E92AE6">
        <w:trPr>
          <w:trHeight w:val="454"/>
        </w:trPr>
        <w:tc>
          <w:tcPr>
            <w:tcW w:w="562" w:type="dxa"/>
            <w:shd w:val="clear" w:color="auto" w:fill="auto"/>
            <w:hideMark/>
          </w:tcPr>
          <w:p w14:paraId="4891641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600</w:t>
            </w:r>
          </w:p>
        </w:tc>
        <w:tc>
          <w:tcPr>
            <w:tcW w:w="1021" w:type="dxa"/>
          </w:tcPr>
          <w:p w14:paraId="4E6DFA30" w14:textId="38BAB1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89F1C47" w14:textId="5B6BF41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B0C9E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2E1F912F" w14:textId="2C9BC7D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0C1177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152F3C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37ED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A4DE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4FECA03D" w14:textId="77777777" w:rsidTr="00E92AE6">
        <w:trPr>
          <w:trHeight w:val="454"/>
        </w:trPr>
        <w:tc>
          <w:tcPr>
            <w:tcW w:w="562" w:type="dxa"/>
            <w:shd w:val="clear" w:color="auto" w:fill="auto"/>
            <w:hideMark/>
          </w:tcPr>
          <w:p w14:paraId="1CD0EF3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601</w:t>
            </w:r>
          </w:p>
        </w:tc>
        <w:tc>
          <w:tcPr>
            <w:tcW w:w="1021" w:type="dxa"/>
          </w:tcPr>
          <w:p w14:paraId="390EE5E5" w14:textId="6D4225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Badań i Ochrony Przyrody w Kielcach</w:t>
            </w:r>
          </w:p>
        </w:tc>
        <w:tc>
          <w:tcPr>
            <w:tcW w:w="1630" w:type="dxa"/>
            <w:shd w:val="clear" w:color="auto" w:fill="auto"/>
            <w:hideMark/>
          </w:tcPr>
          <w:p w14:paraId="29194A5D" w14:textId="695B4D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A4696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ocenie postępu działań – co 2 lata </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1198E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1C7C43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663D1D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1AB9A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F5235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607454A3" w14:textId="77777777" w:rsidTr="00CD6FBC">
        <w:trPr>
          <w:trHeight w:val="454"/>
        </w:trPr>
        <w:tc>
          <w:tcPr>
            <w:tcW w:w="562" w:type="dxa"/>
            <w:shd w:val="clear" w:color="auto" w:fill="auto"/>
            <w:hideMark/>
          </w:tcPr>
          <w:p w14:paraId="43CC32C1"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602</w:t>
            </w:r>
          </w:p>
        </w:tc>
        <w:tc>
          <w:tcPr>
            <w:tcW w:w="1021" w:type="dxa"/>
            <w:shd w:val="clear" w:color="auto" w:fill="auto"/>
          </w:tcPr>
          <w:p w14:paraId="1FE88C84" w14:textId="1D9B4CC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Klub Przyrodników</w:t>
            </w:r>
          </w:p>
        </w:tc>
        <w:tc>
          <w:tcPr>
            <w:tcW w:w="1630" w:type="dxa"/>
            <w:shd w:val="clear" w:color="auto" w:fill="auto"/>
            <w:hideMark/>
          </w:tcPr>
          <w:p w14:paraId="776EAE96" w14:textId="0C062E2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6C2C99C4" w14:textId="5FAA244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1. Zgodnie z art 14 ust. 1c Ramowej Dyrektyw Wodnej, byli Państwo zobowiązani  udostępnić projekt planu co najmniej na rok od początku okresu, którego plan dotyczy.</w:t>
            </w:r>
            <w:r w:rsidRPr="00CD6FBC">
              <w:rPr>
                <w:rFonts w:ascii="Calibri" w:eastAsia="Times New Roman" w:hAnsi="Calibri" w:cs="Calibri"/>
                <w:color w:val="000000"/>
                <w:sz w:val="18"/>
                <w:szCs w:val="18"/>
                <w:lang w:eastAsia="pl-PL"/>
              </w:rPr>
              <w:br/>
              <w:t>2. Zgodnie z art 14 ust. 2 Ramowej Dyrektyw Wodnej, są Pastwo obowiązani przeznaczyć co najmniej 6 miesięcy na składanie pisemnych uwag do projektów planów. Termin ten biegnie od nowa w przypadku ogłoszenia „erraty” do projektów planów.</w:t>
            </w:r>
            <w:r w:rsidRPr="00CD6FBC">
              <w:rPr>
                <w:rFonts w:ascii="Calibri" w:eastAsia="Times New Roman" w:hAnsi="Calibri" w:cs="Calibri"/>
                <w:color w:val="000000"/>
                <w:sz w:val="18"/>
                <w:szCs w:val="18"/>
                <w:lang w:eastAsia="pl-PL"/>
              </w:rPr>
              <w:br/>
              <w:t>3. Wątpliwości nasuwa wyznaczenie jednolitych części wód, będących podstawowymi jednostkami planistycznymi. W planach użyto zreformowanych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jednak:</w:t>
            </w:r>
            <w:r w:rsidRPr="00CD6FBC">
              <w:rPr>
                <w:rFonts w:ascii="Calibri" w:eastAsia="Times New Roman" w:hAnsi="Calibri" w:cs="Calibri"/>
                <w:color w:val="000000"/>
                <w:sz w:val="18"/>
                <w:szCs w:val="18"/>
                <w:lang w:eastAsia="pl-PL"/>
              </w:rPr>
              <w:br/>
              <w:t>- Wiele aJCW jest nadmiernie heterogenicznych, obejmując bardzo długie odcinki rzek o zróżnicowanym charakterze, w tym łącząc dłuższe odcinki naturalne i silnie przekształcone; łącząc w jednej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odcinki poddane zupełnie różnym presjom. Na tak wyznaczonym zbiorze aJWCP trudno prawidłowo zrealizować wyznaczenie SZCWP, jak również trudno prawidłowo ocenić przyczyny niezadowalającego stanu wód i zapobiegać presjom;</w:t>
            </w:r>
            <w:r w:rsidRPr="00CD6FBC">
              <w:rPr>
                <w:rFonts w:ascii="Calibri" w:eastAsia="Times New Roman" w:hAnsi="Calibri" w:cs="Calibri"/>
                <w:color w:val="000000"/>
                <w:sz w:val="18"/>
                <w:szCs w:val="18"/>
                <w:lang w:eastAsia="pl-PL"/>
              </w:rPr>
              <w:br/>
              <w:t>- Niektóre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łączą widlasto zbiegające się, równorzędne cieki, mające w danej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tylko jeden punkt wspólny w miejscu polaczenia, będącym końcem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Takie wyznaczenie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jest pozbawione sensu, bo sposób zarządzania jednym z takich cieków nie będzie miał żadnego wpływu na drugi.</w:t>
            </w:r>
            <w:r w:rsidRPr="00CD6FBC">
              <w:rPr>
                <w:rFonts w:ascii="Calibri" w:eastAsia="Times New Roman" w:hAnsi="Calibri" w:cs="Calibri"/>
                <w:color w:val="000000"/>
                <w:sz w:val="18"/>
                <w:szCs w:val="18"/>
                <w:lang w:eastAsia="pl-PL"/>
              </w:rPr>
              <w:br/>
              <w:t>4. Diagnoza stanu ekologicznego wód – jako wyprowadzania ze stanu poszczególnych elementów biologicznych wg metody One Out – All Out, może być wiarygodna tylko wtedy, gdy zbadano wszystkie elementy biologiczne, charakteryzujące ten stan. W planach należy wyraźnie odróżnić oceny spełniające ten warunek, od ocen, które go nie spełniają.</w:t>
            </w:r>
            <w:r w:rsidRPr="00CD6FBC">
              <w:rPr>
                <w:rFonts w:ascii="Calibri" w:eastAsia="Times New Roman" w:hAnsi="Calibri" w:cs="Calibri"/>
                <w:color w:val="000000"/>
                <w:sz w:val="18"/>
                <w:szCs w:val="18"/>
                <w:lang w:eastAsia="pl-PL"/>
              </w:rPr>
              <w:br/>
              <w:t>5. W projekcie planu brak, wymaganych Dyrektywą, indywidualnych uzasadnień dla wyznaczenia SCWP. Dyrektywa wymaga, by powód wyznaczenia każdej SZCW był „szczegółówo określony” w planie. Tymczasem w projektach planów podano tylko hasłowo „brak możliwości skutecznego odwrócenia zmian hydromorfologicznych, brak alternatyw dla pełnionych funkcji”, nie uzasadniając tych tez dla konkretnych przypadków.</w:t>
            </w:r>
            <w:r w:rsidRPr="00CD6FBC">
              <w:rPr>
                <w:rFonts w:ascii="Calibri" w:eastAsia="Times New Roman" w:hAnsi="Calibri" w:cs="Calibri"/>
                <w:color w:val="000000"/>
                <w:sz w:val="18"/>
                <w:szCs w:val="18"/>
                <w:lang w:eastAsia="pl-PL"/>
              </w:rPr>
              <w:br/>
              <w:t>6. Brak jest prawidłowych uzasadnień dla przyznanych odstępstw z art. 4.5 dyrektywy, wskutek czego odstępstwo to przyznano nadmiernie. Wielokrotnie przyznano odstępstwo 4.5 tam, gdzie wdrożenie działań prowadzących do osiągnięcia dobrego stanu wód było możliwe. Sam fakt, że takich działań nie wdrożono przez dwa dotychczasowe okresy planistyczne, nie może być argumentem za przyznaniem odstępstwa 4.5.</w:t>
            </w:r>
            <w:r w:rsidRPr="00CD6FBC">
              <w:rPr>
                <w:rFonts w:ascii="Calibri" w:eastAsia="Times New Roman" w:hAnsi="Calibri" w:cs="Calibri"/>
                <w:color w:val="000000"/>
                <w:sz w:val="18"/>
                <w:szCs w:val="18"/>
                <w:lang w:eastAsia="pl-PL"/>
              </w:rPr>
              <w:br/>
              <w:t>7. Nieprzekonujące uzasadnienia odstępstw z art 4.7 dyrektywy. W planach umieszczono informację o tej derogacji także dla wielu przedsięwzięć, dla których zasadność derogacji została zanegowana w dotychczasowym postępowaniu o decyzję środowiskową. Zamieszczone uzasadnienia często nieprzekonująco uzasadniają nadrzędny interes społeczny i nie rozważają narzucających się alternatyw.</w:t>
            </w:r>
            <w:r w:rsidRPr="00CD6FBC">
              <w:rPr>
                <w:rFonts w:ascii="Calibri" w:eastAsia="Times New Roman" w:hAnsi="Calibri" w:cs="Calibri"/>
                <w:color w:val="000000"/>
                <w:sz w:val="18"/>
                <w:szCs w:val="18"/>
                <w:lang w:eastAsia="pl-PL"/>
              </w:rPr>
              <w:br/>
              <w:t>8. Zaproponowany program środków nie zapewnia osiągnięcia celów wymaganych dyrektywą, w szczególności zbyt mało ambitnie podchodzi do zagadnienia renaturyzacji hydromorfologicznej cieków. Rozbieżność z potrzebami zidentyfikowanymi w Krajowym Programie Renaturyzacji Wód Powierzchniowych, a także wnioski stad wynikające, są szczegółowo udokumentowane w raporcie: http://www.ratujmyrzeki.pl/250-konsultacjeapgw</w:t>
            </w:r>
            <w:r w:rsidRPr="00CD6FBC">
              <w:rPr>
                <w:rFonts w:ascii="Calibri" w:eastAsia="Times New Roman" w:hAnsi="Calibri" w:cs="Calibri"/>
                <w:color w:val="000000"/>
                <w:sz w:val="18"/>
                <w:szCs w:val="18"/>
                <w:lang w:eastAsia="pl-PL"/>
              </w:rPr>
              <w:br/>
              <w:t xml:space="preserve">W szczególności, w przypadku niezadowalającego stanu wód, w aktualnym okresie planistycznym nie można już ograniczać programu działań do wykonania analiz, studiów i projektów. Ponieważ osiągnięcia celów środowiskowych nie można przedłużać do 2027r., wszystko co może być potrzebne do ich osiągniecia, musi być fizycznie wdrożone przed tym terminem, a nie tylko rozważone i zaprojektowane. </w:t>
            </w:r>
          </w:p>
        </w:tc>
        <w:tc>
          <w:tcPr>
            <w:tcW w:w="3377" w:type="dxa"/>
            <w:shd w:val="clear" w:color="auto" w:fill="auto"/>
            <w:hideMark/>
          </w:tcPr>
          <w:p w14:paraId="0613D5FD"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t>
            </w:r>
          </w:p>
        </w:tc>
        <w:tc>
          <w:tcPr>
            <w:tcW w:w="3401" w:type="dxa"/>
            <w:shd w:val="clear" w:color="auto" w:fill="auto"/>
            <w:hideMark/>
          </w:tcPr>
          <w:p w14:paraId="4205000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t>
            </w:r>
          </w:p>
        </w:tc>
        <w:tc>
          <w:tcPr>
            <w:tcW w:w="1918" w:type="dxa"/>
            <w:shd w:val="clear" w:color="auto" w:fill="auto"/>
            <w:hideMark/>
          </w:tcPr>
          <w:p w14:paraId="54DF2AC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602_KPrzyrodników_IIaPGW</w:t>
            </w:r>
          </w:p>
        </w:tc>
        <w:tc>
          <w:tcPr>
            <w:tcW w:w="1276" w:type="dxa"/>
            <w:shd w:val="clear" w:color="auto" w:fill="auto"/>
            <w:hideMark/>
          </w:tcPr>
          <w:p w14:paraId="10797934"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60D5ACD1" w14:textId="77C01E3A" w:rsidR="006A6D35" w:rsidRPr="006A6D35" w:rsidRDefault="0085319C" w:rsidP="006A6D35">
            <w:pPr>
              <w:ind w:firstLine="0"/>
              <w:jc w:val="left"/>
              <w:rPr>
                <w:rFonts w:ascii="Calibri" w:eastAsia="Times New Roman" w:hAnsi="Calibri" w:cs="Calibri"/>
                <w:sz w:val="18"/>
                <w:szCs w:val="18"/>
                <w:lang w:eastAsia="pl-PL"/>
              </w:rPr>
            </w:pPr>
            <w:r w:rsidRPr="00CD6FBC">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CD6FBC">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CD6FBC">
              <w:rPr>
                <w:rFonts w:ascii="Calibri" w:eastAsia="Times New Roman" w:hAnsi="Calibri" w:cs="Calibri"/>
                <w:color w:val="000000"/>
                <w:sz w:val="18"/>
                <w:szCs w:val="18"/>
                <w:lang w:eastAsia="pl-PL"/>
              </w:rPr>
              <w:br/>
              <w:t>Informacje dotyczące ww. procedur zawierają zarówno same projekty IIaPGW (rozdział 20 każdego z projektów IIaPGW), jak również Prognozy oddziaływania na środowisko (rozdział 1.2 każdej z prognoz).</w:t>
            </w:r>
            <w:r w:rsidRPr="00CD6FBC">
              <w:rPr>
                <w:rFonts w:ascii="Calibri" w:eastAsia="Times New Roman" w:hAnsi="Calibri" w:cs="Calibri"/>
                <w:color w:val="000000"/>
                <w:sz w:val="18"/>
                <w:szCs w:val="18"/>
                <w:lang w:eastAsia="pl-PL"/>
              </w:rPr>
              <w:br/>
              <w:t>W związku z charakterem projektów IIaPGW istnieje obowiązek przeprowadzenia dwóch procesów konsultacji społecznych: konsultacje społeczne projektów IIaPGW oraz konsultacje społeczne w ramach SOOŚ.</w:t>
            </w:r>
            <w:r w:rsidRPr="00CD6FBC">
              <w:rPr>
                <w:rFonts w:ascii="Calibri" w:eastAsia="Times New Roman" w:hAnsi="Calibri" w:cs="Calibri"/>
                <w:color w:val="000000"/>
                <w:sz w:val="18"/>
                <w:szCs w:val="18"/>
                <w:lang w:eastAsia="pl-PL"/>
              </w:rPr>
              <w:br/>
              <w:t>Przywołane w uwadze półroczne konsultacje społeczne projektów IIaPGW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CD6FBC">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CD6FBC">
              <w:rPr>
                <w:rFonts w:ascii="Calibri" w:eastAsia="Times New Roman" w:hAnsi="Calibri" w:cs="Calibri"/>
                <w:color w:val="000000"/>
                <w:sz w:val="18"/>
                <w:szCs w:val="18"/>
                <w:lang w:eastAsia="pl-PL"/>
              </w:rPr>
              <w:br/>
              <w:t>W związku z przygotowaniem i przeprowadzeniem konsultacji społecznych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CD6FBC">
              <w:rPr>
                <w:rFonts w:ascii="Calibri" w:eastAsia="Times New Roman" w:hAnsi="Calibri" w:cs="Calibri"/>
                <w:color w:val="000000"/>
                <w:sz w:val="18"/>
                <w:szCs w:val="18"/>
                <w:lang w:eastAsia="pl-PL"/>
              </w:rPr>
              <w:br/>
              <w:t>Jednocześnie zwracamy uwagę, iż zainteresowane strony miały możliwość zapoznania się 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CD6FBC">
              <w:rPr>
                <w:rFonts w:ascii="Calibri" w:eastAsia="Times New Roman" w:hAnsi="Calibri" w:cs="Calibri"/>
                <w:color w:val="000000"/>
                <w:sz w:val="18"/>
                <w:szCs w:val="18"/>
                <w:lang w:eastAsia="pl-PL"/>
              </w:rPr>
              <w:br/>
              <w:t>Tym samym zachowane zostały terminy wymagane przepisami prawa oraz umożliwiające w rzetelny sposób zapoznanie się z projektami IIaPGW oraz ich prognozami oddziaływania na środowisko i zgłoszenie uwag w ramach obu wymienionych powyżej procedur.</w:t>
            </w:r>
            <w:r w:rsidRPr="00CD6FBC">
              <w:rPr>
                <w:rFonts w:ascii="Calibri" w:eastAsia="Times New Roman" w:hAnsi="Calibri" w:cs="Calibri"/>
                <w:color w:val="000000"/>
                <w:sz w:val="18"/>
                <w:szCs w:val="18"/>
                <w:lang w:eastAsia="pl-PL"/>
              </w:rPr>
              <w:br/>
              <w:t xml:space="preserve">Co do wskazanych w uwadze wątpliwości dotyczących wyznaczenia jednolitych części wód, będących podstawowymi jednostkami planistycznymi. 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 Projekty IIaPGW zawierają informacje wymagane w tym zakresie wskazując dokonane zmiany w okresie obowiązywania poprzedniego planu tj. aPGW. Zgłoszona uwaga dotyczy materiału źródłowego do projektów IIaPGW, które dostępne są dla społeczeństwa w ramach udostępnienia informacji o środowisku - w tym metodyki realizacji przywołanych prac.</w:t>
            </w:r>
            <w:r w:rsidRPr="00CD6FBC">
              <w:rPr>
                <w:rFonts w:ascii="Calibri" w:eastAsia="Times New Roman" w:hAnsi="Calibri" w:cs="Calibri"/>
                <w:color w:val="000000"/>
                <w:sz w:val="18"/>
                <w:szCs w:val="18"/>
                <w:lang w:eastAsia="pl-PL"/>
              </w:rPr>
              <w:br/>
              <w:t>Odnosząc się do uwagi w zakresie diagnozy stanu ekologicznego wód, wskazać należy, iż IIaPGW bazuje na wynikach PMŚ wg danych 2014-2019, w tym ocenie stanu GIOŚ 2014-2019. Zgodnie z informacjami przedstawionymi w rozdziale 5 IIaPGW w związku z dokonywanymi zmianami w zakresie klasyfikacji stanu/potencjału ekologicznego oraz stanu chemicznego i oceny stanu od 2022 roku, a więc okresu obowiązywania IIaPGW, dane i informacje prezentowane w IIaPGW zostały przeniesione na nowy układ planistyczny wraz z uwzględnieniem zmian klasyfikacji dla zapewnienia możliwości wskazania prawidłowego punktu odniesienia dla rozpoczynającego się nowego cyklu planistycznego.</w:t>
            </w:r>
            <w:r w:rsidRPr="00CD6FBC">
              <w:rPr>
                <w:rFonts w:ascii="Calibri" w:eastAsia="Times New Roman" w:hAnsi="Calibri" w:cs="Calibri"/>
                <w:color w:val="000000"/>
                <w:sz w:val="18"/>
                <w:szCs w:val="18"/>
                <w:lang w:eastAsia="pl-PL"/>
              </w:rPr>
              <w:br/>
              <w:t>Odnosząc się do uwagi w zakresie uzasadnień wyznaczenia SCW</w:t>
            </w:r>
            <w:r w:rsidR="006A6D35" w:rsidRPr="00CD6FBC">
              <w:rPr>
                <w:rFonts w:ascii="Calibri" w:eastAsia="Times New Roman" w:hAnsi="Calibri" w:cs="Calibri"/>
                <w:color w:val="000000"/>
                <w:sz w:val="18"/>
                <w:szCs w:val="18"/>
                <w:lang w:eastAsia="pl-PL"/>
              </w:rPr>
              <w:t xml:space="preserve"> i SZCW</w:t>
            </w:r>
            <w:r w:rsidRPr="00CD6FBC">
              <w:rPr>
                <w:rFonts w:ascii="Calibri" w:eastAsia="Times New Roman" w:hAnsi="Calibri" w:cs="Calibri"/>
                <w:color w:val="000000"/>
                <w:sz w:val="18"/>
                <w:szCs w:val="18"/>
                <w:lang w:eastAsia="pl-PL"/>
              </w:rPr>
              <w:t xml:space="preserve">. 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przygotowane zostały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6A6D35" w:rsidRPr="006A6D35">
              <w:rPr>
                <w:rFonts w:ascii="Calibri" w:eastAsia="Times New Roman" w:hAnsi="Calibri" w:cs="Calibri"/>
                <w:color w:val="000000"/>
                <w:sz w:val="18"/>
                <w:szCs w:val="18"/>
                <w:lang w:eastAsia="pl-PL"/>
              </w:rPr>
              <w:t xml:space="preserve">Wartości graniczne SCW i SZCW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Szczegóły metodyczne pracy dot. przeglądu i weryfikacji metodyk wyznaczania silnie zmienionych (SZCW) i sztucznych (SCW) części wód wraz ze wstępnym i ostatecznym ich wyznaczeniem stanowią element materiałów źródłowych do IIaPGW dostępnych w ramach udostępniania informacji o środowisku.</w:t>
            </w:r>
            <w:r w:rsidR="006A6D35" w:rsidRPr="00CD6FBC">
              <w:rPr>
                <w:rFonts w:ascii="Calibri" w:eastAsia="Times New Roman" w:hAnsi="Calibri" w:cs="Calibri"/>
                <w:color w:val="000000"/>
                <w:sz w:val="18"/>
                <w:szCs w:val="18"/>
                <w:lang w:eastAsia="pl-PL"/>
              </w:rPr>
              <w:t xml:space="preserve"> </w:t>
            </w:r>
            <w:r w:rsidR="006A6D35" w:rsidRPr="006A6D35">
              <w:rPr>
                <w:rFonts w:ascii="Calibri" w:eastAsia="Times New Roman" w:hAnsi="Calibri" w:cs="Calibri"/>
                <w:sz w:val="18"/>
                <w:szCs w:val="18"/>
                <w:lang w:eastAsia="pl-PL"/>
              </w:rPr>
              <w:t>W przypadku wartości granicznych dot. wskaźników fizykochemicznych zastosowano dwa rodzaje podejścia:</w:t>
            </w:r>
          </w:p>
          <w:p w14:paraId="0053C511" w14:textId="67B23062" w:rsidR="006A6D35" w:rsidRPr="006A6D35" w:rsidRDefault="006A6D35" w:rsidP="006A6D35">
            <w:pPr>
              <w:pStyle w:val="Akapitzlist"/>
              <w:numPr>
                <w:ilvl w:val="0"/>
                <w:numId w:val="1"/>
              </w:numPr>
              <w:ind w:left="354" w:hanging="283"/>
              <w:jc w:val="left"/>
              <w:rPr>
                <w:rFonts w:eastAsia="Times New Roman" w:cstheme="minorHAnsi"/>
                <w:sz w:val="18"/>
                <w:szCs w:val="18"/>
                <w:lang w:eastAsia="pl-PL"/>
              </w:rPr>
            </w:pPr>
            <w:r w:rsidRPr="006A6D35">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6A6D35">
              <w:rPr>
                <w:rFonts w:cstheme="minorHAnsi"/>
                <w:sz w:val="18"/>
                <w:szCs w:val="18"/>
                <w:shd w:val="clear" w:color="auto" w:fill="FFFFFF"/>
              </w:rPr>
              <w:t xml:space="preserve"> RW określonego typu”</w:t>
            </w:r>
          </w:p>
          <w:p w14:paraId="1F2B6FFF" w14:textId="4AC1FC05" w:rsidR="0085319C" w:rsidRPr="00CD6FBC" w:rsidRDefault="006A6D35" w:rsidP="006A6D35">
            <w:pPr>
              <w:pStyle w:val="Akapitzlist"/>
              <w:numPr>
                <w:ilvl w:val="0"/>
                <w:numId w:val="1"/>
              </w:numPr>
              <w:ind w:left="354" w:hanging="283"/>
              <w:jc w:val="left"/>
              <w:rPr>
                <w:rFonts w:ascii="Calibri" w:eastAsia="Times New Roman" w:hAnsi="Calibri" w:cs="Calibri"/>
                <w:sz w:val="18"/>
                <w:szCs w:val="18"/>
                <w:lang w:eastAsia="pl-PL"/>
              </w:rPr>
            </w:pPr>
            <w:r w:rsidRPr="006A6D35">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6A6D35">
              <w:rPr>
                <w:rFonts w:eastAsia="Times New Roman" w:cstheme="minorHAnsi"/>
                <w:sz w:val="18"/>
                <w:szCs w:val="18"/>
                <w:lang w:eastAsia="pl-PL"/>
              </w:rPr>
              <w:t xml:space="preserve"> RW</w:t>
            </w:r>
            <w:r w:rsidRPr="006A6D35">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r w:rsidR="0085319C" w:rsidRPr="00CD6FBC">
              <w:rPr>
                <w:rFonts w:ascii="Calibri" w:eastAsia="Times New Roman" w:hAnsi="Calibri" w:cs="Calibri"/>
                <w:color w:val="000000"/>
                <w:sz w:val="18"/>
                <w:szCs w:val="18"/>
                <w:lang w:eastAsia="pl-PL"/>
              </w:rPr>
              <w:br/>
              <w:t>Odnosząc się do uwagi w zakresie uzasadnień odstępstw z art. 4 ust. 5 RDW, wskazać należy, iż IIaPGW przedstawia szczegółowe (wskaźnikowe) uzasadnienia odstępstw od celów środowiskowych.</w:t>
            </w:r>
            <w:r w:rsidR="0085319C" w:rsidRPr="00CD6FBC">
              <w:rPr>
                <w:rFonts w:ascii="Calibri" w:eastAsia="Times New Roman" w:hAnsi="Calibri" w:cs="Calibri"/>
                <w:color w:val="000000"/>
                <w:sz w:val="18"/>
                <w:szCs w:val="18"/>
                <w:lang w:eastAsia="pl-PL"/>
              </w:rPr>
              <w:br/>
              <w:t xml:space="preserve">Odstępstwem od celów środowiskowych RDW jest sytuacja, w której cel środowiskowy nie został osiągnięty; taka sytuacja wymaga odpowiedniego uzasadnienia i wyjaśnienia oraz podjęcia adekwatnej reakcji (podjęcia działań naprawczych). 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Kryteria wykonalności technicznej i racjonalności kosztów są przedmiotem szerokich analiz związanych z opracowywaniem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 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0085319C" w:rsidRPr="00CD6FBC">
              <w:rPr>
                <w:rFonts w:ascii="Calibri" w:eastAsia="Times New Roman" w:hAnsi="Calibri" w:cs="Calibri"/>
                <w:color w:val="000000"/>
                <w:sz w:val="18"/>
                <w:szCs w:val="18"/>
                <w:lang w:eastAsia="pl-PL"/>
              </w:rPr>
              <w:br/>
              <w:t xml:space="preserve">Odnosząc się do uwagi w zakresie odstępstw z art. 4 ust. 7 RDW wskazać należy, iż zgodnie z rolą Wykazu Inwestycji i Działań w zakresie przygotowania przedsięwzięć w nim uwzględnionych (funkcja sprawozdawcza Wykazu o wydanych w przeszłości zgodach administracyjnych na realizację przedsięwzięć w nim uwzględnionych, nie mająca na celu potwierdzenia negatywnego oddziaływania poszczególnych przedsięwzięć) stanowi on wyłącznie zestawienie przedsięwzięć, które w przeszłości były objęte (gdy było to wymagane) SOOŚ oraz postępowaniami w sprawie oceny oddziaływania planowanego przedsięwzięcia na środowisko przed wydaniem przez właściwy organ decyzji o środowiskowych uwarunkowaniach lub innej. W Wykazie Inwestycji i Działań mogą być ujęte (i zostały ujęte) wyłącznie takie planowane działania i przedsięwzięcia co do których już potwierdzono (w aPGW z 2016 r. lub w formie decyzji o środowiskowych uwarunkowaniach/oceny wodnoprawnej), że mogą one spowodować zagrożenie dla celów środowiskowych oraz potwierdzono dopuszczalność tego zagrożenia w formie przypisania odstępstwa w trybie art. 4 ust. 7 Ramowej Dyrektywy Wodnej w formie wpisu do aPGW z 2016 r. lub/oraz wydania decyzji (oceny wodnoprawnej lub decyzji o środowiskowych uwarunkowaniach) z zastosowaniem art. 68 ustawy Prawo wodne. 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r w:rsidR="0085319C" w:rsidRPr="00CD6FBC">
              <w:rPr>
                <w:rFonts w:ascii="Calibri" w:eastAsia="Times New Roman" w:hAnsi="Calibri" w:cs="Calibri"/>
                <w:color w:val="000000"/>
                <w:sz w:val="18"/>
                <w:szCs w:val="18"/>
                <w:lang w:eastAsia="pl-PL"/>
              </w:rPr>
              <w:br/>
              <w:t xml:space="preserve">W odniesieniu do uwagi w zakresie zagadnień renaturyzacji hydromorfologicznej wskazać należy, iż na potrzeby IIaPGW uwzględniono najnowsze dane opracowane w ramach Analizy znaczących oddziaływań antropogenicznych wraz z oceną ich wpływu na stan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 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 KPRWP (będący punktem wyjścia dla budowy działań z zakresu poprawy stanu hydromorfologicznego) wskazywał działania potencjalne bez uwzględnienia powiązań z wodami podziemnymi, których zły stan ilościowy (presje związane np. z poborem wód i odwodnieniem) zasadniczo weryfikuje możliwość wdrożenia działań renaturyzacyjnych wskazanych w KPRWP. 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Uwzględnienia działań dla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d oraz zestawów działań aPGW wynikających z PO/PZO/ZO w celu eliminacji działań powtarzających się.</w:t>
            </w:r>
            <w:r w:rsidR="0085319C" w:rsidRPr="00CD6FBC">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 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 Nazwa działania: Ocena wpływu budowli poprzecznych na ciągłość biologiczną i cele środowiskowe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Opis działania: Ocena wpływu budowli poprzecznych na ciągłość biologiczną i cele środowiskowe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 Zastosowanie: 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0085319C" w:rsidRPr="00CD6FBC">
              <w:rPr>
                <w:rFonts w:ascii="Calibri" w:eastAsia="Times New Roman" w:hAnsi="Calibri" w:cs="Calibri"/>
                <w:color w:val="000000"/>
                <w:sz w:val="18"/>
                <w:szCs w:val="18"/>
                <w:lang w:eastAsia="pl-PL"/>
              </w:rPr>
              <w:br/>
              <w:t xml:space="preserve">Jednocześnie zmiany dokonano również w zakresie działania RWHM_02.08, które obecnie zawiera następujące zapisy: Nazwa działania: Monitoring skuteczności istniejących urządzeń do migracji ryb. 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0085319C" w:rsidRPr="00CD6FBC">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5B860EA8" w14:textId="77777777" w:rsidTr="00E92AE6">
        <w:trPr>
          <w:trHeight w:val="454"/>
        </w:trPr>
        <w:tc>
          <w:tcPr>
            <w:tcW w:w="562" w:type="dxa"/>
            <w:shd w:val="clear" w:color="auto" w:fill="auto"/>
            <w:hideMark/>
          </w:tcPr>
          <w:p w14:paraId="69DFEA9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603</w:t>
            </w:r>
          </w:p>
        </w:tc>
        <w:tc>
          <w:tcPr>
            <w:tcW w:w="1021" w:type="dxa"/>
          </w:tcPr>
          <w:p w14:paraId="7A379BF5" w14:textId="69DC7FE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EB274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F39083D" w14:textId="5FAC00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Ogólna uwaga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Odry,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Odry, np. cele środowiskowe osiągnęło tylko 0,08%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ype="page"/>
              <w:t xml:space="preserve">W kolejnych uwagach przedstawiono szczegółowe odniesienia do ww. obszarów problemowych. </w:t>
            </w:r>
          </w:p>
        </w:tc>
        <w:tc>
          <w:tcPr>
            <w:tcW w:w="3377" w:type="dxa"/>
            <w:shd w:val="clear" w:color="auto" w:fill="auto"/>
            <w:hideMark/>
          </w:tcPr>
          <w:p w14:paraId="39FDE5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w:t>
            </w:r>
          </w:p>
        </w:tc>
        <w:tc>
          <w:tcPr>
            <w:tcW w:w="3401" w:type="dxa"/>
            <w:shd w:val="clear" w:color="auto" w:fill="auto"/>
            <w:hideMark/>
          </w:tcPr>
          <w:p w14:paraId="5C5940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670F3D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BC88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1C131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5E52595F" w14:textId="77777777" w:rsidTr="00E92AE6">
        <w:trPr>
          <w:trHeight w:val="454"/>
        </w:trPr>
        <w:tc>
          <w:tcPr>
            <w:tcW w:w="562" w:type="dxa"/>
            <w:shd w:val="clear" w:color="auto" w:fill="auto"/>
            <w:hideMark/>
          </w:tcPr>
          <w:p w14:paraId="40ED3D2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604</w:t>
            </w:r>
          </w:p>
        </w:tc>
        <w:tc>
          <w:tcPr>
            <w:tcW w:w="1021" w:type="dxa"/>
          </w:tcPr>
          <w:p w14:paraId="024C94B3" w14:textId="4B246B9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6C3E21D6" w14:textId="7E71EC6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6A50B5A" w14:textId="645DDD1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24B131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3CD2F8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0480F6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27CCE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14CE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417B396F" w14:textId="77777777" w:rsidTr="00E92AE6">
        <w:trPr>
          <w:trHeight w:val="454"/>
        </w:trPr>
        <w:tc>
          <w:tcPr>
            <w:tcW w:w="562" w:type="dxa"/>
            <w:shd w:val="clear" w:color="auto" w:fill="auto"/>
            <w:hideMark/>
          </w:tcPr>
          <w:p w14:paraId="183B691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605</w:t>
            </w:r>
          </w:p>
        </w:tc>
        <w:tc>
          <w:tcPr>
            <w:tcW w:w="1021" w:type="dxa"/>
          </w:tcPr>
          <w:p w14:paraId="18B8B491" w14:textId="4F400DB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28A2DFD2" w14:textId="302D3D9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B713E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chaos</w:t>
            </w:r>
            <w:r w:rsidRPr="005E78BB">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26EEC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4464982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622D1F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1A7E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644A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4C152A8B" w14:textId="77777777" w:rsidTr="00E92AE6">
        <w:trPr>
          <w:trHeight w:val="454"/>
        </w:trPr>
        <w:tc>
          <w:tcPr>
            <w:tcW w:w="562" w:type="dxa"/>
            <w:shd w:val="clear" w:color="auto" w:fill="auto"/>
            <w:hideMark/>
          </w:tcPr>
          <w:p w14:paraId="2F5732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606</w:t>
            </w:r>
          </w:p>
        </w:tc>
        <w:tc>
          <w:tcPr>
            <w:tcW w:w="1021" w:type="dxa"/>
          </w:tcPr>
          <w:p w14:paraId="2824CD90" w14:textId="675B167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339930FE" w14:textId="23DE18B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6F954DF" w14:textId="7EF1B1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geobaza</w:t>
            </w:r>
            <w:r w:rsidRPr="005E78BB">
              <w:rPr>
                <w:rFonts w:ascii="Calibri" w:eastAsia="Times New Roman" w:hAnsi="Calibri" w:cs="Calibri"/>
                <w:color w:val="000000"/>
                <w:sz w:val="18"/>
                <w:szCs w:val="18"/>
                <w:lang w:eastAsia="pl-PL"/>
              </w:rPr>
              <w:br w:type="page"/>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7639A542" w14:textId="1908B2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1C85C24D" w14:textId="1A84134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Działanie Wód Polskich w tym zakresie jest sprzeczne z: </w:t>
            </w:r>
            <w:r w:rsidRPr="005E78BB">
              <w:rPr>
                <w:rFonts w:ascii="Calibri" w:eastAsia="Times New Roman" w:hAnsi="Calibri" w:cs="Calibri"/>
                <w:color w:val="000000"/>
                <w:sz w:val="18"/>
                <w:szCs w:val="18"/>
                <w:lang w:eastAsia="pl-PL"/>
              </w:rPr>
              <w:br w:type="page"/>
              <w:t xml:space="preserve">art. 14 RDW – </w:t>
            </w:r>
            <w:r w:rsidRPr="005E78BB">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527BB80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5087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F67CC4A" w14:textId="05C5930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064670DC" w14:textId="77777777" w:rsidTr="00E92AE6">
        <w:trPr>
          <w:trHeight w:val="454"/>
        </w:trPr>
        <w:tc>
          <w:tcPr>
            <w:tcW w:w="562" w:type="dxa"/>
            <w:shd w:val="clear" w:color="auto" w:fill="auto"/>
            <w:hideMark/>
          </w:tcPr>
          <w:p w14:paraId="630DF37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607</w:t>
            </w:r>
          </w:p>
        </w:tc>
        <w:tc>
          <w:tcPr>
            <w:tcW w:w="1021" w:type="dxa"/>
          </w:tcPr>
          <w:p w14:paraId="318095E2" w14:textId="2C79F68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7BED1DCD" w14:textId="6255AB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29D45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768B74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5F0356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1E17BB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F702D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89B0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Wszystkie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08D6AAC1" w14:textId="77777777" w:rsidTr="00E92AE6">
        <w:trPr>
          <w:trHeight w:val="454"/>
        </w:trPr>
        <w:tc>
          <w:tcPr>
            <w:tcW w:w="562" w:type="dxa"/>
            <w:shd w:val="clear" w:color="auto" w:fill="auto"/>
            <w:hideMark/>
          </w:tcPr>
          <w:p w14:paraId="5764496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608</w:t>
            </w:r>
          </w:p>
        </w:tc>
        <w:tc>
          <w:tcPr>
            <w:tcW w:w="1021" w:type="dxa"/>
          </w:tcPr>
          <w:p w14:paraId="606201A2" w14:textId="5DF25E7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58315833" w14:textId="14581FD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81183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formularz</w:t>
            </w:r>
            <w:r w:rsidRPr="005E78BB">
              <w:rPr>
                <w:rFonts w:ascii="Calibri" w:eastAsia="Times New Roman" w:hAnsi="Calibri" w:cs="Calibri"/>
                <w:color w:val="000000"/>
                <w:sz w:val="18"/>
                <w:szCs w:val="18"/>
                <w:lang w:eastAsia="pl-PL"/>
              </w:rPr>
              <w:b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3377" w:type="dxa"/>
            <w:shd w:val="clear" w:color="auto" w:fill="auto"/>
            <w:hideMark/>
          </w:tcPr>
          <w:p w14:paraId="52FF0E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1DD8C0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1F6F90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5F473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DF130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zróżnicowane kanały komunikacji dostępne dla zainteresowanych. Nie stosowano dodatkowych ograniczeń co do formy przedkładanych uwag.</w:t>
            </w:r>
          </w:p>
        </w:tc>
      </w:tr>
      <w:tr w:rsidR="0085319C" w:rsidRPr="005E78BB" w14:paraId="7EA5C285" w14:textId="77777777" w:rsidTr="00E92AE6">
        <w:trPr>
          <w:trHeight w:val="454"/>
        </w:trPr>
        <w:tc>
          <w:tcPr>
            <w:tcW w:w="562" w:type="dxa"/>
            <w:shd w:val="clear" w:color="auto" w:fill="auto"/>
            <w:hideMark/>
          </w:tcPr>
          <w:p w14:paraId="2E616B1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609</w:t>
            </w:r>
          </w:p>
        </w:tc>
        <w:tc>
          <w:tcPr>
            <w:tcW w:w="1021" w:type="dxa"/>
          </w:tcPr>
          <w:p w14:paraId="41DB8806" w14:textId="361F16D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1CEE2F8D" w14:textId="3E75339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8A2E5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1C4393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678B63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96453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DE64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6CE2D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7F95883B" w14:textId="77777777" w:rsidTr="00E92AE6">
        <w:trPr>
          <w:trHeight w:val="454"/>
        </w:trPr>
        <w:tc>
          <w:tcPr>
            <w:tcW w:w="562" w:type="dxa"/>
            <w:shd w:val="clear" w:color="auto" w:fill="auto"/>
            <w:hideMark/>
          </w:tcPr>
          <w:p w14:paraId="3824545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610</w:t>
            </w:r>
          </w:p>
        </w:tc>
        <w:tc>
          <w:tcPr>
            <w:tcW w:w="1021" w:type="dxa"/>
          </w:tcPr>
          <w:p w14:paraId="3818F318" w14:textId="61BCB3A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7FD84973" w14:textId="3FBA5C6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786BB70" w14:textId="5FEA3D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ype="page"/>
              <w:t>Rozdz. 3</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76D1787F" w14:textId="19C333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5D08A4E8" w14:textId="1F66947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2FAB536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AAAE7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8071AA" w14:textId="4050D6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6A6D35" w14:paraId="2B75CA6C" w14:textId="77777777" w:rsidTr="006A6D35">
        <w:trPr>
          <w:trHeight w:val="454"/>
        </w:trPr>
        <w:tc>
          <w:tcPr>
            <w:tcW w:w="562" w:type="dxa"/>
            <w:shd w:val="clear" w:color="auto" w:fill="auto"/>
            <w:hideMark/>
          </w:tcPr>
          <w:p w14:paraId="26983AD8"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611</w:t>
            </w:r>
          </w:p>
        </w:tc>
        <w:tc>
          <w:tcPr>
            <w:tcW w:w="1021" w:type="dxa"/>
            <w:shd w:val="clear" w:color="auto" w:fill="auto"/>
          </w:tcPr>
          <w:p w14:paraId="2680E38D" w14:textId="1F454E03"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Stowarzyszenie Ekologiczne EKO-UNIA</w:t>
            </w:r>
          </w:p>
        </w:tc>
        <w:tc>
          <w:tcPr>
            <w:tcW w:w="1630" w:type="dxa"/>
            <w:shd w:val="clear" w:color="auto" w:fill="auto"/>
            <w:hideMark/>
          </w:tcPr>
          <w:p w14:paraId="225F41BA" w14:textId="48631EE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3B692EB3" w14:textId="3B1B571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br/>
              <w:t>RWr Zbiornikowe</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 xml:space="preserve">Zał. 3.1. oraz 8.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w:t>
            </w:r>
          </w:p>
        </w:tc>
        <w:tc>
          <w:tcPr>
            <w:tcW w:w="3377" w:type="dxa"/>
            <w:shd w:val="clear" w:color="auto" w:fill="auto"/>
            <w:hideMark/>
          </w:tcPr>
          <w:p w14:paraId="4D31505C" w14:textId="1622AD9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r w:rsidRPr="00CD6FBC">
              <w:rPr>
                <w:rFonts w:ascii="Calibri" w:eastAsia="Times New Roman" w:hAnsi="Calibri" w:cs="Calibri"/>
                <w:color w:val="000000"/>
                <w:sz w:val="18"/>
                <w:szCs w:val="18"/>
                <w:lang w:eastAsia="pl-PL"/>
              </w:rPr>
              <w:br/>
              <w:t>"</w:t>
            </w:r>
          </w:p>
        </w:tc>
        <w:tc>
          <w:tcPr>
            <w:tcW w:w="3401" w:type="dxa"/>
            <w:shd w:val="clear" w:color="auto" w:fill="auto"/>
            <w:hideMark/>
          </w:tcPr>
          <w:p w14:paraId="77E4B043" w14:textId="58F46EB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Takie podejście nie może być usprawiedliwieniem dla znaczących negatywnych zmian w cennych siedliskach związanych z cofkami niektórych zbiorników wodnych. "</w:t>
            </w:r>
          </w:p>
        </w:tc>
        <w:tc>
          <w:tcPr>
            <w:tcW w:w="1918" w:type="dxa"/>
            <w:shd w:val="clear" w:color="auto" w:fill="auto"/>
            <w:hideMark/>
          </w:tcPr>
          <w:p w14:paraId="1B4AE83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23BA3801"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A034B8A" w14:textId="6BCCE036" w:rsidR="0085319C" w:rsidRPr="006A6D35" w:rsidRDefault="0085319C" w:rsidP="00CD6FBC">
            <w:pPr>
              <w:ind w:firstLine="0"/>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6A6D35" w:rsidRPr="006A6D35">
              <w:rPr>
                <w:rFonts w:ascii="Calibri" w:eastAsia="Times New Roman" w:hAnsi="Calibri" w:cs="Calibri"/>
                <w:color w:val="000000"/>
                <w:sz w:val="18"/>
                <w:szCs w:val="18"/>
                <w:lang w:eastAsia="pl-PL"/>
              </w:rPr>
              <w:t xml:space="preserve">Wartości graniczne SCW i SZCW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72488327" w14:textId="77777777" w:rsidTr="00CD6FBC">
        <w:trPr>
          <w:trHeight w:val="454"/>
        </w:trPr>
        <w:tc>
          <w:tcPr>
            <w:tcW w:w="562" w:type="dxa"/>
            <w:shd w:val="clear" w:color="auto" w:fill="auto"/>
            <w:hideMark/>
          </w:tcPr>
          <w:p w14:paraId="60E34A2E"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612</w:t>
            </w:r>
          </w:p>
        </w:tc>
        <w:tc>
          <w:tcPr>
            <w:tcW w:w="1021" w:type="dxa"/>
            <w:shd w:val="clear" w:color="auto" w:fill="auto"/>
          </w:tcPr>
          <w:p w14:paraId="4058EE29" w14:textId="40CE86FB"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Stowarzyszenie Ekologiczne EKO-UNIA</w:t>
            </w:r>
          </w:p>
        </w:tc>
        <w:tc>
          <w:tcPr>
            <w:tcW w:w="1630" w:type="dxa"/>
            <w:shd w:val="clear" w:color="auto" w:fill="auto"/>
            <w:hideMark/>
          </w:tcPr>
          <w:p w14:paraId="75DE0FCA" w14:textId="5F65FEC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6310A1F4" w14:textId="104D5BE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Rozdz. 3.1.SZCW</w:t>
            </w:r>
            <w:r w:rsidRPr="00CD6FBC">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Zgodnie z dokumentem  </w:t>
            </w:r>
            <w:r w:rsidRPr="00CD6FBC">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Zalecenie z 2012 r.: </w:t>
            </w:r>
            <w:r w:rsidRPr="00CD6FBC">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Jeśli zaś, zachodzi niepewność, co do możliwości wyznaczenia SZCW, wyznaczenie takie było nieuprawnione. "</w:t>
            </w:r>
          </w:p>
        </w:tc>
        <w:tc>
          <w:tcPr>
            <w:tcW w:w="3377" w:type="dxa"/>
            <w:shd w:val="clear" w:color="auto" w:fill="auto"/>
            <w:hideMark/>
          </w:tcPr>
          <w:p w14:paraId="10220B4C" w14:textId="7193CF64"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401" w:type="dxa"/>
            <w:shd w:val="clear" w:color="auto" w:fill="auto"/>
            <w:hideMark/>
          </w:tcPr>
          <w:p w14:paraId="05182D8B"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0B97D33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A8D99E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0556E980" w14:textId="59D3834E" w:rsidR="0085319C" w:rsidRPr="005E78BB" w:rsidRDefault="0085319C" w:rsidP="00CD6FBC">
            <w:pPr>
              <w:ind w:firstLine="0"/>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6A6D35" w:rsidRPr="006A6D35">
              <w:rPr>
                <w:rFonts w:ascii="Calibri" w:eastAsia="Times New Roman" w:hAnsi="Calibri" w:cs="Calibri"/>
                <w:color w:val="000000"/>
                <w:sz w:val="18"/>
                <w:szCs w:val="18"/>
                <w:lang w:eastAsia="pl-PL"/>
              </w:rPr>
              <w:t xml:space="preserve">Wartości graniczne SCW i SZCW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3816FFBB" w14:textId="77777777" w:rsidTr="00E92AE6">
        <w:trPr>
          <w:trHeight w:val="454"/>
        </w:trPr>
        <w:tc>
          <w:tcPr>
            <w:tcW w:w="562" w:type="dxa"/>
            <w:shd w:val="clear" w:color="auto" w:fill="auto"/>
            <w:hideMark/>
          </w:tcPr>
          <w:p w14:paraId="62DC5D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613</w:t>
            </w:r>
          </w:p>
        </w:tc>
        <w:tc>
          <w:tcPr>
            <w:tcW w:w="1021" w:type="dxa"/>
          </w:tcPr>
          <w:p w14:paraId="7F83420A" w14:textId="4E1D265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0AE81404" w14:textId="78E4DC1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45498E0" w14:textId="226BBC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type="page"/>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3C797E6D" w14:textId="2895096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1BF3E627" w14:textId="20D3A537" w:rsidR="0085319C" w:rsidRPr="005E78BB" w:rsidRDefault="0085319C" w:rsidP="0085319C">
            <w:pPr>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76D135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30790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4309D7F" w14:textId="2AEC66E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44144814" w14:textId="77777777" w:rsidTr="00E92AE6">
        <w:trPr>
          <w:trHeight w:val="454"/>
        </w:trPr>
        <w:tc>
          <w:tcPr>
            <w:tcW w:w="562" w:type="dxa"/>
            <w:shd w:val="clear" w:color="auto" w:fill="auto"/>
            <w:hideMark/>
          </w:tcPr>
          <w:p w14:paraId="655D86A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614</w:t>
            </w:r>
          </w:p>
        </w:tc>
        <w:tc>
          <w:tcPr>
            <w:tcW w:w="1021" w:type="dxa"/>
          </w:tcPr>
          <w:p w14:paraId="57F1B10F" w14:textId="4F55E68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BD3EAA6" w14:textId="4A5FF10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BDDC404" w14:textId="167FC05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w:t>
            </w:r>
            <w:r w:rsidRPr="005E78BB">
              <w:rPr>
                <w:rFonts w:ascii="Calibri" w:eastAsia="Times New Roman" w:hAnsi="Calibri" w:cs="Calibri"/>
                <w:color w:val="000000"/>
                <w:sz w:val="18"/>
                <w:szCs w:val="18"/>
                <w:lang w:eastAsia="pl-PL"/>
              </w:rPr>
              <w:br/>
              <w:t>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25B57B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3E510572" w14:textId="5E542D2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454AB5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E2621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7E5C06F" w14:textId="2AC6F33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0F5923F2" w14:textId="77777777" w:rsidTr="00E92AE6">
        <w:trPr>
          <w:trHeight w:val="454"/>
        </w:trPr>
        <w:tc>
          <w:tcPr>
            <w:tcW w:w="562" w:type="dxa"/>
            <w:shd w:val="clear" w:color="auto" w:fill="auto"/>
            <w:hideMark/>
          </w:tcPr>
          <w:p w14:paraId="591DF48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615</w:t>
            </w:r>
          </w:p>
        </w:tc>
        <w:tc>
          <w:tcPr>
            <w:tcW w:w="1021" w:type="dxa"/>
          </w:tcPr>
          <w:p w14:paraId="3C10B025" w14:textId="2D797E9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7123DC70" w14:textId="0AC66E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7CCB724" w14:textId="422FB5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w:t>
            </w:r>
            <w:r w:rsidRPr="005E78BB">
              <w:rPr>
                <w:rFonts w:ascii="Calibri" w:eastAsia="Times New Roman" w:hAnsi="Calibri" w:cs="Calibri"/>
                <w:color w:val="000000"/>
                <w:sz w:val="18"/>
                <w:szCs w:val="18"/>
                <w:lang w:eastAsia="pl-PL"/>
              </w:rPr>
              <w:br/>
              <w:t>Monitoring"</w:t>
            </w:r>
            <w:r w:rsidRPr="005E78BB">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539A9C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6D7A30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03A2B4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3E146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44E6A84" w14:textId="6C5DFC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62AE1634" w14:textId="77777777" w:rsidTr="00E92AE6">
        <w:trPr>
          <w:trHeight w:val="454"/>
        </w:trPr>
        <w:tc>
          <w:tcPr>
            <w:tcW w:w="562" w:type="dxa"/>
            <w:shd w:val="clear" w:color="auto" w:fill="auto"/>
            <w:hideMark/>
          </w:tcPr>
          <w:p w14:paraId="69C4B42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616</w:t>
            </w:r>
          </w:p>
        </w:tc>
        <w:tc>
          <w:tcPr>
            <w:tcW w:w="1021" w:type="dxa"/>
          </w:tcPr>
          <w:p w14:paraId="774CF722" w14:textId="28FB485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51CB26F8" w14:textId="338614A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9A2E32A" w14:textId="190AC4E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w:t>
            </w:r>
            <w:r w:rsidRPr="005E78BB">
              <w:rPr>
                <w:rFonts w:ascii="Calibri" w:eastAsia="Times New Roman" w:hAnsi="Calibri" w:cs="Calibri"/>
                <w:color w:val="000000"/>
                <w:sz w:val="18"/>
                <w:szCs w:val="18"/>
                <w:lang w:eastAsia="pl-PL"/>
              </w:rPr>
              <w:br w:type="page"/>
              <w:t>Monitoring"</w:t>
            </w:r>
            <w:r w:rsidRPr="005E78BB">
              <w:rPr>
                <w:rFonts w:ascii="Calibri" w:eastAsia="Times New Roman" w:hAnsi="Calibri" w:cs="Calibri"/>
                <w:color w:val="000000"/>
                <w:sz w:val="18"/>
                <w:szCs w:val="18"/>
                <w:lang w:eastAsia="pl-PL"/>
              </w:rPr>
              <w:br w:type="page"/>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78F1B1BF" w14:textId="6C7D337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6B3CF7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Uzupełnienie sieci monitoringu nie będzie powodować znaczącego obciążenia budżetu państwa i jest wykonalne przy niewielkim wsparciu struktur GIOŚ / WIOŚ."</w:t>
            </w:r>
          </w:p>
        </w:tc>
        <w:tc>
          <w:tcPr>
            <w:tcW w:w="1918" w:type="dxa"/>
            <w:shd w:val="clear" w:color="auto" w:fill="auto"/>
            <w:hideMark/>
          </w:tcPr>
          <w:p w14:paraId="1CEB1B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29D3A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4DF3982" w14:textId="6339454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821281C" w14:textId="77777777" w:rsidTr="00E92AE6">
        <w:trPr>
          <w:trHeight w:val="454"/>
        </w:trPr>
        <w:tc>
          <w:tcPr>
            <w:tcW w:w="562" w:type="dxa"/>
            <w:shd w:val="clear" w:color="auto" w:fill="auto"/>
            <w:hideMark/>
          </w:tcPr>
          <w:p w14:paraId="4B96C1E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617</w:t>
            </w:r>
          </w:p>
        </w:tc>
        <w:tc>
          <w:tcPr>
            <w:tcW w:w="1021" w:type="dxa"/>
          </w:tcPr>
          <w:p w14:paraId="688EEF00" w14:textId="4B14173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282F7337" w14:textId="02523DF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3F63D5AE" w14:textId="6E07EA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"Streszczenie niespecjalistyczne; IIaPGW Rozdział 7, 8,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Presja, Cele środowiskowe, "</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p>
        </w:tc>
        <w:tc>
          <w:tcPr>
            <w:tcW w:w="3377" w:type="dxa"/>
            <w:shd w:val="clear" w:color="auto" w:fill="auto"/>
            <w:hideMark/>
          </w:tcPr>
          <w:p w14:paraId="74093FBC" w14:textId="54603C9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1DF13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05EC6D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A1FF2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6B9FCBA" w14:textId="40447D7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3573624D" w14:textId="77777777" w:rsidTr="00E92AE6">
        <w:trPr>
          <w:trHeight w:val="454"/>
        </w:trPr>
        <w:tc>
          <w:tcPr>
            <w:tcW w:w="562" w:type="dxa"/>
            <w:shd w:val="clear" w:color="auto" w:fill="auto"/>
            <w:hideMark/>
          </w:tcPr>
          <w:p w14:paraId="2B0CB16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618</w:t>
            </w:r>
          </w:p>
        </w:tc>
        <w:tc>
          <w:tcPr>
            <w:tcW w:w="1021" w:type="dxa"/>
          </w:tcPr>
          <w:p w14:paraId="4B2FB26F" w14:textId="5CCC57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50CFF3D" w14:textId="569341A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EA8B1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"Rozdz.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489C72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34F47A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220B6B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B3AC8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30EFFD" w14:textId="03C5CE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61BBE299" w14:textId="77777777" w:rsidTr="00E92AE6">
        <w:trPr>
          <w:trHeight w:val="454"/>
        </w:trPr>
        <w:tc>
          <w:tcPr>
            <w:tcW w:w="562" w:type="dxa"/>
            <w:shd w:val="clear" w:color="auto" w:fill="auto"/>
            <w:hideMark/>
          </w:tcPr>
          <w:p w14:paraId="268EEFF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619</w:t>
            </w:r>
          </w:p>
        </w:tc>
        <w:tc>
          <w:tcPr>
            <w:tcW w:w="1021" w:type="dxa"/>
          </w:tcPr>
          <w:p w14:paraId="6404F44C" w14:textId="2654089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6AC9DF69" w14:textId="21C3FFC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D8CBB26" w14:textId="279149D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w:t>
            </w:r>
            <w:r w:rsidRPr="005E78BB">
              <w:rPr>
                <w:rFonts w:ascii="Calibri" w:eastAsia="Times New Roman" w:hAnsi="Calibri" w:cs="Calibri"/>
                <w:color w:val="000000"/>
                <w:sz w:val="18"/>
                <w:szCs w:val="18"/>
                <w:lang w:eastAsia="pl-PL"/>
              </w:rPr>
              <w:br w:type="page"/>
              <w:t>Działania 2aPGW KPRWP – raport "</w:t>
            </w:r>
            <w:r w:rsidRPr="005E78BB">
              <w:rPr>
                <w:rFonts w:ascii="Calibri" w:eastAsia="Times New Roman" w:hAnsi="Calibri" w:cs="Calibri"/>
                <w:color w:val="000000"/>
                <w:sz w:val="18"/>
                <w:szCs w:val="18"/>
                <w:lang w:eastAsia="pl-PL"/>
              </w:rPr>
              <w:br w:type="page"/>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ype="page"/>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ype="page"/>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ype="page"/>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ype="page"/>
              <w:t>http://www.ratujmyrzeki.pl/250-konsultacje-apgw</w:t>
            </w:r>
            <w:r w:rsidRPr="005E78BB">
              <w:rPr>
                <w:rFonts w:ascii="Calibri" w:eastAsia="Times New Roman" w:hAnsi="Calibri" w:cs="Calibri"/>
                <w:color w:val="000000"/>
                <w:sz w:val="18"/>
                <w:szCs w:val="18"/>
                <w:lang w:eastAsia="pl-PL"/>
              </w:rPr>
              <w:br w:type="page"/>
              <w:t>https://hektarydlanatury.pl/downloads/Raport_dla_WWF_zalaczniki.pdf</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ype="page"/>
              <w:t>Zaniechanie realizacji Programu będzie skutkować świadomym sabotowaniem osiągnięcia celów środowiskowych w roku 2027."</w:t>
            </w:r>
          </w:p>
        </w:tc>
        <w:tc>
          <w:tcPr>
            <w:tcW w:w="3377" w:type="dxa"/>
            <w:shd w:val="clear" w:color="auto" w:fill="auto"/>
            <w:hideMark/>
          </w:tcPr>
          <w:p w14:paraId="7AF49251" w14:textId="775DE47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139E34C0" w14:textId="0C88D2E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375A5F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0FC48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097B7ECB" w14:textId="282BEC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603B98D8" w14:textId="77777777" w:rsidTr="00E92AE6">
        <w:trPr>
          <w:trHeight w:val="454"/>
        </w:trPr>
        <w:tc>
          <w:tcPr>
            <w:tcW w:w="562" w:type="dxa"/>
            <w:shd w:val="clear" w:color="auto" w:fill="auto"/>
            <w:hideMark/>
          </w:tcPr>
          <w:p w14:paraId="7FF0F1E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620</w:t>
            </w:r>
          </w:p>
        </w:tc>
        <w:tc>
          <w:tcPr>
            <w:tcW w:w="1021" w:type="dxa"/>
          </w:tcPr>
          <w:p w14:paraId="491B7DC6" w14:textId="00DB39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307946C5" w14:textId="3931936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379CAF0F" w14:textId="01ED5A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 Art. 4.4. i 4.5. RDW</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10F4B4D5" w14:textId="294C733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16CA15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1B39C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28820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B46A52D" w14:textId="0F3083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BF933B4" w14:textId="77777777" w:rsidTr="00E92AE6">
        <w:trPr>
          <w:trHeight w:val="454"/>
        </w:trPr>
        <w:tc>
          <w:tcPr>
            <w:tcW w:w="562" w:type="dxa"/>
            <w:shd w:val="clear" w:color="auto" w:fill="auto"/>
            <w:hideMark/>
          </w:tcPr>
          <w:p w14:paraId="69638D1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621</w:t>
            </w:r>
          </w:p>
        </w:tc>
        <w:tc>
          <w:tcPr>
            <w:tcW w:w="1021" w:type="dxa"/>
          </w:tcPr>
          <w:p w14:paraId="40DF2EB8" w14:textId="753A45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3E61E3EB" w14:textId="7D71DB5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C717301" w14:textId="5FE7F2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3755D5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72FB4E36" w14:textId="697857F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2DF46B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C427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429A058" w14:textId="1294A24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43D005F" w14:textId="77777777" w:rsidTr="00E92AE6">
        <w:trPr>
          <w:trHeight w:val="454"/>
        </w:trPr>
        <w:tc>
          <w:tcPr>
            <w:tcW w:w="562" w:type="dxa"/>
            <w:shd w:val="clear" w:color="auto" w:fill="auto"/>
            <w:hideMark/>
          </w:tcPr>
          <w:p w14:paraId="72412AC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622</w:t>
            </w:r>
          </w:p>
        </w:tc>
        <w:tc>
          <w:tcPr>
            <w:tcW w:w="1021" w:type="dxa"/>
          </w:tcPr>
          <w:p w14:paraId="7CF8BD4C" w14:textId="578B59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17AB1F7C" w14:textId="1C708B9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AE3A6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16, Zał. 6</w:t>
            </w:r>
            <w:r w:rsidRPr="005E78BB">
              <w:rPr>
                <w:rFonts w:ascii="Calibri" w:eastAsia="Times New Roman" w:hAnsi="Calibri" w:cs="Calibri"/>
                <w:color w:val="000000"/>
                <w:sz w:val="18"/>
                <w:szCs w:val="18"/>
                <w:lang w:eastAsia="pl-PL"/>
              </w:rPr>
              <w:br w:type="page"/>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A6E97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p>
        </w:tc>
        <w:tc>
          <w:tcPr>
            <w:tcW w:w="3401" w:type="dxa"/>
            <w:shd w:val="clear" w:color="auto" w:fill="auto"/>
            <w:hideMark/>
          </w:tcPr>
          <w:p w14:paraId="6FAAB2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027D7D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4877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2CB588" w14:textId="22B90EC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3786AD04" w14:textId="77777777" w:rsidTr="00E92AE6">
        <w:trPr>
          <w:trHeight w:val="454"/>
        </w:trPr>
        <w:tc>
          <w:tcPr>
            <w:tcW w:w="562" w:type="dxa"/>
            <w:shd w:val="clear" w:color="auto" w:fill="auto"/>
            <w:hideMark/>
          </w:tcPr>
          <w:p w14:paraId="3343E77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623</w:t>
            </w:r>
          </w:p>
        </w:tc>
        <w:tc>
          <w:tcPr>
            <w:tcW w:w="1021" w:type="dxa"/>
          </w:tcPr>
          <w:p w14:paraId="57615B61" w14:textId="17E879F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21C19BFC" w14:textId="3B70406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B89DC6E" w14:textId="55FCB7A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Katalogi działań</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2DA1F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Wykreślić działania RWC_01.05 i RWC_01.07 lub diametralnie zmienić ich planowany zakres, zgodnie z KPRWP . "</w:t>
            </w:r>
          </w:p>
        </w:tc>
        <w:tc>
          <w:tcPr>
            <w:tcW w:w="3401" w:type="dxa"/>
            <w:shd w:val="clear" w:color="auto" w:fill="auto"/>
            <w:hideMark/>
          </w:tcPr>
          <w:p w14:paraId="54EB22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5BA676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C16EE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6D8D5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6F37C204" w14:textId="77777777" w:rsidTr="00E92AE6">
        <w:trPr>
          <w:trHeight w:val="454"/>
        </w:trPr>
        <w:tc>
          <w:tcPr>
            <w:tcW w:w="562" w:type="dxa"/>
            <w:shd w:val="clear" w:color="auto" w:fill="auto"/>
            <w:hideMark/>
          </w:tcPr>
          <w:p w14:paraId="44A83DE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624</w:t>
            </w:r>
          </w:p>
        </w:tc>
        <w:tc>
          <w:tcPr>
            <w:tcW w:w="1021" w:type="dxa"/>
          </w:tcPr>
          <w:p w14:paraId="64B3422E" w14:textId="4C9B230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2C7167C1" w14:textId="0FB5BF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5A62A23" w14:textId="2AA132D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udrożnienia barier migracyjnych</w:t>
            </w:r>
            <w:r w:rsidRPr="005E78BB">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22AB3E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1E797C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35A64D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807E3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1A8AE68" w14:textId="5ED19C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2DC95927" w14:textId="77777777" w:rsidTr="00E92AE6">
        <w:trPr>
          <w:trHeight w:val="454"/>
        </w:trPr>
        <w:tc>
          <w:tcPr>
            <w:tcW w:w="562" w:type="dxa"/>
            <w:shd w:val="clear" w:color="auto" w:fill="auto"/>
            <w:hideMark/>
          </w:tcPr>
          <w:p w14:paraId="491B059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625</w:t>
            </w:r>
          </w:p>
        </w:tc>
        <w:tc>
          <w:tcPr>
            <w:tcW w:w="1021" w:type="dxa"/>
          </w:tcPr>
          <w:p w14:paraId="06008AA4" w14:textId="769B0BB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303F2035" w14:textId="318D09E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0C361A8" w14:textId="6EE8098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Zał. 4 do erraty nr 1 Zaktualizowany wykaz budowli dla których zaplanowane zostały działania</w:t>
            </w:r>
            <w:r w:rsidRPr="005E78BB">
              <w:rPr>
                <w:rFonts w:ascii="Calibri" w:eastAsia="Times New Roman" w:hAnsi="Calibri" w:cs="Calibri"/>
                <w:color w:val="000000"/>
                <w:sz w:val="18"/>
                <w:szCs w:val="18"/>
                <w:lang w:eastAsia="pl-PL"/>
              </w:rPr>
              <w:br w:type="page"/>
              <w:t>w projekcie IIaPGW – obszar dorzecza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i braki mogące skutkować wyginięciem łososia w dorzeczu Wisły ze względu na:</w:t>
            </w:r>
            <w:r w:rsidRPr="005E78BB">
              <w:rPr>
                <w:rFonts w:ascii="Calibri" w:eastAsia="Times New Roman" w:hAnsi="Calibri" w:cs="Calibri"/>
                <w:color w:val="000000"/>
                <w:sz w:val="18"/>
                <w:szCs w:val="18"/>
                <w:lang w:eastAsia="pl-PL"/>
              </w:rPr>
              <w:br w:type="page"/>
              <w:t xml:space="preserve">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ype="page"/>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ype="page"/>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ype="page"/>
              <w:t xml:space="preserve">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udrożnienia w skali zlewni:</w:t>
            </w:r>
            <w:r w:rsidRPr="005E78BB">
              <w:rPr>
                <w:rFonts w:ascii="Calibri" w:eastAsia="Times New Roman" w:hAnsi="Calibri" w:cs="Calibri"/>
                <w:color w:val="000000"/>
                <w:sz w:val="18"/>
                <w:szCs w:val="18"/>
                <w:lang w:eastAsia="pl-PL"/>
              </w:rPr>
              <w:br w:type="page"/>
              <w:t>Nida – kilkadziesiąt piętrzeń do udrożnienia w latach 2016-2021 (wpisanych aPWŚK).</w:t>
            </w:r>
            <w:r w:rsidRPr="005E78BB">
              <w:rPr>
                <w:rFonts w:ascii="Calibri" w:eastAsia="Times New Roman" w:hAnsi="Calibri" w:cs="Calibri"/>
                <w:color w:val="000000"/>
                <w:sz w:val="18"/>
                <w:szCs w:val="18"/>
                <w:lang w:eastAsia="pl-PL"/>
              </w:rPr>
              <w:br w:type="page"/>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sprzeczne z celami i zadaniami  dla obszarów Natura 2000: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ype="page"/>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obszary chronione:</w:t>
            </w:r>
            <w:r w:rsidRPr="005E78BB">
              <w:rPr>
                <w:rFonts w:ascii="Calibri" w:eastAsia="Times New Roman" w:hAnsi="Calibri" w:cs="Calibri"/>
                <w:color w:val="000000"/>
                <w:sz w:val="18"/>
                <w:szCs w:val="18"/>
                <w:lang w:eastAsia="pl-PL"/>
              </w:rPr>
              <w:br w:type="page"/>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ype="page"/>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Niezgodność z zapisami dla ochrony ryb ważnych gospodarczo:</w:t>
            </w:r>
            <w:r w:rsidRPr="005E78BB">
              <w:rPr>
                <w:rFonts w:ascii="Calibri" w:eastAsia="Times New Roman" w:hAnsi="Calibri" w:cs="Calibri"/>
                <w:color w:val="000000"/>
                <w:sz w:val="18"/>
                <w:szCs w:val="18"/>
                <w:lang w:eastAsia="pl-PL"/>
              </w:rPr>
              <w:br w:type="page"/>
              <w:t xml:space="preserve">Pasłęka w Braniewie (niesprawna przepławka), </w:t>
            </w:r>
            <w:r w:rsidRPr="005E78BB">
              <w:rPr>
                <w:rFonts w:ascii="Calibri" w:eastAsia="Times New Roman" w:hAnsi="Calibri" w:cs="Calibri"/>
                <w:color w:val="000000"/>
                <w:sz w:val="18"/>
                <w:szCs w:val="18"/>
                <w:lang w:eastAsia="pl-PL"/>
              </w:rPr>
              <w:br w:type="page"/>
              <w:t>Pasłęka w Zb Pierzchały – brak działań na zaporze zbiornika,</w:t>
            </w:r>
            <w:r w:rsidRPr="005E78BB">
              <w:rPr>
                <w:rFonts w:ascii="Calibri" w:eastAsia="Times New Roman" w:hAnsi="Calibri" w:cs="Calibri"/>
                <w:color w:val="000000"/>
                <w:sz w:val="18"/>
                <w:szCs w:val="18"/>
                <w:lang w:eastAsia="pl-PL"/>
              </w:rPr>
              <w:br w:type="page"/>
              <w:t>Omulew (Dębowiec) – uznana za sprawną przepławka z ponad 1 m piętrzeniem z szandorów."</w:t>
            </w:r>
          </w:p>
        </w:tc>
        <w:tc>
          <w:tcPr>
            <w:tcW w:w="3377" w:type="dxa"/>
            <w:shd w:val="clear" w:color="auto" w:fill="auto"/>
            <w:hideMark/>
          </w:tcPr>
          <w:p w14:paraId="628619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Uzupełnić działania inwestycyjne   według wymagań dla ryb (kolumny – X-AD 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4D943C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AE1A4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8331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CFC1549" w14:textId="5DFFC6B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28AEE265" w14:textId="77777777" w:rsidTr="00E92AE6">
        <w:trPr>
          <w:trHeight w:val="454"/>
        </w:trPr>
        <w:tc>
          <w:tcPr>
            <w:tcW w:w="562" w:type="dxa"/>
            <w:shd w:val="clear" w:color="auto" w:fill="auto"/>
            <w:hideMark/>
          </w:tcPr>
          <w:p w14:paraId="206DF98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626</w:t>
            </w:r>
          </w:p>
        </w:tc>
        <w:tc>
          <w:tcPr>
            <w:tcW w:w="1021" w:type="dxa"/>
          </w:tcPr>
          <w:p w14:paraId="11249EC3" w14:textId="351D85A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2601320" w14:textId="52E9B51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ACA8A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Zał. 4 do erraty nr 1 Zaktualizowany wykaz budowli dla których zaplanowane zostały działania</w:t>
            </w:r>
            <w:r w:rsidRPr="005E78BB">
              <w:rPr>
                <w:rFonts w:ascii="Calibri" w:eastAsia="Times New Roman" w:hAnsi="Calibri" w:cs="Calibri"/>
                <w:color w:val="000000"/>
                <w:sz w:val="18"/>
                <w:szCs w:val="18"/>
                <w:lang w:eastAsia="pl-PL"/>
              </w:rPr>
              <w:br/>
              <w:t>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p>
        </w:tc>
        <w:tc>
          <w:tcPr>
            <w:tcW w:w="3377" w:type="dxa"/>
            <w:shd w:val="clear" w:color="auto" w:fill="auto"/>
            <w:hideMark/>
          </w:tcPr>
          <w:p w14:paraId="472266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0DD2DEC6" w14:textId="66887D5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6DB91B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6132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8D399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2FD48648" w14:textId="77777777" w:rsidTr="00E92AE6">
        <w:trPr>
          <w:trHeight w:val="454"/>
        </w:trPr>
        <w:tc>
          <w:tcPr>
            <w:tcW w:w="562" w:type="dxa"/>
            <w:shd w:val="clear" w:color="auto" w:fill="auto"/>
            <w:hideMark/>
          </w:tcPr>
          <w:p w14:paraId="5830083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627</w:t>
            </w:r>
          </w:p>
        </w:tc>
        <w:tc>
          <w:tcPr>
            <w:tcW w:w="1021" w:type="dxa"/>
          </w:tcPr>
          <w:p w14:paraId="1556E15B" w14:textId="489E5D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4527A48A" w14:textId="05BF1E8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CE01588" w14:textId="3FF8A5E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5BA6BC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2690C5C8" w14:textId="0D3146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1B005E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23FA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7443C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3239AAFB" w14:textId="77777777" w:rsidTr="00E92AE6">
        <w:trPr>
          <w:trHeight w:val="454"/>
        </w:trPr>
        <w:tc>
          <w:tcPr>
            <w:tcW w:w="562" w:type="dxa"/>
            <w:shd w:val="clear" w:color="auto" w:fill="auto"/>
            <w:hideMark/>
          </w:tcPr>
          <w:p w14:paraId="073038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628</w:t>
            </w:r>
          </w:p>
        </w:tc>
        <w:tc>
          <w:tcPr>
            <w:tcW w:w="1021" w:type="dxa"/>
          </w:tcPr>
          <w:p w14:paraId="22682DD2" w14:textId="7E76941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6BC4245F" w14:textId="3E28694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EB43870" w14:textId="4E1508A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Konkretne zmiany prawne</w:t>
            </w:r>
            <w:r w:rsidRPr="005E78BB">
              <w:rPr>
                <w:rFonts w:ascii="Calibri" w:eastAsia="Times New Roman" w:hAnsi="Calibri" w:cs="Calibri"/>
                <w:color w:val="000000"/>
                <w:sz w:val="18"/>
                <w:szCs w:val="18"/>
                <w:lang w:eastAsia="pl-PL"/>
              </w:rPr>
              <w:br w:type="page"/>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ype="page"/>
              <w:t xml:space="preserve"> </w:t>
            </w:r>
            <w:r w:rsidRPr="005E78BB">
              <w:rPr>
                <w:rFonts w:ascii="Calibri" w:eastAsia="Times New Roman" w:hAnsi="Calibri" w:cs="Calibri"/>
                <w:color w:val="000000"/>
                <w:sz w:val="18"/>
                <w:szCs w:val="18"/>
                <w:lang w:eastAsia="pl-PL"/>
              </w:rPr>
              <w:br w:type="page"/>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ype="page"/>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ype="page"/>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42E5F8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0B6CE2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B47AF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1F91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273C1B" w14:textId="5C27D5A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ustawy Prawo wodne.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łączności z art. 11 ustawy Prawo wodne,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Prawo wodne w stosunku do poprzedniego stanu prawnego.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Prawo wodne weszło w prawa i obowiązki WZMiUW. Artykuł 240 ust. 4 pkt 8 ustawy Prawo wodne stanowi, że zarządy zlewni (ZZ) realizują zadania związane z utrzymaniem wód i pozostałego mienia Skarbu Państwa związanego z gospodarką wodną, w tym obwałowań oraz obszaru międzywala. Tak więc obecnie jednostkami odpowiedzialnymi za utrzymanie wód i wykonywanie prac utrzymaniowych są ZZ, w ramach właściwych regionalnych Zarządów Gospodarki Wodnej (RZGW), które wykonują prawa właścicielskie Skarbu Państwa w stosunku do śródlądowych wód płynących oraz gruntów pokrytych tymi wodami (art. 240, ust. 3 pkt 9 ustawy pr.w.). Zmiana ta miała na celu m.in.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Podstawowym źródłem danych o sposobie prowadzenia działań w ramach prac utrzymaniowych w cyklu planistycznym 2016-2021 są PUW, które zostały opracowane przez poszczególne RZGW dla obszarów przez nie administrowanych i przyjęte w formie aktów prawnych – rozporządzeń.</w:t>
            </w:r>
          </w:p>
        </w:tc>
      </w:tr>
      <w:tr w:rsidR="0085319C" w:rsidRPr="005E78BB" w14:paraId="550EAE56" w14:textId="77777777" w:rsidTr="00E92AE6">
        <w:trPr>
          <w:trHeight w:val="454"/>
        </w:trPr>
        <w:tc>
          <w:tcPr>
            <w:tcW w:w="562" w:type="dxa"/>
            <w:shd w:val="clear" w:color="auto" w:fill="auto"/>
            <w:hideMark/>
          </w:tcPr>
          <w:p w14:paraId="69612A7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629</w:t>
            </w:r>
          </w:p>
        </w:tc>
        <w:tc>
          <w:tcPr>
            <w:tcW w:w="1021" w:type="dxa"/>
          </w:tcPr>
          <w:p w14:paraId="0B98C27A" w14:textId="261B98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726181CB" w14:textId="09CBBE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1BD41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74821128" w14:textId="2ADF5E7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3CD933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7397AF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4009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CCB0F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7D015C00" w14:textId="77777777" w:rsidTr="00E92AE6">
        <w:trPr>
          <w:trHeight w:val="454"/>
        </w:trPr>
        <w:tc>
          <w:tcPr>
            <w:tcW w:w="562" w:type="dxa"/>
            <w:shd w:val="clear" w:color="auto" w:fill="auto"/>
            <w:hideMark/>
          </w:tcPr>
          <w:p w14:paraId="2F42EFF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630</w:t>
            </w:r>
          </w:p>
        </w:tc>
        <w:tc>
          <w:tcPr>
            <w:tcW w:w="1021" w:type="dxa"/>
          </w:tcPr>
          <w:p w14:paraId="313A495E" w14:textId="0BA92F1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Ekologiczne EKO-UNIA</w:t>
            </w:r>
          </w:p>
        </w:tc>
        <w:tc>
          <w:tcPr>
            <w:tcW w:w="1630" w:type="dxa"/>
            <w:shd w:val="clear" w:color="auto" w:fill="auto"/>
            <w:hideMark/>
          </w:tcPr>
          <w:p w14:paraId="0CF989F5" w14:textId="1179A0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C2E3A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ocenie postępu działań – co 2 lata </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7486E0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55971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035F4E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A5F3A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25188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468E1002" w14:textId="77777777" w:rsidTr="00E92AE6">
        <w:trPr>
          <w:trHeight w:val="454"/>
        </w:trPr>
        <w:tc>
          <w:tcPr>
            <w:tcW w:w="562" w:type="dxa"/>
            <w:shd w:val="clear" w:color="auto" w:fill="auto"/>
            <w:hideMark/>
          </w:tcPr>
          <w:p w14:paraId="3833632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631</w:t>
            </w:r>
          </w:p>
        </w:tc>
        <w:tc>
          <w:tcPr>
            <w:tcW w:w="1021" w:type="dxa"/>
          </w:tcPr>
          <w:p w14:paraId="14A01351" w14:textId="7480692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0CA098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80DE3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Międzysektorowe wdrażanie RDW i uwzględnianie innych przepisów w ramach IIaPGW </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Zapewnić międzysektorowe i międzyresortowe wdrażanie zapisów Ramowej Dyrektywy Wodnej, w tym w szczególności w sektorze przemysłu, energetyki i górnictwa oraz w odpowiadających za nie przepisach i politykach.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Uwaga ogólna</w:t>
            </w:r>
          </w:p>
        </w:tc>
        <w:tc>
          <w:tcPr>
            <w:tcW w:w="3377" w:type="dxa"/>
            <w:shd w:val="clear" w:color="auto" w:fill="auto"/>
            <w:hideMark/>
          </w:tcPr>
          <w:p w14:paraId="17EB65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Ująć w IIaPGW rekomendację zmian w prawie - uwzględnienia celów ochrony wód zgodnie z RDW w przepisach i strategiach dotyczących: ochrony powietrza, zdrowia, klimatu, gospodarki przestrzennej, oraz w przepisach i strategiach sektorowych dotyczących: górnictwa, energetyki, przemysłu, rolnictwa, transportu i innych dziedzin.</w:t>
            </w:r>
          </w:p>
        </w:tc>
        <w:tc>
          <w:tcPr>
            <w:tcW w:w="3401" w:type="dxa"/>
            <w:shd w:val="clear" w:color="auto" w:fill="auto"/>
            <w:hideMark/>
          </w:tcPr>
          <w:p w14:paraId="3CB160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RDW jest dokumentem ramowym, który zgodnie z jego zapisami oraz z wieloma dokumentami na poziomie europejskim  ma być wdrażany międzysektorowo i międzyresortowo. Obecnie brak wdrożenia zasad RDW w innych sektorach i innych strategiach czy przepisach niż dotyczące ściśle gospodarki wodnej. IIaPGW nie rekomenduje żadnych zmian w tym zakresie, podtrzymuje status quo.  </w:t>
            </w:r>
            <w:r w:rsidRPr="005E78BB">
              <w:rPr>
                <w:rFonts w:ascii="Calibri" w:eastAsia="Times New Roman" w:hAnsi="Calibri" w:cs="Calibri"/>
                <w:color w:val="000000"/>
                <w:sz w:val="18"/>
                <w:szCs w:val="18"/>
                <w:lang w:eastAsia="pl-PL"/>
              </w:rPr>
              <w:br/>
              <w:t>Brak uwzględnienia celów i zasad wynikających z RDW i Prawa wodnego w przepisach i politykach dotyczących m.in. ochrony powietrza, zdrowia, klimatu, górnictwa, energetyki, przemysłu, transportu i innych dziedzin, stanowi poważne uchybienie, które utrudnia lub uniemożliwia osiągnięcie celów środowiskowych dla wód zgodnie z RDW.</w:t>
            </w:r>
            <w:r w:rsidRPr="005E78BB">
              <w:rPr>
                <w:rFonts w:ascii="Calibri" w:eastAsia="Times New Roman" w:hAnsi="Calibri" w:cs="Calibri"/>
                <w:color w:val="000000"/>
                <w:sz w:val="18"/>
                <w:szCs w:val="18"/>
                <w:lang w:eastAsia="pl-PL"/>
              </w:rPr>
              <w:br/>
              <w:t>Przykładowo:</w:t>
            </w:r>
            <w:r w:rsidRPr="005E78BB">
              <w:rPr>
                <w:rFonts w:ascii="Calibri" w:eastAsia="Times New Roman" w:hAnsi="Calibri" w:cs="Calibri"/>
                <w:color w:val="000000"/>
                <w:sz w:val="18"/>
                <w:szCs w:val="18"/>
                <w:lang w:eastAsia="pl-PL"/>
              </w:rPr>
              <w:br/>
              <w:t>● Przepisy dotyczące ochrony powietrza i emisji przemysłowych powinny uwzględniać fakt, iż emisje do powietrza stanowią źródło znaczącej presji na wody, tj. depozycji atmosferycznej (m.in. rtęci), która została ujęta w IPGW  jako jeden z głównych istotnych problemów gospodarki wodnej na obszarze polskich dorzeczy, a zatem przy wydawaniu pozwoleń na emisje do powietrza (w tym odstępstw od BAT zgodnie z dyrektywą IED) powinny podlegać analizie oddziaływania planowanych emisji na jednolite części wód i ich wpływ na możliwość osiągnięcia celów RDW.</w:t>
            </w:r>
            <w:r w:rsidRPr="005E78BB">
              <w:rPr>
                <w:rFonts w:ascii="Calibri" w:eastAsia="Times New Roman" w:hAnsi="Calibri" w:cs="Calibri"/>
                <w:color w:val="000000"/>
                <w:sz w:val="18"/>
                <w:szCs w:val="18"/>
                <w:lang w:eastAsia="pl-PL"/>
              </w:rPr>
              <w:br/>
              <w:t>● Strategie krajowe takie jak Polityka Energetyczna Polski powinny uwzględniać fakt, że kontynuacja wydobycia i spalania węgla po 2027 roku doprowadzi do nieosiągnięcia celów środowiskowych dla wód zgodnie z RDW i w konsekwencji naruszenia zasad tej dyrektywy, a zatem byłaby niezgodna z prawem.</w:t>
            </w:r>
            <w:r w:rsidRPr="005E78BB">
              <w:rPr>
                <w:rFonts w:ascii="Calibri" w:eastAsia="Times New Roman" w:hAnsi="Calibri" w:cs="Calibri"/>
                <w:color w:val="000000"/>
                <w:sz w:val="18"/>
                <w:szCs w:val="18"/>
                <w:lang w:eastAsia="pl-PL"/>
              </w:rPr>
              <w:br/>
              <w:t>Niezwykle istotne jest także dostosowanie przepisów i strategii dotyczących gospodarki przestrzennej, użytkowania gruntów rolnych, rolnictwa, leśnictwa i innych pokrewnych przepisów, do celów RDW. Tylko przy takim międzysektorowym podejściu możliwe będzie ograniczenie presji antropogenicznych na wody i osiągnięcie celów środowiskowych dla wód. Zmiany w powyższym zakresie przyczynią się równocześnie do zahamowania spadku i zwiększenia bioróżnorodności, zgodnie z celami m.in. europejskiej Strategii na rzecz bioróżnorodności 2030.</w:t>
            </w:r>
            <w:r w:rsidRPr="005E78BB">
              <w:rPr>
                <w:rFonts w:ascii="Calibri" w:eastAsia="Times New Roman" w:hAnsi="Calibri" w:cs="Calibri"/>
                <w:color w:val="000000"/>
                <w:sz w:val="18"/>
                <w:szCs w:val="18"/>
                <w:lang w:eastAsia="pl-PL"/>
              </w:rPr>
              <w:br/>
              <w:t>Uzasadnianie derogacji od celów RDW faktem, że do dzisiejszego dnia nie wdrożono właściwie zasad zrównoważonego rozwoju i liczne problemy środowiskowe nie zostały rozwiązane mimo istnienia możliwości technicznych w tym zakresie, jest nieakceptowalne.</w:t>
            </w:r>
          </w:p>
        </w:tc>
        <w:tc>
          <w:tcPr>
            <w:tcW w:w="1918" w:type="dxa"/>
            <w:shd w:val="clear" w:color="auto" w:fill="auto"/>
            <w:hideMark/>
          </w:tcPr>
          <w:p w14:paraId="7BC48C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3E4CDE4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5F86D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stanowiło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w:t>
            </w:r>
            <w:r w:rsidRPr="005E78BB">
              <w:rPr>
                <w:rFonts w:ascii="Calibri" w:eastAsia="Times New Roman" w:hAnsi="Calibri" w:cs="Calibri"/>
                <w:color w:val="000000"/>
                <w:sz w:val="18"/>
                <w:szCs w:val="18"/>
                <w:lang w:eastAsia="pl-PL"/>
              </w:rPr>
              <w:br/>
              <w:t>Zgodnie z ustawą o udostępnianiu informacji o środowisku i ocenach oddziaływania na środowisko (Dz.U. z 2021 poz. 247 ze zm.) dokumenty strategiczne wyznaczające ramy dla późniejszej realizacji przedsięwzięć mogących znacząco oddziaływać na środowisko, wymagają przeprowadzenia strategicznej oceny oddziaływania na środowisko, w ramach których analizowany jest aspekt oddziaływań na cele środowiskowe jcw jak również oddziaływań skumulowanych planów i programów. Plany lub programy, w przypadku których w ramach przeprowadzanej SOOŚ wykazane zostanie potencjalne negatywne oddziaływanie nie mogą zostać przyjęte bez spełnienia przesłanek wskazanych w ustawie.</w:t>
            </w:r>
            <w:r w:rsidRPr="005E78BB">
              <w:rPr>
                <w:rFonts w:ascii="Calibri" w:eastAsia="Times New Roman" w:hAnsi="Calibri" w:cs="Calibri"/>
                <w:color w:val="000000"/>
                <w:sz w:val="18"/>
                <w:szCs w:val="18"/>
                <w:lang w:eastAsia="pl-PL"/>
              </w:rPr>
              <w:br/>
              <w:t>Dodatkowo każda z inwestycji na poziomie przygotowania jej realizacji poddawana jest analizie pod względem oddziaływania na środowisko w ramach procedur zgodnie z ustawą o udostępnianiu informacji o środowisku i ocenach oddziaływania na środowisko.</w:t>
            </w:r>
            <w:r w:rsidRPr="005E78BB">
              <w:rPr>
                <w:rFonts w:ascii="Calibri" w:eastAsia="Times New Roman" w:hAnsi="Calibri" w:cs="Calibri"/>
                <w:color w:val="000000"/>
                <w:sz w:val="18"/>
                <w:szCs w:val="18"/>
                <w:lang w:eastAsia="pl-PL"/>
              </w:rPr>
              <w:br/>
              <w:t>Tym samym analizy powiązań dokumentów strategicznych w odniesieniu do konieczności spełniania wymogów RDW są obecnie funkcjonujące a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p>
        </w:tc>
      </w:tr>
      <w:tr w:rsidR="0085319C" w:rsidRPr="005E78BB" w14:paraId="6B6969F5" w14:textId="77777777" w:rsidTr="00E92AE6">
        <w:trPr>
          <w:trHeight w:val="454"/>
        </w:trPr>
        <w:tc>
          <w:tcPr>
            <w:tcW w:w="562" w:type="dxa"/>
            <w:shd w:val="clear" w:color="auto" w:fill="auto"/>
            <w:hideMark/>
          </w:tcPr>
          <w:p w14:paraId="5308F94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632</w:t>
            </w:r>
          </w:p>
        </w:tc>
        <w:tc>
          <w:tcPr>
            <w:tcW w:w="1021" w:type="dxa"/>
          </w:tcPr>
          <w:p w14:paraId="2F6FDB70" w14:textId="7D4F21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72FD15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72399BBB" w14:textId="3E6A8F5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Ogólna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ype="page"/>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ype="page"/>
              <w:t>W kolejnych uwagach przedstawiono szczegółowe odniesienia do ww. obszarów problemowych. "</w:t>
            </w:r>
          </w:p>
        </w:tc>
        <w:tc>
          <w:tcPr>
            <w:tcW w:w="3377" w:type="dxa"/>
            <w:shd w:val="clear" w:color="auto" w:fill="auto"/>
            <w:hideMark/>
          </w:tcPr>
          <w:p w14:paraId="27183B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67AA1D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044BD1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BDE1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E7DCE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76368438" w14:textId="77777777" w:rsidTr="00E92AE6">
        <w:trPr>
          <w:trHeight w:val="454"/>
        </w:trPr>
        <w:tc>
          <w:tcPr>
            <w:tcW w:w="562" w:type="dxa"/>
            <w:shd w:val="clear" w:color="auto" w:fill="auto"/>
            <w:hideMark/>
          </w:tcPr>
          <w:p w14:paraId="4612D68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633</w:t>
            </w:r>
          </w:p>
        </w:tc>
        <w:tc>
          <w:tcPr>
            <w:tcW w:w="1021" w:type="dxa"/>
          </w:tcPr>
          <w:p w14:paraId="0FB884A7" w14:textId="5FCA38A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EDD03AA" w14:textId="1A60A9B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FE28B1D" w14:textId="27807B9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10FFC9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3FD3B8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385BD0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55E02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29C6E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1E9F3511" w14:textId="77777777" w:rsidTr="00E92AE6">
        <w:trPr>
          <w:trHeight w:val="454"/>
        </w:trPr>
        <w:tc>
          <w:tcPr>
            <w:tcW w:w="562" w:type="dxa"/>
            <w:shd w:val="clear" w:color="auto" w:fill="auto"/>
            <w:hideMark/>
          </w:tcPr>
          <w:p w14:paraId="247B4BA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634</w:t>
            </w:r>
          </w:p>
        </w:tc>
        <w:tc>
          <w:tcPr>
            <w:tcW w:w="1021" w:type="dxa"/>
          </w:tcPr>
          <w:p w14:paraId="227C67A9" w14:textId="6BECB2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40342979" w14:textId="1E58AA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C27DD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chaos</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06389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55A7A2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1B0196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6EE36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BA4DC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6F3AEC09" w14:textId="77777777" w:rsidTr="00E92AE6">
        <w:trPr>
          <w:trHeight w:val="454"/>
        </w:trPr>
        <w:tc>
          <w:tcPr>
            <w:tcW w:w="562" w:type="dxa"/>
            <w:shd w:val="clear" w:color="auto" w:fill="auto"/>
            <w:hideMark/>
          </w:tcPr>
          <w:p w14:paraId="5CC37FA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635</w:t>
            </w:r>
          </w:p>
        </w:tc>
        <w:tc>
          <w:tcPr>
            <w:tcW w:w="1021" w:type="dxa"/>
          </w:tcPr>
          <w:p w14:paraId="66BECE73" w14:textId="7288525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27557A6B" w14:textId="010F302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546243B" w14:textId="5CFEF88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geobaza</w:t>
            </w:r>
            <w:r w:rsidRPr="005E78BB">
              <w:rPr>
                <w:rFonts w:ascii="Calibri" w:eastAsia="Times New Roman" w:hAnsi="Calibri" w:cs="Calibri"/>
                <w:color w:val="000000"/>
                <w:sz w:val="18"/>
                <w:szCs w:val="18"/>
                <w:lang w:eastAsia="pl-PL"/>
              </w:rPr>
              <w:br w:type="page"/>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ype="page"/>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3EE8983E" w14:textId="42EDBA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7C254DD3" w14:textId="67446A2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Działanie Wód Polskich w tym zakresie jest sprzeczne z: </w:t>
            </w:r>
            <w:r w:rsidRPr="005E78BB">
              <w:rPr>
                <w:rFonts w:ascii="Calibri" w:eastAsia="Times New Roman" w:hAnsi="Calibri" w:cs="Calibri"/>
                <w:color w:val="000000"/>
                <w:sz w:val="18"/>
                <w:szCs w:val="18"/>
                <w:lang w:eastAsia="pl-PL"/>
              </w:rPr>
              <w:br w:type="page"/>
              <w:t xml:space="preserve">art. 14 RDW – </w:t>
            </w:r>
            <w:r w:rsidRPr="005E78BB">
              <w:rPr>
                <w:rFonts w:ascii="Calibri" w:eastAsia="Times New Roman" w:hAnsi="Calibri" w:cs="Calibri"/>
                <w:color w:val="000000"/>
                <w:sz w:val="18"/>
                <w:szCs w:val="18"/>
                <w:lang w:eastAsia="pl-PL"/>
              </w:rPr>
              <w:br w:type="page"/>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ype="page"/>
              <w:t>Zał. VII – pkt 1, 3, 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3E2786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D617C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FE2EA14" w14:textId="6049EA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ype="page"/>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ype="page"/>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ype="page"/>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ype="page"/>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16570F93" w14:textId="77777777" w:rsidTr="00E92AE6">
        <w:trPr>
          <w:trHeight w:val="454"/>
        </w:trPr>
        <w:tc>
          <w:tcPr>
            <w:tcW w:w="562" w:type="dxa"/>
            <w:shd w:val="clear" w:color="auto" w:fill="auto"/>
            <w:hideMark/>
          </w:tcPr>
          <w:p w14:paraId="427E0F5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636</w:t>
            </w:r>
          </w:p>
        </w:tc>
        <w:tc>
          <w:tcPr>
            <w:tcW w:w="1021" w:type="dxa"/>
          </w:tcPr>
          <w:p w14:paraId="2C9F29D3" w14:textId="72CC4B1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3069B2B7" w14:textId="077FD89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1F9E8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4B4ED9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2AF81B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0B3327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77A3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CD36F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0025D89C" w14:textId="77777777" w:rsidTr="00E92AE6">
        <w:trPr>
          <w:trHeight w:val="454"/>
        </w:trPr>
        <w:tc>
          <w:tcPr>
            <w:tcW w:w="562" w:type="dxa"/>
            <w:shd w:val="clear" w:color="auto" w:fill="auto"/>
            <w:hideMark/>
          </w:tcPr>
          <w:p w14:paraId="24FD3E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637</w:t>
            </w:r>
          </w:p>
        </w:tc>
        <w:tc>
          <w:tcPr>
            <w:tcW w:w="1021" w:type="dxa"/>
          </w:tcPr>
          <w:p w14:paraId="32F7D79B" w14:textId="2269B01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1E25195F" w14:textId="7F45C8E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04B25C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formularz</w:t>
            </w:r>
            <w:r w:rsidRPr="005E78BB">
              <w:rPr>
                <w:rFonts w:ascii="Calibri" w:eastAsia="Times New Roman" w:hAnsi="Calibri" w:cs="Calibri"/>
                <w:color w:val="000000"/>
                <w:sz w:val="18"/>
                <w:szCs w:val="18"/>
                <w:lang w:eastAsia="pl-PL"/>
              </w:rPr>
              <w:b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p>
        </w:tc>
        <w:tc>
          <w:tcPr>
            <w:tcW w:w="3377" w:type="dxa"/>
            <w:shd w:val="clear" w:color="auto" w:fill="auto"/>
            <w:hideMark/>
          </w:tcPr>
          <w:p w14:paraId="2DF636F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59A66C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60A235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E5A7D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A65D8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zastosowano dodatkowych ograniczeń co do formy przedkładanych uwag.</w:t>
            </w:r>
          </w:p>
        </w:tc>
      </w:tr>
      <w:tr w:rsidR="0085319C" w:rsidRPr="005E78BB" w14:paraId="5AB9EE27" w14:textId="77777777" w:rsidTr="00E92AE6">
        <w:trPr>
          <w:trHeight w:val="454"/>
        </w:trPr>
        <w:tc>
          <w:tcPr>
            <w:tcW w:w="562" w:type="dxa"/>
            <w:shd w:val="clear" w:color="auto" w:fill="auto"/>
            <w:hideMark/>
          </w:tcPr>
          <w:p w14:paraId="46F3857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638</w:t>
            </w:r>
          </w:p>
        </w:tc>
        <w:tc>
          <w:tcPr>
            <w:tcW w:w="1021" w:type="dxa"/>
          </w:tcPr>
          <w:p w14:paraId="36DDB47B" w14:textId="4B940F4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164E2D4" w14:textId="3DFAD7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65EAD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19318E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1D4380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41A351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16976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5F031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134E7243" w14:textId="77777777" w:rsidTr="00E92AE6">
        <w:trPr>
          <w:trHeight w:val="454"/>
        </w:trPr>
        <w:tc>
          <w:tcPr>
            <w:tcW w:w="562" w:type="dxa"/>
            <w:shd w:val="clear" w:color="auto" w:fill="auto"/>
            <w:hideMark/>
          </w:tcPr>
          <w:p w14:paraId="29F2401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639</w:t>
            </w:r>
          </w:p>
        </w:tc>
        <w:tc>
          <w:tcPr>
            <w:tcW w:w="1021" w:type="dxa"/>
          </w:tcPr>
          <w:p w14:paraId="27A0284D" w14:textId="0A1B233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36483759" w14:textId="772A955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B8024BB" w14:textId="68AE25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ype="page"/>
              <w:t>Rozdz. 3</w:t>
            </w:r>
            <w:r w:rsidRPr="005E78BB">
              <w:rPr>
                <w:rFonts w:ascii="Calibri" w:eastAsia="Times New Roman" w:hAnsi="Calibri" w:cs="Calibri"/>
                <w:color w:val="000000"/>
                <w:sz w:val="18"/>
                <w:szCs w:val="18"/>
                <w:lang w:eastAsia="pl-PL"/>
              </w:rPr>
              <w:br w:type="page"/>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ype="page"/>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p>
        </w:tc>
        <w:tc>
          <w:tcPr>
            <w:tcW w:w="3377" w:type="dxa"/>
            <w:shd w:val="clear" w:color="auto" w:fill="auto"/>
            <w:hideMark/>
          </w:tcPr>
          <w:p w14:paraId="4E0DD3C7" w14:textId="24D0EB0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03825BD4" w14:textId="7AB8BA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3B0982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6CDE7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445C2C9" w14:textId="32E4C2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7BDF52E4" w14:textId="77777777" w:rsidTr="00CD6FBC">
        <w:trPr>
          <w:trHeight w:val="454"/>
        </w:trPr>
        <w:tc>
          <w:tcPr>
            <w:tcW w:w="562" w:type="dxa"/>
            <w:shd w:val="clear" w:color="auto" w:fill="auto"/>
            <w:hideMark/>
          </w:tcPr>
          <w:p w14:paraId="438234A1"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640</w:t>
            </w:r>
          </w:p>
        </w:tc>
        <w:tc>
          <w:tcPr>
            <w:tcW w:w="1021" w:type="dxa"/>
            <w:shd w:val="clear" w:color="auto" w:fill="auto"/>
          </w:tcPr>
          <w:p w14:paraId="4399E0E4" w14:textId="4E22913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Mazowiecko-Świętokrzyskie Towarzystwo Ornitologiczne</w:t>
            </w:r>
          </w:p>
        </w:tc>
        <w:tc>
          <w:tcPr>
            <w:tcW w:w="1630" w:type="dxa"/>
            <w:shd w:val="clear" w:color="auto" w:fill="auto"/>
            <w:hideMark/>
          </w:tcPr>
          <w:p w14:paraId="6162D846" w14:textId="0673C54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280FDD5B" w14:textId="2BCA476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br/>
              <w:t>RWr Zbiornikowe</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 xml:space="preserve">Zał. 3.1. oraz 8.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w:t>
            </w:r>
          </w:p>
        </w:tc>
        <w:tc>
          <w:tcPr>
            <w:tcW w:w="3377" w:type="dxa"/>
            <w:shd w:val="clear" w:color="auto" w:fill="auto"/>
            <w:hideMark/>
          </w:tcPr>
          <w:p w14:paraId="03ABC36E" w14:textId="3F68B0D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r w:rsidRPr="00CD6FBC">
              <w:rPr>
                <w:rFonts w:ascii="Calibri" w:eastAsia="Times New Roman" w:hAnsi="Calibri" w:cs="Calibri"/>
                <w:color w:val="000000"/>
                <w:sz w:val="18"/>
                <w:szCs w:val="18"/>
                <w:lang w:eastAsia="pl-PL"/>
              </w:rPr>
              <w:br/>
              <w:t>"</w:t>
            </w:r>
          </w:p>
        </w:tc>
        <w:tc>
          <w:tcPr>
            <w:tcW w:w="3401" w:type="dxa"/>
            <w:shd w:val="clear" w:color="auto" w:fill="auto"/>
            <w:hideMark/>
          </w:tcPr>
          <w:p w14:paraId="6F74FE7E" w14:textId="0B1676A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Takie podejście nie może być usprawiedliwieniem dla znaczących negatywnych zmian w cennych siedliskach związanych z cofkami niektórych zbiorników wodnych. "</w:t>
            </w:r>
          </w:p>
        </w:tc>
        <w:tc>
          <w:tcPr>
            <w:tcW w:w="1918" w:type="dxa"/>
            <w:shd w:val="clear" w:color="auto" w:fill="auto"/>
            <w:hideMark/>
          </w:tcPr>
          <w:p w14:paraId="76541611"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12DF7267"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2134A65F" w14:textId="3494BE1C"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455190" w:rsidRPr="00455190">
              <w:rPr>
                <w:rFonts w:ascii="Calibri" w:eastAsia="Times New Roman" w:hAnsi="Calibri" w:cs="Calibri"/>
                <w:color w:val="000000"/>
                <w:sz w:val="18"/>
                <w:szCs w:val="18"/>
                <w:lang w:eastAsia="pl-PL"/>
              </w:rPr>
              <w:t>Wartości graniczne SCW i SZCW</w:t>
            </w:r>
            <w:r w:rsidR="00455190" w:rsidRPr="00CD6FBC" w:rsidDel="004551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0D95D096" w14:textId="77777777" w:rsidTr="00CD6FBC">
        <w:trPr>
          <w:trHeight w:val="454"/>
        </w:trPr>
        <w:tc>
          <w:tcPr>
            <w:tcW w:w="562" w:type="dxa"/>
            <w:shd w:val="clear" w:color="auto" w:fill="auto"/>
            <w:hideMark/>
          </w:tcPr>
          <w:p w14:paraId="417BE080"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641</w:t>
            </w:r>
          </w:p>
        </w:tc>
        <w:tc>
          <w:tcPr>
            <w:tcW w:w="1021" w:type="dxa"/>
            <w:shd w:val="clear" w:color="auto" w:fill="auto"/>
          </w:tcPr>
          <w:p w14:paraId="432F0F5D" w14:textId="1F2A4A4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Mazowiecko-Świętokrzyskie Towarzystwo Ornitologiczne</w:t>
            </w:r>
          </w:p>
        </w:tc>
        <w:tc>
          <w:tcPr>
            <w:tcW w:w="1630" w:type="dxa"/>
            <w:shd w:val="clear" w:color="auto" w:fill="auto"/>
            <w:hideMark/>
          </w:tcPr>
          <w:p w14:paraId="35AC61FC" w14:textId="6F0602E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KONSULTACJE SPOŁECZNE</w:t>
            </w:r>
          </w:p>
        </w:tc>
        <w:tc>
          <w:tcPr>
            <w:tcW w:w="5663" w:type="dxa"/>
            <w:shd w:val="clear" w:color="auto" w:fill="auto"/>
            <w:hideMark/>
          </w:tcPr>
          <w:p w14:paraId="3137D717" w14:textId="1D035BD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Rozdz. 3.1.SZCW</w:t>
            </w:r>
            <w:r w:rsidRPr="00CD6FBC">
              <w:rPr>
                <w:rFonts w:ascii="Calibri" w:eastAsia="Times New Roman" w:hAnsi="Calibri" w:cs="Calibri"/>
                <w:color w:val="000000"/>
                <w:sz w:val="18"/>
                <w:szCs w:val="18"/>
                <w:lang w:eastAsia="pl-PL"/>
              </w:rPr>
              <w:b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Zgodnie z dokumentem  </w:t>
            </w:r>
            <w:r w:rsidRPr="00CD6FBC">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Zalecenie z 2012 r.: </w:t>
            </w:r>
            <w:r w:rsidRPr="00CD6FBC">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Jeśli zaś, zachodzi niepewność, co do możliwości wyznaczenia SZCW, wyznaczenie takie było nieuprawnione. "</w:t>
            </w:r>
          </w:p>
        </w:tc>
        <w:tc>
          <w:tcPr>
            <w:tcW w:w="3377" w:type="dxa"/>
            <w:shd w:val="clear" w:color="auto" w:fill="auto"/>
            <w:hideMark/>
          </w:tcPr>
          <w:p w14:paraId="46435F54" w14:textId="2403236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401" w:type="dxa"/>
            <w:shd w:val="clear" w:color="auto" w:fill="auto"/>
            <w:hideMark/>
          </w:tcPr>
          <w:p w14:paraId="21ACE86B"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015D0E9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6A066A4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132856C7" w14:textId="73C19E4D"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455190" w:rsidRPr="00455190">
              <w:rPr>
                <w:rFonts w:ascii="Calibri" w:eastAsia="Times New Roman" w:hAnsi="Calibri" w:cs="Calibri"/>
                <w:color w:val="000000"/>
                <w:sz w:val="18"/>
                <w:szCs w:val="18"/>
                <w:lang w:eastAsia="pl-PL"/>
              </w:rPr>
              <w:t>Wartości graniczne SCW i SZCW</w:t>
            </w:r>
            <w:r w:rsidR="00455190" w:rsidRPr="00CD6FBC" w:rsidDel="00455190">
              <w:rPr>
                <w:rFonts w:ascii="Calibri" w:eastAsia="Times New Roman" w:hAnsi="Calibri" w:cs="Calibri"/>
                <w:color w:val="000000"/>
                <w:sz w:val="18"/>
                <w:szCs w:val="18"/>
                <w:lang w:eastAsia="pl-PL"/>
              </w:rPr>
              <w:t xml:space="preserve"> </w:t>
            </w:r>
            <w:r w:rsidR="00455190" w:rsidRPr="00CD6FBC">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572909B0" w14:textId="77777777" w:rsidTr="00E92AE6">
        <w:trPr>
          <w:trHeight w:val="454"/>
        </w:trPr>
        <w:tc>
          <w:tcPr>
            <w:tcW w:w="562" w:type="dxa"/>
            <w:shd w:val="clear" w:color="auto" w:fill="auto"/>
            <w:hideMark/>
          </w:tcPr>
          <w:p w14:paraId="476FB8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642</w:t>
            </w:r>
          </w:p>
        </w:tc>
        <w:tc>
          <w:tcPr>
            <w:tcW w:w="1021" w:type="dxa"/>
          </w:tcPr>
          <w:p w14:paraId="1C5FA767" w14:textId="346FF7A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6664891E" w14:textId="1D5B32A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39ED41A1" w14:textId="0D7D6B1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3.1.SZCW</w:t>
            </w:r>
            <w:r w:rsidRPr="005E78BB">
              <w:rPr>
                <w:rFonts w:ascii="Calibri" w:eastAsia="Times New Roman" w:hAnsi="Calibri" w:cs="Calibri"/>
                <w:color w:val="000000"/>
                <w:sz w:val="18"/>
                <w:szCs w:val="18"/>
                <w:lang w:eastAsia="pl-PL"/>
              </w:rPr>
              <w:br w:type="page"/>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5DFB8F62" w14:textId="06EF64F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16B890E6" w14:textId="5DA688BA" w:rsidR="0085319C" w:rsidRPr="005E78BB" w:rsidRDefault="0085319C" w:rsidP="0085319C">
            <w:pPr>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419B89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6F39A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A847929" w14:textId="0CD57FC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6811DC2D" w14:textId="77777777" w:rsidTr="00E92AE6">
        <w:trPr>
          <w:trHeight w:val="454"/>
        </w:trPr>
        <w:tc>
          <w:tcPr>
            <w:tcW w:w="562" w:type="dxa"/>
            <w:shd w:val="clear" w:color="auto" w:fill="auto"/>
            <w:hideMark/>
          </w:tcPr>
          <w:p w14:paraId="5C657F1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643</w:t>
            </w:r>
          </w:p>
        </w:tc>
        <w:tc>
          <w:tcPr>
            <w:tcW w:w="1021" w:type="dxa"/>
          </w:tcPr>
          <w:p w14:paraId="211A8D62" w14:textId="467BCF0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02B0A9B0" w14:textId="39109F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E6A6E4C" w14:textId="53D34DE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3.1. SZCW</w:t>
            </w:r>
            <w:r w:rsidRPr="005E78BB">
              <w:rPr>
                <w:rFonts w:ascii="Calibri" w:eastAsia="Times New Roman" w:hAnsi="Calibri" w:cs="Calibri"/>
                <w:color w:val="000000"/>
                <w:sz w:val="18"/>
                <w:szCs w:val="18"/>
                <w:lang w:eastAsia="pl-PL"/>
              </w:rPr>
              <w:br/>
              <w:t>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64163D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444799DD" w14:textId="66388D3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09E692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D92AC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FE2D05" w14:textId="2CD2A36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5E2AAAA3" w14:textId="77777777" w:rsidTr="00E92AE6">
        <w:trPr>
          <w:trHeight w:val="454"/>
        </w:trPr>
        <w:tc>
          <w:tcPr>
            <w:tcW w:w="562" w:type="dxa"/>
            <w:shd w:val="clear" w:color="auto" w:fill="auto"/>
            <w:hideMark/>
          </w:tcPr>
          <w:p w14:paraId="10388F8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644</w:t>
            </w:r>
          </w:p>
        </w:tc>
        <w:tc>
          <w:tcPr>
            <w:tcW w:w="1021" w:type="dxa"/>
          </w:tcPr>
          <w:p w14:paraId="4F673FC8" w14:textId="16C21CD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67243C0D" w14:textId="0FDCCCD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4209F27" w14:textId="6D1C12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w:t>
            </w:r>
            <w:r w:rsidRPr="005E78BB">
              <w:rPr>
                <w:rFonts w:ascii="Calibri" w:eastAsia="Times New Roman" w:hAnsi="Calibri" w:cs="Calibri"/>
                <w:color w:val="000000"/>
                <w:sz w:val="18"/>
                <w:szCs w:val="18"/>
                <w:lang w:eastAsia="pl-PL"/>
              </w:rPr>
              <w:br/>
              <w:t>Monitoring"</w:t>
            </w:r>
            <w:r w:rsidRPr="005E78BB">
              <w:rPr>
                <w:rFonts w:ascii="Calibri" w:eastAsia="Times New Roman" w:hAnsi="Calibri" w:cs="Calibri"/>
                <w:color w:val="000000"/>
                <w:sz w:val="18"/>
                <w:szCs w:val="18"/>
                <w:lang w:eastAsia="pl-PL"/>
              </w:rPr>
              <w:b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p>
        </w:tc>
        <w:tc>
          <w:tcPr>
            <w:tcW w:w="3377" w:type="dxa"/>
            <w:shd w:val="clear" w:color="auto" w:fill="auto"/>
            <w:hideMark/>
          </w:tcPr>
          <w:p w14:paraId="228692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1FB30C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32F2080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A29A8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B32927C" w14:textId="3FD699C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29A10192" w14:textId="77777777" w:rsidTr="00E92AE6">
        <w:trPr>
          <w:trHeight w:val="454"/>
        </w:trPr>
        <w:tc>
          <w:tcPr>
            <w:tcW w:w="562" w:type="dxa"/>
            <w:shd w:val="clear" w:color="auto" w:fill="auto"/>
            <w:hideMark/>
          </w:tcPr>
          <w:p w14:paraId="25E1185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645</w:t>
            </w:r>
          </w:p>
        </w:tc>
        <w:tc>
          <w:tcPr>
            <w:tcW w:w="1021" w:type="dxa"/>
          </w:tcPr>
          <w:p w14:paraId="69730387" w14:textId="2FD8D05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1EC26090" w14:textId="53652D3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1FF423D" w14:textId="077A24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w:t>
            </w:r>
            <w:r w:rsidRPr="005E78BB">
              <w:rPr>
                <w:rFonts w:ascii="Calibri" w:eastAsia="Times New Roman" w:hAnsi="Calibri" w:cs="Calibri"/>
                <w:color w:val="000000"/>
                <w:sz w:val="18"/>
                <w:szCs w:val="18"/>
                <w:lang w:eastAsia="pl-PL"/>
              </w:rPr>
              <w:br w:type="page"/>
              <w:t>Monitoring"</w:t>
            </w:r>
            <w:r w:rsidRPr="005E78BB">
              <w:rPr>
                <w:rFonts w:ascii="Calibri" w:eastAsia="Times New Roman" w:hAnsi="Calibri" w:cs="Calibri"/>
                <w:color w:val="000000"/>
                <w:sz w:val="18"/>
                <w:szCs w:val="18"/>
                <w:lang w:eastAsia="pl-PL"/>
              </w:rPr>
              <w:br w:type="page"/>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589CF467" w14:textId="4905368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1858EF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Uzupełnienie sieci monitoringu nie będzie powodować znaczącego obciążenia budżetu państwa i jest wykonalne przy niewielkim wsparciu struktur GIOŚ / WIOŚ."</w:t>
            </w:r>
          </w:p>
        </w:tc>
        <w:tc>
          <w:tcPr>
            <w:tcW w:w="1918" w:type="dxa"/>
            <w:shd w:val="clear" w:color="auto" w:fill="auto"/>
            <w:hideMark/>
          </w:tcPr>
          <w:p w14:paraId="26F76A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CAF09D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1A64FC" w14:textId="6DDD47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5FE25EC4" w14:textId="77777777" w:rsidTr="00E92AE6">
        <w:trPr>
          <w:trHeight w:val="454"/>
        </w:trPr>
        <w:tc>
          <w:tcPr>
            <w:tcW w:w="562" w:type="dxa"/>
            <w:shd w:val="clear" w:color="auto" w:fill="auto"/>
            <w:hideMark/>
          </w:tcPr>
          <w:p w14:paraId="20C618B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646</w:t>
            </w:r>
          </w:p>
        </w:tc>
        <w:tc>
          <w:tcPr>
            <w:tcW w:w="1021" w:type="dxa"/>
          </w:tcPr>
          <w:p w14:paraId="546F6394" w14:textId="2BBCDBC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43E3F655" w14:textId="7239F14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B6DED3A" w14:textId="01C4794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"Streszczenie niespecjalistyczne; IIaPGW Rozdział 7, 8,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Presja, Cele środowiskowe, "</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p>
        </w:tc>
        <w:tc>
          <w:tcPr>
            <w:tcW w:w="3377" w:type="dxa"/>
            <w:shd w:val="clear" w:color="auto" w:fill="auto"/>
            <w:hideMark/>
          </w:tcPr>
          <w:p w14:paraId="63329572" w14:textId="7C704AB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269C2C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505B6E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EBB00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FC80B4" w14:textId="1E3669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3198897D" w14:textId="77777777" w:rsidTr="00E92AE6">
        <w:trPr>
          <w:trHeight w:val="454"/>
        </w:trPr>
        <w:tc>
          <w:tcPr>
            <w:tcW w:w="562" w:type="dxa"/>
            <w:shd w:val="clear" w:color="auto" w:fill="auto"/>
            <w:hideMark/>
          </w:tcPr>
          <w:p w14:paraId="0A5A7C3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647</w:t>
            </w:r>
          </w:p>
        </w:tc>
        <w:tc>
          <w:tcPr>
            <w:tcW w:w="1021" w:type="dxa"/>
          </w:tcPr>
          <w:p w14:paraId="0F144ABE" w14:textId="0748B3D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602832FA" w14:textId="2B66252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1388D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"Rozdz. 9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p>
        </w:tc>
        <w:tc>
          <w:tcPr>
            <w:tcW w:w="3377" w:type="dxa"/>
            <w:shd w:val="clear" w:color="auto" w:fill="auto"/>
            <w:hideMark/>
          </w:tcPr>
          <w:p w14:paraId="71A096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38AFB0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471E48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BDAD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AB01EC0" w14:textId="30C68D5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41582DD4" w14:textId="77777777" w:rsidTr="00E92AE6">
        <w:trPr>
          <w:trHeight w:val="454"/>
        </w:trPr>
        <w:tc>
          <w:tcPr>
            <w:tcW w:w="562" w:type="dxa"/>
            <w:shd w:val="clear" w:color="auto" w:fill="auto"/>
            <w:hideMark/>
          </w:tcPr>
          <w:p w14:paraId="43DF3CC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648</w:t>
            </w:r>
          </w:p>
        </w:tc>
        <w:tc>
          <w:tcPr>
            <w:tcW w:w="1021" w:type="dxa"/>
          </w:tcPr>
          <w:p w14:paraId="1D04D7FC" w14:textId="0B2828A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17B1A18" w14:textId="5E38439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AA4DF29" w14:textId="33AFF67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10</w:t>
            </w:r>
            <w:r w:rsidRPr="005E78BB">
              <w:rPr>
                <w:rFonts w:ascii="Calibri" w:eastAsia="Times New Roman" w:hAnsi="Calibri" w:cs="Calibri"/>
                <w:color w:val="000000"/>
                <w:sz w:val="18"/>
                <w:szCs w:val="18"/>
                <w:lang w:eastAsia="pl-PL"/>
              </w:rPr>
              <w:br w:type="page"/>
              <w:t>Działania 2aPGW KPRWP – raport "</w:t>
            </w:r>
            <w:r w:rsidRPr="005E78BB">
              <w:rPr>
                <w:rFonts w:ascii="Calibri" w:eastAsia="Times New Roman" w:hAnsi="Calibri" w:cs="Calibri"/>
                <w:color w:val="000000"/>
                <w:sz w:val="18"/>
                <w:szCs w:val="18"/>
                <w:lang w:eastAsia="pl-PL"/>
              </w:rPr>
              <w:br w:type="page"/>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ype="page"/>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ype="page"/>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ype="page"/>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ype="page"/>
              <w:t>http://www.ratujmyrzeki.pl/250-konsultacje-apgw</w:t>
            </w:r>
            <w:r w:rsidRPr="005E78BB">
              <w:rPr>
                <w:rFonts w:ascii="Calibri" w:eastAsia="Times New Roman" w:hAnsi="Calibri" w:cs="Calibri"/>
                <w:color w:val="000000"/>
                <w:sz w:val="18"/>
                <w:szCs w:val="18"/>
                <w:lang w:eastAsia="pl-PL"/>
              </w:rPr>
              <w:br w:type="page"/>
              <w:t>https://hektarydlanatury.pl/downloads/Raport_dla_WWF_zalaczniki.pdf</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ype="page"/>
              <w:t>Zaniechanie realizacji Programu będzie skutkować świadomym sabotowaniem osiągnięcia celów środowiskowych w roku 2027."</w:t>
            </w:r>
          </w:p>
        </w:tc>
        <w:tc>
          <w:tcPr>
            <w:tcW w:w="3377" w:type="dxa"/>
            <w:shd w:val="clear" w:color="auto" w:fill="auto"/>
            <w:hideMark/>
          </w:tcPr>
          <w:p w14:paraId="22121CEF" w14:textId="29CD79F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2BECCC2D" w14:textId="642A24D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36619B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98B1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1E46088" w14:textId="22C6E14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46D92B1F" w14:textId="77777777" w:rsidTr="00E92AE6">
        <w:trPr>
          <w:trHeight w:val="454"/>
        </w:trPr>
        <w:tc>
          <w:tcPr>
            <w:tcW w:w="562" w:type="dxa"/>
            <w:shd w:val="clear" w:color="auto" w:fill="auto"/>
            <w:hideMark/>
          </w:tcPr>
          <w:p w14:paraId="6EE2F17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649</w:t>
            </w:r>
          </w:p>
        </w:tc>
        <w:tc>
          <w:tcPr>
            <w:tcW w:w="1021" w:type="dxa"/>
          </w:tcPr>
          <w:p w14:paraId="41692143" w14:textId="1EAD726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0D09AE32" w14:textId="266C41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76C6983" w14:textId="1AA325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8.1. – 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Art. 4.4. i 4.5. RDW"</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2518AD05" w14:textId="3EF7B9B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3EB257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5AE336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BCEFD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048E07E" w14:textId="6B1016C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41E9078B" w14:textId="77777777" w:rsidTr="00E92AE6">
        <w:trPr>
          <w:trHeight w:val="454"/>
        </w:trPr>
        <w:tc>
          <w:tcPr>
            <w:tcW w:w="562" w:type="dxa"/>
            <w:shd w:val="clear" w:color="auto" w:fill="auto"/>
            <w:hideMark/>
          </w:tcPr>
          <w:p w14:paraId="14582CF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650</w:t>
            </w:r>
          </w:p>
        </w:tc>
        <w:tc>
          <w:tcPr>
            <w:tcW w:w="1021" w:type="dxa"/>
          </w:tcPr>
          <w:p w14:paraId="6FABB8D0" w14:textId="7F0BA9E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1F1947A4" w14:textId="790B323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7DE2A42" w14:textId="50C28D2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1107EA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77CEAA8C" w14:textId="54A1938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4E71B7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B946A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C23E9F" w14:textId="6243894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392A764C" w14:textId="77777777" w:rsidTr="00E92AE6">
        <w:trPr>
          <w:trHeight w:val="454"/>
        </w:trPr>
        <w:tc>
          <w:tcPr>
            <w:tcW w:w="562" w:type="dxa"/>
            <w:shd w:val="clear" w:color="auto" w:fill="auto"/>
            <w:hideMark/>
          </w:tcPr>
          <w:p w14:paraId="23D338A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651</w:t>
            </w:r>
          </w:p>
        </w:tc>
        <w:tc>
          <w:tcPr>
            <w:tcW w:w="1021" w:type="dxa"/>
          </w:tcPr>
          <w:p w14:paraId="4263690F" w14:textId="7D8292E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7CB15661" w14:textId="2B0E73D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3A4BB8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16,</w:t>
            </w:r>
            <w:r w:rsidRPr="005E78BB">
              <w:rPr>
                <w:rFonts w:ascii="Calibri" w:eastAsia="Times New Roman" w:hAnsi="Calibri" w:cs="Calibri"/>
                <w:color w:val="000000"/>
                <w:sz w:val="18"/>
                <w:szCs w:val="18"/>
                <w:lang w:eastAsia="pl-PL"/>
              </w:rPr>
              <w:br w:type="page"/>
              <w:t>Zał. 6 "</w:t>
            </w:r>
            <w:r w:rsidRPr="005E78BB">
              <w:rPr>
                <w:rFonts w:ascii="Calibri" w:eastAsia="Times New Roman" w:hAnsi="Calibri" w:cs="Calibri"/>
                <w:color w:val="000000"/>
                <w:sz w:val="18"/>
                <w:szCs w:val="18"/>
                <w:lang w:eastAsia="pl-PL"/>
              </w:rPr>
              <w:br w:type="page"/>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p>
        </w:tc>
        <w:tc>
          <w:tcPr>
            <w:tcW w:w="3377" w:type="dxa"/>
            <w:shd w:val="clear" w:color="auto" w:fill="auto"/>
            <w:hideMark/>
          </w:tcPr>
          <w:p w14:paraId="05F025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p>
        </w:tc>
        <w:tc>
          <w:tcPr>
            <w:tcW w:w="3401" w:type="dxa"/>
            <w:shd w:val="clear" w:color="auto" w:fill="auto"/>
            <w:hideMark/>
          </w:tcPr>
          <w:p w14:paraId="68E1B7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1918" w:type="dxa"/>
            <w:shd w:val="clear" w:color="auto" w:fill="auto"/>
            <w:hideMark/>
          </w:tcPr>
          <w:p w14:paraId="36432A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9B4A7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28526B3" w14:textId="3BDF9DC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70443484" w14:textId="77777777" w:rsidTr="00E92AE6">
        <w:trPr>
          <w:trHeight w:val="454"/>
        </w:trPr>
        <w:tc>
          <w:tcPr>
            <w:tcW w:w="562" w:type="dxa"/>
            <w:shd w:val="clear" w:color="auto" w:fill="auto"/>
            <w:hideMark/>
          </w:tcPr>
          <w:p w14:paraId="2D09103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652</w:t>
            </w:r>
          </w:p>
        </w:tc>
        <w:tc>
          <w:tcPr>
            <w:tcW w:w="1021" w:type="dxa"/>
          </w:tcPr>
          <w:p w14:paraId="06F6A46A" w14:textId="154AB5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07C9F592" w14:textId="6D19DE5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9DE9E6E" w14:textId="526DCD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Katalogi działań</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C70CB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Wykreślić działania RWC_01.05 i RWC_01.07 lub diametralnie zmienić ich planowany zakres, zgodnie z KPRWP . "</w:t>
            </w:r>
          </w:p>
        </w:tc>
        <w:tc>
          <w:tcPr>
            <w:tcW w:w="3401" w:type="dxa"/>
            <w:shd w:val="clear" w:color="auto" w:fill="auto"/>
            <w:hideMark/>
          </w:tcPr>
          <w:p w14:paraId="2E319E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409A8F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7898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17A6A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48CCF554" w14:textId="77777777" w:rsidTr="00E92AE6">
        <w:trPr>
          <w:trHeight w:val="454"/>
        </w:trPr>
        <w:tc>
          <w:tcPr>
            <w:tcW w:w="562" w:type="dxa"/>
            <w:shd w:val="clear" w:color="auto" w:fill="auto"/>
            <w:hideMark/>
          </w:tcPr>
          <w:p w14:paraId="039F8F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653</w:t>
            </w:r>
          </w:p>
        </w:tc>
        <w:tc>
          <w:tcPr>
            <w:tcW w:w="1021" w:type="dxa"/>
          </w:tcPr>
          <w:p w14:paraId="1E4230A7" w14:textId="6E31673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276EA293" w14:textId="32386BE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A5FB399" w14:textId="213D21A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udrożnienia barier migracyjnych</w:t>
            </w:r>
            <w:r w:rsidRPr="005E78BB">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p>
        </w:tc>
        <w:tc>
          <w:tcPr>
            <w:tcW w:w="3377" w:type="dxa"/>
            <w:shd w:val="clear" w:color="auto" w:fill="auto"/>
            <w:hideMark/>
          </w:tcPr>
          <w:p w14:paraId="2479D8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16F25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50065F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7C4E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EE8ECAF" w14:textId="660AED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28E47534" w14:textId="77777777" w:rsidTr="00E92AE6">
        <w:trPr>
          <w:trHeight w:val="454"/>
        </w:trPr>
        <w:tc>
          <w:tcPr>
            <w:tcW w:w="562" w:type="dxa"/>
            <w:shd w:val="clear" w:color="auto" w:fill="auto"/>
            <w:hideMark/>
          </w:tcPr>
          <w:p w14:paraId="79EC65D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654</w:t>
            </w:r>
          </w:p>
        </w:tc>
        <w:tc>
          <w:tcPr>
            <w:tcW w:w="1021" w:type="dxa"/>
          </w:tcPr>
          <w:p w14:paraId="01041C88" w14:textId="78516BF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23B3092A" w14:textId="55FFFD5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6734B3A" w14:textId="0358535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Zał. 4 do erraty nr 1 Zaktualizowany wykaz budowli dla których zaplanowane zostały działania</w:t>
            </w:r>
            <w:r w:rsidRPr="005E78BB">
              <w:rPr>
                <w:rFonts w:ascii="Calibri" w:eastAsia="Times New Roman" w:hAnsi="Calibri" w:cs="Calibri"/>
                <w:color w:val="000000"/>
                <w:sz w:val="18"/>
                <w:szCs w:val="18"/>
                <w:lang w:eastAsia="pl-PL"/>
              </w:rPr>
              <w:br w:type="page"/>
              <w:t>w projekcie IIaPGW – obszar dorzecza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i braki mogące skutkować wyginięciem łososia w dorzeczu Wisły ze względu na:</w:t>
            </w:r>
            <w:r w:rsidRPr="005E78BB">
              <w:rPr>
                <w:rFonts w:ascii="Calibri" w:eastAsia="Times New Roman" w:hAnsi="Calibri" w:cs="Calibri"/>
                <w:color w:val="000000"/>
                <w:sz w:val="18"/>
                <w:szCs w:val="18"/>
                <w:lang w:eastAsia="pl-PL"/>
              </w:rPr>
              <w:br w:type="page"/>
              <w:t xml:space="preserve">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ype="page"/>
              <w:t xml:space="preserve">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ype="page"/>
              <w:t>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ype="page"/>
              <w:t xml:space="preserve">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udrożnienia w skali zlewni:</w:t>
            </w:r>
            <w:r w:rsidRPr="005E78BB">
              <w:rPr>
                <w:rFonts w:ascii="Calibri" w:eastAsia="Times New Roman" w:hAnsi="Calibri" w:cs="Calibri"/>
                <w:color w:val="000000"/>
                <w:sz w:val="18"/>
                <w:szCs w:val="18"/>
                <w:lang w:eastAsia="pl-PL"/>
              </w:rPr>
              <w:br w:type="page"/>
              <w:t>Nida – kilkadziesiąt piętrzeń do udrożnienia w latach 2016-2021 (wpisanych aPWŚK).</w:t>
            </w:r>
            <w:r w:rsidRPr="005E78BB">
              <w:rPr>
                <w:rFonts w:ascii="Calibri" w:eastAsia="Times New Roman" w:hAnsi="Calibri" w:cs="Calibri"/>
                <w:color w:val="000000"/>
                <w:sz w:val="18"/>
                <w:szCs w:val="18"/>
                <w:lang w:eastAsia="pl-PL"/>
              </w:rPr>
              <w:br w:type="page"/>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sprzeczne z celami i zadaniami  dla obszarów Natura 2000: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ype="page"/>
            </w:r>
            <w:r w:rsidRPr="005E78BB">
              <w:rPr>
                <w:rFonts w:ascii="Tahoma" w:eastAsia="Times New Roman" w:hAnsi="Tahoma" w:cs="Tahoma"/>
                <w:color w:val="000000"/>
                <w:sz w:val="18"/>
                <w:szCs w:val="18"/>
                <w:lang w:eastAsia="pl-PL"/>
              </w:rPr>
              <w:t> </w:t>
            </w:r>
            <w:r w:rsidRPr="005E78BB">
              <w:rPr>
                <w:rFonts w:ascii="Calibri" w:eastAsia="Times New Roman" w:hAnsi="Calibri" w:cs="Calibri"/>
                <w:color w:val="000000"/>
                <w:sz w:val="18"/>
                <w:szCs w:val="18"/>
                <w:lang w:eastAsia="pl-PL"/>
              </w:rP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obszary chronione:</w:t>
            </w:r>
            <w:r w:rsidRPr="005E78BB">
              <w:rPr>
                <w:rFonts w:ascii="Calibri" w:eastAsia="Times New Roman" w:hAnsi="Calibri" w:cs="Calibri"/>
                <w:color w:val="000000"/>
                <w:sz w:val="18"/>
                <w:szCs w:val="18"/>
                <w:lang w:eastAsia="pl-PL"/>
              </w:rPr>
              <w:br w:type="page"/>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ype="page"/>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Niezgodność z zapisami dla ochrony ryb ważnych gospodarczo:</w:t>
            </w:r>
            <w:r w:rsidRPr="005E78BB">
              <w:rPr>
                <w:rFonts w:ascii="Calibri" w:eastAsia="Times New Roman" w:hAnsi="Calibri" w:cs="Calibri"/>
                <w:color w:val="000000"/>
                <w:sz w:val="18"/>
                <w:szCs w:val="18"/>
                <w:lang w:eastAsia="pl-PL"/>
              </w:rPr>
              <w:br w:type="page"/>
              <w:t xml:space="preserve">Pasłęka w Braniewie (niesprawna przepławka), </w:t>
            </w:r>
            <w:r w:rsidRPr="005E78BB">
              <w:rPr>
                <w:rFonts w:ascii="Calibri" w:eastAsia="Times New Roman" w:hAnsi="Calibri" w:cs="Calibri"/>
                <w:color w:val="000000"/>
                <w:sz w:val="18"/>
                <w:szCs w:val="18"/>
                <w:lang w:eastAsia="pl-PL"/>
              </w:rPr>
              <w:br w:type="page"/>
              <w:t>Pasłęka w Zb Pierzchały – brak działań na zaporze zbiornika,</w:t>
            </w:r>
            <w:r w:rsidRPr="005E78BB">
              <w:rPr>
                <w:rFonts w:ascii="Calibri" w:eastAsia="Times New Roman" w:hAnsi="Calibri" w:cs="Calibri"/>
                <w:color w:val="000000"/>
                <w:sz w:val="18"/>
                <w:szCs w:val="18"/>
                <w:lang w:eastAsia="pl-PL"/>
              </w:rPr>
              <w:br w:type="page"/>
              <w:t>Omulew (Dębowiec) – uznana za sprawną przepławka z ponad 1 m piętrzeniem z szandorów."</w:t>
            </w:r>
          </w:p>
        </w:tc>
        <w:tc>
          <w:tcPr>
            <w:tcW w:w="3377" w:type="dxa"/>
            <w:shd w:val="clear" w:color="auto" w:fill="auto"/>
            <w:hideMark/>
          </w:tcPr>
          <w:p w14:paraId="3019C8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Uzupełnić działania inwestycyjne   według wymagań dla ryb (kolumny – X-AD 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t>
            </w:r>
          </w:p>
        </w:tc>
        <w:tc>
          <w:tcPr>
            <w:tcW w:w="3401" w:type="dxa"/>
            <w:shd w:val="clear" w:color="auto" w:fill="auto"/>
            <w:hideMark/>
          </w:tcPr>
          <w:p w14:paraId="681BE4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111BC2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10360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2989DCB3" w14:textId="3AA7DD0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7A3D7BDF" w14:textId="77777777" w:rsidTr="00E92AE6">
        <w:trPr>
          <w:trHeight w:val="454"/>
        </w:trPr>
        <w:tc>
          <w:tcPr>
            <w:tcW w:w="562" w:type="dxa"/>
            <w:shd w:val="clear" w:color="auto" w:fill="auto"/>
            <w:hideMark/>
          </w:tcPr>
          <w:p w14:paraId="5F710BE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655</w:t>
            </w:r>
          </w:p>
        </w:tc>
        <w:tc>
          <w:tcPr>
            <w:tcW w:w="1021" w:type="dxa"/>
          </w:tcPr>
          <w:p w14:paraId="172AFA20" w14:textId="66A7CB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7F26876A" w14:textId="6E34FF3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425FA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-udrożnienia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Zał. 4 do erraty nr 1 Zaktualizowany wykaz budowli dla których zaplanowane zostały działania</w:t>
            </w:r>
            <w:r w:rsidRPr="005E78BB">
              <w:rPr>
                <w:rFonts w:ascii="Calibri" w:eastAsia="Times New Roman" w:hAnsi="Calibri" w:cs="Calibri"/>
                <w:color w:val="000000"/>
                <w:sz w:val="18"/>
                <w:szCs w:val="18"/>
                <w:lang w:eastAsia="pl-PL"/>
              </w:rPr>
              <w:br/>
              <w:t>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p>
        </w:tc>
        <w:tc>
          <w:tcPr>
            <w:tcW w:w="3377" w:type="dxa"/>
            <w:shd w:val="clear" w:color="auto" w:fill="auto"/>
            <w:hideMark/>
          </w:tcPr>
          <w:p w14:paraId="40001B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t>
            </w:r>
          </w:p>
        </w:tc>
        <w:tc>
          <w:tcPr>
            <w:tcW w:w="3401" w:type="dxa"/>
            <w:shd w:val="clear" w:color="auto" w:fill="auto"/>
            <w:hideMark/>
          </w:tcPr>
          <w:p w14:paraId="5F1DEC46" w14:textId="3FA2D4F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r w:rsidRPr="005E78BB">
              <w:rPr>
                <w:rFonts w:ascii="Calibri" w:eastAsia="Times New Roman" w:hAnsi="Calibri" w:cs="Calibri"/>
                <w:color w:val="000000"/>
                <w:sz w:val="18"/>
                <w:szCs w:val="18"/>
                <w:lang w:eastAsia="pl-PL"/>
              </w:rPr>
              <w:br/>
              <w:t>"</w:t>
            </w:r>
          </w:p>
        </w:tc>
        <w:tc>
          <w:tcPr>
            <w:tcW w:w="1918" w:type="dxa"/>
            <w:shd w:val="clear" w:color="auto" w:fill="auto"/>
            <w:hideMark/>
          </w:tcPr>
          <w:p w14:paraId="19FE1C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8940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07B6E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56CD3DD1" w14:textId="77777777" w:rsidTr="00E92AE6">
        <w:trPr>
          <w:trHeight w:val="454"/>
        </w:trPr>
        <w:tc>
          <w:tcPr>
            <w:tcW w:w="562" w:type="dxa"/>
            <w:shd w:val="clear" w:color="auto" w:fill="auto"/>
            <w:hideMark/>
          </w:tcPr>
          <w:p w14:paraId="23C6129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656</w:t>
            </w:r>
          </w:p>
        </w:tc>
        <w:tc>
          <w:tcPr>
            <w:tcW w:w="1021" w:type="dxa"/>
          </w:tcPr>
          <w:p w14:paraId="79E83BF0" w14:textId="4E38E4E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FB76C14" w14:textId="2C13D3C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ABA2BE3" w14:textId="1F415F9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prawne i administracyjne</w:t>
            </w:r>
            <w:r w:rsidRPr="005E78BB">
              <w:rPr>
                <w:rFonts w:ascii="Calibri" w:eastAsia="Times New Roman" w:hAnsi="Calibri" w:cs="Calibri"/>
                <w:color w:val="000000"/>
                <w:sz w:val="18"/>
                <w:szCs w:val="18"/>
                <w:lang w:eastAsia="pl-PL"/>
              </w:rPr>
              <w:b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733262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6EFE990C" w14:textId="4CA814D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384244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13ED5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29B31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1ECB5CDC" w14:textId="77777777" w:rsidTr="00E92AE6">
        <w:trPr>
          <w:trHeight w:val="454"/>
        </w:trPr>
        <w:tc>
          <w:tcPr>
            <w:tcW w:w="562" w:type="dxa"/>
            <w:shd w:val="clear" w:color="auto" w:fill="auto"/>
            <w:hideMark/>
          </w:tcPr>
          <w:p w14:paraId="1AC96CD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657</w:t>
            </w:r>
          </w:p>
        </w:tc>
        <w:tc>
          <w:tcPr>
            <w:tcW w:w="1021" w:type="dxa"/>
          </w:tcPr>
          <w:p w14:paraId="7060BCE7" w14:textId="77B2FF8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5A0395AB" w14:textId="60E0EE8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6919484" w14:textId="063B45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Konkretne zmiany prawne</w:t>
            </w:r>
            <w:r w:rsidRPr="005E78BB">
              <w:rPr>
                <w:rFonts w:ascii="Calibri" w:eastAsia="Times New Roman" w:hAnsi="Calibri" w:cs="Calibri"/>
                <w:color w:val="000000"/>
                <w:sz w:val="18"/>
                <w:szCs w:val="18"/>
                <w:lang w:eastAsia="pl-PL"/>
              </w:rPr>
              <w:br w:type="page"/>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ype="page"/>
              <w:t xml:space="preserve"> </w:t>
            </w:r>
            <w:r w:rsidRPr="005E78BB">
              <w:rPr>
                <w:rFonts w:ascii="Calibri" w:eastAsia="Times New Roman" w:hAnsi="Calibri" w:cs="Calibri"/>
                <w:color w:val="000000"/>
                <w:sz w:val="18"/>
                <w:szCs w:val="18"/>
                <w:lang w:eastAsia="pl-PL"/>
              </w:rPr>
              <w:br w:type="page"/>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ype="page"/>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ype="page"/>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ype="page"/>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ype="page"/>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ype="page"/>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katalog o którym mowa w art. 435 PW powinien być również publikowany w PGW, a nie tylko te przedsięwzięcia, które zgodnie z art. 436 spełniają wymogi określone w art. 4.7 RDW."</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9FB6C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D7143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D3480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4471C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CE98DE" w14:textId="49A9831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50865279" w14:textId="77777777" w:rsidTr="00E92AE6">
        <w:trPr>
          <w:trHeight w:val="454"/>
        </w:trPr>
        <w:tc>
          <w:tcPr>
            <w:tcW w:w="562" w:type="dxa"/>
            <w:shd w:val="clear" w:color="auto" w:fill="auto"/>
            <w:hideMark/>
          </w:tcPr>
          <w:p w14:paraId="7AB6201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658</w:t>
            </w:r>
          </w:p>
        </w:tc>
        <w:tc>
          <w:tcPr>
            <w:tcW w:w="1021" w:type="dxa"/>
          </w:tcPr>
          <w:p w14:paraId="76132A48" w14:textId="29010CE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0915356E" w14:textId="6B4309F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0DAF77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1F95DD8F" w14:textId="0A0FDA5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536177F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5D44F1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FF73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052C6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67876757" w14:textId="77777777" w:rsidTr="00E92AE6">
        <w:trPr>
          <w:trHeight w:val="454"/>
        </w:trPr>
        <w:tc>
          <w:tcPr>
            <w:tcW w:w="562" w:type="dxa"/>
            <w:shd w:val="clear" w:color="auto" w:fill="auto"/>
            <w:hideMark/>
          </w:tcPr>
          <w:p w14:paraId="4C16D5F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659</w:t>
            </w:r>
          </w:p>
        </w:tc>
        <w:tc>
          <w:tcPr>
            <w:tcW w:w="1021" w:type="dxa"/>
          </w:tcPr>
          <w:p w14:paraId="29B52F2C" w14:textId="285891F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Mazowiecko-Świętokrzyskie Towarzystwo Ornitologiczne</w:t>
            </w:r>
          </w:p>
        </w:tc>
        <w:tc>
          <w:tcPr>
            <w:tcW w:w="1630" w:type="dxa"/>
            <w:shd w:val="clear" w:color="auto" w:fill="auto"/>
            <w:hideMark/>
          </w:tcPr>
          <w:p w14:paraId="7E5ACE6D" w14:textId="01130FE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CAE246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ocenie postępu działań – co 2 lata </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w:t>
            </w:r>
          </w:p>
        </w:tc>
        <w:tc>
          <w:tcPr>
            <w:tcW w:w="3377" w:type="dxa"/>
            <w:shd w:val="clear" w:color="auto" w:fill="auto"/>
            <w:hideMark/>
          </w:tcPr>
          <w:p w14:paraId="3FB695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5AA356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47431A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58AC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8DB7E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7383F06D" w14:textId="77777777" w:rsidTr="00E92AE6">
        <w:trPr>
          <w:trHeight w:val="454"/>
        </w:trPr>
        <w:tc>
          <w:tcPr>
            <w:tcW w:w="562" w:type="dxa"/>
            <w:shd w:val="clear" w:color="auto" w:fill="auto"/>
            <w:hideMark/>
          </w:tcPr>
          <w:p w14:paraId="50946BB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660</w:t>
            </w:r>
          </w:p>
        </w:tc>
        <w:tc>
          <w:tcPr>
            <w:tcW w:w="1021" w:type="dxa"/>
          </w:tcPr>
          <w:p w14:paraId="638237AA" w14:textId="68E4BCB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46CA09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4FE053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dotyczy: Międzysektorowe wdrażanie RDW i uwzględnianie innych przepisów w ramach IIaPGW </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IIaPGW nie jest zgodna z ustaleniami wynikającymi z nowych przepisów i strategii międzynarodowych i krajowych, w tym przede wszystkim Europejskiego prawa o klimacie i pakietu “Fit for 55”, Zielonego Ładu dla Europy, europejskiej Strategii na rzecz bioróżnorodności 2030, a także Krajowego programu renaturyzacji wód powierzchniowych, i in.</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Uwaga ogólna</w:t>
            </w:r>
          </w:p>
        </w:tc>
        <w:tc>
          <w:tcPr>
            <w:tcW w:w="3377" w:type="dxa"/>
            <w:shd w:val="clear" w:color="auto" w:fill="auto"/>
            <w:hideMark/>
          </w:tcPr>
          <w:p w14:paraId="6BE129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Zapewnić zgodność IIaPGW i gospodarki wodnej w Polsce z prawem unijnym, w tym szczególnie z Europejskim prawem o klimacie (Rozporządzenie Parlamentu Europejskiego I Rady (UE) 2021/1119 z dnia 30 czerwca 2021 r.) i z pakietem “Fit for 55”</w:t>
            </w:r>
          </w:p>
        </w:tc>
        <w:tc>
          <w:tcPr>
            <w:tcW w:w="3401" w:type="dxa"/>
            <w:shd w:val="clear" w:color="auto" w:fill="auto"/>
            <w:hideMark/>
          </w:tcPr>
          <w:p w14:paraId="37F07CF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Powszechne przyznawanie derogacji z art. 4.7 RDW, ustawowe zwolnienia z opłat za usługi wodne dla sektorów najbardziej oddziałujących na wody (przede wszystkim górnictwo i energetyka węglowa) i inne przykłady ulgowego traktowania presji na wody powiązanych z wydobyciem i spalaniem węgla, stoją w sprzeczności z prawnie wiążącymi celami klimatycznymi UE.</w:t>
            </w:r>
            <w:r w:rsidRPr="005E78BB">
              <w:rPr>
                <w:rFonts w:ascii="Calibri" w:eastAsia="Times New Roman" w:hAnsi="Calibri" w:cs="Calibri"/>
                <w:color w:val="000000"/>
                <w:sz w:val="18"/>
                <w:szCs w:val="18"/>
                <w:lang w:eastAsia="pl-PL"/>
              </w:rPr>
              <w:br/>
              <w:t>Zgodnie z Europejskim prawem o klimacie (Rozporządzenie PE i Rady (UE) 2021/1119 z 30 czerwca 2021 r.) do 2030 roku emisje gazów cieplarnianych muszą zostać zredukowane o 55% w stosunku do 1990 roku, a do roku 2050 Europa ma stać się zeroemisyjna. W opinii ekspertów , aby osiągnąć ww. cele, elektrownie węglowe w Europie muszą zakończyć działalność do 2030 r. Różne scenariusze redukcji emisji przewidują, że aby osiągnąć neutralność klimatyczną do 2050 r. zgodnie z celami Porozumienia paryskiego, w roku 2030 od 0% do maksymalnie 3% produkcji energii może pochodzić z węgla  .</w:t>
            </w:r>
            <w:r w:rsidRPr="005E78BB">
              <w:rPr>
                <w:rFonts w:ascii="Calibri" w:eastAsia="Times New Roman" w:hAnsi="Calibri" w:cs="Calibri"/>
                <w:color w:val="000000"/>
                <w:sz w:val="18"/>
                <w:szCs w:val="18"/>
                <w:lang w:eastAsia="pl-PL"/>
              </w:rPr>
              <w:br/>
              <w:t xml:space="preserve">Wobec powyższego, w świetle nowego Europejskiego prawa o klimacie, odstępstwa od celów dla wód z art. 4.4 i 4.5 RDW związane z istniejącymi elektrowniami węglowymi mogą dotyczyć w większości przypadków tylko presji wynikających z działalności tych elektrowni do roku 2030. Równocześnie brak uzasadnienia dla przyznania derogacji z art. 4.7 RDW dla nowych elektrowni węglowych, które miałyby działać po 2030 r - ponieważ ich budowa będzie w świetle aktualnego prawa niecelowa. </w:t>
            </w:r>
            <w:r w:rsidRPr="005E78BB">
              <w:rPr>
                <w:rFonts w:ascii="Calibri" w:eastAsia="Times New Roman" w:hAnsi="Calibri" w:cs="Calibri"/>
                <w:color w:val="000000"/>
                <w:sz w:val="18"/>
                <w:szCs w:val="18"/>
                <w:lang w:eastAsia="pl-PL"/>
              </w:rPr>
              <w:br/>
              <w:t>Węgiel jest paliwem dla elektrowni i wyłącznie w tym kontekście jego wydobycie może być uzasadniane nadrzędnym interesem społecznym. Inne, jeszcze nawet nie zdefiniowane, cele wydobycia węgla nie mogą być uznane za nadrzędne wobec ochrony wód dla dobra obywateli. Po 2030 r. większość kopalni będzie zbędna dla celów zapewnienia bezpieczeństwa energetycznego i powinna zakończyć działalność, a uzasadnienie dla derogacji od celów dla wód ze względu na presje górnictwa węglowego w większości przypadków przestanie istnieć. Tym bardziej nie ma uzasadnienia dla przyznawania odstępstw z art. 4.7 nowym kopalniom, które miałyby działać po 2030 roku (np. Eksploatacja węgla kamiennego i metanu jako kopaliny towarzyszącej ze złoża "Dankowice 1"), gdyż ich uruchomienie, podobnie jak w przypadku nowych elektrowni, jest w świetle aktualnego prawa niecelowe - a więc nie są spełnione przesłanki umożliwiające przyznanie derogacji z art. 4.7 RDW.</w:t>
            </w:r>
            <w:r w:rsidRPr="005E78BB">
              <w:rPr>
                <w:rFonts w:ascii="Calibri" w:eastAsia="Times New Roman" w:hAnsi="Calibri" w:cs="Calibri"/>
                <w:color w:val="000000"/>
                <w:sz w:val="18"/>
                <w:szCs w:val="18"/>
                <w:lang w:eastAsia="pl-PL"/>
              </w:rPr>
              <w:br/>
              <w:t>Towarzyszący Europejskiemu prawu o klimacie pakiet reform “Fit for 55” (Gotowi na 55%) obejmuje szereg regulacji, m.in. w zakresie adaptacji do zmian klimatu, użytkowania / zagospodarowania terenu, ograniczenia emisji metanu, NO2 i innych gazów cieplarnianych, sekwestracji CO2 (w tym przez naturalne magazyny węgla). Polskim dokumentem przyczyniającym się do osiągnięcia celów Europejskiego prawa klimatycznego i wpisującym się w założenia pakietu Fit for 55 jest Krajowy program renaturyzacji wód powierzchniowych. Ani ww. dokumenty, ani ich cele i założenia, nie zostały uwzględnione przy sporządzaniu II aktualizacji Planów gospodarowania wodami.</w:t>
            </w:r>
            <w:r w:rsidRPr="005E78BB">
              <w:rPr>
                <w:rFonts w:ascii="Calibri" w:eastAsia="Times New Roman" w:hAnsi="Calibri" w:cs="Calibri"/>
                <w:color w:val="000000"/>
                <w:sz w:val="18"/>
                <w:szCs w:val="18"/>
                <w:lang w:eastAsia="pl-PL"/>
              </w:rPr>
              <w:br/>
              <w:t xml:space="preserve">Gospodarowanie wodą ma ogromny wpływ na poziom pozaprzemysłowych emisji gazów cieplarnianych oraz na możliwości ich pochłaniania przez ekosystemy. Osiągnięcie celów środowiskowych dla wód jest bardzo istotne w kontekście mitygacji zmian klimatu i adaptacji do nich oraz osiągnięcia przez Europę neutralności klimatycznej zgodnie z Europejskim prawem klimatycznym. W tym kontekście niezwykle istotne jest ograniczenie presji ilościowych na wody - w tym spowodowanych odwodnieniami górniczymi, zwiększenie retencji naturalnej i krajobrazowej oraz wdrożenie istniejących planów dot renaturyzacji wód powierzchniowych. </w:t>
            </w:r>
            <w:r w:rsidRPr="005E78BB">
              <w:rPr>
                <w:rFonts w:ascii="Calibri" w:eastAsia="Times New Roman" w:hAnsi="Calibri" w:cs="Calibri"/>
                <w:color w:val="000000"/>
                <w:sz w:val="18"/>
                <w:szCs w:val="18"/>
                <w:lang w:eastAsia="pl-PL"/>
              </w:rPr>
              <w:br/>
              <w:t>Krajowy program renaturyzacji wód powierzchniowych jest jednym z działań ujętych w aktualizacji planów gospodarowania wodami (aPGW), stanowi realizację wymagań RDW, będąc tym samym odpowiedzią na zidentyfikowane presje hydromorfologiczne oraz pilne potrzeby poprawy stanu wód powierzchniowych. Pełne wdrożenie ww. programu jest warunkiem niezbędnym dla osiągnięcia dobrego stanu wód powierzchniowych, a często również podziemnych. Głównym celem opracowania było zaproponowanie Obszarów Wymagających Renaturyzacji oraz Obszarów Priorytetowych, w których działania renaturyzacyjne powinny zostać zrealizowane w pierwszej kolejności, biorąc pod uwagę uwarunkowania środowiskowe i ekonomiczne. Niezrozumiałe jest więc, dlaczego ten program nie został w pełni wdrożony w IIaPGW, a na wielu obszarach wyznaczonych w ramach ww. programu nie zaplanowano działań z zakresu renaturyzacji, lub zaplanowano na nich inwestycje zwiększające presje hydromorfologiczne.</w:t>
            </w:r>
          </w:p>
        </w:tc>
        <w:tc>
          <w:tcPr>
            <w:tcW w:w="1918" w:type="dxa"/>
            <w:shd w:val="clear" w:color="auto" w:fill="auto"/>
            <w:hideMark/>
          </w:tcPr>
          <w:p w14:paraId="1FF6CDD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5A43C78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54BAE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stanowiło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w:t>
            </w:r>
            <w:r w:rsidRPr="005E78BB">
              <w:rPr>
                <w:rFonts w:ascii="Calibri" w:eastAsia="Times New Roman" w:hAnsi="Calibri" w:cs="Calibri"/>
                <w:color w:val="000000"/>
                <w:sz w:val="18"/>
                <w:szCs w:val="18"/>
                <w:lang w:eastAsia="pl-PL"/>
              </w:rPr>
              <w:br/>
              <w:t>Zgodnie z ustawą o udostępnianiu informacji o środowisku i ocenach oddziaływania na środowisko (Dz.U. z 2021 poz. 247 ze zm.) dokumenty strategiczne wyznaczające ramy dla późniejszej realizacji przedsięwzięć mogących znacząco oddziaływać na środowisko, wymagają przeprowadzenia strategicznej oceny oddziaływania na środowisko, w ramach których analizowany jest aspekt oddziaływań na cele środowiskowe jcw jak również oddziaływań skumulowanych planów i programów. Plany lub programy, w przypadku których w ramach przeprowadzanej SOOŚ wykazane zostanie potencjalne negatywne oddziaływanie nie mogą zostać przyjęte bez spełnienia przesłanek wskazanych w ustawie.</w:t>
            </w:r>
            <w:r w:rsidRPr="005E78BB">
              <w:rPr>
                <w:rFonts w:ascii="Calibri" w:eastAsia="Times New Roman" w:hAnsi="Calibri" w:cs="Calibri"/>
                <w:color w:val="000000"/>
                <w:sz w:val="18"/>
                <w:szCs w:val="18"/>
                <w:lang w:eastAsia="pl-PL"/>
              </w:rPr>
              <w:br/>
              <w:t>Dodatkowo każda z inwestycji na poziomie przygotowania jej realizacji poddawana jest analizie pod względem oddziaływania na środowisko w ramach procedur zgodnie z ustawą o udostępnianiu informacji o środowisku i ocenach oddziaływania na środowisko.</w:t>
            </w:r>
            <w:r w:rsidRPr="005E78BB">
              <w:rPr>
                <w:rFonts w:ascii="Calibri" w:eastAsia="Times New Roman" w:hAnsi="Calibri" w:cs="Calibri"/>
                <w:color w:val="000000"/>
                <w:sz w:val="18"/>
                <w:szCs w:val="18"/>
                <w:lang w:eastAsia="pl-PL"/>
              </w:rPr>
              <w:br/>
              <w:t>Tym samym analizy powiązań dokumentów strategicznych w odniesieniu do konieczności spełniania wymogów RDW są obecnie funkcjonujące a w konstrukcji prawnej planu gospodarowania wodami na obszarze dorzecza nie mieści się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t>Plan gospodarowania wodami na obszarze dorzecza nie może być źródłem nowych obowiązków, nieznanych dotychczas prawu. Źródłem obowiązku może być bowiem wyłącznie ustawa. Kompetencja w tym zakresie nie może być przedmiotem delegacji zawartej w upoważnieniu do wydania aktu wykonawczego.</w:t>
            </w:r>
          </w:p>
        </w:tc>
      </w:tr>
      <w:tr w:rsidR="0085319C" w:rsidRPr="005E78BB" w14:paraId="1E3EEDFA" w14:textId="77777777" w:rsidTr="00E92AE6">
        <w:trPr>
          <w:trHeight w:val="454"/>
        </w:trPr>
        <w:tc>
          <w:tcPr>
            <w:tcW w:w="562" w:type="dxa"/>
            <w:shd w:val="clear" w:color="auto" w:fill="auto"/>
            <w:hideMark/>
          </w:tcPr>
          <w:p w14:paraId="27AB768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661</w:t>
            </w:r>
          </w:p>
        </w:tc>
        <w:tc>
          <w:tcPr>
            <w:tcW w:w="1021" w:type="dxa"/>
          </w:tcPr>
          <w:p w14:paraId="78E04B38" w14:textId="2A27DE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122272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4E7C814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4.7</w:t>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 xml:space="preserve">Załącznik nr 6 nie uwzględnia wszystkich warunków, o których mowa w art. 4 ust. 7 Dyrektywy 2000/60/WE Parlamentu Europejskiego i Rady z dnia 23 października 2000 r. ustanawiającej ramy wspólnotowego działania w dziedzinie polityki wodnej (Dz.U. UE z 2000 r. L 327, s. 1 ze zm.) oraz art. 68 ustawy z dnia 20 lipca 2017 r. Prawo wodne (tj. Dz.U. z 2021 r. poz. 624 z późn. zm.), które umożliwiają zastosowanie odstępstwa z art. 4 ust. 7 RDW.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Rozdział 16 IIaPGW dla obszaru dorzecza Wisły oraz załącznik nr 6 do II aPGW pn. Wykaz inwestycji i działań (zwany dalej załącznikiem nr 6)</w:t>
            </w:r>
          </w:p>
        </w:tc>
        <w:tc>
          <w:tcPr>
            <w:tcW w:w="3377" w:type="dxa"/>
            <w:shd w:val="clear" w:color="auto" w:fill="auto"/>
            <w:hideMark/>
          </w:tcPr>
          <w:p w14:paraId="197876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załączniku nr 6 należy odnieść się do wszystkich warunków, które umożliwiają zastosowanie odstępstwa z art. 4 ust. 7 RDW, tj. w załączniku nr 6 należy również przedstawić aktualne przyczyny zmian i działań, o których mowa w art. 66 i art. 67 Prawa wodnego (podstawa prawna art. 68 pkt. 2 ustawy z dnia 20 lipca 2017 r. Prawo wodne (tj. Dz.U. z 2021 r. poz. 624 z późn. zm.).</w:t>
            </w:r>
          </w:p>
        </w:tc>
        <w:tc>
          <w:tcPr>
            <w:tcW w:w="3401" w:type="dxa"/>
            <w:shd w:val="clear" w:color="auto" w:fill="auto"/>
            <w:hideMark/>
          </w:tcPr>
          <w:p w14:paraId="3D6FBA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Art. 4 ust. 7 Dyrektywy 2000/60/WE Parlamentu Europejskiego i Rady z dnia 23 października 2000 r. ustanawiającej ramy wspólnotowego działania w dziedzinie polityki wodnej (Dz.U. UE z 2000 r. L 327, s. 1 ze zm.) oraz art. 68 ustawy z dnia 20 lipca 2017 r. Prawo wodne (tj. Dz.U. z 2021 r. poz. 624 z późn. zm.), wyraźnie wskazują, że warunkiem zastosowania derogacji o których mowa w art. 66, 67 Prawa wodnego jest łączne spełnienie następujących warunków, tzn.:</w:t>
            </w:r>
            <w:r w:rsidRPr="005E78BB">
              <w:rPr>
                <w:rFonts w:ascii="Calibri" w:eastAsia="Times New Roman" w:hAnsi="Calibri" w:cs="Calibri"/>
                <w:color w:val="000000"/>
                <w:sz w:val="18"/>
                <w:szCs w:val="18"/>
                <w:lang w:eastAsia="pl-PL"/>
              </w:rPr>
              <w:br w:type="page"/>
              <w:t xml:space="preserve">1. muszą zostać podjęte wszelkie działania łagodzące skutki negatywnych oddziaływań na stan jednolitych części wód; </w:t>
            </w:r>
            <w:r w:rsidRPr="005E78BB">
              <w:rPr>
                <w:rFonts w:ascii="Calibri" w:eastAsia="Times New Roman" w:hAnsi="Calibri" w:cs="Calibri"/>
                <w:color w:val="000000"/>
                <w:sz w:val="18"/>
                <w:szCs w:val="18"/>
                <w:lang w:eastAsia="pl-PL"/>
              </w:rPr>
              <w:br w:type="page"/>
              <w:t>2. należy w sposób szczegółowy przedstawić aktualne przyczyny zmian i działań,</w:t>
            </w:r>
            <w:r w:rsidRPr="005E78BB">
              <w:rPr>
                <w:rFonts w:ascii="Calibri" w:eastAsia="Times New Roman" w:hAnsi="Calibri" w:cs="Calibri"/>
                <w:color w:val="000000"/>
                <w:sz w:val="18"/>
                <w:szCs w:val="18"/>
                <w:lang w:eastAsia="pl-PL"/>
              </w:rPr>
              <w:br w:type="page"/>
              <w:t xml:space="preserve"> o których mowa w art. 66 i art. 67 Prawa wodnego; </w:t>
            </w:r>
            <w:r w:rsidRPr="005E78BB">
              <w:rPr>
                <w:rFonts w:ascii="Calibri" w:eastAsia="Times New Roman" w:hAnsi="Calibri" w:cs="Calibri"/>
                <w:color w:val="000000"/>
                <w:sz w:val="18"/>
                <w:szCs w:val="18"/>
                <w:lang w:eastAsia="pl-PL"/>
              </w:rPr>
              <w:br w:type="page"/>
              <w:t xml:space="preserve">3. przyczyny zmian i działań, o których mowa w art. 66, są uzasadnione nadrzędnym interesem publicznym, a pozytywne efekty związane z ochroną zdrowia, utrzymaniem bezpieczeństwa oraz zrównoważonym rozwojem przeważają nad korzyściami dla społeczeństwa i środowiska związanymi z osiągnięciem celów środowiskowych, o których mowa w art. 55, utraconymi w następstwie tych zmian i działań; </w:t>
            </w:r>
            <w:r w:rsidRPr="005E78BB">
              <w:rPr>
                <w:rFonts w:ascii="Calibri" w:eastAsia="Times New Roman" w:hAnsi="Calibri" w:cs="Calibri"/>
                <w:color w:val="000000"/>
                <w:sz w:val="18"/>
                <w:szCs w:val="18"/>
                <w:lang w:eastAsia="pl-PL"/>
              </w:rPr>
              <w:br w:type="page"/>
              <w:t>4. zakładane korzyści wynikające ze zmian i działań, o których mowa w pkt 1–3, nie mogą zostać osiągnięte przy zastosowaniu innych działań, znacząco korzystniejszych z punktu widzenia interesów środowiska, ze względu na negatywne uwarunkowania wykonalności technicznej lub nieproporcjonalnie wysokie koszty.</w:t>
            </w:r>
            <w:r w:rsidRPr="005E78BB">
              <w:rPr>
                <w:rFonts w:ascii="Calibri" w:eastAsia="Times New Roman" w:hAnsi="Calibri" w:cs="Calibri"/>
                <w:color w:val="000000"/>
                <w:sz w:val="18"/>
                <w:szCs w:val="18"/>
                <w:lang w:eastAsia="pl-PL"/>
              </w:rPr>
              <w:br w:type="page"/>
              <w:t>Autorzy II aPGW nie uwzględnili w załączniku nr 6 informacji o przesłankach zastosowania odstępstwa w trybie art. 4 ust. 7 pkt. 2. Wybiórcze odnoszenie się do warunków, o których mowa w art. 68 Prawa wodnego jest niedopuszczalne i niezgodne z prawem krajowym i europejskim.</w:t>
            </w:r>
            <w:r w:rsidRPr="005E78BB">
              <w:rPr>
                <w:rFonts w:ascii="Calibri" w:eastAsia="Times New Roman" w:hAnsi="Calibri" w:cs="Calibri"/>
                <w:color w:val="000000"/>
                <w:sz w:val="18"/>
                <w:szCs w:val="18"/>
                <w:lang w:eastAsia="pl-PL"/>
              </w:rPr>
              <w:br w:type="page"/>
              <w:t>Łączne spełnienie wszystkich warunków, o których mowa w art. 4 ust. 7 Dyrektywy 2000/60/WE Parlamentu Europejskiego i Rady z dnia 23 października 2000 r. ustanawiającej ramy wspólnotowego działania w dziedzinie polityki wodnej (Dz.U. UE z 2000 r. L 327, s. 1 ze zm.) oraz art. 68 ustawy z dnia 20 lipca 2017 r. Prawo wodne (tj. Dz.U. z 2021 r. poz. 624 z późn. zm.) jest obligatoryjnym wymogiem przyznania derogacji z tzw. art. 4.7 RDW.</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02406D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7CA50C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E8F6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Przywołany przepis (art. 68 pkt 2) wskazuje, że jednym z warunków odstępstwa (dla nowych działań i przedsięwzięć uniemożliwiających osiągnięcie celów środowiskowych) jest to, że "przyczyny zmian i działań, o których mowa w art. 66 i art. 67, są szczegółowo przedstawione w planie gospodarowania wodami na obszarze dorzecza i są aktualizowane co 6 lat" (jest to odpowiednik przepisu art. 4.7.b RDW: "przyczyny tych modyfikacji lub zmian są szczegółowo określone i wyjaśnione w planie gospodarowania wodami w dorzeczu wymaganym na mocy art. 13, a cele podlegają ocenie co sześć lat"). "Przyczyny zmian i działań" - to uzasadnienie realizacji działania/przedsięwzięcia objętego odstępstwem w trybie art. 68 Prawa wodnego (art. 4.7 RDW). Takie uzasadnienie zostało przedstawione w Wykazie Inwestycji i Działań (w oparciu o informacje przekazane przez inwestorów przedsięwzięć przypisanych do inwestycji z aPGW z 2016 r. oraz w oparciu o uzasadnienie decyzji wydanych z zastosowaniem art. 68 ustawy Prawo wodne).</w:t>
            </w:r>
          </w:p>
        </w:tc>
      </w:tr>
      <w:tr w:rsidR="0085319C" w:rsidRPr="005E78BB" w14:paraId="5A1774D4" w14:textId="77777777" w:rsidTr="00E92AE6">
        <w:trPr>
          <w:trHeight w:val="454"/>
        </w:trPr>
        <w:tc>
          <w:tcPr>
            <w:tcW w:w="562" w:type="dxa"/>
            <w:shd w:val="clear" w:color="auto" w:fill="auto"/>
            <w:hideMark/>
          </w:tcPr>
          <w:p w14:paraId="6F3C542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662</w:t>
            </w:r>
          </w:p>
        </w:tc>
        <w:tc>
          <w:tcPr>
            <w:tcW w:w="1021" w:type="dxa"/>
          </w:tcPr>
          <w:p w14:paraId="13A91EA4" w14:textId="5683DC5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476B91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04A749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4.7</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Wykaz inwestycji ujęty w załączniku nr 6 zawiera nieaktualne informacje odnośnie planowanych i realizowanych inwestycji, dla których przyznano odstępstwa z art. 4 ust. 7 Dyrektywy 2000/60/WE Parlamentu Europejskiego i Rady z dnia 23 października 2000 r. ustanawiającej ramy wspólnotowego działania w dziedzinie polityki wodnej (Dz.U. UE z 2000 r. L 327, s. 1 ze zm.) oraz art. 68 ustawy z dnia 20 lipca 2017 r. Prawo wodne (tj. Dz.U. z 2021 r. poz. 624 z późn. zm.).</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16 IIaPGW dla obszaru dorzecza Wisły oraz załącznik nr 6 do II aPGW pn. Wykaz inwestycji i działań (zwany dalej załącznikiem nr 6)</w:t>
            </w:r>
          </w:p>
        </w:tc>
        <w:tc>
          <w:tcPr>
            <w:tcW w:w="3377" w:type="dxa"/>
            <w:shd w:val="clear" w:color="auto" w:fill="auto"/>
            <w:hideMark/>
          </w:tcPr>
          <w:p w14:paraId="20C167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Dane zawarte w załączniku nr 6 należy zaktualizować w oparciu o  aktualne dane (dokumenty strategiczne, roczniki GUS i UE).</w:t>
            </w:r>
          </w:p>
        </w:tc>
        <w:tc>
          <w:tcPr>
            <w:tcW w:w="3401" w:type="dxa"/>
            <w:shd w:val="clear" w:color="auto" w:fill="auto"/>
            <w:hideMark/>
          </w:tcPr>
          <w:p w14:paraId="36AD9A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Art. 323 ustawy z dnia 20 lipca 2017 r. Prawo wodne (tj. Dz.U. z 2021 r. poz. 624 z późn. zm.) wskazuje, że w planie gospodarowania wodami lub jego aktualizacji uwzględnia się wykaz, o którym mowa w art. 435, według stanu na rok przed terminem opracowania planu gospodarowania wodami lub jego aktualizacji.</w:t>
            </w:r>
            <w:r w:rsidRPr="005E78BB">
              <w:rPr>
                <w:rFonts w:ascii="Calibri" w:eastAsia="Times New Roman" w:hAnsi="Calibri" w:cs="Calibri"/>
                <w:color w:val="000000"/>
                <w:sz w:val="18"/>
                <w:szCs w:val="18"/>
                <w:lang w:eastAsia="pl-PL"/>
              </w:rPr>
              <w:br/>
              <w:t>158 inwestycji, ujętych w zał. 6 do II aPGW zostało przepisanych z I aPGW, bez aktualizacji informacji. Nie dokonano przy tym weryfikacji istniejących uzasadnień, w związku z czym dane są często stare i nieaktualne.</w:t>
            </w:r>
            <w:r w:rsidRPr="005E78BB">
              <w:rPr>
                <w:rFonts w:ascii="Calibri" w:eastAsia="Times New Roman" w:hAnsi="Calibri" w:cs="Calibri"/>
                <w:color w:val="000000"/>
                <w:sz w:val="18"/>
                <w:szCs w:val="18"/>
                <w:lang w:eastAsia="pl-PL"/>
              </w:rPr>
              <w:br/>
              <w:t xml:space="preserve">Przykładowo, w odniesieniu do inwestycji pn. „Eksploatacja węgla kamiennego i metanu jako kopaliny towarzyszącej ze złoża "Dankowice 1” w kolumnie 38 tabeli autorzy powołują się na Politykę Energetyczną Polski do 2030 r. Rada Ministrów 2 lutego 2021 r. zatwierdziła „Politykę energetyczną Polski do 2040 r.” </w:t>
            </w:r>
          </w:p>
        </w:tc>
        <w:tc>
          <w:tcPr>
            <w:tcW w:w="1918" w:type="dxa"/>
            <w:shd w:val="clear" w:color="auto" w:fill="auto"/>
            <w:hideMark/>
          </w:tcPr>
          <w:p w14:paraId="3D0964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2C743C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24632CC" w14:textId="7420F68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 Natomiast w odniesieniu do stwierdzenia, że "158 inwestycji, ujętych w zał. 6 do II aPGW zostało przepisanych z I aPGW, bez aktualizacji informacji. Nie dokonano przy tym weryfikacji istniejących uzasadnień (...)" należy wyjaśnić, że wszystkie informacja o inwestycjach z aPGW z 2016 r. zostały zaktualizowane i zweryfikowane. Każdy z inwestorów odpowiedzialnych za realizację przedsięwzięć zweryfikował i potwierdził aktualność przedstawianych danych (za pośrednictwem ankietyzacji prowadzonej z użyciem narzędzi bazodanych w systemie on-line).</w:t>
            </w:r>
          </w:p>
        </w:tc>
      </w:tr>
      <w:tr w:rsidR="0085319C" w:rsidRPr="005E78BB" w14:paraId="004E3319" w14:textId="77777777" w:rsidTr="00E92AE6">
        <w:trPr>
          <w:trHeight w:val="454"/>
        </w:trPr>
        <w:tc>
          <w:tcPr>
            <w:tcW w:w="562" w:type="dxa"/>
            <w:shd w:val="clear" w:color="auto" w:fill="auto"/>
            <w:hideMark/>
          </w:tcPr>
          <w:p w14:paraId="50E9D61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663</w:t>
            </w:r>
          </w:p>
        </w:tc>
        <w:tc>
          <w:tcPr>
            <w:tcW w:w="1021" w:type="dxa"/>
          </w:tcPr>
          <w:p w14:paraId="2E00D906" w14:textId="1BA9981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52C200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7787A26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4.7</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Załącznik nr 6 zawiera niepełne informacje odnośnie wydanych decyzji administracyjnych (decyzje o środowiskowych uwarunkowaniach, oceny wodnoprawne) na temat działań i przedsięwzięć, dla których wydano (w okresie od daty przyjęcia aPGW do 21 grudnia 2020 r.) ostateczną decyzję potwierdzającą spełnienie warunków, o których mowa w art. 68 ustawy z dnia 20 lipca 2017 r. Prawo wodne (tj. Dz.U. z 2021 r. poz. 624 z późn. zm.).</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16 IIaPGW dla obszaru dorzecza Wisły oraz załącznik nr 6 do II aPGW pn. Wykaz inwestycji i działań (zwany dalej załącznikiem nr 6)</w:t>
            </w:r>
          </w:p>
        </w:tc>
        <w:tc>
          <w:tcPr>
            <w:tcW w:w="3377" w:type="dxa"/>
            <w:shd w:val="clear" w:color="auto" w:fill="auto"/>
            <w:hideMark/>
          </w:tcPr>
          <w:p w14:paraId="296EE4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Fundacja RT-ON wnosi o weryfikację i uzupełnienie informacji zawartych w załączniku nr 6.</w:t>
            </w:r>
            <w:r w:rsidRPr="005E78BB">
              <w:rPr>
                <w:rFonts w:ascii="Calibri" w:eastAsia="Times New Roman" w:hAnsi="Calibri" w:cs="Calibri"/>
                <w:color w:val="000000"/>
                <w:sz w:val="18"/>
                <w:szCs w:val="18"/>
                <w:lang w:eastAsia="pl-PL"/>
              </w:rPr>
              <w:br/>
              <w:t>W przypadku braku informacji o wydanej decyzji o środowiskowych uwarunkowaniach lub przeprowadzonej ocenie wodnoprawnej oraz wydanej deklaracji zgodności z RDW (przez organ właściwy w sprawach ocen wodnoprawnych), należy usunąć inwestycję z listy, gdyż nie spełnia ona warunków określonych w art. 4 ust. 7 Dyrektywy 2000/60/WE Parlamentu Europejskiego i Rady z dnia 23 października 2000 r. ustanawiającej ramy wspólnotowego działania w dziedzinie polityki wodnej (Dz.U. UE z 2000 r. L 327, s. 1 ze zm.) oraz art. 68 ustawy z dnia 20 lipca 2017 r. Prawo wodne (tj. Dz.U. z 2021 r. poz. 624 z późn. zm.).</w:t>
            </w:r>
          </w:p>
        </w:tc>
        <w:tc>
          <w:tcPr>
            <w:tcW w:w="3401" w:type="dxa"/>
            <w:shd w:val="clear" w:color="auto" w:fill="auto"/>
            <w:hideMark/>
          </w:tcPr>
          <w:p w14:paraId="1E439F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Zgodnie z treścią rozdz. 16 (str. 409), przedłożonego do konsultacji społecznych II planu gospodarowania wodami dla obszaru dorzecza Wisły, wykaz inwestycji ujęty w załączniku nr 6, pełni  funkcję sprawozdawczą i przedstawia informacje wynikające z decyzji administracyjnych (decyzje o środowiskowych uwarunkowaniach, oceny wodnoprawne) na temat działań i przedsięwzięć, dla których wydano (w okresie od daty przyjęcia aPGW do 21 grudnia 2020 r.) ostateczną decyzję potwierdzającą spełnienie warunków, o których mowa w art. 68 ustawy Prawo wodne. </w:t>
            </w:r>
            <w:r w:rsidRPr="005E78BB">
              <w:rPr>
                <w:rFonts w:ascii="Calibri" w:eastAsia="Times New Roman" w:hAnsi="Calibri" w:cs="Calibri"/>
                <w:color w:val="000000"/>
                <w:sz w:val="18"/>
                <w:szCs w:val="18"/>
                <w:lang w:eastAsia="pl-PL"/>
              </w:rPr>
              <w:br/>
              <w:t>W załączniku nr 6 przyznano derogacje dla 270 inwestycji lub działań zlokalizowanych w dorzeczu Wisły z zakresu ochrony przeciwpowodziowej, hydroenergetyki, żeglugi oraz wydobywania kopalin (odwadniania górotworu). Realizacja  inwestycji i działań ujętych w załączniku może znacząco oddziaływać na stan ilościowy i jakościowy zasobów wodnych, a tym samym wpłynąć na  możliwość użytkowania wód przez inne podmioty.</w:t>
            </w:r>
            <w:r w:rsidRPr="005E78BB">
              <w:rPr>
                <w:rFonts w:ascii="Calibri" w:eastAsia="Times New Roman" w:hAnsi="Calibri" w:cs="Calibri"/>
                <w:color w:val="000000"/>
                <w:sz w:val="18"/>
                <w:szCs w:val="18"/>
                <w:lang w:eastAsia="pl-PL"/>
              </w:rPr>
              <w:br/>
              <w:t>Po analizie informacji zawartych w załączniku stwierdzono brak danych odnośnie:</w:t>
            </w:r>
            <w:r w:rsidRPr="005E78BB">
              <w:rPr>
                <w:rFonts w:ascii="Calibri" w:eastAsia="Times New Roman" w:hAnsi="Calibri" w:cs="Calibri"/>
                <w:color w:val="000000"/>
                <w:sz w:val="18"/>
                <w:szCs w:val="18"/>
                <w:lang w:eastAsia="pl-PL"/>
              </w:rPr>
              <w:br/>
              <w:t>● wydanych decyzji o środowiskowych uwarunkowaniach w przypadku</w:t>
            </w:r>
            <w:r w:rsidRPr="005E78BB">
              <w:rPr>
                <w:rFonts w:ascii="Calibri" w:eastAsia="Times New Roman" w:hAnsi="Calibri" w:cs="Calibri"/>
                <w:color w:val="000000"/>
                <w:sz w:val="18"/>
                <w:szCs w:val="18"/>
                <w:lang w:eastAsia="pl-PL"/>
              </w:rPr>
              <w:br/>
              <w:t xml:space="preserve"> 236 inwestycji;</w:t>
            </w:r>
            <w:r w:rsidRPr="005E78BB">
              <w:rPr>
                <w:rFonts w:ascii="Calibri" w:eastAsia="Times New Roman" w:hAnsi="Calibri" w:cs="Calibri"/>
                <w:color w:val="000000"/>
                <w:sz w:val="18"/>
                <w:szCs w:val="18"/>
                <w:lang w:eastAsia="pl-PL"/>
              </w:rPr>
              <w:br/>
              <w:t>● przeprowadzonych ocenach wodnoprawnych dla 262 inwestycji;</w:t>
            </w:r>
            <w:r w:rsidRPr="005E78BB">
              <w:rPr>
                <w:rFonts w:ascii="Calibri" w:eastAsia="Times New Roman" w:hAnsi="Calibri" w:cs="Calibri"/>
                <w:color w:val="000000"/>
                <w:sz w:val="18"/>
                <w:szCs w:val="18"/>
                <w:lang w:eastAsia="pl-PL"/>
              </w:rPr>
              <w:br/>
              <w:t>● wydanych deklaracjach zgodności z RDW, przez organ właściwy w sprawach ocen wodnoprawnych, dla 262 inwestycji.</w:t>
            </w:r>
            <w:r w:rsidRPr="005E78BB">
              <w:rPr>
                <w:rFonts w:ascii="Calibri" w:eastAsia="Times New Roman" w:hAnsi="Calibri" w:cs="Calibri"/>
                <w:color w:val="000000"/>
                <w:sz w:val="18"/>
                <w:szCs w:val="18"/>
                <w:lang w:eastAsia="pl-PL"/>
              </w:rPr>
              <w:br/>
              <w:t>Zgodnie z art. 435, 436 ustawy z dnia 20 lipca 2017 r. Prawo wodne (tj. Dz.U. z 2021 r. poz. 624 z późn. zm.) w aktualizacji planów gospodarowania wodami na obszarze dorzecza uwzględnia się wykaz planowanych inwestycji lub działań mogących wpłynąć na możliwość osiągnięcia celów środowiskowych, o których mowa w art. 56, art. 57, art. 59 oraz w art. 61. Jak wskazuje ustawodawca, wykaz ma obejmować informacje o wydanych ocenach wodnoprawnych oraz o przyczynach odmowy wydania oceny wodnoprawnej.</w:t>
            </w:r>
            <w:r w:rsidRPr="005E78BB">
              <w:rPr>
                <w:rFonts w:ascii="Calibri" w:eastAsia="Times New Roman" w:hAnsi="Calibri" w:cs="Calibri"/>
                <w:color w:val="000000"/>
                <w:sz w:val="18"/>
                <w:szCs w:val="18"/>
                <w:lang w:eastAsia="pl-PL"/>
              </w:rPr>
              <w:br/>
              <w:t>Ponadto, zgodnie z art. 439 po wydaniu oceny wodnoprawnej, o której mowa w art. 430, art. 431 i art. 434 ust. 1, organ właściwy w sprawach ocen wodnoprawnych w celu potwierdzenia zgodności inwestycji lub działań, o których mowa w art. 425, z celami środowiskowymi, o których mowa w art. 56, art. 57, art. 59 i w art. 61, sporządza deklarację zgodności.</w:t>
            </w:r>
            <w:r w:rsidRPr="005E78BB">
              <w:rPr>
                <w:rFonts w:ascii="Calibri" w:eastAsia="Times New Roman" w:hAnsi="Calibri" w:cs="Calibri"/>
                <w:color w:val="000000"/>
                <w:sz w:val="18"/>
                <w:szCs w:val="18"/>
                <w:lang w:eastAsia="pl-PL"/>
              </w:rPr>
              <w:br/>
              <w:t xml:space="preserve">W niektórych przypadkach, które dotyczą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(t.j. Dz. U. z 2021 r. poz. 247 z poźn. zm.), art. 428 ustawy Prawo wodne wskazuje, że ocena wodnoprawna zostaje zastąpiona decyzją o środowiskowych uwarunkowaniach oraz decyzją, przed wydaniem której jest przeprowadzana ponowna ocena oddziaływania na środowisko – o ile taka ocena jest w przypadku danego przedsięwzięcia przeprowadzana. </w:t>
            </w:r>
            <w:r w:rsidRPr="005E78BB">
              <w:rPr>
                <w:rFonts w:ascii="Calibri" w:eastAsia="Times New Roman" w:hAnsi="Calibri" w:cs="Calibri"/>
                <w:color w:val="000000"/>
                <w:sz w:val="18"/>
                <w:szCs w:val="18"/>
                <w:lang w:eastAsia="pl-PL"/>
              </w:rPr>
              <w:br/>
              <w:t>W załączniku nr 6 wymieniono inwestycje, które zalicza się do katalogu przedsięwzięć mogących zawsze znacząco oddziaływać na środowisko, o których mowa w §2 ust. 1 pkt 27 a) i b) Rozporządzenia Rady Ministrów z dnia 10 września 2019 r. w sprawie przedsięwzięć mogących znacząco oddziaływać na środowisko (Dz. U. z 2019 r. poz. 1839).</w:t>
            </w:r>
            <w:r w:rsidRPr="005E78BB">
              <w:rPr>
                <w:rFonts w:ascii="Calibri" w:eastAsia="Times New Roman" w:hAnsi="Calibri" w:cs="Calibri"/>
                <w:color w:val="000000"/>
                <w:sz w:val="18"/>
                <w:szCs w:val="18"/>
                <w:lang w:eastAsia="pl-PL"/>
              </w:rPr>
              <w:br/>
              <w:t>Zgodnie z § 2  ust. 1 pkt. 27 b) w/w rozporządzenia decyzja o środowiskowych uwarunkowaniach powinna zostać wydana dla przedsięwzięć związanych z wydobywaniem kopalin ze złoża metodą podziemną, o wydobyciu kopaliny nie mniejszym niż 100 000 m3 na rok. Tymczasem w załączniku nr 6 zawarto inwestycje, które nie posiadają wydanej decyzji środowiskowej, tj.:</w:t>
            </w:r>
            <w:r w:rsidRPr="005E78BB">
              <w:rPr>
                <w:rFonts w:ascii="Calibri" w:eastAsia="Times New Roman" w:hAnsi="Calibri" w:cs="Calibri"/>
                <w:color w:val="000000"/>
                <w:sz w:val="18"/>
                <w:szCs w:val="18"/>
                <w:lang w:eastAsia="pl-PL"/>
              </w:rPr>
              <w:br/>
              <w:t>● Wydobycie węgla kamiennego ze złóż na podstawie koncesji z kopalń Katowickiego Holdingu Węglowego S.A. - przedłużenie posiadanych koncesji. Zgodnie z informacją zawartą w tabeli zakłada się roczną produkcję węgla na poziomie ok. 9 mln t/rok;</w:t>
            </w:r>
            <w:r w:rsidRPr="005E78BB">
              <w:rPr>
                <w:rFonts w:ascii="Calibri" w:eastAsia="Times New Roman" w:hAnsi="Calibri" w:cs="Calibri"/>
                <w:color w:val="000000"/>
                <w:sz w:val="18"/>
                <w:szCs w:val="18"/>
                <w:lang w:eastAsia="pl-PL"/>
              </w:rPr>
              <w:br/>
              <w:t>● Eksploatacja kopaliny ze złoża węgla kamiennego Brzeziny i Piekary;</w:t>
            </w:r>
            <w:r w:rsidRPr="005E78BB">
              <w:rPr>
                <w:rFonts w:ascii="Calibri" w:eastAsia="Times New Roman" w:hAnsi="Calibri" w:cs="Calibri"/>
                <w:color w:val="000000"/>
                <w:sz w:val="18"/>
                <w:szCs w:val="18"/>
                <w:lang w:eastAsia="pl-PL"/>
              </w:rPr>
              <w:br/>
              <w:t>● Budowa podziemnej kopalni w celu wydobywania rud cynku i ołowiu ze złoża Zawiercie 3.</w:t>
            </w:r>
            <w:r w:rsidRPr="005E78BB">
              <w:rPr>
                <w:rFonts w:ascii="Calibri" w:eastAsia="Times New Roman" w:hAnsi="Calibri" w:cs="Calibri"/>
                <w:color w:val="000000"/>
                <w:sz w:val="18"/>
                <w:szCs w:val="18"/>
                <w:lang w:eastAsia="pl-PL"/>
              </w:rPr>
              <w:br/>
              <w:t>W związku z powyższym niezrozumiałym jest brak decyzji o środowiskowych uwarunkowaniach, tym bardziej, że obszar Górnośląskiego Okręgu Przemysłowego znajduje się pod silną presją wydobycia złóż węgla kamiennego, która przejawia się przede wszystkim zmianą stosunków wodnych oraz ukształtowania terenu (osiadanie gruntu, powstawanie hałd). Na tym terenie obserwuje się również występowanie i sukcesywne powiększanie się leji depresji, zmiany właściwości fizycznych i chemicznych wód oraz morfologiczne zmiany w korytach cieków.</w:t>
            </w:r>
            <w:r w:rsidRPr="005E78BB">
              <w:rPr>
                <w:rFonts w:ascii="Calibri" w:eastAsia="Times New Roman" w:hAnsi="Calibri" w:cs="Calibri"/>
                <w:color w:val="000000"/>
                <w:sz w:val="18"/>
                <w:szCs w:val="18"/>
                <w:lang w:eastAsia="pl-PL"/>
              </w:rPr>
              <w:br/>
              <w:t>W załączniku nr 6 wpisano również inwestycję pn. „Eksploatacja węgla kamiennego i metanu jako kopaliny towarzyszącej ze złoża Dankowice 1”, pomimo tego, iż inwestor nie uzyskał prawomocnej decyzji o środowiskowych uwarunkowaniach realizacji przedsięwzięcia.</w:t>
            </w:r>
            <w:r w:rsidRPr="005E78BB">
              <w:rPr>
                <w:rFonts w:ascii="Calibri" w:eastAsia="Times New Roman" w:hAnsi="Calibri" w:cs="Calibri"/>
                <w:color w:val="000000"/>
                <w:sz w:val="18"/>
                <w:szCs w:val="18"/>
                <w:lang w:eastAsia="pl-PL"/>
              </w:rPr>
              <w:br/>
              <w:t>Od decyzji Regionalnego Dyrektora Ochrony Środowiska w Katowicach, nr WOOŚ.420.132.2018.AM/AS3/MP1.32 z dnia 2020-07-21, wniesiono odwołanie. Na czas oddania projektu II aktualizacji Planu gospodarowania wodami dla obszaru dorzecza Wisły do konsultacji społecznych, toczyło się postępowanie odwoławcze, co zostało nawet wskazane w załączniku nr  6, wiersz 19, kolumna Q i R. W związku z czym nie ma podstaw prawnych do wpisania inwestycji pn. Eksploatacja węgla kamiennego i metanu jako kopaliny towarzyszącej ze złoża Dankowice 1” na listę inwestycji i działań ujętych w załączniku nr 6.</w:t>
            </w:r>
            <w:r w:rsidRPr="005E78BB">
              <w:rPr>
                <w:rFonts w:ascii="Calibri" w:eastAsia="Times New Roman" w:hAnsi="Calibri" w:cs="Calibri"/>
                <w:color w:val="000000"/>
                <w:sz w:val="18"/>
                <w:szCs w:val="18"/>
                <w:lang w:eastAsia="pl-PL"/>
              </w:rPr>
              <w:br/>
              <w:t xml:space="preserve">Inwestycja została wpisana na listę oraz przyznano jej derogacje pomimo tego, że nie jest uprawnione wskazywanie w wykazie takich przedsięwzięć, które nie mają ostatecznej decyzji o środowiskowych uwarunkowaniach (czyli: toczy się postępowanie odwoławcze). Takie stanowisko zostało zaprezentowane w samym IIaPGW dla obszaru dorzecza Wisły, na stronie 407, gdzie stwierdzono, że wykaz, zawarty w załączniku nr 6,  pełni funkcję sprawozdawczą. Przedstawia on informacje wynikające z decyzji administracyjnych (decyzje o środowiskowych uwarunkowaniach, oceny wodnoprawne) na temat działań i przedsięwzięć, dla których wydano (w okresie od daty przyjęcia aPGW do 21 grudnia 2020 r. ) ostateczną decyzję potwierdzającą spełnienie warunków, o których mowa w art. 68 ustawy prawo wodne. </w:t>
            </w:r>
            <w:r w:rsidRPr="005E78BB">
              <w:rPr>
                <w:rFonts w:ascii="Calibri" w:eastAsia="Times New Roman" w:hAnsi="Calibri" w:cs="Calibri"/>
                <w:color w:val="000000"/>
                <w:sz w:val="18"/>
                <w:szCs w:val="18"/>
                <w:lang w:eastAsia="pl-PL"/>
              </w:rPr>
              <w:br/>
              <w:t xml:space="preserve">W związku z tym wskazać należy, że IIaPGW jest wewnętrznie sprzeczny (z jednej strony zakłada ujęcie wyłącznie inwestycji dla których wydano ostateczne decyzje, a z drugiej strony świadomie uwzględniana jest inwestycja z nieposiadająca ostatecznej decyzji środowiskowej). Poza tym projekt dokumentu jest niezgodny z prawem. Nieostateczna decyzja o środowiskowych uwarunkowaniach, nie przesądza o tym, że derogacja została w sposób ostateczny i pewny przyznana. Zgodnie z KPA, w postępowaniu administracyjnym, co do zasady dwuinstancyjnym, decyzja o środowiskowych uwarunkowaniach może zostać w istotny sposób zmieniona, a nawet uchylona w wyniku postępowania odwoławczego. Co więcej, w przebiegu postępowania odwoławczego dochodzi niejednokrotnie do uzupełnienia lub istotnych modyfikacji treści raportu oddziaływania przedsięwzięcia na środowisko. Ponadto każda ze stron uczestniczących w postępowaniu ma możliwość przedstawiania nowych dowodów, tzw. kontrraportu, dopuszczalny jest również dowód z opinii biegłego. Wszystko to sprawia, że po wydaniu decyzji w pierwszej instancji nie można mówić o kompletnej i ukończonej ocenie spełnienia przesłanek do przyznania odstępstwa. </w:t>
            </w:r>
          </w:p>
        </w:tc>
        <w:tc>
          <w:tcPr>
            <w:tcW w:w="1918" w:type="dxa"/>
            <w:shd w:val="clear" w:color="auto" w:fill="auto"/>
            <w:hideMark/>
          </w:tcPr>
          <w:p w14:paraId="233A03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03A430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CF579CB" w14:textId="4DA99EF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0F6C0B77" w14:textId="77777777" w:rsidTr="00E92AE6">
        <w:trPr>
          <w:trHeight w:val="454"/>
        </w:trPr>
        <w:tc>
          <w:tcPr>
            <w:tcW w:w="562" w:type="dxa"/>
            <w:shd w:val="clear" w:color="auto" w:fill="auto"/>
            <w:hideMark/>
          </w:tcPr>
          <w:p w14:paraId="530AEB1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664</w:t>
            </w:r>
          </w:p>
        </w:tc>
        <w:tc>
          <w:tcPr>
            <w:tcW w:w="1021" w:type="dxa"/>
          </w:tcPr>
          <w:p w14:paraId="1FD60DB5" w14:textId="543CFFC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7D4C4A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72D843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4.7</w:t>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Derogacje z art. 4.7 RDW są przyznawane bez określenia w choćby minimalnym stopniu, jak dane przedsięwzięcie wpłynie na środowisko wodne, co uniemożliwia weryfikację spełnienia przesłanek z art. 4 RDW i zasadności przyznania derogacji.</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Rozdział 16 IIaPGW dla obszaru dorzecza Wisły oraz załącznik nr 6 do II aPGW pn. Wykaz inwestycji i działań (zwany dalej załącznikiem nr 6)</w:t>
            </w:r>
          </w:p>
        </w:tc>
        <w:tc>
          <w:tcPr>
            <w:tcW w:w="3377" w:type="dxa"/>
            <w:shd w:val="clear" w:color="auto" w:fill="auto"/>
            <w:hideMark/>
          </w:tcPr>
          <w:p w14:paraId="6D9FA2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informacje o przewidywanych oddziaływaniach / presjach na środowisko wodne oraz o przewidywanym wpływie na osiągnięcie lub pogorszenie stanu jednolitych części wód, analogicznie dla informacji podawanych w zał. 8 dla derogacji z art. 4.4 i 4.5 RDW.</w:t>
            </w:r>
          </w:p>
        </w:tc>
        <w:tc>
          <w:tcPr>
            <w:tcW w:w="3401" w:type="dxa"/>
            <w:shd w:val="clear" w:color="auto" w:fill="auto"/>
            <w:hideMark/>
          </w:tcPr>
          <w:p w14:paraId="202298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Derogacje z art. 4.7 RDW są przyznawane bez określenia w choćby minimalnym stopniu, jak dane przedsięwzięcie wpłynie na środowisko wodne. Nie podano informacji o przewidywanych rodzajach presji, substancjach powodujących presje ani które cele środowiskowe dla wód nie zostaną osiągnięte i w jakim okresie. </w:t>
            </w:r>
            <w:r w:rsidRPr="005E78BB">
              <w:rPr>
                <w:rFonts w:ascii="Calibri" w:eastAsia="Times New Roman" w:hAnsi="Calibri" w:cs="Calibri"/>
                <w:color w:val="000000"/>
                <w:sz w:val="18"/>
                <w:szCs w:val="18"/>
                <w:lang w:eastAsia="pl-PL"/>
              </w:rPr>
              <w:br w:type="page"/>
              <w:t>Nie podano, czy derogacja dotyczy nieosiągnięcia dobrego stanu wód na skutek realizacji przedsięwzięcia, czy jego pogorszenia. W tym drugim przypadku, jeśli dla JCW objętych oddziaływaniem przedsięwzięć wymienionych w zał. 6 istnieją równocześnie derogacje z art. 4.4 lub 4.5, istnieje konflikt, gdyż derogacje 4.4 i 4.5 zezwalają na nieosiągnięcie dobrego stanu wód pod warunkiem, że nie ulegnie on dalszemu pogorszeniu. Dlatego brak ww. informacji sprawia, że nie można ocenić, czy derogacja z art. 4.7 mogła zostać przyznana.</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A3A8A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62D030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F3CF7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1. Uzasadnienie odstępstwa zostało przedstawione w Wykazie Inwestycji i Działań (w oparciu o informacje przekazane przez inwestorów przedsięwzięć przypisanych do inwestycji z aPGW z 2016 r. oraz w oparciu o uzasadnienie decyzji wydanych z zastosowaniem art. 68 ustawy Prawo wodne).</w:t>
            </w:r>
            <w:r w:rsidRPr="005E78BB">
              <w:rPr>
                <w:rFonts w:ascii="Calibri" w:eastAsia="Times New Roman" w:hAnsi="Calibri" w:cs="Calibri"/>
                <w:color w:val="000000"/>
                <w:sz w:val="18"/>
                <w:szCs w:val="18"/>
                <w:lang w:eastAsia="pl-PL"/>
              </w:rPr>
              <w:br w:type="page"/>
              <w:t>2. Odnośnie do relacji pomiędzy odstępstwami 4.4-5 RDW a 4.7 RDW: w wytycznych CIS nr 36 w rozdziale 5.5.3 jasno wykazano, że RDW dopuszcza sytuację, w której od zakazu dalszego pogarszania stanu wód (odstępstwo 4.4-4.5) będzie możliwe odstąpienie w sytuacji, gdy będą spełnione przesłanki wskazane w art. 4.7 RDW.</w:t>
            </w:r>
            <w:r w:rsidRPr="005E78BB">
              <w:rPr>
                <w:rFonts w:ascii="Calibri" w:eastAsia="Times New Roman" w:hAnsi="Calibri" w:cs="Calibri"/>
                <w:color w:val="000000"/>
                <w:sz w:val="18"/>
                <w:szCs w:val="18"/>
                <w:lang w:eastAsia="pl-PL"/>
              </w:rPr>
              <w:br w:type="page"/>
              <w:t>3. Wykaz Inwestycji i Działań zawiera informacje wymagane przepisami prawa oraz wymogami KE co do raportowania dot. IIaPGW. Nie ma prawnych wymogów dla przedstawiania w Wykazie Inwestycji i Działań skutków środowiskowych inwestycji objętych odstępstwem z art. 4.7 RDW. Informacje te zawierają dokumentacje środowiskowe i decyzje administracyjne stanowiące podstawę dla wskazania odstępstwa z art. 4.7. RDW dla każdej z inwestycji. Natomiast przyszłe skutki środowiskowe tych inwestycji będą identyfikowane i analizowane w ramach przyszłych analiz presji (przeprowadzonych w ramach cyklu aktualizacyjnego PGW).</w:t>
            </w:r>
          </w:p>
        </w:tc>
      </w:tr>
      <w:tr w:rsidR="0085319C" w:rsidRPr="005E78BB" w14:paraId="0678E2F8" w14:textId="77777777" w:rsidTr="00E92AE6">
        <w:trPr>
          <w:trHeight w:val="454"/>
        </w:trPr>
        <w:tc>
          <w:tcPr>
            <w:tcW w:w="562" w:type="dxa"/>
            <w:shd w:val="clear" w:color="auto" w:fill="auto"/>
            <w:hideMark/>
          </w:tcPr>
          <w:p w14:paraId="3F007CE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665</w:t>
            </w:r>
          </w:p>
        </w:tc>
        <w:tc>
          <w:tcPr>
            <w:tcW w:w="1021" w:type="dxa"/>
          </w:tcPr>
          <w:p w14:paraId="1B9F8413" w14:textId="432C4E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72DF2A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76772CE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4.4 i 4.5</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Derogacje z art. 4.4 i 4.5 systemowo przyznawane bez uzasadnień, które uprawniałyby przyznanie derogacji (tj. dowodziły spełnienia przesłanek z art. 4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8 II aPGW dla obszaru dorzecza Wisły oraz załącznik nr 8 pn. Wykaz odstępstw Wisła</w:t>
            </w:r>
          </w:p>
        </w:tc>
        <w:tc>
          <w:tcPr>
            <w:tcW w:w="3377" w:type="dxa"/>
            <w:shd w:val="clear" w:color="auto" w:fill="auto"/>
            <w:hideMark/>
          </w:tcPr>
          <w:p w14:paraId="5503C7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Zweryfikować podane uzasadnienia derogacji z art. 4.4 i 4.5, usunąć z IIaPGW derogacje, których uzasadnienia nie dowodzą spełnienia przesłanek z art. 4 RDW.</w:t>
            </w:r>
          </w:p>
        </w:tc>
        <w:tc>
          <w:tcPr>
            <w:tcW w:w="3401" w:type="dxa"/>
            <w:shd w:val="clear" w:color="auto" w:fill="auto"/>
            <w:hideMark/>
          </w:tcPr>
          <w:p w14:paraId="0D02E11F" w14:textId="44797591"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dokumentu „hojnie” przyznaje się derogacje z art. 4.4 i 4.5. Łącznie przyznano 1620 derogacji z art. 4.4 oraz 1222 z art. 4.5. Szczegółowe zestawienie przyznanych derogacji prezentują poniższe tabele:</w:t>
            </w:r>
            <w:r w:rsidRPr="005E78BB">
              <w:rPr>
                <w:rFonts w:ascii="Calibri" w:eastAsia="Times New Roman" w:hAnsi="Calibri" w:cs="Calibri"/>
                <w:color w:val="000000"/>
                <w:sz w:val="18"/>
                <w:szCs w:val="18"/>
                <w:lang w:eastAsia="pl-PL"/>
              </w:rPr>
              <w:br/>
              <w:t>derogacje z art. 4.4</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_RW, liczba JCW, którym przyznano derogacje: 1281, % JCW, którym przyznano derogacje: 74,52%</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_LW, liczba JCW, którym przyznano derogacje: 310,  % JCW, którym przyznano derogacje: 62,12%</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_RWr, liczba JCW, którym przyznano derogacje: 20,  % JCW, którym przyznano derogacje: 76,92%</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_TW_CW, liczba JCW, którym przyznano derogacje: 7,  % JCW, którym przyznano derogacje: 100,00%</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liczba JCW, którym przyznano derogacje: 2,  % JCW, którym przyznano derogacje: 2,13%</w:t>
            </w:r>
            <w:r w:rsidRPr="005E78BB">
              <w:rPr>
                <w:rFonts w:ascii="Calibri" w:eastAsia="Times New Roman" w:hAnsi="Calibri" w:cs="Calibri"/>
                <w:color w:val="000000"/>
                <w:sz w:val="18"/>
                <w:szCs w:val="18"/>
                <w:lang w:eastAsia="pl-PL"/>
              </w:rPr>
              <w:br/>
              <w:t>rodzaj JCW: Wszystkie JCW, liczba JCW, którym przyznano derogacje: 1620, % JCW, którym przyznano derogacje: 69,1%</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derogacje z art. 4.5</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_RW, liczba JCW, którym przyznano derogacje: 1068, % JCW, którym przyznano derogacje: 62,13%</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_LW, liczba JCW, którym przyznano derogacje: 124, % JCW, którym przyznano derogacje: 24,85%</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_RWr, liczba JCW, którym przyznano derogacje: 19, % JCW, którym przyznano derogacje: 73,08%</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_TW_CW, liczba JCW, którym przyznano derogacje: 4, % JCW, którym przyznano derogacje: 57,14%</w:t>
            </w:r>
            <w:r w:rsidRPr="005E78BB">
              <w:rPr>
                <w:rFonts w:ascii="Calibri" w:eastAsia="Times New Roman" w:hAnsi="Calibri" w:cs="Calibri"/>
                <w:color w:val="000000"/>
                <w:sz w:val="18"/>
                <w:szCs w:val="18"/>
                <w:lang w:eastAsia="pl-PL"/>
              </w:rPr>
              <w:br/>
              <w:t xml:space="preserve">rodzaj JCW: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liczba JCW, którym przyznano derogacje: 7, % JCW, którym przyznano derogacje: 7,45%</w:t>
            </w:r>
            <w:r w:rsidRPr="005E78BB">
              <w:rPr>
                <w:rFonts w:ascii="Calibri" w:eastAsia="Times New Roman" w:hAnsi="Calibri" w:cs="Calibri"/>
                <w:color w:val="000000"/>
                <w:sz w:val="18"/>
                <w:szCs w:val="18"/>
                <w:lang w:eastAsia="pl-PL"/>
              </w:rPr>
              <w:br/>
              <w:t>rodzaj JCW: Wszystkie JCW, liczba JCW, którym przyznano derogacje: 1222, % JCW, którym przyznano derogacje: 52,1%</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Podane w zał. 8 uzasadnienia przyznanych derogacji, mające dowodzić spełnienia przesłanek z art. 4 RDW, są niewystarczające, ogólnikowe, niezgodne ze stanem faktycznym i prawnym.</w:t>
            </w:r>
            <w:r w:rsidRPr="005E78BB">
              <w:rPr>
                <w:rFonts w:ascii="Calibri" w:eastAsia="Times New Roman" w:hAnsi="Calibri" w:cs="Calibri"/>
                <w:color w:val="000000"/>
                <w:sz w:val="18"/>
                <w:szCs w:val="18"/>
                <w:lang w:eastAsia="pl-PL"/>
              </w:rPr>
              <w:br/>
              <w:t xml:space="preserve">W części tabeli w załączniku 8 dot. ustalenia mniej rygorystycznych celów środowiskowych (derogacji z art. 4.5 RDW), w kol. “Potrzeba społeczno-ekonomiczna zaspokajana przez źródło presji antropogenicznej determinującej na stan wód w stopniu zagrażającym osiągnięciu celów środowiskowych”, dla 44,96%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(873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_RW, 118</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_LW, 17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_RWr, 4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_TW-CW) zastosowano następujące uzasadnienie derogacji (nie zawsze w tej samej kolejności): </w:t>
            </w:r>
            <w:r w:rsidRPr="005E78BB">
              <w:rPr>
                <w:rFonts w:ascii="Calibri" w:eastAsia="Times New Roman" w:hAnsi="Calibri" w:cs="Calibri"/>
                <w:color w:val="000000"/>
                <w:sz w:val="18"/>
                <w:szCs w:val="18"/>
                <w:lang w:eastAsia="pl-PL"/>
              </w:rPr>
              <w:br/>
              <w:t xml:space="preserve">“Emanacją potrzeb społeczno-ekonomicznych jest prowadzona działalność gospodarcza, budownictwo mieszkaniowe, gospodarka komunalna, infrastruktura transportowa. Funkcjonowanie zurbanizowanych ośrodków społeczno-przemysłowo-gospodarczych i centrów komunikacyjnych jest niezbędne dla rozwoju gospodarczego oraz podtrzymania i rozwoju funkcji społecznych, komunikacyjnych, usługowych i przemysłowych. Szczegółowe ustalenia w tym zakresie zawarte są w lokalnych strategia rozwoju oraz w aktach planowania przestrzennego. W odniesieniu do benzo(a)pirenu, którego źródłem jest emisja ze spalania paliw w celu produkcji energii cieplnej: zaopatrzenie mieszkańców w energię cieplną jest elementarną potrzebą społeczną (w regionalnych warunkach klimatycznych) w zakresie zapewnienia odpowiednich warunków życia. Transport samochodowy (i związana z nim emisja zanieczyszczeń) jest niezbędny dla podtrzymania systemów społeczno-gospodarczych związanych z gospodarką, edukacją, handlem, rekreacją i ochroną zdrowia” </w:t>
            </w:r>
            <w:r w:rsidRPr="005E78BB">
              <w:rPr>
                <w:rFonts w:ascii="Calibri" w:eastAsia="Times New Roman" w:hAnsi="Calibri" w:cs="Calibri"/>
                <w:color w:val="000000"/>
                <w:sz w:val="18"/>
                <w:szCs w:val="18"/>
                <w:lang w:eastAsia="pl-PL"/>
              </w:rPr>
              <w:br/>
              <w:t>Jest to niedopuszczalne i niezgodne z podstawowymi założeniami Ramowej Dyrektywy Wodnej, aby przyznawać derogacje od celów dla wód systemowo, bez prawidłowego i rzetelnego uzasadnienia i udowodnienia spełnienia przesłanek z art. 4 RDW. Wszystkie derogacje przyznane na tak nierzetelnej i niewiarygodnej podstawie powinny zostać usunięte z IIaPGW, a w zamian powinny zostać wdrożone skuteczne środki służące osiągnięciu celów środowiskowych dla jednolitych części wód.</w:t>
            </w:r>
            <w:r w:rsidRPr="005E78BB">
              <w:rPr>
                <w:rFonts w:ascii="Calibri" w:eastAsia="Times New Roman" w:hAnsi="Calibri" w:cs="Calibri"/>
                <w:color w:val="000000"/>
                <w:sz w:val="18"/>
                <w:szCs w:val="18"/>
                <w:lang w:eastAsia="pl-PL"/>
              </w:rPr>
              <w:br/>
              <w:t xml:space="preserve">Dla 16,0%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w dorzeczu Wisły (275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_RW) oraz dla 5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PLGW2000111, PLGW2000130, PLGW2000146, PLGW2000147, PLGW2000157 jako uzasadnienie derogacji, mające dowieść ich zgodność z art. 4 ust. 5 Ramowej dyrektywy wodnej, podano: </w:t>
            </w:r>
            <w:r w:rsidRPr="005E78BB">
              <w:rPr>
                <w:rFonts w:ascii="Calibri" w:eastAsia="Times New Roman" w:hAnsi="Calibri" w:cs="Calibri"/>
                <w:color w:val="000000"/>
                <w:sz w:val="18"/>
                <w:szCs w:val="18"/>
                <w:lang w:eastAsia="pl-PL"/>
              </w:rPr>
              <w:br/>
              <w:t xml:space="preserve">“Potrzeby społeczno-ekonomiczne wpisują się w cele strategiczne „Polityki Energetycznej Polski do 2030 roku”, „Strategii Bezpieczeństwo Energetyczne i Środowisko”, „Krajowego planu na rzecz energii i klimatu na lata 2021-2030”, "Polityki ekologicznej państwa 2030 – strategii rozwoju w obszarze środowiska i gospodarki wodnej" oraz w założenia Polityki Surowcowej Polski.” </w:t>
            </w:r>
            <w:r w:rsidRPr="005E78BB">
              <w:rPr>
                <w:rFonts w:ascii="Calibri" w:eastAsia="Times New Roman" w:hAnsi="Calibri" w:cs="Calibri"/>
                <w:color w:val="000000"/>
                <w:sz w:val="18"/>
                <w:szCs w:val="18"/>
                <w:lang w:eastAsia="pl-PL"/>
              </w:rPr>
              <w:br/>
              <w:t xml:space="preserve">oraz, tylko dla wskazanych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t>
            </w:r>
            <w:r w:rsidRPr="005E78BB">
              <w:rPr>
                <w:rFonts w:ascii="Calibri" w:eastAsia="Times New Roman" w:hAnsi="Calibri" w:cs="Calibri"/>
                <w:color w:val="000000"/>
                <w:sz w:val="18"/>
                <w:szCs w:val="18"/>
                <w:lang w:eastAsia="pl-PL"/>
              </w:rPr>
              <w:br/>
              <w:t xml:space="preserve">“Brak wykonalnych i korzystniejszych alternatywnych rozwiązań wynika z analiz towarzyszących wykonaniu dokumentacji hydrogeologicznych, natomiast dopuszczalność dalszego poboru była i jest analizowana na etapie przeglądu pozwoleń wodnoprawnych.” </w:t>
            </w:r>
            <w:r w:rsidRPr="005E78BB">
              <w:rPr>
                <w:rFonts w:ascii="Calibri" w:eastAsia="Times New Roman" w:hAnsi="Calibri" w:cs="Calibri"/>
                <w:color w:val="000000"/>
                <w:sz w:val="18"/>
                <w:szCs w:val="18"/>
                <w:lang w:eastAsia="pl-PL"/>
              </w:rPr>
              <w:br/>
              <w:t>Większość dokumentów przywołanych w uzasadnieniu jest nieaktualna (wyróżnione pogrubionym tekstem), bądź - w przypadku Polityki surowcowej - nie zostały do dziś uchwalone, a tym samym nie mają mocy prawnej, ani nie stanowią racjonalnego argumentu za przyznaniem derogacji.</w:t>
            </w:r>
            <w:r w:rsidRPr="005E78BB">
              <w:rPr>
                <w:rFonts w:ascii="Calibri" w:eastAsia="Times New Roman" w:hAnsi="Calibri" w:cs="Calibri"/>
                <w:color w:val="000000"/>
                <w:sz w:val="18"/>
                <w:szCs w:val="18"/>
                <w:lang w:eastAsia="pl-PL"/>
              </w:rPr>
              <w:br/>
              <w:t>Niezależnie od powyższego, uwzględnienie danej inwestycji lub działania w dokumentach strategicznych czy planistycznych nie przesądza o spełnieniu przesłanek z art. 4 RDW. Należy dowieść spełnienia przesłanek przedstawiając w rzetelny sposób rzeczywiste, aktualne przyczyny, dla których osiągnięcie dobrego stanu danej części wód zgodnie z celami RDW nie jest możliwe, oraz dowieść zastosowania wszelkich wykonalnych technicznie i realnych kosztowo środków, które służą osiągnięciu dobrego stanu jednolitej części wód objętej derogacją z art. 4.4 lub 4.5.</w:t>
            </w:r>
          </w:p>
        </w:tc>
        <w:tc>
          <w:tcPr>
            <w:tcW w:w="1918" w:type="dxa"/>
            <w:shd w:val="clear" w:color="auto" w:fill="auto"/>
            <w:hideMark/>
          </w:tcPr>
          <w:p w14:paraId="428322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3BD14F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7D8E2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IIaPGW przedstawia uzasadnienia odstępstw od celów środowiskowych.</w:t>
            </w:r>
            <w:r w:rsidRPr="005E78BB">
              <w:rPr>
                <w:rFonts w:ascii="Calibri" w:eastAsia="Times New Roman" w:hAnsi="Calibri" w:cs="Calibri"/>
                <w:color w:val="000000"/>
                <w:sz w:val="18"/>
                <w:szCs w:val="18"/>
                <w:lang w:eastAsia="pl-PL"/>
              </w:rPr>
              <w:br/>
              <w:t>Odstępstwem od celów środowiskowych RDW jest sytuacja, w której cel środowiskowy nie został osiągnięty; taka sytuacja wymaga odpowiedniego uzasadnienia i wyjaśnienia oraz podjęcia adekwatnej reakcji (podjęcia działań naprawczych).</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Każda weryfikacja zestawów działań determinuje konieczność dokonania również weryfikacji danych w Wykazie Odstępstw.</w:t>
            </w:r>
            <w:r w:rsidRPr="005E78BB">
              <w:rPr>
                <w:rFonts w:ascii="Calibri" w:eastAsia="Times New Roman" w:hAnsi="Calibri" w:cs="Calibri"/>
                <w:color w:val="000000"/>
                <w:sz w:val="18"/>
                <w:szCs w:val="18"/>
                <w:lang w:eastAsia="pl-PL"/>
              </w:rPr>
              <w:br/>
              <w:t>Uzasadnienie jest szeroko rozpisane w Wykazach Odstępstw na wiele kryteriów wskazujących na przyczyny nieosiągnięcia celów środowiskowych. Natomiast powtarzanie pewnych zapisów dotyczy wyłącznie tych sytuacji, gdy występują takie samy przyczyny nieosiągnięcia celów środowiskowych.</w:t>
            </w:r>
            <w:r w:rsidRPr="005E78BB">
              <w:rPr>
                <w:rFonts w:ascii="Calibri" w:eastAsia="Times New Roman" w:hAnsi="Calibri" w:cs="Calibri"/>
                <w:color w:val="000000"/>
                <w:sz w:val="18"/>
                <w:szCs w:val="18"/>
                <w:lang w:eastAsia="pl-PL"/>
              </w:rPr>
              <w:br/>
              <w:t>W zakresie wskazanego w uwadze przywoływania nieodpowiednich dokumentów strategicznych: dokonano weryfikacji przywoływanych dokumentów i wprowadzono odpowiednie modyfikacje.</w:t>
            </w:r>
          </w:p>
        </w:tc>
      </w:tr>
      <w:tr w:rsidR="0085319C" w:rsidRPr="005E78BB" w14:paraId="3C918B47" w14:textId="77777777" w:rsidTr="00E92AE6">
        <w:trPr>
          <w:trHeight w:val="454"/>
        </w:trPr>
        <w:tc>
          <w:tcPr>
            <w:tcW w:w="562" w:type="dxa"/>
            <w:shd w:val="clear" w:color="auto" w:fill="auto"/>
            <w:hideMark/>
          </w:tcPr>
          <w:p w14:paraId="66A7F51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666</w:t>
            </w:r>
          </w:p>
        </w:tc>
        <w:tc>
          <w:tcPr>
            <w:tcW w:w="1021" w:type="dxa"/>
          </w:tcPr>
          <w:p w14:paraId="2FFF521E" w14:textId="15CF57D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4A5712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095ECA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4.4 i 4.5</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Niespełnienie przesłanek uzasadniających uzyskanie derogacji z art. 4.4, dot. niepogorszenia się stanu jednolitej części wód objętej odstępstwem i odsunięcia w czasie osiągnięcia celu o więcej niż 2 cykle planistyczne</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8 II aPGW dla obszaru dorzecza Wisły oraz załącznik nr 8 pn. Wykaz odstępstw Wisła</w:t>
            </w:r>
          </w:p>
        </w:tc>
        <w:tc>
          <w:tcPr>
            <w:tcW w:w="3377" w:type="dxa"/>
            <w:shd w:val="clear" w:color="auto" w:fill="auto"/>
            <w:hideMark/>
          </w:tcPr>
          <w:p w14:paraId="149567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derogacje przyznawane po raz trzeci i zapewnić osiągnięcie celów środowiskowych poprzez wdrożenie niezbędnych, skutecznych działań zgodnie z zasadami RDW.</w:t>
            </w:r>
          </w:p>
        </w:tc>
        <w:tc>
          <w:tcPr>
            <w:tcW w:w="3401" w:type="dxa"/>
            <w:shd w:val="clear" w:color="auto" w:fill="auto"/>
            <w:hideMark/>
          </w:tcPr>
          <w:p w14:paraId="42B8BF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wskazuje art. 4 ust. 4 Dyrektywy 2000/60/WE Parlamentu Europejskiego i Rady z dnia 23 października 2000 r. ustanawiającej ramy wspólnotowego działania w dziedzinie polityki wodnej (Dz.U. UE z 2000 r. L 327, s. 1 ze zm.) terminy osiągnięcia celów środowiskowych mogą zostać przedłużone dla stopniowego osiągnięcia celów dla części wód, pod warunkiem że nie zachodzi dalsze pogarszanie się stanu zmienionej części wód.</w:t>
            </w:r>
            <w:r w:rsidRPr="005E78BB">
              <w:rPr>
                <w:rFonts w:ascii="Calibri" w:eastAsia="Times New Roman" w:hAnsi="Calibri" w:cs="Calibri"/>
                <w:color w:val="000000"/>
                <w:sz w:val="18"/>
                <w:szCs w:val="18"/>
                <w:lang w:eastAsia="pl-PL"/>
              </w:rPr>
              <w:br/>
              <w:t>Ponadto, zgodnie z art. 4 ust. 4 c) RDW przedłużenie terminu powinno być ograniczone do maksimum dwóch dalszych uaktualnień planu gospodarowania wodami w dorzeczu, z wyjątkiem przypadków gdy warunki naturalne uniemożliwiają osiągnięcie celów w tym okresie.</w:t>
            </w:r>
            <w:r w:rsidRPr="005E78BB">
              <w:rPr>
                <w:rFonts w:ascii="Calibri" w:eastAsia="Times New Roman" w:hAnsi="Calibri" w:cs="Calibri"/>
                <w:color w:val="000000"/>
                <w:sz w:val="18"/>
                <w:szCs w:val="18"/>
                <w:lang w:eastAsia="pl-PL"/>
              </w:rPr>
              <w:br/>
              <w:t xml:space="preserve">Po analizie II aPGW dla obszaru dorzecza Wisły stwierdzono, że po raz trzeci przyznaje się derogacje z art. 4 ust. 4 niektórym JCW, co narusza podstawowe warunki RDW. </w:t>
            </w:r>
          </w:p>
        </w:tc>
        <w:tc>
          <w:tcPr>
            <w:tcW w:w="1918" w:type="dxa"/>
            <w:shd w:val="clear" w:color="auto" w:fill="auto"/>
            <w:hideMark/>
          </w:tcPr>
          <w:p w14:paraId="448E10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19183F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5907E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Nie ma prawnej możliwości "usunięcia derogacji". Odstępstwem (tzw. 'derogacją") jest każdy przypadek, w którym nie zostały osiągnięte cele środowiskowe lub -w przypadku niemonitorowanego stanu/potencjału ekologicznego- stwierdzono zagrożenie ich nieosiągnięcia). Każde odstępstwo jest szczegółowo uzasadnione w Wykazie Odstępstw (który należy odczytywać w połączeniu z danymi 2aPGW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Po ich weryfikacji, dane w Wykazie Odstępstw również zostaną poddane stosownemu przeglądowi.</w:t>
            </w:r>
          </w:p>
        </w:tc>
      </w:tr>
      <w:tr w:rsidR="0085319C" w:rsidRPr="005E78BB" w14:paraId="11416484" w14:textId="77777777" w:rsidTr="00E92AE6">
        <w:trPr>
          <w:trHeight w:val="454"/>
        </w:trPr>
        <w:tc>
          <w:tcPr>
            <w:tcW w:w="562" w:type="dxa"/>
            <w:shd w:val="clear" w:color="auto" w:fill="auto"/>
            <w:hideMark/>
          </w:tcPr>
          <w:p w14:paraId="3698F28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667</w:t>
            </w:r>
          </w:p>
        </w:tc>
        <w:tc>
          <w:tcPr>
            <w:tcW w:w="1021" w:type="dxa"/>
          </w:tcPr>
          <w:p w14:paraId="5EB5D348" w14:textId="4E697EF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2632AA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00D06F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Odstępstwa z art. 4.4 i 4.5</w:t>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Niewystarczające podstawy dla przyznania derogacji z art. 4.5 (brak spełnienia przesłanek z art. 4 RDW)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załącznika):Rozdział 8 II aPGW dla obszaru dorzecza Wisły oraz załącznik nr 8 pn. Wykaz odstępstw Wisła</w:t>
            </w:r>
          </w:p>
        </w:tc>
        <w:tc>
          <w:tcPr>
            <w:tcW w:w="3377" w:type="dxa"/>
            <w:shd w:val="clear" w:color="auto" w:fill="auto"/>
            <w:hideMark/>
          </w:tcPr>
          <w:p w14:paraId="574E2A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zweryfikować spełnienie przesłanek przyznania derogacji z art. 4.5 RDW i doprowadzić do ich spełnienia poprzez wdrożenie niezbędnych, skutecznych działań, które pozwolą zminimalizować presje i osiągnąć możliwie najlepszy stan wód i uniknąć jego dalszego pogorszenia.</w:t>
            </w:r>
          </w:p>
        </w:tc>
        <w:tc>
          <w:tcPr>
            <w:tcW w:w="3401" w:type="dxa"/>
            <w:shd w:val="clear" w:color="auto" w:fill="auto"/>
            <w:hideMark/>
          </w:tcPr>
          <w:p w14:paraId="6CB3869C" w14:textId="193AA1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Przyznanie derogacji z art. 4 ust. 5 polegające na osiągnięciu mniej restrykcyjnych celów środowiskowych dla określonych części wód jest możliwe w przypadku gdy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w znacznym stopniu zmieniona przez działalność człowieka lub warunki naturalne są takie, że osiągnięcie tych celów byłoby niemożliwe lub nieproporcjonalnie kosztowne.</w:t>
            </w:r>
            <w:r w:rsidRPr="005E78BB">
              <w:rPr>
                <w:rFonts w:ascii="Calibri" w:eastAsia="Times New Roman" w:hAnsi="Calibri" w:cs="Calibri"/>
                <w:color w:val="000000"/>
                <w:sz w:val="18"/>
                <w:szCs w:val="18"/>
                <w:lang w:eastAsia="pl-PL"/>
              </w:rPr>
              <w:br w:type="page"/>
              <w:t>Aby było możliwe uzyskanie derogacji z art. 4 ust. 5 Dyrektywy 2000/60/WE Parlamentu Europejskiego i Rady z dnia 23 października 2000 r. ustanawiającej ramy wspólnotowego działania w dziedzinie polityki wodnej (Dz.U. UE z 2000 r. L 327, s. 1 ze zm.)muszą być spełnione wszystkie poniższe warunki:</w:t>
            </w:r>
            <w:r w:rsidRPr="005E78BB">
              <w:rPr>
                <w:rFonts w:ascii="Calibri" w:eastAsia="Times New Roman" w:hAnsi="Calibri" w:cs="Calibri"/>
                <w:color w:val="000000"/>
                <w:sz w:val="18"/>
                <w:szCs w:val="18"/>
                <w:lang w:eastAsia="pl-PL"/>
              </w:rPr>
              <w:br w:type="page"/>
              <w:t>● potrzeby ekologiczne lub społeczno-ekonomiczne zaspokajane przez taką działalność człowieka nie mogą być osiągnięte za pomocą innych środków, które są znacznie korzystniejszą opcją środowiskową, niepowodującą nieproporcjonalnych kosztów;</w:t>
            </w:r>
            <w:r w:rsidRPr="005E78BB">
              <w:rPr>
                <w:rFonts w:ascii="Calibri" w:eastAsia="Times New Roman" w:hAnsi="Calibri" w:cs="Calibri"/>
                <w:color w:val="000000"/>
                <w:sz w:val="18"/>
                <w:szCs w:val="18"/>
                <w:lang w:eastAsia="pl-PL"/>
              </w:rPr>
              <w:br w:type="page"/>
              <w:t>● dla wód powierzchniowych musi zostać osiągnięty najlepszy możliwy stan ekologiczny i chemiczny przy wpływach, których nie można racjonalnie uniknąć na skutek charakteru działalności człowieka czy zanieczyszczenia,</w:t>
            </w:r>
            <w:r w:rsidRPr="005E78BB">
              <w:rPr>
                <w:rFonts w:ascii="Calibri" w:eastAsia="Times New Roman" w:hAnsi="Calibri" w:cs="Calibri"/>
                <w:color w:val="000000"/>
                <w:sz w:val="18"/>
                <w:szCs w:val="18"/>
                <w:lang w:eastAsia="pl-PL"/>
              </w:rPr>
              <w:br w:type="page"/>
              <w:t>● dla wód podziemnych, zachodzą możliwie najmniejsze zmiany dobrego stanu wód podziemnych, przy wpływach, których nie można racjonalnie uniknąć na skutek charakteru działalności człowieka czy zanieczyszczenia;</w:t>
            </w:r>
            <w:r w:rsidRPr="005E78BB">
              <w:rPr>
                <w:rFonts w:ascii="Calibri" w:eastAsia="Times New Roman" w:hAnsi="Calibri" w:cs="Calibri"/>
                <w:color w:val="000000"/>
                <w:sz w:val="18"/>
                <w:szCs w:val="18"/>
                <w:lang w:eastAsia="pl-PL"/>
              </w:rPr>
              <w:br w:type="page"/>
              <w:t>● nie zachodzi dalsze pogorszenie stanu części wód;</w:t>
            </w:r>
            <w:r w:rsidRPr="005E78BB">
              <w:rPr>
                <w:rFonts w:ascii="Calibri" w:eastAsia="Times New Roman" w:hAnsi="Calibri" w:cs="Calibri"/>
                <w:color w:val="000000"/>
                <w:sz w:val="18"/>
                <w:szCs w:val="18"/>
                <w:lang w:eastAsia="pl-PL"/>
              </w:rPr>
              <w:br w:type="page"/>
              <w:t>● ustalenie mniej rygorystycznych celów środowiskowych i powody ich ustalenia muszą zostać szczegółowo wymienione w planie gospodarowania wodami w dorzeczu, a cele poddawane są kontroli co sześć lat</w:t>
            </w:r>
            <w:r w:rsidRPr="005E78BB">
              <w:rPr>
                <w:rFonts w:ascii="Calibri" w:eastAsia="Times New Roman" w:hAnsi="Calibri" w:cs="Calibri"/>
                <w:color w:val="000000"/>
                <w:sz w:val="18"/>
                <w:szCs w:val="18"/>
                <w:lang w:eastAsia="pl-PL"/>
              </w:rPr>
              <w:br w:type="page"/>
              <w:t xml:space="preserve">W IIaPGW dla obszaru dorzecza Wisły, przyznano liczne odstępstwa z art. 4 ust. 5 Ramowej Dyrektywy Wodnej dla jednolitej części wód podziemnych: PLGW2000111, PLGW2000130, PLGW2000146, PLGW2000147. Powodem ustanowienia odstępstw we wskazanych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są Potrzeby społeczno-ekonomiczne kraju.</w:t>
            </w:r>
            <w:r w:rsidRPr="005E78BB">
              <w:rPr>
                <w:rFonts w:ascii="Calibri" w:eastAsia="Times New Roman" w:hAnsi="Calibri" w:cs="Calibri"/>
                <w:color w:val="000000"/>
                <w:sz w:val="18"/>
                <w:szCs w:val="18"/>
                <w:lang w:eastAsia="pl-PL"/>
              </w:rPr>
              <w:br w:type="page"/>
              <w:t>Autorzy II aPGW deklarują, że zostały wprowadzone wszystkie możliwe działania techniczne  (racjonalne i niepowodujące nieproporcjonalnych kosztów) minimalizujące wpływ na stan wód, np. prowadzona jest kontrola odwodnienia eksploatowanych i nieczynnych wyrobisk górniczych oraz zrzutu wód odwodnieniowych.</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E400AA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39E680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AD750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Każdy przypadek odstępstwa od osiągnięcia celów środowiskowych (czyli: każdy przypadek, w którym nie zostały osiągnięte cele środowiskowe lub -w przypadku niemonitorowanego stanu/potencjału ekologicznego -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Każda weryfikacja zestawów działań determinuje konieczność dokonania również weryfikacji danych w Wykazie Odstępstw.</w:t>
            </w:r>
          </w:p>
        </w:tc>
      </w:tr>
      <w:tr w:rsidR="0085319C" w:rsidRPr="005E78BB" w14:paraId="0DEE449F" w14:textId="77777777" w:rsidTr="00E92AE6">
        <w:trPr>
          <w:trHeight w:val="454"/>
        </w:trPr>
        <w:tc>
          <w:tcPr>
            <w:tcW w:w="562" w:type="dxa"/>
            <w:shd w:val="clear" w:color="auto" w:fill="auto"/>
            <w:hideMark/>
          </w:tcPr>
          <w:p w14:paraId="14B9C71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668</w:t>
            </w:r>
          </w:p>
        </w:tc>
        <w:tc>
          <w:tcPr>
            <w:tcW w:w="1021" w:type="dxa"/>
          </w:tcPr>
          <w:p w14:paraId="7DC3D071" w14:textId="4037A0F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6266B6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96F72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Zestawy działań</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Zaproponowane zestawy działań nie odzwierciedlają rzeczywistych potrzeb i kierunków ochrony wód</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12 II aPGW dla obszaru dorzecza Wisły oraz załącznik nr 7  pn. Zestaw działań Wisła</w:t>
            </w:r>
          </w:p>
        </w:tc>
        <w:tc>
          <w:tcPr>
            <w:tcW w:w="3377" w:type="dxa"/>
            <w:shd w:val="clear" w:color="auto" w:fill="auto"/>
            <w:hideMark/>
          </w:tcPr>
          <w:p w14:paraId="637E87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wprowadzić adekwatne i ambitne programy działań, w pełni odpowiadające potrzebom i możliwościom technologicznym. Należy przeprowadzić analizy wariantowe zestawów / programów działań. Należy w toku przygotowań IIaPGW zweryfikować i ocenić skuteczność przyjętych programów działań.</w:t>
            </w:r>
          </w:p>
        </w:tc>
        <w:tc>
          <w:tcPr>
            <w:tcW w:w="3401" w:type="dxa"/>
            <w:shd w:val="clear" w:color="auto" w:fill="auto"/>
            <w:hideMark/>
          </w:tcPr>
          <w:p w14:paraId="0822C33B" w14:textId="1B78A0C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“Zestawy działań”, zaproponowane przez autorów II aPGW dla obszaru dorzecza Wisły nie stanowią “programów działań” w myśl RDW. Stanowią one zbiór zestandaryzowanych, katalogowych działań przypisywanych odgórnie dla każdej części wód, w której stwierdzono dany rodzaj presji. Taki zestaw działań może być skuteczny w przypadku presji wynikających z oddziaływań powszechnych na całym obszarze dorzecza Wisły, których źródło jest dobrze poznane (np. presje rolnicze dotyczące emisji azotanów do wód). Jest również uzasadniony w przypadku działań systemowych, prawnych i proceduralnych (np. udoskonalenie systemu monitoringu stanu wód, wdrożenie opłat za usługi wodne w sektorach zwolnionych z tych opłat, szeroko zakrojone działania kontrolne czy weryfikacja pozwoleń wodnoprawnych i zintegrowanych w wybranych branżach będących źródłem danego rodzaju presji).  </w:t>
            </w:r>
            <w:r w:rsidRPr="005E78BB">
              <w:rPr>
                <w:rFonts w:ascii="Calibri" w:eastAsia="Times New Roman" w:hAnsi="Calibri" w:cs="Calibri"/>
                <w:color w:val="000000"/>
                <w:sz w:val="18"/>
                <w:szCs w:val="18"/>
                <w:lang w:eastAsia="pl-PL"/>
              </w:rPr>
              <w:br/>
              <w:t xml:space="preserve">Tak sporządzony zestaw działań nie ma szans rozwiązać istniejących problemów, które występują mniej powszechnie (np. tylko w wybranych zlewniach) i są powodowane lub pogłębiane przez specyficzny dla danej lokalizacji splot czynników. Dla tego rodzaju presji oprócz rozwiązań “katalogowych” należy szukać indywidualnych rozwiązań, dostosowanych do konkretnej sytuacji i warunków naturalnych w danej zlewni czy JCW. Istotnym przykładem są presje odwodnień górniczych na wody podziemne i powierzchniowe. Oddziaływania tego typu mają zasięg ograniczony do jednej czy kilku zlewni, są stosunkowo dobrze zbadane, identyfikacja źródła/źródeł presji jest prosta - gdyż odwodnienia górnicze są ujęte w dokumentacjach hydrogeologicznych dla zakładów górniczych, oraz (wprawdzie na niewystarczającym poziomie) raportowane. Mimo to brak w zestawach działań (zał. 7) jakichkolwiek środków służących ograniczaniu presji ze strony tych konkretnie zakładów wydobywczych, które są źródłem tych dobrze rozpoznanych negatywnych oddziaływań na wody. </w:t>
            </w:r>
            <w:r w:rsidRPr="005E78BB">
              <w:rPr>
                <w:rFonts w:ascii="Calibri" w:eastAsia="Times New Roman" w:hAnsi="Calibri" w:cs="Calibri"/>
                <w:color w:val="000000"/>
                <w:sz w:val="18"/>
                <w:szCs w:val="18"/>
                <w:lang w:eastAsia="pl-PL"/>
              </w:rPr>
              <w:br/>
              <w:t>Ponadto nie można odnaleźć w projekcie IIaPGW dla obszaru dorzecza Wisły dowodów na przeprowadzenie analizy wariantowej zestawów działań. Zestawy działań zostały poddane analizie kosztowej i prognozie skuteczności – jednak nie ma dowodów na to, że nie ma możliwości przeprowadzenia bardziej rozbudowanych (bardziej ambitnych) zestawów działań, które byłyby racjonalne ekonomicznie, wykonalne pod względem technicznym. Istnieje prawdopodobieństwo, że takie ambitniejsze zestawy działań zapewniłyby większą skuteczność IIaPGW pod względem możliwości osiągnięcia celów środowiskowych.</w:t>
            </w:r>
            <w:r w:rsidRPr="005E78BB">
              <w:rPr>
                <w:rFonts w:ascii="Calibri" w:eastAsia="Times New Roman" w:hAnsi="Calibri" w:cs="Calibri"/>
                <w:color w:val="000000"/>
                <w:sz w:val="18"/>
                <w:szCs w:val="18"/>
                <w:lang w:eastAsia="pl-PL"/>
              </w:rPr>
              <w:br/>
              <w:t>Brak dowodów na to, że zestawy działań są najlepszą możliwą opcją (przy zachowaniu racjonalności ekonomicznej i wykonalności technicznej) oznacza, że nie jest spełniona przesłanka dopuszczająca zastosowanie odstępstw polegająca na osiągnięciu możliwie najlepszego stanu wód – który jest jedną z kluczowych przesłanek warunkujących możliwość zastosowania odstępstw od osiągnięcia celów środowiskowych.</w:t>
            </w:r>
            <w:r w:rsidRPr="005E78BB">
              <w:rPr>
                <w:rFonts w:ascii="Calibri" w:eastAsia="Times New Roman" w:hAnsi="Calibri" w:cs="Calibri"/>
                <w:color w:val="000000"/>
                <w:sz w:val="18"/>
                <w:szCs w:val="18"/>
                <w:lang w:eastAsia="pl-PL"/>
              </w:rPr>
              <w:br/>
              <w:t xml:space="preserve">W niektórych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stwierdza się zły stan wód ze względu na zasolenie (wyrażające się we wskaźniku przewodności), które często należy wiązać ze zrzutem wód kopalnianych (z systemów odwadniania) lub ze zrzutem wód chłodniczych z elektrowni. Tymczasem ustanawia się odstępstwo dla tych wskaźników – a nie ustanawia się żadnych działań ukierunkowanych na wszystkie wskaźniki o wartościach determinujących zły stan wód. Towarzyszy temu brak jakichkolwiek działań ukierunkowanych na zmniejszenie ładunku zasolenia. W tym przypadku ustanowienie odstępstwa dla wskaźnika charakteryzującego zasolenie (przewodność) jest zdecydowanie nieuprawnione, bowiem zestawy działań nie dają podstawy do przyjęcia, że zrobiono wszystko co możliwe, by osiągnąć możliwie najlepszy stan wód przy zachowaniu istniejącej presji zaspokajającej potrzeby społeczno-gospodarcze.</w:t>
            </w:r>
            <w:r w:rsidRPr="005E78BB">
              <w:rPr>
                <w:rFonts w:ascii="Calibri" w:eastAsia="Times New Roman" w:hAnsi="Calibri" w:cs="Calibri"/>
                <w:color w:val="000000"/>
                <w:sz w:val="18"/>
                <w:szCs w:val="18"/>
                <w:lang w:eastAsia="pl-PL"/>
              </w:rPr>
              <w:br/>
              <w:t>Zaproponowane zestawy działań są mało skuteczne i nie przynoszą zakładanych rezultatów, czego potwierdzeniem jest planowany niski stopień osiągnięcia celów środowiskowych do 2027 r. W kolejnej edycji aPGW dla obszaru dorzecza Wisły powinno zostać obligatoryjnie wykonane sprawozdanie z realizacji zaproponowanych zestawów działań. Należy podać informacje odnośnie skuteczności podjętych działań oraz konkretne dane statystyczne, np. ile wykonano przeglądów pozwoleń wodnoprawnych, ile pozwoleń wodnoprawnych cofnięto lub zmieniono, ile przeprowadzono kontroli.</w:t>
            </w:r>
            <w:r w:rsidRPr="005E78BB">
              <w:rPr>
                <w:rFonts w:ascii="Calibri" w:eastAsia="Times New Roman" w:hAnsi="Calibri" w:cs="Calibri"/>
                <w:color w:val="000000"/>
                <w:sz w:val="18"/>
                <w:szCs w:val="18"/>
                <w:lang w:eastAsia="pl-PL"/>
              </w:rPr>
              <w:br/>
              <w:t>Jeśli dany zestaw działań został zrealizowany, np. wykonano dokumentację, to należy wskazać dalsze działania, które będą naturalną konsekwencją zakończonych działań. Jeśli działania są nieadekwatne lub mało skuteczne, to należy rozważyć podjęcie innych działań lub zmianę przepisów prawnych.</w:t>
            </w:r>
          </w:p>
        </w:tc>
        <w:tc>
          <w:tcPr>
            <w:tcW w:w="1918" w:type="dxa"/>
            <w:shd w:val="clear" w:color="auto" w:fill="auto"/>
            <w:hideMark/>
          </w:tcPr>
          <w:p w14:paraId="38A858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2D6528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CE1650C" w14:textId="5219177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2014 - 2019,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Nie można zatem zgodzić się ze zgłoszoną uwagą, iż zaplanowanie działań IIaPGW stanowi nieprzeanalizowany zbiór działań standardowych nieukierunkowanych na potrzeby danej jcw.</w:t>
            </w:r>
          </w:p>
        </w:tc>
      </w:tr>
      <w:tr w:rsidR="0085319C" w:rsidRPr="005E78BB" w14:paraId="11B43E3C" w14:textId="77777777" w:rsidTr="00E92AE6">
        <w:trPr>
          <w:trHeight w:val="454"/>
        </w:trPr>
        <w:tc>
          <w:tcPr>
            <w:tcW w:w="562" w:type="dxa"/>
            <w:shd w:val="clear" w:color="auto" w:fill="auto"/>
            <w:hideMark/>
          </w:tcPr>
          <w:p w14:paraId="08CB314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669</w:t>
            </w:r>
          </w:p>
        </w:tc>
        <w:tc>
          <w:tcPr>
            <w:tcW w:w="1021" w:type="dxa"/>
          </w:tcPr>
          <w:p w14:paraId="62E49EBF" w14:textId="3128080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611015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10E60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Zestawy działań</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Brak zaplanowania w ramach zestawów działań przeglądów pozwoleń zintegrowanych analogicznie do przeglądów pozwoleń wodnoprawnych, co uniemożliwia ograniczenie lub eliminację emisji substancji priorytetowych (w tym niebezpiecznych) i innych zanieczyszczeń (w tym substancji i ciepła) do wód oraz ograniczenie nadmiernych poborów wód na cele przemysłu i prowadzi do niezgodności  z celami Ramowej Dyrektywy Wodnej i z art. 11.5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12 II aPGW dla obszaru dorzecza Wisły oraz załącznik nr 7 pn. Zestawy działań</w:t>
            </w:r>
          </w:p>
        </w:tc>
        <w:tc>
          <w:tcPr>
            <w:tcW w:w="3377" w:type="dxa"/>
            <w:shd w:val="clear" w:color="auto" w:fill="auto"/>
            <w:hideMark/>
          </w:tcPr>
          <w:p w14:paraId="5FA5526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Wprowadzić do IIaPGW przeglądy pozwoleń zintegrowanych, a nie tylko wodnoprawnych, zgodnie z art. 11.5 RDW. Wprowadzić w IIaPGW rekomendację zmiany w Prawie wodnym, umożliwiającej prowadzenie przeglądów pozwoleń zintegrowanych na równi z zaplanowanymi przeglądami pozwoleń wodnoprawnych - np. uzupełniając nazwę “Pozwolenie wodnoprawne” dopiskiem “i pozwolenie zintegrowane” m.in. w art. 416 ust. 2, art. 318 ust. 1 i art. 325 ust. 1 Ustawy prawo wodne.</w:t>
            </w:r>
          </w:p>
        </w:tc>
        <w:tc>
          <w:tcPr>
            <w:tcW w:w="3401" w:type="dxa"/>
            <w:shd w:val="clear" w:color="auto" w:fill="auto"/>
            <w:hideMark/>
          </w:tcPr>
          <w:p w14:paraId="6457D5EB" w14:textId="6FC9A20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Prawo wodne przewiduje możliwość prowadzenia przeglądów pozwoleń wodnoprawnych (art. 416 ust. 2, art. 318 ust. 1, art. 325 ust. 1) w razie gdy zagrożone jest osiągnięcie celów środowiskowych, o których mowa w art. 56, art. 57, art. 59 oraz w art. 61. Ww. dodatkowe przeglądy pozwoleń wodnoprawnych zostały zaplanowane w ramach zestawów działań w zał. 7 do IIaPGW, przede wszystkim w odniesieniu do poborów wód.</w:t>
            </w:r>
            <w:r w:rsidRPr="005E78BB">
              <w:rPr>
                <w:rFonts w:ascii="Calibri" w:eastAsia="Times New Roman" w:hAnsi="Calibri" w:cs="Calibri"/>
                <w:color w:val="000000"/>
                <w:sz w:val="18"/>
                <w:szCs w:val="18"/>
                <w:lang w:eastAsia="pl-PL"/>
              </w:rPr>
              <w:br/>
              <w:t xml:space="preserve">Nie jest to jednak wystarczające dla ograniczenia poborów wód w przypadku zakładów, które zamiast pozwolenia wodnoprawnego działają na podstawie pozwolenia zintegrowanego (takich jak elektrownie węglowe), ani dla ograniczenia i eliminacji emisji i zrzutów substancji priorytetowych (w tym niebezpiecznych) do wód zgodnie z celami RDW. </w:t>
            </w:r>
            <w:r w:rsidRPr="005E78BB">
              <w:rPr>
                <w:rFonts w:ascii="Calibri" w:eastAsia="Times New Roman" w:hAnsi="Calibri" w:cs="Calibri"/>
                <w:color w:val="000000"/>
                <w:sz w:val="18"/>
                <w:szCs w:val="18"/>
                <w:lang w:eastAsia="pl-PL"/>
              </w:rPr>
              <w:br/>
              <w:t xml:space="preserve">W zał. 7.1_katalog_krajowe wymieniono działania dotyczące weryfikacji pozwoleń zintegrowanych pod kątem wdrożenia konkluzji BAT (poz. 2 - Weryfikacja odstępstw od granicznych wielkości emisyjnych w pozwoleniu zintegrowanym i poz. 3 - Analiza warunków pozwolenia zintegrowanego oraz weryfikacja wdrożenia konkluzji BAT odnoszących się do danej instalacji), jednak kolumna E jest pusta (brak kodu działania), co uniemożliwia weryfikację, czy działania te faktycznie będą prowadzone i w jakim zakresie. Jak wynika z nazw działań, nie dotyczą one weryfikacji pozwoleń zintegrowanych w odniesieniu do stanu jednolitych części wód i w celu jego poprawy, a jedynie derogacji od konkluzji BAT. Ponadto działania te nie obejmują weryfikacji poborów wód. </w:t>
            </w:r>
            <w:r w:rsidRPr="005E78BB">
              <w:rPr>
                <w:rFonts w:ascii="Calibri" w:eastAsia="Times New Roman" w:hAnsi="Calibri" w:cs="Calibri"/>
                <w:color w:val="000000"/>
                <w:sz w:val="18"/>
                <w:szCs w:val="18"/>
                <w:lang w:eastAsia="pl-PL"/>
              </w:rPr>
              <w:br/>
              <w:t>W katalogu krajowym brak jakichkolwiek działań dotyczących pozwoleń wodnoprawnych i/lub poborów wód na cele przemysłu.</w:t>
            </w:r>
            <w:r w:rsidRPr="005E78BB">
              <w:rPr>
                <w:rFonts w:ascii="Calibri" w:eastAsia="Times New Roman" w:hAnsi="Calibri" w:cs="Calibri"/>
                <w:color w:val="000000"/>
                <w:sz w:val="18"/>
                <w:szCs w:val="18"/>
                <w:lang w:eastAsia="pl-PL"/>
              </w:rPr>
              <w:br/>
              <w:t xml:space="preserve">W zał. 7.2 (katalogi dla kategorii wód) przewidziano działania GWI4 i RWH_01,  (dodatkowe przeglądy pozwoleń wodnoprawnych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nie dotyczą pozwoleń zintegrowanych.</w:t>
            </w:r>
            <w:r w:rsidRPr="005E78BB">
              <w:rPr>
                <w:rFonts w:ascii="Calibri" w:eastAsia="Times New Roman" w:hAnsi="Calibri" w:cs="Calibri"/>
                <w:color w:val="000000"/>
                <w:sz w:val="18"/>
                <w:szCs w:val="18"/>
                <w:lang w:eastAsia="pl-PL"/>
              </w:rPr>
              <w:br/>
              <w:t>Zestawy działań pomijają więc następujące sytuacje dotyczące zakładów działających na podstawie pozwoleń zintegrowanych:</w:t>
            </w:r>
            <w:r w:rsidRPr="005E78BB">
              <w:rPr>
                <w:rFonts w:ascii="Calibri" w:eastAsia="Times New Roman" w:hAnsi="Calibri" w:cs="Calibri"/>
                <w:color w:val="000000"/>
                <w:sz w:val="18"/>
                <w:szCs w:val="18"/>
                <w:lang w:eastAsia="pl-PL"/>
              </w:rPr>
              <w:br/>
              <w:t>● pobory wód na cele przemysłu (w tym elektrowni węglowych, które są odpowiedzialne za największe pobory wód),</w:t>
            </w:r>
            <w:r w:rsidRPr="005E78BB">
              <w:rPr>
                <w:rFonts w:ascii="Calibri" w:eastAsia="Times New Roman" w:hAnsi="Calibri" w:cs="Calibri"/>
                <w:color w:val="000000"/>
                <w:sz w:val="18"/>
                <w:szCs w:val="18"/>
                <w:lang w:eastAsia="pl-PL"/>
              </w:rPr>
              <w:br/>
              <w:t>● przegląd / weryfikacja pozwoleń w celu ograniczenia poborów wód i emisji substancji priorytetowych, w celu osiągnięcia dobrego stanu JCW.</w:t>
            </w:r>
            <w:r w:rsidRPr="005E78BB">
              <w:rPr>
                <w:rFonts w:ascii="Calibri" w:eastAsia="Times New Roman" w:hAnsi="Calibri" w:cs="Calibri"/>
                <w:color w:val="000000"/>
                <w:sz w:val="18"/>
                <w:szCs w:val="18"/>
                <w:lang w:eastAsia="pl-PL"/>
              </w:rPr>
              <w:br/>
              <w:t>Brak  mechanizmu ograniczenia presji ze strony ww. poborów i emisji na jednolite części wód bardzo często uniemożliwia osiągnięcie ich dobrego stanu.</w:t>
            </w:r>
            <w:r w:rsidRPr="005E78BB">
              <w:rPr>
                <w:rFonts w:ascii="Calibri" w:eastAsia="Times New Roman" w:hAnsi="Calibri" w:cs="Calibri"/>
                <w:color w:val="000000"/>
                <w:sz w:val="18"/>
                <w:szCs w:val="18"/>
                <w:lang w:eastAsia="pl-PL"/>
              </w:rPr>
              <w:br/>
              <w:t xml:space="preserve">W opinii Fundacji pozwolenia zintegrowane należy objąć przepisami dot. przeglądów pozwoleń wodnoprawnych. Tym bardziej, że sama ustawa Prawo wodne wskazuje, obok pozwoleń wodnoprawnych, również pozwolenia zintegrowane jako źródło danych, na podstawie którego naliczane są opłaty za usługi wodne (np. art. 302 ust. 1). </w:t>
            </w:r>
            <w:r w:rsidRPr="005E78BB">
              <w:rPr>
                <w:rFonts w:ascii="Calibri" w:eastAsia="Times New Roman" w:hAnsi="Calibri" w:cs="Calibri"/>
                <w:color w:val="000000"/>
                <w:sz w:val="18"/>
                <w:szCs w:val="18"/>
                <w:lang w:eastAsia="pl-PL"/>
              </w:rPr>
              <w:br/>
              <w:t xml:space="preserve">Zgodnie z art. 182 Prawa ochrony środowiska, pozwolenie wodnoprawne na pobór wód oraz na wprowadzanie ścieków do wód lub do ziemi, jak również pozwolenie na wprowadzanie gazów lub pyłów do powietrza, nie są wymagane w przypadku obowiązku posiadania pozwolenia zintegrowanego. Pozwolenie zintegrowane zastępuje  wszelkie inne pozwolenia, w których określane są limity emisji dla danego zakładu - w tym pozwolenia wodnoprawne. </w:t>
            </w:r>
            <w:r w:rsidRPr="005E78BB">
              <w:rPr>
                <w:rFonts w:ascii="Calibri" w:eastAsia="Times New Roman" w:hAnsi="Calibri" w:cs="Calibri"/>
                <w:color w:val="000000"/>
                <w:sz w:val="18"/>
                <w:szCs w:val="18"/>
                <w:lang w:eastAsia="pl-PL"/>
              </w:rPr>
              <w:br/>
              <w:t>W związku z tym nieobjęcie pozwoleń zintegrowanych planowanym w ramach IIaPGW działaniem dot. przeglądu pozwoleń wodnoprawnych jest poważnym brakiem, uniemożliwiającym rzetelną ocenę ilości i jakości zasobów wodnych, a tym samym ograniczenie poborów wód na cele przemysłu i emisji substancji priorytetowych (w tym niebezpiecznych) do wód i prowadzącym do niezgodności z celami Ramowej Dyrektywy Wodnej i z art. 11.5 RDW.</w:t>
            </w:r>
            <w:r w:rsidRPr="005E78BB">
              <w:rPr>
                <w:rFonts w:ascii="Calibri" w:eastAsia="Times New Roman" w:hAnsi="Calibri" w:cs="Calibri"/>
                <w:color w:val="000000"/>
                <w:sz w:val="18"/>
                <w:szCs w:val="18"/>
                <w:lang w:eastAsia="pl-PL"/>
              </w:rPr>
              <w:br/>
              <w:t xml:space="preserve">Ponadto zgodnie z art. 562 ustawy prawo wodne, maksymalne rzeczywiste ilości pobieranej wody, przez Zakłady posiadające ważne pozwolenia wodnoprawne i zintegrowane, mogą ulec zmianie do końca 2021 r. Ustawodawca przewidział zmianę istniejących pozwoleń (lub ich części - w przypadku pozwoleń zintegrowanych) na pobór wód powierzchniowych lub wód podziemnych, na wniosek zainteresowanych Zakładów. Istniejące pozwolenia mogą zostać zmienione  przez właściwe organy, do dnia 31 grudnia 2021 r. W związku z powyższym, tym bardziej jest zasadna wnioskowana zmiana w prawie wodnym, która umożliwi kompleksową analizę i uzyskanie wiarygodnych wyników oraz  sformułowanie rzetelnych wniosków, które wpłyną znacząco na stan wiedzy odnośnie jakości i ilości zasobów wodnych w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t>
            </w:r>
          </w:p>
        </w:tc>
        <w:tc>
          <w:tcPr>
            <w:tcW w:w="1918" w:type="dxa"/>
            <w:shd w:val="clear" w:color="auto" w:fill="auto"/>
            <w:hideMark/>
          </w:tcPr>
          <w:p w14:paraId="18B68C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2E3F05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2C81AAD" w14:textId="32A7DF4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Przyjęte działania krajowe w zakresie analizy warunków pozwoleń wodnoprawnych, obejmują całość zagadnień weryfikujących funkcjonowanie instalacji, w tym konieczność zmiany pozwoleń zintegrowanych – określonych w art. 215 i art. 216 ustawy z dnia 27 kwietnia 2001 Prawo ochrony środowiska. Jednocześnie przyjęto działania krajowe dotyczące przeglądów pozwoleń wodnoprawnych w zakresie form korzystania z wód istotnych dla stanu jakościowego i ilościwego, w tym m.in. na pobór wód.</w:t>
            </w:r>
            <w:r w:rsidRPr="005E78BB">
              <w:rPr>
                <w:rFonts w:ascii="Calibri" w:eastAsia="Times New Roman" w:hAnsi="Calibri" w:cs="Calibri"/>
                <w:color w:val="000000"/>
                <w:sz w:val="18"/>
                <w:szCs w:val="18"/>
                <w:lang w:eastAsia="pl-PL"/>
              </w:rPr>
              <w:br/>
              <w:t>Działania krajowe realizowane będą jako działania podstawowe we wszystkich częściach wód, dla których zagrożone jest osiągnięcie ich dobrego stanu.</w:t>
            </w:r>
            <w:r w:rsidRPr="005E78BB">
              <w:rPr>
                <w:rFonts w:ascii="Calibri" w:eastAsia="Times New Roman" w:hAnsi="Calibri" w:cs="Calibri"/>
                <w:color w:val="000000"/>
                <w:sz w:val="18"/>
                <w:szCs w:val="18"/>
                <w:lang w:eastAsia="pl-PL"/>
              </w:rPr>
              <w:br/>
              <w:t xml:space="preserve">Dzialania te prowadzone będą kompleksowo wraz z działaniami zaplanowanymi według zestawów działań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których w katalogu określono, iż "przeglądy pozwoleń zostały przypisane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dominującym źródłem presji jako: Działania dedykowane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ze wskazanymi następującymi grupami presji: punktowe - przemysłowe i komunalne (fizykochemia); rozproszone - rozwój obszarów zurbanizowanych, turystyka, transport, odpływ z miasta, depozycja atmosferyczna oraz źródło punktowe przemysłowe, komunalne i odcieki ze składowisk (chemia)".</w:t>
            </w:r>
          </w:p>
        </w:tc>
      </w:tr>
      <w:tr w:rsidR="0085319C" w:rsidRPr="005E78BB" w14:paraId="7EB5557A" w14:textId="77777777" w:rsidTr="00E92AE6">
        <w:trPr>
          <w:trHeight w:val="454"/>
        </w:trPr>
        <w:tc>
          <w:tcPr>
            <w:tcW w:w="562" w:type="dxa"/>
            <w:shd w:val="clear" w:color="auto" w:fill="auto"/>
            <w:hideMark/>
          </w:tcPr>
          <w:p w14:paraId="4AC4400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670</w:t>
            </w:r>
          </w:p>
        </w:tc>
        <w:tc>
          <w:tcPr>
            <w:tcW w:w="1021" w:type="dxa"/>
          </w:tcPr>
          <w:p w14:paraId="73B8096B" w14:textId="67C84FD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681B06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6FC3A7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Zestawy działań</w:t>
            </w:r>
            <w:r w:rsidRPr="005E78BB">
              <w:rPr>
                <w:rFonts w:ascii="Calibri" w:eastAsia="Times New Roman" w:hAnsi="Calibri" w:cs="Calibri"/>
                <w:color w:val="000000"/>
                <w:sz w:val="18"/>
                <w:szCs w:val="18"/>
                <w:lang w:eastAsia="pl-PL"/>
              </w:rPr>
              <w:br w:type="page"/>
              <w:t>Treść uwagi</w:t>
            </w:r>
            <w:r w:rsidRPr="005E78BB">
              <w:rPr>
                <w:rFonts w:ascii="Calibri" w:eastAsia="Times New Roman" w:hAnsi="Calibri" w:cs="Calibri"/>
                <w:color w:val="000000"/>
                <w:sz w:val="18"/>
                <w:szCs w:val="18"/>
                <w:lang w:eastAsia="pl-PL"/>
              </w:rPr>
              <w:br w:type="page"/>
              <w:t>Brak wdrożenia skutecznych działań służących eliminacji zrzutów, emisji i strat substancji priorytetowych (w tym niebezpiecznych) do wód, oraz ograniczenia emisji pozostałych zanieczyszczeń, zgodnie z art. 16 i 11.3 h) i k) oraz 11.5 RDW.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Rozdział 12 II aPGW dla obszaru dorzecza Wisły oraz załącznik nr 7 pn. Zestawy działań</w:t>
            </w:r>
          </w:p>
        </w:tc>
        <w:tc>
          <w:tcPr>
            <w:tcW w:w="3377" w:type="dxa"/>
            <w:shd w:val="clear" w:color="auto" w:fill="auto"/>
            <w:hideMark/>
          </w:tcPr>
          <w:p w14:paraId="400507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Wprowadzić skuteczne działania służące eliminacji emisji substancji priorytetowych, w tym niebezpiecznych (m.in. rtęć) i poprawie stanu chemicznego i ekologicznego wód do 2027 r, zgodnie z art. 11.2 i 11.5 RDW. W stosunku do sektorów górnictwa i energetyki, oraz pozostałych gałęzi przemysłu odpowiedzialnych za emisje zanieczyszczeń do powietrza i wód, wprowadzić rygorystyczną zasadę eliminacji zanieczyszczeń u źródła. </w:t>
            </w:r>
          </w:p>
        </w:tc>
        <w:tc>
          <w:tcPr>
            <w:tcW w:w="3401" w:type="dxa"/>
            <w:shd w:val="clear" w:color="auto" w:fill="auto"/>
            <w:hideMark/>
          </w:tcPr>
          <w:p w14:paraId="1BEB1CDE" w14:textId="2FEB58D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Stan chemiczny 55,9%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oceniono w IIaPGW (zał. 8) jako “poniżej dobrego” (w tym “zły” lub “słaby”). Zgodnie z zał. 5.1.1 (podział JCW sprzed zmian), 61,1%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w stanie chemicznym “poniżej dobrego”, przy czym w 49,98%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nastąpiło pogorszenie stanu chemicznego w stosunku do ocen przyznanych w IaPGW 2016-2021. Zgodnie z zał. 5.1 “Cele środowiskowe” (w którym podano 3 rozbieżne oceny stanu chemicznego, z których żadna nie jest w pełni zgodna z zał. 8), 40,0%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osiągnie dobrego stanu chemicznego do 2027 r. Zgodnie z tym samym załącznikiem, w 18,97%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osiągnięcie dobrego stanu chemicznego może zostać odroczone dla różnych metali ciężkich (kadm, nikiel, ołów i rtęć), w tym dla rtęci w 15,9%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Powyższe dane potwierdzają wniosek płynący z analizy zestawów działań i innych załączników do IIaPGW, że ani w cyklu planowania 2016-2021, ani w nadchodzącym cyklu 2022-2027, nie wdrożono wystarczająco skutecznych środków w celu poprawy stanu chemicznego wód oraz w celu ograniczenia bądź eliminacji emisji substancji priorytetowych (w tym niebezpiecznych). W opinii Fundacji, istotnym utrudnieniem jest tu duży udział emisji rozproszonych, w tym depozycji atmosferycznej - czyli emisji, dla których trudno jest jednoznacznie ustalić sprawcę (zanieczyszczającego). </w:t>
            </w:r>
            <w:r w:rsidRPr="005E78BB">
              <w:rPr>
                <w:rFonts w:ascii="Calibri" w:eastAsia="Times New Roman" w:hAnsi="Calibri" w:cs="Calibri"/>
                <w:color w:val="000000"/>
                <w:sz w:val="18"/>
                <w:szCs w:val="18"/>
                <w:lang w:eastAsia="pl-PL"/>
              </w:rPr>
              <w:br w:type="page"/>
              <w:t xml:space="preserve">Zgodnie z RDW wymagana jest całkowita eliminacja zrzutów i emisji niebezpiecznych substancji priorytetowych w ciągu 20 lat od nadania im tego statusu. W związku z tym na obszarze zlewni narażonych na zanieczyszczenie takimi substancjami należy zastosować wszelkie dostępne środki, aby znaleźć źródło ich emisji i doprowadzić do ich zakończenia. </w:t>
            </w:r>
            <w:r w:rsidRPr="005E78BB">
              <w:rPr>
                <w:rFonts w:ascii="Calibri" w:eastAsia="Times New Roman" w:hAnsi="Calibri" w:cs="Calibri"/>
                <w:color w:val="000000"/>
                <w:sz w:val="18"/>
                <w:szCs w:val="18"/>
                <w:lang w:eastAsia="pl-PL"/>
              </w:rPr>
              <w:br w:type="page"/>
              <w:t>Bazując na danych w e-prtr można ocenić, jakie branże przemysłu są odpowiedzialne za które rodzaje emisji zanieczyszczeń i dążyć do wypracowania systemu, w którym emisje substancji priorytetowych zgodnie z RDW są ograniczane już na poziomie pozwoleń na emisje, oraz oceniać wpływ ww. emisji na stan wód na podstawie przewidywanego zasięgu oddziaływania ww. inwestycji na inne niż woda elementy środowiska (powietrze, glebę). Jednak w projekcie IIaPGW nie podjęto takiej próby.</w:t>
            </w:r>
            <w:r w:rsidRPr="005E78BB">
              <w:rPr>
                <w:rFonts w:ascii="Calibri" w:eastAsia="Times New Roman" w:hAnsi="Calibri" w:cs="Calibri"/>
                <w:color w:val="000000"/>
                <w:sz w:val="18"/>
                <w:szCs w:val="18"/>
                <w:lang w:eastAsia="pl-PL"/>
              </w:rPr>
              <w:br w:type="page"/>
              <w:t>Należy uzupełnić IIaPGW o stosowne działania, których przykłady podajemy poniżej oraz w pozostałych uwagach do IIaPGW. Tam gdzie polskie prawo nie umożliwia podjęcia stosownych działań, należy zaproponować rekomendacje zmian w przepisach.</w:t>
            </w:r>
            <w:r w:rsidRPr="005E78BB">
              <w:rPr>
                <w:rFonts w:ascii="Calibri" w:eastAsia="Times New Roman" w:hAnsi="Calibri" w:cs="Calibri"/>
                <w:color w:val="000000"/>
                <w:sz w:val="18"/>
                <w:szCs w:val="18"/>
                <w:lang w:eastAsia="pl-PL"/>
              </w:rPr>
              <w:br w:type="page"/>
              <w:t xml:space="preserve">● Zasięg oddziaływania danej inwestycji / zakładu powinien być zawsze zdefiniowany w pozwoleniu zintegrowanym, wraz z podaniem konkretnych JCW, na które zakład oddziałuje w sposób bezpośredni i pośredni (w tym poprzez depozycję atmosferyczną zanieczyszczeń emitowanych do powietrza). </w:t>
            </w:r>
            <w:r w:rsidRPr="005E78BB">
              <w:rPr>
                <w:rFonts w:ascii="Calibri" w:eastAsia="Times New Roman" w:hAnsi="Calibri" w:cs="Calibri"/>
                <w:color w:val="000000"/>
                <w:sz w:val="18"/>
                <w:szCs w:val="18"/>
                <w:lang w:eastAsia="pl-PL"/>
              </w:rPr>
              <w:br w:type="page"/>
              <w:t>● W ramach wydawania i przeglądu pozwoleń zintegrowanych należy skontrolować, czy normy określone w RDW dla substancji emitowanych przez dany zakład do powietrza, są przekroczone w JCW na obszarze oddziaływania tego zakładu.  Jeśli są, należy obowiązkowo nałożyć na zakład ograniczenia emisji w celu zmniejszenia presji na wody, co najmniej zgodne z BAT, lub - jeśli wdrożono BATy we wszystkich pozwoleniach zintegrowanych dla zakładów oddziałujących na dane JCW - ostrzejsze limity emisji.</w:t>
            </w:r>
            <w:r w:rsidRPr="005E78BB">
              <w:rPr>
                <w:rFonts w:ascii="Calibri" w:eastAsia="Times New Roman" w:hAnsi="Calibri" w:cs="Calibri"/>
                <w:color w:val="000000"/>
                <w:sz w:val="18"/>
                <w:szCs w:val="18"/>
                <w:lang w:eastAsia="pl-PL"/>
              </w:rPr>
              <w:br w:type="page"/>
              <w:t xml:space="preserve">● Wzmożone kontrole emisji w zakładach na obszarze zlewni o złym stanie chemicznym wód, w tym głównie kontrole niezapowiedziane, prowadzone przez WIOŚ lub GIOŚ, w celu uszczelnienia systemu i ograniczenia “chwilowych” przekroczeń: </w:t>
            </w:r>
            <w:r w:rsidRPr="005E78BB">
              <w:rPr>
                <w:rFonts w:ascii="Calibri" w:eastAsia="Times New Roman" w:hAnsi="Calibri" w:cs="Calibri"/>
                <w:color w:val="000000"/>
                <w:sz w:val="18"/>
                <w:szCs w:val="18"/>
                <w:lang w:eastAsia="pl-PL"/>
              </w:rPr>
              <w:br w:type="page"/>
              <w:t>● w elektrowniach węglowych: emisje do powietrza (w tym metale ciężkie - głównie rtęć, siarczany), do ziemi (szczelność składowisk i pylenie z hałd; metale ciężkie, siarczany, inne substancje wpływające na stan wód) i do wód (parametry fizykochemiczne, w tym temperatura zrzucanych wód oraz temperatura w odbiorniku powyżej i poniżej punktów zrzutu; wielkość zrzutów; zawartość substancji w ściekach i odciekach ze składowisk, instalacji oczyszczania spalin itp., chemia wód powyżej i poniżej punktów zrzutu ścieków i lokalizacji składowisk)</w:t>
            </w:r>
            <w:r w:rsidRPr="005E78BB">
              <w:rPr>
                <w:rFonts w:ascii="Calibri" w:eastAsia="Times New Roman" w:hAnsi="Calibri" w:cs="Calibri"/>
                <w:color w:val="000000"/>
                <w:sz w:val="18"/>
                <w:szCs w:val="18"/>
                <w:lang w:eastAsia="pl-PL"/>
              </w:rPr>
              <w:br w:type="page"/>
              <w:t>● w kopalniach: emisje do wód (wody zrzutowe - z systemów odwodnienia i ze spągu kopalni, parametry fizykochemiczne, substancje priorytetowe, wielkość zrzutów), do ziemi i do powietrza (odcieki i pylenie ze składowisk, infrastruktury kopalnianej, wyrobiska i ze środków transportu odbierających urobek)</w:t>
            </w:r>
            <w:r w:rsidRPr="005E78BB">
              <w:rPr>
                <w:rFonts w:ascii="Calibri" w:eastAsia="Times New Roman" w:hAnsi="Calibri" w:cs="Calibri"/>
                <w:color w:val="000000"/>
                <w:sz w:val="18"/>
                <w:szCs w:val="18"/>
                <w:lang w:eastAsia="pl-PL"/>
              </w:rPr>
              <w:br w:type="page"/>
              <w:t xml:space="preserve">● Zwiększona częstość i zakres kontroli / monitoringu stanu środowiska na obszarze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złym stanie chemicznym, w których stwierdzono przekroczenia substancji priorytetowych w wodach, lub istnieje zagrożenie nieosiągnięciem dobrego stanu chemicznego lub ekologicznego</w:t>
            </w:r>
            <w:r w:rsidRPr="005E78BB">
              <w:rPr>
                <w:rFonts w:ascii="Calibri" w:eastAsia="Times New Roman" w:hAnsi="Calibri" w:cs="Calibri"/>
                <w:color w:val="000000"/>
                <w:sz w:val="18"/>
                <w:szCs w:val="18"/>
                <w:lang w:eastAsia="pl-PL"/>
              </w:rPr>
              <w:br w:type="page"/>
              <w:t xml:space="preserve">● Do określenia sprawcy zanieczyszczeń mogłaby również służyć aktualizowana regularnie (np. raz na dobę) interaktywna mapa emisji do powietrza i wody z głównych źródeł punktowych (np. powiązana z bazą E-prtr), powiązana z siecią stacji monitorujących stan powietrza, raportujących w czasie rzeczywistym. W sąsiedztwie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stanie chemicznym poniżej dobrego wskazane byłoby lokalizowanie dodatkowych stacji monitorujących.</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5BF20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304158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DF9DCB" w14:textId="0151BDA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Przyjęte działania krajowe w zakresie analizy warunków pozwoleń wodnoprawnych, obejmują całość zagadnień weryfikujących funkcjonowanie instalacji, w tym konieczność zmiany pozwoleń zintegrowanych – określonych w art. 215 i art. 216 ustawy z dnia 27 kwietnia 2001 r. prawo ochrony środowiska. Jednocześnie przyjęto działania krajowe dotyczące przeglądów pozwoleń wodnoprawnych w zakresie form korzystania z wód istotnych dla stanu jakościowego i ilościwego, w tym m.in. na pobór wód.</w:t>
            </w:r>
            <w:r w:rsidRPr="005E78BB">
              <w:rPr>
                <w:rFonts w:ascii="Calibri" w:eastAsia="Times New Roman" w:hAnsi="Calibri" w:cs="Calibri"/>
                <w:color w:val="000000"/>
                <w:sz w:val="18"/>
                <w:szCs w:val="18"/>
                <w:lang w:eastAsia="pl-PL"/>
              </w:rPr>
              <w:br w:type="page"/>
              <w:t>Działania krajowe realizowane będą jako działania podstawowe we wszystkich częściach wód, dla których zagrożone jest osiągnięcie ich dobrego stanu.</w:t>
            </w:r>
            <w:r w:rsidRPr="005E78BB">
              <w:rPr>
                <w:rFonts w:ascii="Calibri" w:eastAsia="Times New Roman" w:hAnsi="Calibri" w:cs="Calibri"/>
                <w:color w:val="000000"/>
                <w:sz w:val="18"/>
                <w:szCs w:val="18"/>
                <w:lang w:eastAsia="pl-PL"/>
              </w:rPr>
              <w:br w:type="page"/>
              <w:t xml:space="preserve">Dzialania te prowadzone będą kompleksowo wraz z działaniami zaplanowanymi według zestawów działań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dla których w katalogu określono, iż "przeglądy pozwoleń zostały przypisane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dominującym źródłem presji jako: Działania dedykowane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ze wskazanymi następującymi grupami presji: punktowe - przemysłowe i komunalne (fizykochemia); rozproszone - rozwój obszarów zurbanizowanych, turystyka, transport, odpływ z miasta, depozycja atmosferyczna oraz źródło punktowe przemysłowe, komunalne i odcieki ze składowisk (chemia)".</w:t>
            </w:r>
          </w:p>
        </w:tc>
      </w:tr>
      <w:tr w:rsidR="0085319C" w:rsidRPr="005E78BB" w14:paraId="69EBD321" w14:textId="77777777" w:rsidTr="00E92AE6">
        <w:trPr>
          <w:trHeight w:val="454"/>
        </w:trPr>
        <w:tc>
          <w:tcPr>
            <w:tcW w:w="562" w:type="dxa"/>
            <w:shd w:val="clear" w:color="auto" w:fill="auto"/>
            <w:hideMark/>
          </w:tcPr>
          <w:p w14:paraId="0D9D164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671</w:t>
            </w:r>
          </w:p>
        </w:tc>
        <w:tc>
          <w:tcPr>
            <w:tcW w:w="1021" w:type="dxa"/>
          </w:tcPr>
          <w:p w14:paraId="32026416" w14:textId="0AAB51B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723186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1120A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 Działań</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Przegląd pozwoleń wodnoprawnych na pobór wód - koniecznie pozwoleń wydanych kopalniom i elektrowniom węglowym, koniecznie z urzędu a nie na wniosek.</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12 II aPGW dla obszaru dorzecza Wisły oraz załącznik nr 7 pn. Zestawy działań</w:t>
            </w:r>
          </w:p>
        </w:tc>
        <w:tc>
          <w:tcPr>
            <w:tcW w:w="3377" w:type="dxa"/>
            <w:shd w:val="clear" w:color="auto" w:fill="auto"/>
            <w:hideMark/>
          </w:tcPr>
          <w:p w14:paraId="5C3889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opis działań dot. przeglądu pozwoleń wodnoprawnych o branże, które obowiązkowo (z urzędu) zostaną poddane przeglądowi - w tym górnictwo i energetykę węglową, uzupełnić o konieczność ograniczenia dopuszczalnego poboru poniżej faktycznego poboru w tych JCW, w których występuje zły stan ilościowy / zły stan ekologiczny z powodu presji ilościowych, lub zagrożenie nieosiągnięciem dobrego stanu z ww. powodów.</w:t>
            </w:r>
          </w:p>
        </w:tc>
        <w:tc>
          <w:tcPr>
            <w:tcW w:w="3401" w:type="dxa"/>
            <w:shd w:val="clear" w:color="auto" w:fill="auto"/>
            <w:hideMark/>
          </w:tcPr>
          <w:p w14:paraId="000931CB" w14:textId="20A7276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 których są prowadzone odwodnienia górnicze, zakłada się wykonanie dodatkowego przeglądu udzielonych pozwoleń wodnoprawnych związanych z poborem wód podziemnych (np. PLGW2000101, PLGW2000111, PLGW2000112, PLGW2000130, PLGW2000145, PLGW2000146, PLGW2000147, PLGW2000156, PLGW2000157, PLGW200047). Szczegółowy zakres i cel tej analizy nie został przedstawiony. </w:t>
            </w:r>
            <w:r w:rsidRPr="005E78BB">
              <w:rPr>
                <w:rFonts w:ascii="Calibri" w:eastAsia="Times New Roman" w:hAnsi="Calibri" w:cs="Calibri"/>
                <w:color w:val="000000"/>
                <w:sz w:val="18"/>
                <w:szCs w:val="18"/>
                <w:lang w:eastAsia="pl-PL"/>
              </w:rPr>
              <w:br/>
              <w:t xml:space="preserve">Nie jest jasne, czy w wyniku przeglądu dojdzie do faktycznego ograniczenia poborów wód podziemnych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 których jest on zbyt wysoki, czy tylko zostaną ograniczone dopuszczalne pobory w pozwoleniach, a więc spadnie teoretyczna maksymalna wielkość poborów i spadną opłaty stałe za pobory wód. </w:t>
            </w:r>
            <w:r w:rsidRPr="005E78BB">
              <w:rPr>
                <w:rFonts w:ascii="Calibri" w:eastAsia="Times New Roman" w:hAnsi="Calibri" w:cs="Calibri"/>
                <w:color w:val="000000"/>
                <w:sz w:val="18"/>
                <w:szCs w:val="18"/>
                <w:lang w:eastAsia="pl-PL"/>
              </w:rPr>
              <w:br/>
              <w:t>Nie jest jasne jakich celów poboru wód będą dotyczyć ewentualne ograniczenia (przemysł, nawodnienia i/lub inne cele rolnicze,  zaopatrzenie ludności, czy energetyka konwencjonalna i odwodnienia górnicze).</w:t>
            </w:r>
            <w:r w:rsidRPr="005E78BB">
              <w:rPr>
                <w:rFonts w:ascii="Calibri" w:eastAsia="Times New Roman" w:hAnsi="Calibri" w:cs="Calibri"/>
                <w:color w:val="000000"/>
                <w:sz w:val="18"/>
                <w:szCs w:val="18"/>
                <w:lang w:eastAsia="pl-PL"/>
              </w:rPr>
              <w:br/>
              <w:t>Ponadto użytkownicy wód, którzy podlegają ustawowym zwolnieniom z opłat za usługi wodne, nie będą mieć wystarczającej motywacji, aby zawnioskować o przegląd pozwoleń na te usługi. Dlatego konieczne jest objęcie pozwoleń dla takich zakładów przeglądami prowadzonymi z urzędu. Do ww. zakładów należą przede wszystkim zakłady górnicze (w tym szczególnie kopalnie węgla brunatnego i kamiennego) oraz elektrownie węglowe - czyli najwięksi użytkownicy wód.</w:t>
            </w:r>
          </w:p>
        </w:tc>
        <w:tc>
          <w:tcPr>
            <w:tcW w:w="1918" w:type="dxa"/>
            <w:shd w:val="clear" w:color="auto" w:fill="auto"/>
            <w:hideMark/>
          </w:tcPr>
          <w:p w14:paraId="7BC7DE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3DA4909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D4ACEC8" w14:textId="46F7A61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IIaPGW zaplanowano wiele działań odnoszących się wprost do zgłoszonych postulatów. Mając na celu racjonalne gospodarowanie zasobami wód podziemnych oraz ich ochronę ilościową w IIaPGW przewidziano do realizacji szereg działań ukierunkowanych na ograniczenie presji ilościowej, w tym także presji zwizanej z działalności górniczą (odwodnienia wyrobisk górniczych). W katalogu działań krajowych znajdują się dwa działania obowiązujące na obszarze całego kraju: [1] "Przegląd pozwoleń wodnoprawnych na pobór wód, a także realizacji tych pozwoleń, co najmniej raz na 4 lata" - przypisane do PGW WP oraz [2] "Przegląd pozwoleń wodnoprawnych na wprowadzanie ścieków do wód lub do ziemi, lub do urządzeń kanalizacyjnych, a także realizacji tych pozwoleń, co najmniej raz na 4 lata" - przypisane do PGW WP. Ponadto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 których stwierdzono zagrożenie dla stanu ilościowego lub stan słaby ilościowy przewidziano działanie: "Dodatkowy przegląd udzielonych pozwoleń wodnoprawnych związanych z poborem wód podziemnych" - przypisane do PGW WP. Działanie to obejmuje wszystkich użytkowników wód funkcjonujcych w ramach szczególnego korzystania z wód, a więc także podmioty prowadzce działalność górnicz. W naszej opini nie istnieje zatem potrzeba wymieniania poszczególnych branż jako mających podlegać szczególowej analizie lub na zasadach odrębnych. Ewentualnie w ramach ustaleń wewnętrznych PGW WP w zakresie własnych możliwosci realizacji tego działania może ustalić hierarchizację branż podlegających przeglądowi w pierwszej kolejności. Zwraca się także uwagę, że to nie użytkownik wnioskuje o objęcie go działaniem polegajacym na objęciu go przeglądem pozzwoleń, a ustawowo leży to w obowiazku PGW WP. Jednocześnie zgodnie z art. 415 ustawy Prawo wodne pozwolenie wodoprawne może być cofnięte lub ograniczone jeżeli nastąpiło zagrożenie osiągnięcia celów środowiskowych i jest to uzasadnione danymi z monitoringu wód oraz wynikami dodatkowego przeglądu pozwoleń wodnioprawnych. Tak więc działanie przewidziane do realizacji w ramach IIaPGW niesie za sobą duże konsekwecje dla użytkowników wód powodujcych silną presję na stan ilościowy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w:t>
            </w:r>
          </w:p>
        </w:tc>
      </w:tr>
      <w:tr w:rsidR="0085319C" w:rsidRPr="005E78BB" w14:paraId="74C4C87E" w14:textId="77777777" w:rsidTr="00E92AE6">
        <w:trPr>
          <w:trHeight w:val="454"/>
        </w:trPr>
        <w:tc>
          <w:tcPr>
            <w:tcW w:w="562" w:type="dxa"/>
            <w:shd w:val="clear" w:color="auto" w:fill="auto"/>
            <w:hideMark/>
          </w:tcPr>
          <w:p w14:paraId="170F783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672</w:t>
            </w:r>
          </w:p>
        </w:tc>
        <w:tc>
          <w:tcPr>
            <w:tcW w:w="1021" w:type="dxa"/>
          </w:tcPr>
          <w:p w14:paraId="76F80C2C" w14:textId="696A50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2CB601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5D62A857" w14:textId="0847EB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dotyczy: Zestaw Działań</w:t>
            </w:r>
            <w:r w:rsidRPr="005E78BB">
              <w:rPr>
                <w:rFonts w:ascii="Calibri" w:eastAsia="Times New Roman" w:hAnsi="Calibri" w:cs="Calibri"/>
                <w:color w:val="000000"/>
                <w:sz w:val="18"/>
                <w:szCs w:val="18"/>
                <w:lang w:eastAsia="pl-PL"/>
              </w:rPr>
              <w:br/>
              <w:t>Treść uwagi</w:t>
            </w:r>
            <w:r w:rsidRPr="005E78BB">
              <w:rPr>
                <w:rFonts w:ascii="Calibri" w:eastAsia="Times New Roman" w:hAnsi="Calibri" w:cs="Calibri"/>
                <w:color w:val="000000"/>
                <w:sz w:val="18"/>
                <w:szCs w:val="18"/>
                <w:lang w:eastAsia="pl-PL"/>
              </w:rPr>
              <w:br/>
              <w:t xml:space="preserve">Wprowadzić realną ochronę najważniejszych zasobów wód podziemnych przed nadmierną eksploatacją, w tym w ramach odwodnień górniczych (GZWP,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użytkowane na cele komunalne,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powiązane z ekosystemami zależnymi od wody)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Rozdział 12 II aPGW dla obszaru dorzecza Wisły oraz załącznik nr 7 pn. Zestawy działań</w:t>
            </w:r>
          </w:p>
        </w:tc>
        <w:tc>
          <w:tcPr>
            <w:tcW w:w="3377" w:type="dxa"/>
            <w:shd w:val="clear" w:color="auto" w:fill="auto"/>
            <w:hideMark/>
          </w:tcPr>
          <w:p w14:paraId="2CE0EC58" w14:textId="01FCF3B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Zasoby dyspozycyjne wód podziemnych powinny być jasno określone i na bieżąco aktualizowane, w publicznie dostępnym rejestrze, którego zapisy są wiążące dla organów wydających decyzje środowiskowe, pozwolenia zintegrowane i wodnoprawne.</w:t>
            </w:r>
            <w:r w:rsidRPr="005E78BB">
              <w:rPr>
                <w:rFonts w:ascii="Calibri" w:eastAsia="Times New Roman" w:hAnsi="Calibri" w:cs="Calibri"/>
                <w:color w:val="000000"/>
                <w:sz w:val="18"/>
                <w:szCs w:val="18"/>
                <w:lang w:eastAsia="pl-PL"/>
              </w:rPr>
              <w:br/>
              <w:t>W ramach przeglądu pozwoleń wodnoprawnych i zintegrowanych (o którym mowa w uwagach 11 i 13) zweryfikować stan ilościowy wód podziemnych, zasoby dyspozycyjne i nałożyć ograniczenia na korzystających z wód.</w:t>
            </w:r>
            <w:r w:rsidRPr="005E78BB">
              <w:rPr>
                <w:rFonts w:ascii="Calibri" w:eastAsia="Times New Roman" w:hAnsi="Calibri" w:cs="Calibri"/>
                <w:color w:val="000000"/>
                <w:sz w:val="18"/>
                <w:szCs w:val="18"/>
                <w:lang w:eastAsia="pl-PL"/>
              </w:rPr>
              <w:br/>
              <w:t>Opomiarować pobór wód z wykorzystaniem mierników kontrolowanych przez instytucje publiczne.</w:t>
            </w:r>
            <w:r w:rsidRPr="005E78BB">
              <w:rPr>
                <w:rFonts w:ascii="Calibri" w:eastAsia="Times New Roman" w:hAnsi="Calibri" w:cs="Calibri"/>
                <w:color w:val="000000"/>
                <w:sz w:val="18"/>
                <w:szCs w:val="18"/>
                <w:lang w:eastAsia="pl-PL"/>
              </w:rPr>
              <w:br/>
              <w:t xml:space="preserve">Udzielanie i utrzymanie w mocy pozwoleń na pobór wód w ramach odwodnień górniczych powinno być ściśle uzależnione od stanu zasobów dyspozycyjnych oraz od zachowania przepływów środowiskowych / hydrobiologicznych  (a do czasu ich zdefiniowania w prawie, od przepływów nienaruszalnych) w JCW powierzchniowych i ekosystemach zależnych od wód, powiązanych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których dotyczy odwodnienie. </w:t>
            </w:r>
          </w:p>
        </w:tc>
        <w:tc>
          <w:tcPr>
            <w:tcW w:w="3401" w:type="dxa"/>
            <w:shd w:val="clear" w:color="auto" w:fill="auto"/>
            <w:hideMark/>
          </w:tcPr>
          <w:p w14:paraId="4BD7C489" w14:textId="332060E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Wg danych zawartych w IIaPGW dla dorzecza Wisły, roczny pobór rejestrowany wody w 2018 r. wyniósł  1 300 965 tys. m3. 29% zarejestrowanego poboru wody związane było z odwadnianiem kopalń. Pobór wód podziemnych w 10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(PLGW200091, PLGW2000101, PLGW2000111, PLGW2000116, PLGW2000147, PLGW2000130, PLGW2000145, PLGW2000146, PLGW2000156, PLGW2000157), związany z odwodnieniem kopalni, przewyższa pobór wód na inne cele. W niektórych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pobór wód na potrzeby związane z odwodnieniem kopalń przekracza 90% poboru całkowitego. W niektórych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pobór przekracza (często znacznie) wartość zasobów dyspozycyjnych  , przy czym powodem tych przekroczeń jest pobór w ramach odwodnień górniczych.</w:t>
            </w:r>
            <w:r w:rsidRPr="005E78BB">
              <w:rPr>
                <w:rFonts w:ascii="Calibri" w:eastAsia="Times New Roman" w:hAnsi="Calibri" w:cs="Calibri"/>
                <w:color w:val="000000"/>
                <w:sz w:val="18"/>
                <w:szCs w:val="18"/>
                <w:lang w:eastAsia="pl-PL"/>
              </w:rPr>
              <w:br/>
              <w:t xml:space="preserve">Udzielanie pozwoleń na pobór wód w ramach odwodnień górniczych powinno być ściśle uzależnione od zachowania przepływów środowiskowych / hydrobiologicznych (a do czasu ich zdefiniowania w prawie, od przepływów nienaruszalnych) w JCW powierzchniowych i ekosystemach zależnych od wód, powiązanych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których dotyczy odwodnienie. Obecnie zasada ta nie jest stosowana, mimo że wynika z RDW i Prawa wodnego (art. 403 ust. 2 pkt. 11) Prawa wodnego). Należy wprowadzić w ramach IIaPGW opracowane w ostatnich latach definicje przepływów środowiskowych i zasady ich wyznaczania. Należy uzależnić od utrzymania ww. przepływów możliwość wydania zgody na prowadzenie odwodnienia, lub jej podtrzymanie w ramach prowadzonego przeglądu pozwoleń wodnoprawnych. W przypadku braku możliwości zachowania przepływów środowiskowych, należy ograniczyć ustaloną w pozwoleniu wodnoprawnym wielkość odwodnienia lub cofnąć pozwolenie.</w:t>
            </w:r>
            <w:r w:rsidRPr="005E78BB">
              <w:rPr>
                <w:rFonts w:ascii="Calibri" w:eastAsia="Times New Roman" w:hAnsi="Calibri" w:cs="Calibri"/>
                <w:color w:val="000000"/>
                <w:sz w:val="18"/>
                <w:szCs w:val="18"/>
                <w:lang w:eastAsia="pl-PL"/>
              </w:rPr>
              <w:br/>
              <w:t>Ponadto pobór wód powierzchniowych i podziemnych na potrzeby dużych zakładów przemysłowych (w kopalniach i elektrowniach) powinien zostać opomiarowany, z wykorzystaniem elektronicznych mierników poboru wody, za których sprawność i odczyty odpowiadają instytucje publiczne (WIOŚ, GIOŚ). Z projektu II aPGW wynika, że na potrzeby jego opracowania wykorzystano dane dotyczące poboru wód, w tym na potrzeby odwadniania kopalni, pozyskane przez PIG-PIB bezpośrednio z zakładów górniczych poprzez ankietyzację. Nie są to więc dane z przepływomierzy (jak wskazuje Dyrektywa Wodna), które pozwoliłyby na monitoring on-line ilości pobranej wody. W związku z powyższym nie jest wiadomo, jaka ilość wody jest pobierana w danej jednostce czasu, co uniemożliwia zarządzanie zasobami wodnymi.</w:t>
            </w:r>
            <w:r w:rsidRPr="005E78BB">
              <w:rPr>
                <w:rFonts w:ascii="Calibri" w:eastAsia="Times New Roman" w:hAnsi="Calibri" w:cs="Calibri"/>
                <w:color w:val="000000"/>
                <w:sz w:val="18"/>
                <w:szCs w:val="18"/>
                <w:lang w:eastAsia="pl-PL"/>
              </w:rPr>
              <w:br/>
              <w:t xml:space="preserve">W dokumencie zaproponowano działanie krajowe, wspólne dla wszystkich jcw, polegające na utworzeniu systemu informacji o odwodnieniach górniczych (bazy danych), który będzie zawierał przekazywane raz w roku przez zarządzających obiektami prowadzącymi odwodnienia w skali regionalnej i lokalnej (kopalnie wgłębne i odkrywkowe) dane dotyczące wielkości odwodnienia i zasięgu leja depresji (w formie raportu). Działanie to jest wystarczające, samo w sobie niewiele wnosi w poprawę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będących pod wpływem odwadniania.</w:t>
            </w:r>
            <w:r w:rsidRPr="005E78BB">
              <w:rPr>
                <w:rFonts w:ascii="Calibri" w:eastAsia="Times New Roman" w:hAnsi="Calibri" w:cs="Calibri"/>
                <w:color w:val="000000"/>
                <w:sz w:val="18"/>
                <w:szCs w:val="18"/>
                <w:lang w:eastAsia="pl-PL"/>
              </w:rPr>
              <w:br/>
              <w:t xml:space="preserve">W zestawach działań dla wód podziemnych przypisuje się działania dot. likwidacji kopalń (m.in. GWIC41 - opracowanie dokumentacji hydrogeologicznej) oraz działania dot. ograniczenia zużycia wody (GWI9 - "Przeprowadzenie przez podmiot prowadzący działalność gospodarczą analizy możliwości ograniczenia zużycia wody w przemyśle poprzez zastosowanie najlepszych dostępnych technik oszczędzających wodę wraz z oceną możliwości ich zastosowania". Efektem analiz powinno być podjęcie konkretnych działań polegających np. na ponownym wykorzystaniu wody lub wykorzystaniu jej do innych celów.  </w:t>
            </w:r>
          </w:p>
        </w:tc>
        <w:tc>
          <w:tcPr>
            <w:tcW w:w="1918" w:type="dxa"/>
            <w:shd w:val="clear" w:color="auto" w:fill="auto"/>
            <w:hideMark/>
          </w:tcPr>
          <w:p w14:paraId="2F9B8A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7D0CA7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9797D32" w14:textId="796E22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Dokumentowanie zasobów dyspozycyjnych wód podziemnych, a także prowadzenie bazy danych oraz aktualizowanego corocznie wykazu zasobód wód podziemnych w obszarach bilansowych (zasoby dyspozycyjne)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(zasoby dostępne) jest zadaniem stałym państwowej służby hydrogeologicznej, realizowanym przez PIG-PIB. Informacje te są udostępniane na zasadach określonych w ustawie Prawo wodne i ustawie o ponownym wykorzystaniu informacji sektora publicznego (dane publiczne). Ponadto wykonywany jest bilans zasobów wód podziemnych (ilość zasobów, wielkość poboru oraz stopień wykorzystania zasobów) w jednostkach bilansowych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Informacje te są m.in. przesyłane do GUS w ramach Programu badań statystyki publicznej [są to badania o numerach: 1. Zasoby eksploatacyjne wód podziemnych – symbol badania w PBSSP 2020: 1.01.05(005); 2. Bilans zasobów wód podziemnych w Polsce – symbol badania w PBSSP 2020: 1.01.05(005).]. Dane te są aktualizowane corocznie - wobec tego w naszej opinii są one określane i aktualizowane na bieżaco. Należy także zwrócić uwagę, że organem odbierajacym wykonane prace jest aktualnie MI (organ nadzorujący PGW WP), a efekty prac są także przekazywane do PGW WP, wobec tego najważniejszy organ wydajacy pozwolenia wodnoprawne ma stały dostęp i najbardziej aktualne dane dostępne w Polsce w rejestrach publicznych. Stan ilościowy wód podziemnych jest oceniany w wykonywanej cyklicznie ocenie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wykonywanej przez PIG-PIB na zlecenie GIOŚ, a wyniku publikowane na podstronach GIOŚ (http://mjwp.gios.gov.pl/). W świetle obecnie obowizujących przepisów (art. 36 ustawy Prawo wodne) podmiot dokonujący poboru wód w ramach usług wodnych jest zobowiązany do stosowania przyrządów pomiarowych umorzliwiających pomiar ilości pobieranych wód. Propozycja stosowania mierników kontrolowanych przez instytucje publiczne wymaga zmian legisłacyjnych, a więc wykracza poza zakres IIaPGW.</w:t>
            </w:r>
          </w:p>
        </w:tc>
      </w:tr>
      <w:tr w:rsidR="0085319C" w:rsidRPr="005E78BB" w14:paraId="54EAF775" w14:textId="77777777" w:rsidTr="00E92AE6">
        <w:trPr>
          <w:trHeight w:val="454"/>
        </w:trPr>
        <w:tc>
          <w:tcPr>
            <w:tcW w:w="562" w:type="dxa"/>
            <w:shd w:val="clear" w:color="auto" w:fill="auto"/>
            <w:hideMark/>
          </w:tcPr>
          <w:p w14:paraId="3C4C881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673</w:t>
            </w:r>
          </w:p>
        </w:tc>
        <w:tc>
          <w:tcPr>
            <w:tcW w:w="1021" w:type="dxa"/>
          </w:tcPr>
          <w:p w14:paraId="5593BBE0" w14:textId="2E9EAD0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Rozwój TAK - Odkrywki NIE</w:t>
            </w:r>
          </w:p>
        </w:tc>
        <w:tc>
          <w:tcPr>
            <w:tcW w:w="1630" w:type="dxa"/>
            <w:shd w:val="clear" w:color="auto" w:fill="auto"/>
            <w:hideMark/>
          </w:tcPr>
          <w:p w14:paraId="3E75DC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ANALIZY EKONOMICZNE ZWIĄZANE Z KORZYSTANIEM Z WÓD</w:t>
            </w:r>
          </w:p>
        </w:tc>
        <w:tc>
          <w:tcPr>
            <w:tcW w:w="5663" w:type="dxa"/>
            <w:shd w:val="clear" w:color="auto" w:fill="auto"/>
            <w:hideMark/>
          </w:tcPr>
          <w:p w14:paraId="4A9E3C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Brak pełnego wdrożenia opłat za usługi wodne oraz zasady „zanieczyszczający płaci”, które stanowią jeden ze środków niezbędnych dla osiągnięcia dobrego stanu wód zgodnie z RDW.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Rozdział 11 i 13.1 II aPGW dla obszaru dorzecza Wisły</w:t>
            </w:r>
          </w:p>
        </w:tc>
        <w:tc>
          <w:tcPr>
            <w:tcW w:w="3377" w:type="dxa"/>
            <w:shd w:val="clear" w:color="auto" w:fill="auto"/>
            <w:hideMark/>
          </w:tcPr>
          <w:p w14:paraId="337821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 Polsce wprowadzić w pełni zasadę zwrotu kosztów usług wodnych i zasadę zanieczyszczający płaci w stosunku do kopalni i elektrowni węglowych. W Projekcie IIaPGW powinna znaleźć się rekomendacja stosownych zmian w Prawie wodnym.</w:t>
            </w:r>
          </w:p>
        </w:tc>
        <w:tc>
          <w:tcPr>
            <w:tcW w:w="3401" w:type="dxa"/>
            <w:shd w:val="clear" w:color="auto" w:fill="auto"/>
            <w:hideMark/>
          </w:tcPr>
          <w:p w14:paraId="22BC6F87" w14:textId="445B4FD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projekcie IIaPGW jest mowa, że przedsiębiorstwa sektora przemysłowego ponoszą pełne koszty działalności w zakresie poboru wód i zrzutu ścieków. Finansowa stopa zwrotu dla sektora przemysłowego wynosi zatem 100%, co wskazuje na pełne wdrożenie zasady, zgodnie z którą płaci użytkownik oraz zanieczyszczający (IIaPGW Wisły, rozdz. 11.1.4, str. 263). Po analizie projektu dokumentu stwierdzono, że cytowana informacja jest niepełna - podane stopy zwrotu nie odzwierciedlają rzeczywistości. Projekt IIaPGW nie uwzględnia zwrotu kosztów za usługi wodne związane z górnictwem i spalaniem paliw. </w:t>
            </w:r>
            <w:r w:rsidRPr="005E78BB">
              <w:rPr>
                <w:rFonts w:ascii="Calibri" w:eastAsia="Times New Roman" w:hAnsi="Calibri" w:cs="Calibri"/>
                <w:color w:val="000000"/>
                <w:sz w:val="18"/>
                <w:szCs w:val="18"/>
                <w:lang w:eastAsia="pl-PL"/>
              </w:rPr>
              <w:br w:type="page"/>
              <w:t>Zakłady przemysłowe związane z wydobyciem węgla brunatnego i kamiennego są zwolnione z ponoszenia opłat za usługi wodne - art. 268 ust. 2 ustawy z dnia 20 lipca 2017 r. Prawo wodne wyłącza górnictwo węgla kamiennego i brunatnego z opłat za pobór odwodnieniowy kopalń, a art. 279 zwalnia je z opłat za zrzucanie do wód ścieków o średnim ładunku zasolenia (tj. gdy wartość sumy chlorków i siarczanów w ściekach nie przekracza 500 mg/l)</w:t>
            </w:r>
            <w:r w:rsidRPr="005E78BB">
              <w:rPr>
                <w:rFonts w:ascii="Calibri" w:eastAsia="Times New Roman" w:hAnsi="Calibri" w:cs="Calibri"/>
                <w:color w:val="000000"/>
                <w:sz w:val="18"/>
                <w:szCs w:val="18"/>
                <w:lang w:eastAsia="pl-PL"/>
              </w:rPr>
              <w:br w:type="page"/>
              <w:t xml:space="preserve">Również elektrownie węglowe są zwolnione ze znacznej części opłat za usługi wodne - w tym za pobór wód na cele chłodzenia (zwolnienie z opłaty zmiennej za wodę pobraną i następnie zwracaną, która stanowi ok. 80% całkowitego poboru na cele chłodzenia) oraz zrzuty wód (ścieków) pochłodniczych, w tym zasolonych, na warunkach szczegółowo opisanych w ustawie Prawo wodne. </w:t>
            </w:r>
            <w:r w:rsidRPr="005E78BB">
              <w:rPr>
                <w:rFonts w:ascii="Calibri" w:eastAsia="Times New Roman" w:hAnsi="Calibri" w:cs="Calibri"/>
                <w:color w:val="000000"/>
                <w:sz w:val="18"/>
                <w:szCs w:val="18"/>
                <w:lang w:eastAsia="pl-PL"/>
              </w:rPr>
              <w:br w:type="page"/>
              <w:t xml:space="preserve">Zestawy działań nie stosują zasady „zanieczyszczający płaci”. W sposób uderzający widać to na przykładzie działań ukierunkowanych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znajdujących się pod wpływem presji odwodnieniowej z górnictwa. W zestawach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żadnych działań nie przypisuje się podmiotom prowadzącym działalność wydobywczą. </w:t>
            </w:r>
            <w:r w:rsidRPr="005E78BB">
              <w:rPr>
                <w:rFonts w:ascii="Calibri" w:eastAsia="Times New Roman" w:hAnsi="Calibri" w:cs="Calibri"/>
                <w:color w:val="000000"/>
                <w:sz w:val="18"/>
                <w:szCs w:val="18"/>
                <w:lang w:eastAsia="pl-PL"/>
              </w:rPr>
              <w:br w:type="page"/>
              <w:t xml:space="preserve">Podmiot prowadzący działalność, determinujący stan wód, ma więc do poniesienia niewielkie koszty związane z nieprecyzyjnymi i nieweryfikowalnymi działaniami („ograniczenie zużycia wody w przemyśle” w odniesieniu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żadnych działań i kosztów w odniesieniu do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Zasada „zanieczyszczający płaci” jest jednym z fundamentów krajowych i unijnych zasad ochrony środowiska, wynika z art. 191 ust. 2 Traktatu o funkcjonowaniu Unii Europejskiej oraz art. 7 ustawy z dnia 27 kwietnia 2001 r. - Prawo ochrony środowiska. Jest ona odzwierciedlona również w art. 9 Ramowej Dyrektywy Wodnej.</w:t>
            </w:r>
            <w:r w:rsidRPr="005E78BB">
              <w:rPr>
                <w:rFonts w:ascii="Calibri" w:eastAsia="Times New Roman" w:hAnsi="Calibri" w:cs="Calibri"/>
                <w:color w:val="000000"/>
                <w:sz w:val="18"/>
                <w:szCs w:val="18"/>
                <w:lang w:eastAsia="pl-PL"/>
              </w:rPr>
              <w:br w:type="page"/>
              <w:t>Europejski Trybunał Obrachunkowy w Sprawozdaniu Specjalnym nr 12/2021 pn. „»Zanieczyszczający płaci«” – niespójne stosowanie zasady w polityce i działaniach UE w dziedzinie środowiska” zwrócił uwagę na to, że w wielu krajach członkowskich Unii Europejskiej, w tym w Polsce, w przypadku niektórych gałęzi przemysłu odprowadzane przez nie opłaty za wodę nie pokrywają kosztów wiążących się z zanieczyszczeniami odprowadzanymi do wód.</w:t>
            </w:r>
            <w:r w:rsidRPr="005E78BB">
              <w:rPr>
                <w:rFonts w:ascii="Calibri" w:eastAsia="Times New Roman" w:hAnsi="Calibri" w:cs="Calibri"/>
                <w:color w:val="000000"/>
                <w:sz w:val="18"/>
                <w:szCs w:val="18"/>
                <w:lang w:eastAsia="pl-PL"/>
              </w:rPr>
              <w:br w:type="page"/>
              <w:t xml:space="preserve">Również raport EEB “Mind the Gap” zwraca uwagę na fakt, że zasada zwrotu kosztów usług wodnych nie jest w Polsce prawidłowo wdrożona, zaś Prawo wodne nadal przyznaje nieuzasadnione zwolnienia z opłat dla górnictwa i dla energetyki węglowej. </w:t>
            </w:r>
            <w:r w:rsidRPr="005E78BB">
              <w:rPr>
                <w:rFonts w:ascii="Calibri" w:eastAsia="Times New Roman" w:hAnsi="Calibri" w:cs="Calibri"/>
                <w:color w:val="000000"/>
                <w:sz w:val="18"/>
                <w:szCs w:val="18"/>
                <w:lang w:eastAsia="pl-PL"/>
              </w:rPr>
              <w:br w:type="page"/>
              <w:t>W pracy wykonanej w 2019 r. na zlecenie Krajowego Zarządu Gospodarki Wodnej pn. „Analiza zwrotu kosztów za usługi wodne wraz z prognozą rozwoju oraz analiza zwrotu kosztów środowiskowych i zasobowych w regionach wodnych i na obszarach dorzeczy” zapisano, że w Polsce nie ma „bodźcowego mechanizmu opłat za pobór czy zrzut ładunków zanieczyszczeń”, a system opłat za korzystanie z usług wodnych nie miał i nie ma „charakteru opłacalnej alternatywy wobec oszczędzania wody czy też oczyszczania ścieków”.</w:t>
            </w:r>
            <w:r w:rsidRPr="005E78BB">
              <w:rPr>
                <w:rFonts w:ascii="Calibri" w:eastAsia="Times New Roman" w:hAnsi="Calibri" w:cs="Calibri"/>
                <w:color w:val="000000"/>
                <w:sz w:val="18"/>
                <w:szCs w:val="18"/>
                <w:lang w:eastAsia="pl-PL"/>
              </w:rPr>
              <w:br w:type="page"/>
              <w:t>Warto tu zwrócić uwagę na panujące w Polsce (również w orzecznictwie sądów) błędne przekonanie, że opłaty za usługi wodne powinny pokrywać tylko koszty dostarczenia tych usług obywatelom i podmiotom, nie zaś koszty zewnętrzne ponoszone przez środowisko i społeczeństwo w związku z korzystaniem z wód. O właściwych celach opłat za usługi wodne informowała Komisja Europejska w komunikacie z 2012 r. , a więc niezrozumiałe jest dalsze podtrzymywanie błędnej interpretacji w IIaPGW i w polskim prawie.</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20F63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RTON_IIaPGW_Wisła</w:t>
            </w:r>
          </w:p>
        </w:tc>
        <w:tc>
          <w:tcPr>
            <w:tcW w:w="1276" w:type="dxa"/>
            <w:shd w:val="clear" w:color="auto" w:fill="auto"/>
            <w:hideMark/>
          </w:tcPr>
          <w:p w14:paraId="136D422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18F63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Wskazany w uwadze postulat wprowadzenia pełnego wdrożenia zasady zwrotu kosztów usług wodnych i zasady zanieczyszczający płaci w stosunku do kopalni i elektrowni węglowych w ramach IIaPGW realizowany jest przy uwzględnieniu obowiązujących przepisów prawa. Zwolnienie z opłat za pobór wód na cele odwodnień wyrobisk górniczych wynika z przepisów ustawy Prawo wodne i w IIaPGW nie mogą się znaleźć działania niezgodne z tymi przepisami. Projekt II aPGW nie obejmuje zmian legislacyjnych, dlatego też proponowane zestawy działań odnoszą się wyłącznie do obowiązujących przepisów prawa. Natomiast należy zaznaczyć, że w proponowanych zestawach działań znajdują się działania przypisane podmiotom prowadzącym działalność wydobywczą – np.: [1] wykonanie dokumentacji hydrogeologicznej (wykonanie dokumentacji hydrogeologicznej określającej warunki hydrogeologiczne w związku z zakończeniem odwadniania likwidowanych zakładów górniczych PAK Kopalni Węgla Brunatnego Konin SA w Kleczewie, opracowanej i zatwierdzonej zgodnie z ustawą z dnia 9 czerwca 2011 roku Prawo geologiczne i górnicze oraz rozporządzeniem Ministra Środowiska z dnia 18 listopada 2016 r. w sprawie dokumentacji hydrogeologicznej i geologiczno-inżynierskiej; wykonanie dokumentacji hydrogeologicznej określającej warunki hydrogeologiczne w związku z zakończeniem odwadniania odkrywki Tomisławice ZG PAK Kopalni Węgla Brunatnego Konin SA, opracowanej i zatwierdzonej zgodnie z ustawą z dnia 9 czerwca 2011 roku Prawo geologiczne i górnicze oraz rozporządzeniem Ministra Środowiska z dnia 18 listopada 2016 r. w sprawie dokumentacji hydrogeologicznej i geologiczno-inżynierskiej); [2] prowadzenie monitoringu w rejonie likwidowanej kopalni odkrywkowej margla w Rejowcu (zawodnienie wyrobiska); [3] wykonanie opracowania "Analiza wpływu zagospodarowania wód z odwadniania zakładów górniczych na stan wód powierzchniowych i podziemnych"; [4] opracowanie programu monitorowania stanu wód podziemnych w rejonie prowadzonej działalności górniczej (rozpoznanie warunków hydrodynamicznych w rejonie KWB Turów w celu oszacowania i określenia kierunków przepływów transgranicznych (opracowanie modelu numerycznego o zasięgu transgranicznym, rozwój sieci monitoringu).</w:t>
            </w:r>
          </w:p>
        </w:tc>
      </w:tr>
      <w:tr w:rsidR="0085319C" w:rsidRPr="005E78BB" w14:paraId="564985EF" w14:textId="77777777" w:rsidTr="00E92AE6">
        <w:trPr>
          <w:trHeight w:val="454"/>
        </w:trPr>
        <w:tc>
          <w:tcPr>
            <w:tcW w:w="562" w:type="dxa"/>
            <w:shd w:val="clear" w:color="auto" w:fill="auto"/>
            <w:hideMark/>
          </w:tcPr>
          <w:p w14:paraId="5524182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674</w:t>
            </w:r>
          </w:p>
        </w:tc>
        <w:tc>
          <w:tcPr>
            <w:tcW w:w="1021" w:type="dxa"/>
          </w:tcPr>
          <w:p w14:paraId="27EEC9FD" w14:textId="18614C7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hideMark/>
          </w:tcPr>
          <w:p w14:paraId="3C8704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22C4F055" w14:textId="561F043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RW200010254635 Wolbórka do Dopływu spod Będzelina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RW200010254649 Moszczanka Właściwa proponujemy dodanie następujących działań:</w:t>
            </w:r>
            <w:r w:rsidRPr="005E78BB">
              <w:rPr>
                <w:rFonts w:ascii="Calibri" w:eastAsia="Times New Roman" w:hAnsi="Calibri" w:cs="Calibri"/>
                <w:color w:val="000000"/>
                <w:sz w:val="18"/>
                <w:szCs w:val="18"/>
                <w:lang w:eastAsia="pl-PL"/>
              </w:rPr>
              <w:br/>
              <w:t>1. z Katalogu działań RW</w:t>
            </w:r>
            <w:r w:rsidRPr="005E78BB">
              <w:rPr>
                <w:rFonts w:ascii="Calibri" w:eastAsia="Times New Roman" w:hAnsi="Calibri" w:cs="Calibri"/>
                <w:color w:val="000000"/>
                <w:sz w:val="18"/>
                <w:szCs w:val="18"/>
                <w:lang w:eastAsia="pl-PL"/>
              </w:rPr>
              <w:br/>
              <w:t>RWHM_01.05 Analiza możliwości likwidacji budowli poprzecznych/przebudowa budowli poprzecznych na bystrza/innych działań w zakresie zapewnienia drożności</w:t>
            </w:r>
            <w:r w:rsidRPr="005E78BB">
              <w:rPr>
                <w:rFonts w:ascii="Calibri" w:eastAsia="Times New Roman" w:hAnsi="Calibri" w:cs="Calibri"/>
                <w:color w:val="000000"/>
                <w:sz w:val="18"/>
                <w:szCs w:val="18"/>
                <w:lang w:eastAsia="pl-PL"/>
              </w:rPr>
              <w:br/>
              <w:t>RWHM_02.02 Opracowanie wariantowej analizy sposobu udrożnienia budowli piętrzących na cieku wraz ze wskazaniem wariantu do realizacji oraz opracowaniem dokumentacji projektowej.</w:t>
            </w:r>
            <w:r w:rsidRPr="005E78BB">
              <w:rPr>
                <w:rFonts w:ascii="Calibri" w:eastAsia="Times New Roman" w:hAnsi="Calibri" w:cs="Calibri"/>
                <w:color w:val="000000"/>
                <w:sz w:val="18"/>
                <w:szCs w:val="18"/>
                <w:lang w:eastAsia="pl-PL"/>
              </w:rPr>
              <w:br/>
              <w:t>RWHM_03.01 Realizacja działań naprawczych dla obszarów chronionych w zakresie utrzymania naturalnego charakteru koryta</w:t>
            </w:r>
            <w:r w:rsidRPr="005E78BB">
              <w:rPr>
                <w:rFonts w:ascii="Calibri" w:eastAsia="Times New Roman" w:hAnsi="Calibri" w:cs="Calibri"/>
                <w:color w:val="000000"/>
                <w:sz w:val="18"/>
                <w:szCs w:val="18"/>
                <w:lang w:eastAsia="pl-PL"/>
              </w:rPr>
              <w:br/>
              <w:t>RWHM_04.01 Działania renaturyzacyjne</w:t>
            </w:r>
            <w:r w:rsidRPr="005E78BB">
              <w:rPr>
                <w:rFonts w:ascii="Calibri" w:eastAsia="Times New Roman" w:hAnsi="Calibri" w:cs="Calibri"/>
                <w:color w:val="000000"/>
                <w:sz w:val="18"/>
                <w:szCs w:val="18"/>
                <w:lang w:eastAsia="pl-PL"/>
              </w:rPr>
              <w:br/>
              <w:t xml:space="preserve">RWC_01.06 Opracowanie programu poprawy retencji glebowej i krajobrazowej w obszarach rolniczych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 xml:space="preserve">RWC_01.07 Realizacja przedsięwzięć zmierzających do zwiększenia ilości i czasu retencji wód na gruntach rolnych w zlewni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2. z Katalogu działań GW</w:t>
            </w:r>
            <w:r w:rsidRPr="005E78BB">
              <w:rPr>
                <w:rFonts w:ascii="Calibri" w:eastAsia="Times New Roman" w:hAnsi="Calibri" w:cs="Calibri"/>
                <w:color w:val="000000"/>
                <w:sz w:val="18"/>
                <w:szCs w:val="18"/>
                <w:lang w:eastAsia="pl-PL"/>
              </w:rPr>
              <w:br/>
              <w:t>GWI1 Analiza możliwości odbudowy/przebudowy systemów melioracyjnych</w:t>
            </w:r>
            <w:r w:rsidRPr="005E78BB">
              <w:rPr>
                <w:rFonts w:ascii="Calibri" w:eastAsia="Times New Roman" w:hAnsi="Calibri" w:cs="Calibri"/>
                <w:color w:val="000000"/>
                <w:sz w:val="18"/>
                <w:szCs w:val="18"/>
                <w:lang w:eastAsia="pl-PL"/>
              </w:rPr>
              <w:br/>
              <w:t>GWI31 Spowolnienie lub zatrzymanie odpływu wód ze zlewni oraz zwiększenie możliwości retencyjnych zlewni</w:t>
            </w:r>
            <w:r w:rsidRPr="005E78BB">
              <w:rPr>
                <w:rFonts w:ascii="Calibri" w:eastAsia="Times New Roman" w:hAnsi="Calibri" w:cs="Calibri"/>
                <w:color w:val="000000"/>
                <w:sz w:val="18"/>
                <w:szCs w:val="18"/>
                <w:lang w:eastAsia="pl-PL"/>
              </w:rPr>
              <w:br/>
              <w:t>GWPA32 Szkolenia z zakresu dobrowolnego stosowania "Zbioru zaleceń dobrej praktyki rolniczej", mającego na celu ochronę wód przed zanieczyszczeniem azotanami pochodzącymi ze źródeł rolniczych.</w:t>
            </w:r>
            <w:r w:rsidRPr="005E78BB">
              <w:rPr>
                <w:rFonts w:ascii="Calibri" w:eastAsia="Times New Roman" w:hAnsi="Calibri" w:cs="Calibri"/>
                <w:color w:val="000000"/>
                <w:sz w:val="18"/>
                <w:szCs w:val="18"/>
                <w:lang w:eastAsia="pl-PL"/>
              </w:rPr>
              <w:br/>
              <w:t>W szczególności działania te powinny być realizowane w Obszarze Chronionego Krajobrazu Dolina Wolbórki. Działania te będą stały w zgodności z ROZPORZĄDZENIEM Nr 41/2007 Wojewody Łódzkiego z dnia 21 sierpnia 2007 r. w sprawie ustanowienia Obszaru Chronionego Krajobrazu Doliny Wolbórki.</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Katalogu działań RW i GW…i tabela ZESTAWIENIE KIERUNKOWYCH INWESTYCJI W GOSPODARCE WODNEJ LUB ZWIĄZANYCH Z WODAMI</w:t>
            </w:r>
          </w:p>
        </w:tc>
        <w:tc>
          <w:tcPr>
            <w:tcW w:w="3377" w:type="dxa"/>
            <w:shd w:val="clear" w:color="auto" w:fill="auto"/>
            <w:hideMark/>
          </w:tcPr>
          <w:p w14:paraId="78449F1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7B97B6ED" w14:textId="4644367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zaproponowane w konsultowanej aPGW z katologu RW i i GW dla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są wystarczające dla zapewnienia dobrego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Bardzo dużym problemem dla rzek w zlewni Wolbórki jest jakość wód powodowana brakiem stref buforowych na styku gruntów rolnych i rzek. W </w:t>
            </w:r>
            <w:r w:rsidRPr="005E78BB">
              <w:rPr>
                <w:rFonts w:ascii="Calibri" w:eastAsia="Times New Roman" w:hAnsi="Calibri" w:cs="Calibri"/>
                <w:color w:val="000000"/>
                <w:sz w:val="18"/>
                <w:szCs w:val="18"/>
                <w:lang w:eastAsia="pl-PL"/>
              </w:rPr>
              <w:br/>
              <w:t xml:space="preserve"> szczególności strefy zadrzewień powinny powstać w obszarze Chronionego Krajobrazu Doliny Wolbórki. </w:t>
            </w:r>
          </w:p>
        </w:tc>
        <w:tc>
          <w:tcPr>
            <w:tcW w:w="1918" w:type="dxa"/>
            <w:shd w:val="clear" w:color="auto" w:fill="auto"/>
            <w:hideMark/>
          </w:tcPr>
          <w:p w14:paraId="06519B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BE01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5AD27B" w14:textId="1F840D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związku ze zgłoszoną uwagą przeanalizowano przypadek rzeki Wolbórki.</w:t>
            </w:r>
            <w:r w:rsidRPr="005E78BB">
              <w:rPr>
                <w:rFonts w:ascii="Calibri" w:eastAsia="Times New Roman" w:hAnsi="Calibri" w:cs="Calibri"/>
                <w:color w:val="000000"/>
                <w:sz w:val="18"/>
                <w:szCs w:val="18"/>
                <w:lang w:eastAsia="pl-PL"/>
              </w:rPr>
              <w:br/>
              <w:t xml:space="preserve">Działania RWC_01.06 i 07 przypisane były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gdzie nałożyło się kilka czynników: przekroczenie wartości granicznych wskaźników fizykochemicznych, dominujące źródło presji z rolnictwa, wysokie zagrożenie suszą rolniczą. Brak przypisania działań w we wspomnianych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jest efektem nie spełnienia wspomnianych warunków.</w:t>
            </w:r>
            <w:r w:rsidRPr="005E78BB">
              <w:rPr>
                <w:rFonts w:ascii="Calibri" w:eastAsia="Times New Roman" w:hAnsi="Calibri" w:cs="Calibri"/>
                <w:color w:val="000000"/>
                <w:sz w:val="18"/>
                <w:szCs w:val="18"/>
                <w:lang w:eastAsia="pl-PL"/>
              </w:rPr>
              <w:br/>
              <w:t>Metodyka przypisywania działań z zakresu przywracania ciągłości biologicznej i morfologicznej stanowi element Metodyki opracowania zestawów działań (...) (materiał źródłowy IIaPGW). Ze względu na konieczność udrożnienia w pierwszej kolejność cieków głównych (kluczowych dla migracji ryb dwuśrodowiskowych) oraz cieków istotnych dla migracji gatunków chronionych, dla rzeki Wolbórki i jej dopływów nie zaplanowano działań z zakresu przywrócenia ciągłości biologicznej.</w:t>
            </w:r>
            <w:r w:rsidRPr="005E78BB">
              <w:rPr>
                <w:rFonts w:ascii="Calibri" w:eastAsia="Times New Roman" w:hAnsi="Calibri" w:cs="Calibri"/>
                <w:color w:val="000000"/>
                <w:sz w:val="18"/>
                <w:szCs w:val="18"/>
                <w:lang w:eastAsia="pl-PL"/>
              </w:rPr>
              <w:br/>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RW200010254635 w zestawach działań znajduje się działanie RWHM04._01 (RW200010254635__RWHM_04.01__HM__50172), natomiast dla RW200010254649 nie ma zasadności przypisania zgodnie z metodyką działań z testu restytucji, które wprowadzono dla SZCW. Dla omawianej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opracowano działania w zakresie poprawy warunków dla obszarów chronionych: Realizacja działań wynikających z planów ochrony i planów zadań ochronnych dla obszarów chronionych: działania tech/nietech: Ochrona i rewitalizacja ekosystemów wodno-torfowiskowych. (Sulejowski Park Krajobrazowy),</w:t>
            </w:r>
            <w:r w:rsidRPr="005E78BB">
              <w:rPr>
                <w:rFonts w:ascii="Calibri" w:eastAsia="Times New Roman" w:hAnsi="Calibri" w:cs="Calibri"/>
                <w:color w:val="000000"/>
                <w:sz w:val="18"/>
                <w:szCs w:val="18"/>
                <w:lang w:eastAsia="pl-PL"/>
              </w:rPr>
              <w:br/>
              <w:t>Ochrona prawidłowej struktury gatunkowej ryb w wodach Pilicy, Luciąży, Czarnej Malenickiej. (Sulejowski Park Krajobrazowy),</w:t>
            </w:r>
            <w:r w:rsidRPr="005E78BB">
              <w:rPr>
                <w:rFonts w:ascii="Calibri" w:eastAsia="Times New Roman" w:hAnsi="Calibri" w:cs="Calibri"/>
                <w:color w:val="000000"/>
                <w:sz w:val="18"/>
                <w:szCs w:val="18"/>
                <w:lang w:eastAsia="pl-PL"/>
              </w:rPr>
              <w:br/>
              <w:t>Ochrona zasobów hydrogeologicznych, poprawa bilansu wodnego. (Sulejowski Park Krajobrazowy),</w:t>
            </w:r>
            <w:r w:rsidRPr="005E78BB">
              <w:rPr>
                <w:rFonts w:ascii="Calibri" w:eastAsia="Times New Roman" w:hAnsi="Calibri" w:cs="Calibri"/>
                <w:color w:val="000000"/>
                <w:sz w:val="18"/>
                <w:szCs w:val="18"/>
                <w:lang w:eastAsia="pl-PL"/>
              </w:rPr>
              <w:br/>
              <w:t>Odbudowa zdegradowanych siedlisk nieleśnych i wodnych. (Sulejowski Park Krajobrazowy),</w:t>
            </w:r>
            <w:r w:rsidRPr="005E78BB">
              <w:rPr>
                <w:rFonts w:ascii="Calibri" w:eastAsia="Times New Roman" w:hAnsi="Calibri" w:cs="Calibri"/>
                <w:color w:val="000000"/>
                <w:sz w:val="18"/>
                <w:szCs w:val="18"/>
                <w:lang w:eastAsia="pl-PL"/>
              </w:rPr>
              <w:br/>
              <w:t>Przywracanie drożności rzek. (Sulejowski Park Krajobrazowy),</w:t>
            </w:r>
            <w:r w:rsidRPr="005E78BB">
              <w:rPr>
                <w:rFonts w:ascii="Calibri" w:eastAsia="Times New Roman" w:hAnsi="Calibri" w:cs="Calibri"/>
                <w:color w:val="000000"/>
                <w:sz w:val="18"/>
                <w:szCs w:val="18"/>
                <w:lang w:eastAsia="pl-PL"/>
              </w:rPr>
              <w:br/>
              <w:t>Zachowanie przykorytowych lasów łęgowych. (Sulejowski Park Krajobrazowy).</w:t>
            </w:r>
            <w:r w:rsidRPr="005E78BB">
              <w:rPr>
                <w:rFonts w:ascii="Calibri" w:eastAsia="Times New Roman" w:hAnsi="Calibri" w:cs="Calibri"/>
                <w:color w:val="000000"/>
                <w:sz w:val="18"/>
                <w:szCs w:val="18"/>
                <w:lang w:eastAsia="pl-PL"/>
              </w:rPr>
              <w:br/>
              <w:t xml:space="preserve">Działanie RWHM_03.01 jest dedykowane wyłącznie obszarom, które mają ustawowy obowiązek sporządzania PO/PZO i jednocześnie nie mają obowiązujących obecnie PO/PZO. W przypadku wymienionych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formy ochrony, które znajdują się w ich zasięgu nie spełniają tych wymogów. Sulejowski Park Krajobrazowy ma obowiązujący plan ochrony, natomiast dla obszarów chronionego krajobrazu nie ma ustawowego obowiązku sporządzania planów ochrony, tym samym działanie polegające na rozpoznaniu zasadności, a w przypadku jej stwierdzenia wprowadzeniu w PZO/PO działań, nie ma w tym przypadku zastosowania. Należy jednak zauważyć, że w sytuacji zmiany aktu prawnego, np. w wyniku zawarcia w nim działań mających na celu realizację celów (wodno)środowiskowych, działania te stają się integralną częścią IIaPGW. ("Realizacja działań wynikających z planów ochrony i planów zadań ochronnych dla obszarów chronionych, dla których brak ustanowionego planu ochrony/planu zadań ochronnych na dzień sporządzenia IIaPGW, ale zostaną ustanowione w czasie jego obowiązywania bądź obowiązujący plan zadań ochronnych/plan ochrony zostanie zmieniony. Plan ochrony/ plan zadań ochronnych/zadania ochronne w odniesieniu do działań związanych z utrzymaniem lub poprawą stanu wód jest integralną częścią planu gospodarowania wodami na obszarze dorzecza na lata 2022 - 2027.")</w:t>
            </w:r>
            <w:r w:rsidRPr="005E78BB">
              <w:rPr>
                <w:rFonts w:ascii="Calibri" w:eastAsia="Times New Roman" w:hAnsi="Calibri" w:cs="Calibri"/>
                <w:color w:val="000000"/>
                <w:sz w:val="18"/>
                <w:szCs w:val="18"/>
                <w:lang w:eastAsia="pl-PL"/>
              </w:rPr>
              <w:br/>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RW200010254635 Wolbórka do Dopływu spod Będzelina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RW200010254649 Moszczanka położone są w obrębie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nr 84 (pow. 4 265,59 km2). Ta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charakteryzuje się stanem dobrym, zarówno ilościowym, jak i chemicznym. W wyniku przeprowadzonej analizy presji i oddziaływań nie stwierdzono też zagrożenia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niezagrożona). Na jej obszarze nie występują też ekosystemy zależne od wód podziemnych. Jednocześnie w zakresie budowy geologicznej obszary te są zdominowane przez osady słabo przepuszczalne, stanowiące izolację od powierzchni terenu. W związku z powyższym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nr 84 zaplanowano działania podstawowe o charakterze prewencyjnym, związane z ustanowieniem obszarów ochronnych dla zbiorników wód śródlądowych (GZWP).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84 zlokalizowane są fragmenty projektowanych obszarów ochronnych dla dwóch zbiorników: GZWP nr 326 (Zbiornik Częstochowa) oraz GZWP nr 401 (Niecka łódzka). Biorąc pod uwagę warunki hydrogeologiczne oraz sposób zagospodarowania terenu działania te są wystarczające dla utrzymania dobrego stanu wód podziemnych.</w:t>
            </w:r>
          </w:p>
        </w:tc>
      </w:tr>
      <w:tr w:rsidR="0085319C" w:rsidRPr="005E78BB" w14:paraId="377753CD" w14:textId="77777777" w:rsidTr="00E92AE6">
        <w:trPr>
          <w:trHeight w:val="454"/>
        </w:trPr>
        <w:tc>
          <w:tcPr>
            <w:tcW w:w="562" w:type="dxa"/>
            <w:shd w:val="clear" w:color="auto" w:fill="auto"/>
            <w:hideMark/>
          </w:tcPr>
          <w:p w14:paraId="5DA4061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675</w:t>
            </w:r>
          </w:p>
        </w:tc>
        <w:tc>
          <w:tcPr>
            <w:tcW w:w="1021" w:type="dxa"/>
          </w:tcPr>
          <w:p w14:paraId="1D934BC8" w14:textId="67BF90C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hideMark/>
          </w:tcPr>
          <w:p w14:paraId="627326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68B82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Postulujemy o usunięcie pozycji 1284 z tabeli ZESTAWIENIE KIERUNKOWYCH</w:t>
            </w:r>
            <w:r w:rsidRPr="005E78BB">
              <w:rPr>
                <w:rFonts w:ascii="Calibri" w:eastAsia="Times New Roman" w:hAnsi="Calibri" w:cs="Calibri"/>
                <w:color w:val="000000"/>
                <w:sz w:val="18"/>
                <w:szCs w:val="18"/>
                <w:lang w:eastAsia="pl-PL"/>
              </w:rPr>
              <w:br/>
              <w:t xml:space="preserve">INWESTYCJI W GOSPODARCE WODNEJ LUB ZWIĄZANYCH Z WODAMI dotyczącej Budowy zbiornika na rzece Moszczanka, w km 8+400.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Katalogu działań RW i GW i tabela ZESTAWIENIE KIERUNKOWYCH INWESTYCJI W GOSPODARCE WODNEJ LUB ZWIĄZANYCH Z WODAMI</w:t>
            </w:r>
          </w:p>
        </w:tc>
        <w:tc>
          <w:tcPr>
            <w:tcW w:w="3377" w:type="dxa"/>
            <w:shd w:val="clear" w:color="auto" w:fill="auto"/>
            <w:hideMark/>
          </w:tcPr>
          <w:p w14:paraId="610B1AC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20F1D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Budowa zbiornika byłaby szkodliwą inwestycją dla środowiska pod wieloma względami. Koncepcja budowy zbiornika jest opracowaniem o bardzo marnej jakości i nie została zweryfikowana w fachowy sposób. </w:t>
            </w:r>
          </w:p>
        </w:tc>
        <w:tc>
          <w:tcPr>
            <w:tcW w:w="1918" w:type="dxa"/>
            <w:shd w:val="clear" w:color="auto" w:fill="auto"/>
            <w:hideMark/>
          </w:tcPr>
          <w:p w14:paraId="18ECD1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1D00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3A6F7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Zestawienie inwestycji kierunkowych stanowi zestawienie informacji o inwestycjach planowanych w obszarze gospodarki wodnej pełniąc rolę wyłącznie materiału dodatkowego,informacyjnego. Nie jest bezpośrednim elementem IIaPGW zgodnie z zakresem określonym w z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302CFA8F" w14:textId="77777777" w:rsidTr="00E92AE6">
        <w:trPr>
          <w:trHeight w:val="454"/>
        </w:trPr>
        <w:tc>
          <w:tcPr>
            <w:tcW w:w="562" w:type="dxa"/>
            <w:shd w:val="clear" w:color="auto" w:fill="auto"/>
            <w:hideMark/>
          </w:tcPr>
          <w:p w14:paraId="77D6B7A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676</w:t>
            </w:r>
          </w:p>
        </w:tc>
        <w:tc>
          <w:tcPr>
            <w:tcW w:w="1021" w:type="dxa"/>
          </w:tcPr>
          <w:p w14:paraId="3FEAB1CD" w14:textId="3B210AF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hideMark/>
          </w:tcPr>
          <w:p w14:paraId="4CDF03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228675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Postulujemy o renaturyzację rzeki Moszczanki, w km 8+400.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Katalogu działań RW i GW…i tabela ZESTAWIENIE KIERUNKOWYCH INWESTYCJI W GOSPODARCE WODNEJ LUB ZWIĄZANYCH Z WODAMI</w:t>
            </w:r>
          </w:p>
        </w:tc>
        <w:tc>
          <w:tcPr>
            <w:tcW w:w="3377" w:type="dxa"/>
            <w:shd w:val="clear" w:color="auto" w:fill="auto"/>
            <w:hideMark/>
          </w:tcPr>
          <w:p w14:paraId="1B5E5DE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0E44FC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Zamiast budowy zbiornika w km 8+400 proponujemy renaturyzację rzeki na odcinku, wzdłuż którego grunty zostały wykupione przez Gminę Wolbórz. </w:t>
            </w:r>
          </w:p>
        </w:tc>
        <w:tc>
          <w:tcPr>
            <w:tcW w:w="1918" w:type="dxa"/>
            <w:shd w:val="clear" w:color="auto" w:fill="auto"/>
            <w:hideMark/>
          </w:tcPr>
          <w:p w14:paraId="07949A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E862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0275677" w14:textId="78B75A3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Uwarunkowania przywołanej w uwadze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analizowane były w ramach opracowywania IIaPGW przy wykorzystaniu wyników prac zrealizowanych na potrzeby IIaPGW, w tym Analizy znaczących oddziaływań antropogenicznych wraz z oceną ich wpływu na stan wód oraz ryzykiem nieosiągnięcia celów środowiskowych. Działania naprawcze IIaPGW przypisywane były, zgodnie z metodyką opracowania zestawów działań (materiał źródłowy do wypracowania IIaPGW), do zidentyfikowanych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w:t>
            </w:r>
            <w:r w:rsidRPr="005E78BB">
              <w:rPr>
                <w:rFonts w:ascii="Calibri" w:eastAsia="Times New Roman" w:hAnsi="Calibri" w:cs="Calibri"/>
                <w:color w:val="000000"/>
                <w:sz w:val="18"/>
                <w:szCs w:val="18"/>
                <w:lang w:eastAsia="pl-PL"/>
              </w:rPr>
              <w:br w:type="page"/>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której dotyczy uwaga obowiązują działania krajowe mające na celu ograniczenie presji znaczących powodujących ryzyko nieosiągnięcia celów, miedzy innymi w zakresie:</w:t>
            </w:r>
            <w:r w:rsidRPr="005E78BB">
              <w:rPr>
                <w:rFonts w:ascii="Calibri" w:eastAsia="Times New Roman" w:hAnsi="Calibri" w:cs="Calibri"/>
                <w:color w:val="000000"/>
                <w:sz w:val="18"/>
                <w:szCs w:val="18"/>
                <w:lang w:eastAsia="pl-PL"/>
              </w:rPr>
              <w:br w:type="page"/>
              <w:t>1) Kształtowania stosunków wodnych oraz ochrony ekosystemów od wód zależnych (w tym morfologia i zachowanie ciągłości biologicznej cieków):</w:t>
            </w:r>
            <w:r w:rsidRPr="005E78BB">
              <w:rPr>
                <w:rFonts w:ascii="Calibri" w:eastAsia="Times New Roman" w:hAnsi="Calibri" w:cs="Calibri"/>
                <w:color w:val="000000"/>
                <w:sz w:val="18"/>
                <w:szCs w:val="18"/>
                <w:lang w:eastAsia="pl-PL"/>
              </w:rPr>
              <w:br w:type="page"/>
              <w:t>• Analiza możliwości zwiększania retencji w zlewni wraz z opracowaniem programu poprawy retencji w zlewni i realizacją przedsięwzięć zmierzających do zwiększania lub odtwarzania naturalnej retencji w zlewni (Dyrektywa Parlamentu Europejskiego i Rady 2000/60/WE z dnia 23 października 2000 r. ustanawiająca ramy wspólnotowego działania w dziedzinie polityki wodnej (Dz.U. UE L 327 z dnia 22 grudnia 2000 r.)</w:t>
            </w:r>
            <w:r w:rsidRPr="005E78BB">
              <w:rPr>
                <w:rFonts w:ascii="Calibri" w:eastAsia="Times New Roman" w:hAnsi="Calibri" w:cs="Calibri"/>
                <w:color w:val="000000"/>
                <w:sz w:val="18"/>
                <w:szCs w:val="18"/>
                <w:lang w:eastAsia="pl-PL"/>
              </w:rPr>
              <w:br w:type="page"/>
              <w:t>• Obowiązek uzyskania pozwolenia wodnoprawnego na usługę wodną obejmującą pobór wód powierzchniowych lub wód podziemnych (Dyrektywa Parlamentu Europejskiego i Rady 2000/60/WE z dnia 23 października 2000 r. ustanawiająca ramy wspólnotowego działania w dziedzinie polityki wodnej (Dz.U. UE L 327 z dnia 22 grudnia 2000 r.)</w:t>
            </w:r>
            <w:r w:rsidRPr="005E78BB">
              <w:rPr>
                <w:rFonts w:ascii="Calibri" w:eastAsia="Times New Roman" w:hAnsi="Calibri" w:cs="Calibri"/>
                <w:color w:val="000000"/>
                <w:sz w:val="18"/>
                <w:szCs w:val="18"/>
                <w:lang w:eastAsia="pl-PL"/>
              </w:rPr>
              <w:br w:type="page"/>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ype="page"/>
              <w:t>• Ograniczenie poboru wód podziemnych na obszarach i w okresach występowania suszy (niżówki hydrogeologicznej)</w:t>
            </w:r>
            <w:r w:rsidRPr="005E78BB">
              <w:rPr>
                <w:rFonts w:ascii="Calibri" w:eastAsia="Times New Roman" w:hAnsi="Calibri" w:cs="Calibri"/>
                <w:color w:val="000000"/>
                <w:sz w:val="18"/>
                <w:szCs w:val="18"/>
                <w:lang w:eastAsia="pl-PL"/>
              </w:rPr>
              <w:br w:type="page"/>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ype="page"/>
              <w:t>2) Rolnictwa:</w:t>
            </w:r>
            <w:r w:rsidRPr="005E78BB">
              <w:rPr>
                <w:rFonts w:ascii="Calibri" w:eastAsia="Times New Roman" w:hAnsi="Calibri" w:cs="Calibri"/>
                <w:color w:val="000000"/>
                <w:sz w:val="18"/>
                <w:szCs w:val="18"/>
                <w:lang w:eastAsia="pl-PL"/>
              </w:rPr>
              <w:br w:type="page"/>
              <w:t>• Edukacja prowadzących działalność rolniczą w zakresie dobrej praktyki rolniczej oraz prowadzenie dla nich specjalistycznego doradztwa w zakresie zapobiegania zanieczyszczeniu azotanami (Dyrektywa Rady z dnia 12 grudnia 1991 r. dotycząca ochrony wód przed zanieczyszczeniami powodowanymi przez azotany pochodzenia rolniczego 91/676/EWG (Dz.U. UE L 375 z dnia 31 grudnia 1991 r., str. 1, z późn zm.)</w:t>
            </w:r>
            <w:r w:rsidRPr="005E78BB">
              <w:rPr>
                <w:rFonts w:ascii="Calibri" w:eastAsia="Times New Roman" w:hAnsi="Calibri" w:cs="Calibri"/>
                <w:color w:val="000000"/>
                <w:sz w:val="18"/>
                <w:szCs w:val="18"/>
                <w:lang w:eastAsia="pl-PL"/>
              </w:rPr>
              <w:br w:type="page"/>
              <w:t>• Realizacja Programu działań mających na celu zmniejszenie zanieczyszczenia wód azotanami pochodzącymi ze źródeł rolniczych oraz zapobieganie dalszemu zanieczyszczeniu (Dyrektywa Rady z dnia 12 grudnia 1991 r. dotycząca ochrony wód przed zanieczyszczeniami powodowanymi przez azotany pochodzenia rolniczego 91/676/EWG (Dz.U. UE L 375 z dnia 31 grudnia 1991 r., str. 1, z późn zm.)</w:t>
            </w:r>
            <w:r w:rsidRPr="005E78BB">
              <w:rPr>
                <w:rFonts w:ascii="Calibri" w:eastAsia="Times New Roman" w:hAnsi="Calibri" w:cs="Calibri"/>
                <w:color w:val="000000"/>
                <w:sz w:val="18"/>
                <w:szCs w:val="18"/>
                <w:lang w:eastAsia="pl-PL"/>
              </w:rPr>
              <w:br w:type="page"/>
              <w:t xml:space="preserve">Dodatkowo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której dotyczy uwaga, wskazano działania naprawcze mające na celu zmniejszenie zanieczyszczenia wód azotanami pochodzącymi ze źródeł rolniczych oraz zapobieganie dalszemu zanieczyszczeniu przez podmioty prowadzące produkcję rolną i działalność.</w:t>
            </w:r>
            <w:r w:rsidRPr="005E78BB">
              <w:rPr>
                <w:rFonts w:ascii="Calibri" w:eastAsia="Times New Roman" w:hAnsi="Calibri" w:cs="Calibri"/>
                <w:color w:val="000000"/>
                <w:sz w:val="18"/>
                <w:szCs w:val="18"/>
                <w:lang w:eastAsia="pl-PL"/>
              </w:rPr>
              <w:br w:type="page"/>
              <w:t>Odnosząc się do wskazanego w uwadze uwzględnienia działań dot. rzeki Moszczanki w Zestawieniu inwestycji kierunkowych, wskazać należy, iż zestawienie inwestycji kierunkowych o inwestycjach planowanych w obszarze gospodarki wodnej pełni wyłącznie rolę materiału dodatkowego i informacyjnego - nie jest to element IIaPGW (ustawa Prawo wodne i Rozporządzenie Rady Ministrów z dnia 4 października 2019 r. w sprawie szczegółowego zakresu opracowywania planów gospodarowania wodami na obszarach dorzeczy nie daje podstawy do tego, by ww. zestawienie było częścią IIaPGW). Zestawienie inwestycji kierunkowych jest dokumentem wtórnym przywołującym inwestycje wskazane w Programie Planowanych Inwestycji (PPI). W związku z powyższym dokonywanie zmian dot. poszczególnych inwestycji przedstawionych w Zestawieniu inwestycji kierunkowych powinno się odbyć poprzez zgłoszenie i wprowadzenie zmian do PPI oraz innych dokumentów planujących realizację przedsięwzięć.</w:t>
            </w:r>
          </w:p>
        </w:tc>
      </w:tr>
      <w:tr w:rsidR="0085319C" w:rsidRPr="005E78BB" w14:paraId="18BEFECE" w14:textId="77777777" w:rsidTr="00E92AE6">
        <w:trPr>
          <w:trHeight w:val="454"/>
        </w:trPr>
        <w:tc>
          <w:tcPr>
            <w:tcW w:w="562" w:type="dxa"/>
            <w:shd w:val="clear" w:color="auto" w:fill="auto"/>
            <w:hideMark/>
          </w:tcPr>
          <w:p w14:paraId="4895060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677</w:t>
            </w:r>
          </w:p>
        </w:tc>
        <w:tc>
          <w:tcPr>
            <w:tcW w:w="1021" w:type="dxa"/>
          </w:tcPr>
          <w:p w14:paraId="753A29D8" w14:textId="7DAD765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hideMark/>
          </w:tcPr>
          <w:p w14:paraId="5E08BB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007D7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Postulujemy o dodatnie dodatkowego działania inwestycyjnego o odtworzenie zniszczonej w wyniku regulacji przeprowadzonej w 2010 roku rzeki Moszczanki na odcinku 21+300 do 18+300.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Katalogu działań RW i GW i tabela ZESTAWIENIE KIERUNKOWYCH INWESTYCJI W GOSPODARCE WODNEJ LUB ZWIĄZANYCH Z WODAMI</w:t>
            </w:r>
          </w:p>
        </w:tc>
        <w:tc>
          <w:tcPr>
            <w:tcW w:w="3377" w:type="dxa"/>
            <w:shd w:val="clear" w:color="auto" w:fill="auto"/>
            <w:hideMark/>
          </w:tcPr>
          <w:p w14:paraId="17D089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t>
            </w:r>
          </w:p>
        </w:tc>
        <w:tc>
          <w:tcPr>
            <w:tcW w:w="3401" w:type="dxa"/>
            <w:shd w:val="clear" w:color="auto" w:fill="auto"/>
            <w:hideMark/>
          </w:tcPr>
          <w:p w14:paraId="362C2D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wyniku przeprowadzonej regulacji nie osiągnięto żadnego pozytywnego efektu, a jedynie przyspieszono odpływ i następuje zalewnie terenów leżących bezpośrednio poniżej uregulowanego odcinka. Dodatkowo regulacja rzeki stała się impulsem dla budowy zbiornika przeciwpowodziowego w dolnym odcinku rzeki.</w:t>
            </w:r>
          </w:p>
        </w:tc>
        <w:tc>
          <w:tcPr>
            <w:tcW w:w="1918" w:type="dxa"/>
            <w:shd w:val="clear" w:color="auto" w:fill="auto"/>
            <w:hideMark/>
          </w:tcPr>
          <w:p w14:paraId="57E284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7F64D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FF71D7" w14:textId="0B3DACA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Uwarunkowania przywołanej w uwadze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analizowane były w ramach opracowywania IIaPGW przy wykorzystaniu wyników prac zrealizowanych na potrzeby IIaPGW, w tym Analizy znaczących oddziaływań antropogenicznych wraz z oceną ich wpływu na stan wód oraz ryzykiem nieosiągnięcia celów środowiskowych. Działania naprawcze IIaPGW przypisywane były, zgodnie z metodyką opracowania zestawów działań (materiał źródłowy do wypracowania IIaPGW), do zidentyfikowanych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w:t>
            </w:r>
            <w:r w:rsidRPr="005E78BB">
              <w:rPr>
                <w:rFonts w:ascii="Calibri" w:eastAsia="Times New Roman" w:hAnsi="Calibri" w:cs="Calibri"/>
                <w:color w:val="000000"/>
                <w:sz w:val="18"/>
                <w:szCs w:val="18"/>
                <w:lang w:eastAsia="pl-PL"/>
              </w:rPr>
              <w:br/>
              <w:t xml:space="preserve">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której dotyczy uwaga obowiązują działania krajowe mające na celu ograniczenie presji znaczących powodujących ryzyko nieosiągnięcia celów, miedzy innymi w zakresie:</w:t>
            </w:r>
            <w:r w:rsidRPr="005E78BB">
              <w:rPr>
                <w:rFonts w:ascii="Calibri" w:eastAsia="Times New Roman" w:hAnsi="Calibri" w:cs="Calibri"/>
                <w:color w:val="000000"/>
                <w:sz w:val="18"/>
                <w:szCs w:val="18"/>
                <w:lang w:eastAsia="pl-PL"/>
              </w:rPr>
              <w:br/>
              <w:t>1) Kształtowania stosunków wodnych oraz ochrony ekosystemów od wód zależnych (w tym morfologia i zachowanie ciągłości biologicznej cieków):</w:t>
            </w:r>
            <w:r w:rsidRPr="005E78BB">
              <w:rPr>
                <w:rFonts w:ascii="Calibri" w:eastAsia="Times New Roman" w:hAnsi="Calibri" w:cs="Calibri"/>
                <w:color w:val="000000"/>
                <w:sz w:val="18"/>
                <w:szCs w:val="18"/>
                <w:lang w:eastAsia="pl-PL"/>
              </w:rPr>
              <w:br/>
              <w:t>• Analiza możliwości zwiększania retencji w zlewni wraz z opracowaniem programu poprawy retencji w zlewni i realizacją przedsięwzięć zmierzających do zwiększania lub odtwarzania naturalnej retencji w zlewni (Dyrektywa Parlamentu Europejskiego i Rady 2000/60/WE z dnia 23 października 2000 r. ustanawiająca ramy wspólnotowego działania w dziedzinie polityki wodnej (Dz.U. UE L 327 z dnia 22 grudnia 2000 r.)</w:t>
            </w:r>
            <w:r w:rsidRPr="005E78BB">
              <w:rPr>
                <w:rFonts w:ascii="Calibri" w:eastAsia="Times New Roman" w:hAnsi="Calibri" w:cs="Calibri"/>
                <w:color w:val="000000"/>
                <w:sz w:val="18"/>
                <w:szCs w:val="18"/>
                <w:lang w:eastAsia="pl-PL"/>
              </w:rPr>
              <w:br/>
              <w:t>• Obowiązek uzyskania pozwolenia wodnoprawnego na usługę wodną obejmującą pobór wód powierzchniowych lub wód podziemnych (Dyrektywa Parlamentu Europejskiego i Rady 2000/60/WE z dnia 23 października 2000 r. ustanawiająca ramy wspólnotowego działania w dziedzinie polityki wodnej (Dz.U. UE L 327 z dnia 22 grudnia 2000 r.)</w:t>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t>• Ograniczenie poboru wód podziemnych na obszarach i w okresach występowania suszy (niżówki hydrogeologicznej)</w:t>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t>2) Rolnictwa:</w:t>
            </w:r>
            <w:r w:rsidRPr="005E78BB">
              <w:rPr>
                <w:rFonts w:ascii="Calibri" w:eastAsia="Times New Roman" w:hAnsi="Calibri" w:cs="Calibri"/>
                <w:color w:val="000000"/>
                <w:sz w:val="18"/>
                <w:szCs w:val="18"/>
                <w:lang w:eastAsia="pl-PL"/>
              </w:rPr>
              <w:br/>
              <w:t>• Edukacja prowadzących działalność rolniczą w zakresie dobrej praktyki rolniczej oraz prowadzenie dla nich specjalistycznego doradztwa w zakresie zapobiegania zanieczyszczeniu azotanami (Dyrektywa Rady z dnia 12 grudnia 1991 r. dotycząca ochrony wód przed zanieczyszczeniami powodowanymi przez azotany pochodzenia rolniczego 91/676/EWG (Dz.U. UE L 375 z dnia 31 grudnia 1991 r., str. 1, z późn zm.)</w:t>
            </w:r>
            <w:r w:rsidRPr="005E78BB">
              <w:rPr>
                <w:rFonts w:ascii="Calibri" w:eastAsia="Times New Roman" w:hAnsi="Calibri" w:cs="Calibri"/>
                <w:color w:val="000000"/>
                <w:sz w:val="18"/>
                <w:szCs w:val="18"/>
                <w:lang w:eastAsia="pl-PL"/>
              </w:rPr>
              <w:br/>
              <w:t>• Realizacja Programu działań mających na celu zmniejszenie zanieczyszczenia wód azotanami pochodzącymi ze źródeł rolniczych oraz zapobieganie dalszemu zanieczyszczeniu (Dyrektywa Rady z dnia 12 grudnia 1991 r. dotycząca ochrony wód przed zanieczyszczeniami powodowanymi przez azotany pochodzenia rolniczego 91/676/EWG (Dz.U. UE L 375 z dnia 31 grudnia 1991 r., str. 1, z późn zm.)</w:t>
            </w:r>
            <w:r w:rsidRPr="005E78BB">
              <w:rPr>
                <w:rFonts w:ascii="Calibri" w:eastAsia="Times New Roman" w:hAnsi="Calibri" w:cs="Calibri"/>
                <w:color w:val="000000"/>
                <w:sz w:val="18"/>
                <w:szCs w:val="18"/>
                <w:lang w:eastAsia="pl-PL"/>
              </w:rPr>
              <w:br/>
              <w:t xml:space="preserve">Dodatkowo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której dotyczy uwaga, wskazano działania naprawcze mające na celu zmniejszenie zanieczyszczenia wód azotanami pochodzącymi ze źródeł rolniczych oraz zapobieganie dalszemu zanieczyszczeniu przez podmioty prowadzące produkcję rolną i działalność.</w:t>
            </w:r>
            <w:r w:rsidRPr="005E78BB">
              <w:rPr>
                <w:rFonts w:ascii="Calibri" w:eastAsia="Times New Roman" w:hAnsi="Calibri" w:cs="Calibri"/>
                <w:color w:val="000000"/>
                <w:sz w:val="18"/>
                <w:szCs w:val="18"/>
                <w:lang w:eastAsia="pl-PL"/>
              </w:rPr>
              <w:br/>
              <w:t>Odnosząc się do wskazanego w uwadze uwzględnienia działań dot. rzeki Moszczanki w Zestawieniu inwestycji kierunkowych, wskazać należy, iż zestawienie inwestycji kierunkowych o inwestycjach planowanych w obszarze gospodarki wodnej pełni wyłącznie rolę materiału dodatkowego i informacyjnego - nie jest to element IIaPGW (ustawa Prawo wodne i Rozporządzenie Rady Ministrów z dnia 4 października 2019 r. w sprawie szczegółowego zakresu opracowywania planów gospodarowania wodami na obszarach dorzeczy nie daje podstawy do tego, by ww. zestawienie było częścią IIaPGW). Zestawienie inwestycji kierunkowych jest dokumentem wtórnym przywołującym inwestycje wskazane w Programie Planowanych Inwestycji (PPI) . W związku z powyższym dokonywanie zmian dot. poszczególnych inwestycji przedstawionych w Zestawieniu inwestycji kierunkowych powinno się odbyć poprzez zgłoszenie i wprowadzenie zmian do PPI oraz innych dokumentów planujących realizację przedsięwzięć.</w:t>
            </w:r>
          </w:p>
        </w:tc>
      </w:tr>
      <w:tr w:rsidR="0085319C" w:rsidRPr="005E78BB" w14:paraId="2AD71046" w14:textId="77777777" w:rsidTr="00E92AE6">
        <w:trPr>
          <w:trHeight w:val="454"/>
        </w:trPr>
        <w:tc>
          <w:tcPr>
            <w:tcW w:w="562" w:type="dxa"/>
            <w:shd w:val="clear" w:color="auto" w:fill="auto"/>
            <w:hideMark/>
          </w:tcPr>
          <w:p w14:paraId="7241D31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678</w:t>
            </w:r>
          </w:p>
        </w:tc>
        <w:tc>
          <w:tcPr>
            <w:tcW w:w="1021" w:type="dxa"/>
          </w:tcPr>
          <w:p w14:paraId="454634AE" w14:textId="02A11F8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74A97F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58706F9" w14:textId="40AB5C8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3377" w:type="dxa"/>
            <w:shd w:val="clear" w:color="auto" w:fill="auto"/>
            <w:hideMark/>
          </w:tcPr>
          <w:p w14:paraId="482334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099B6B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2A7271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66F3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A227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55D9634E" w14:textId="77777777" w:rsidTr="00E92AE6">
        <w:trPr>
          <w:trHeight w:val="454"/>
        </w:trPr>
        <w:tc>
          <w:tcPr>
            <w:tcW w:w="562" w:type="dxa"/>
            <w:shd w:val="clear" w:color="auto" w:fill="auto"/>
            <w:hideMark/>
          </w:tcPr>
          <w:p w14:paraId="17981D8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679</w:t>
            </w:r>
          </w:p>
        </w:tc>
        <w:tc>
          <w:tcPr>
            <w:tcW w:w="1021" w:type="dxa"/>
          </w:tcPr>
          <w:p w14:paraId="462B3724" w14:textId="7A433BB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7028D43" w14:textId="75CA449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7F22D97" w14:textId="591BC01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ype="page"/>
              <w:t>Wszystkie ww. zmiany są znaczące i powinny być weryfikowalne w procesie udziału społecznego., Sposób ich wprowadzenia, ramy czasowe przewidziane na zapoznanie się z nimi stanowią naruszenie terminów przewidzianych w art. 14 RDW.</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p>
        </w:tc>
        <w:tc>
          <w:tcPr>
            <w:tcW w:w="3377" w:type="dxa"/>
            <w:shd w:val="clear" w:color="auto" w:fill="auto"/>
            <w:hideMark/>
          </w:tcPr>
          <w:p w14:paraId="40CBC3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Minimalny termin pozwalający na choćby pobieżne zapoznanie się ze zmianami to miesiąc od daty ich publikacji.</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640702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ype="page"/>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BE659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F13E11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ADFD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15E740EB" w14:textId="77777777" w:rsidTr="00E92AE6">
        <w:trPr>
          <w:trHeight w:val="454"/>
        </w:trPr>
        <w:tc>
          <w:tcPr>
            <w:tcW w:w="562" w:type="dxa"/>
            <w:shd w:val="clear" w:color="auto" w:fill="auto"/>
            <w:hideMark/>
          </w:tcPr>
          <w:p w14:paraId="0FC386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680</w:t>
            </w:r>
          </w:p>
        </w:tc>
        <w:tc>
          <w:tcPr>
            <w:tcW w:w="1021" w:type="dxa"/>
          </w:tcPr>
          <w:p w14:paraId="2F991204" w14:textId="00567B6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3C6D7EFD" w14:textId="14646B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FAD96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chaos</w:t>
            </w:r>
          </w:p>
        </w:tc>
        <w:tc>
          <w:tcPr>
            <w:tcW w:w="3377" w:type="dxa"/>
            <w:shd w:val="clear" w:color="auto" w:fill="auto"/>
            <w:hideMark/>
          </w:tcPr>
          <w:p w14:paraId="518165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6C2AD7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p>
        </w:tc>
        <w:tc>
          <w:tcPr>
            <w:tcW w:w="1918" w:type="dxa"/>
            <w:shd w:val="clear" w:color="auto" w:fill="auto"/>
            <w:hideMark/>
          </w:tcPr>
          <w:p w14:paraId="4299BF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613E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09818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5F09A075" w14:textId="77777777" w:rsidTr="00E92AE6">
        <w:trPr>
          <w:trHeight w:val="454"/>
        </w:trPr>
        <w:tc>
          <w:tcPr>
            <w:tcW w:w="562" w:type="dxa"/>
            <w:shd w:val="clear" w:color="auto" w:fill="auto"/>
            <w:hideMark/>
          </w:tcPr>
          <w:p w14:paraId="63B23FF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681</w:t>
            </w:r>
          </w:p>
        </w:tc>
        <w:tc>
          <w:tcPr>
            <w:tcW w:w="1021" w:type="dxa"/>
          </w:tcPr>
          <w:p w14:paraId="3D832F0D" w14:textId="10C8F78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4D20B6B" w14:textId="2ACA521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90CF305" w14:textId="1283614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3377" w:type="dxa"/>
            <w:shd w:val="clear" w:color="auto" w:fill="auto"/>
            <w:hideMark/>
          </w:tcPr>
          <w:p w14:paraId="20D3D6EB" w14:textId="65369B4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79E8AF83" w14:textId="6A84F38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r w:rsidRPr="005E78BB">
              <w:rPr>
                <w:rFonts w:ascii="Calibri" w:eastAsia="Times New Roman" w:hAnsi="Calibri" w:cs="Calibri"/>
                <w:color w:val="000000"/>
                <w:sz w:val="18"/>
                <w:szCs w:val="18"/>
                <w:lang w:eastAsia="pl-PL"/>
              </w:rPr>
              <w:br/>
            </w:r>
          </w:p>
        </w:tc>
        <w:tc>
          <w:tcPr>
            <w:tcW w:w="1918" w:type="dxa"/>
            <w:shd w:val="clear" w:color="auto" w:fill="auto"/>
            <w:hideMark/>
          </w:tcPr>
          <w:p w14:paraId="6EA232F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F8B24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807D1D4" w14:textId="4E5E9F9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6236BE4C" w14:textId="77777777" w:rsidTr="00E92AE6">
        <w:trPr>
          <w:trHeight w:val="454"/>
        </w:trPr>
        <w:tc>
          <w:tcPr>
            <w:tcW w:w="562" w:type="dxa"/>
            <w:shd w:val="clear" w:color="auto" w:fill="auto"/>
            <w:hideMark/>
          </w:tcPr>
          <w:p w14:paraId="0F5D9ED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682</w:t>
            </w:r>
          </w:p>
        </w:tc>
        <w:tc>
          <w:tcPr>
            <w:tcW w:w="1021" w:type="dxa"/>
          </w:tcPr>
          <w:p w14:paraId="57AE724B" w14:textId="08CC0EF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17A80A6C" w14:textId="7E4AE94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4A494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Takie podejście jest niezgodne z przepisami prawa krajowego i wspólnotowego.</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ype="page"/>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dokumenty źródłowe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8DCD0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2A4190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30617D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719B56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05118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5E78BB">
              <w:rPr>
                <w:rFonts w:ascii="Calibri" w:eastAsia="Times New Roman" w:hAnsi="Calibri" w:cs="Calibri"/>
                <w:color w:val="000000"/>
                <w:sz w:val="18"/>
                <w:szCs w:val="18"/>
                <w:lang w:eastAsia="pl-PL"/>
              </w:rPr>
              <w:br w:type="page"/>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5E78BB">
              <w:rPr>
                <w:rFonts w:ascii="Calibri" w:eastAsia="Times New Roman" w:hAnsi="Calibri" w:cs="Calibri"/>
                <w:color w:val="000000"/>
                <w:sz w:val="18"/>
                <w:szCs w:val="18"/>
                <w:lang w:eastAsia="pl-PL"/>
              </w:rPr>
              <w:br w:type="page"/>
              <w:t>Możliwość ta każdorazowo wskazywana była również podczas spotkań konsultacyjnych przeprowadzonych w ramach konsultacji społecznych projektów IIaPGW.</w:t>
            </w:r>
          </w:p>
        </w:tc>
      </w:tr>
      <w:tr w:rsidR="0085319C" w:rsidRPr="005E78BB" w14:paraId="2C782E72" w14:textId="77777777" w:rsidTr="00E92AE6">
        <w:trPr>
          <w:trHeight w:val="454"/>
        </w:trPr>
        <w:tc>
          <w:tcPr>
            <w:tcW w:w="562" w:type="dxa"/>
            <w:shd w:val="clear" w:color="auto" w:fill="auto"/>
            <w:hideMark/>
          </w:tcPr>
          <w:p w14:paraId="692F674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683</w:t>
            </w:r>
          </w:p>
        </w:tc>
        <w:tc>
          <w:tcPr>
            <w:tcW w:w="1021" w:type="dxa"/>
          </w:tcPr>
          <w:p w14:paraId="3A894A8E" w14:textId="17661E2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4A0320E7" w14:textId="19344FA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51225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formularz</w:t>
            </w:r>
          </w:p>
        </w:tc>
        <w:tc>
          <w:tcPr>
            <w:tcW w:w="3377" w:type="dxa"/>
            <w:shd w:val="clear" w:color="auto" w:fill="auto"/>
            <w:hideMark/>
          </w:tcPr>
          <w:p w14:paraId="543FC6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2DC0C7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Organy państwowe powinny ułatwiać składanie uwag w ramach konsultacji IIaPGW, a nie je utrudniać.</w:t>
            </w:r>
          </w:p>
        </w:tc>
        <w:tc>
          <w:tcPr>
            <w:tcW w:w="1918" w:type="dxa"/>
            <w:shd w:val="clear" w:color="auto" w:fill="auto"/>
            <w:hideMark/>
          </w:tcPr>
          <w:p w14:paraId="57BEB8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AC7D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6699B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 poprzez ankietę online na stronie;</w:t>
            </w:r>
            <w:r w:rsidRPr="005E78BB">
              <w:rPr>
                <w:rFonts w:ascii="Calibri" w:eastAsia="Times New Roman" w:hAnsi="Calibri" w:cs="Calibri"/>
                <w:color w:val="000000"/>
                <w:sz w:val="18"/>
                <w:szCs w:val="18"/>
                <w:lang w:eastAsia="pl-PL"/>
              </w:rPr>
              <w:br/>
              <w:t>- poprzez wiadomość e-mail na adres: konsultacje@apgw.gov.pl lub apgw@mi.gov.pl;</w:t>
            </w:r>
            <w:r w:rsidRPr="005E78BB">
              <w:rPr>
                <w:rFonts w:ascii="Calibri" w:eastAsia="Times New Roman" w:hAnsi="Calibri" w:cs="Calibri"/>
                <w:color w:val="000000"/>
                <w:sz w:val="18"/>
                <w:szCs w:val="18"/>
                <w:lang w:eastAsia="pl-PL"/>
              </w:rPr>
              <w:br/>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Tym samym zapewnione zostały zróznicowane kanały komunikacji dostępne dla zainteresowanych. Nie zastosowano dodatkowych ograniczeń co do formy przedkładanych uwag.</w:t>
            </w:r>
          </w:p>
        </w:tc>
      </w:tr>
      <w:tr w:rsidR="0085319C" w:rsidRPr="005E78BB" w14:paraId="403CCE3A" w14:textId="77777777" w:rsidTr="00E92AE6">
        <w:trPr>
          <w:trHeight w:val="454"/>
        </w:trPr>
        <w:tc>
          <w:tcPr>
            <w:tcW w:w="562" w:type="dxa"/>
            <w:shd w:val="clear" w:color="auto" w:fill="auto"/>
            <w:hideMark/>
          </w:tcPr>
          <w:p w14:paraId="199A91D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684</w:t>
            </w:r>
          </w:p>
        </w:tc>
        <w:tc>
          <w:tcPr>
            <w:tcW w:w="1021" w:type="dxa"/>
          </w:tcPr>
          <w:p w14:paraId="0EFE7C76" w14:textId="439FB21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1B83283B" w14:textId="035C3B0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1AB19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3377" w:type="dxa"/>
            <w:shd w:val="clear" w:color="auto" w:fill="auto"/>
            <w:hideMark/>
          </w:tcPr>
          <w:p w14:paraId="6BF87B3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369AFD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2F893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545B7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E9E76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7C6A8A69" w14:textId="77777777" w:rsidTr="00E92AE6">
        <w:trPr>
          <w:trHeight w:val="454"/>
        </w:trPr>
        <w:tc>
          <w:tcPr>
            <w:tcW w:w="562" w:type="dxa"/>
            <w:shd w:val="clear" w:color="auto" w:fill="auto"/>
            <w:hideMark/>
          </w:tcPr>
          <w:p w14:paraId="77C0640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685</w:t>
            </w:r>
          </w:p>
        </w:tc>
        <w:tc>
          <w:tcPr>
            <w:tcW w:w="1021" w:type="dxa"/>
          </w:tcPr>
          <w:p w14:paraId="25D3D792" w14:textId="607EF16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5D108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4F3550AB" w14:textId="06CC96B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br/>
              <w:t>Rozdz. 3</w:t>
            </w:r>
          </w:p>
        </w:tc>
        <w:tc>
          <w:tcPr>
            <w:tcW w:w="3377" w:type="dxa"/>
            <w:shd w:val="clear" w:color="auto" w:fill="auto"/>
            <w:hideMark/>
          </w:tcPr>
          <w:p w14:paraId="4B64816B" w14:textId="52B4AE4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69C5C2C8" w14:textId="69CD810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62CE55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0B266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70B0277" w14:textId="007A59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5E78BB" w14:paraId="635316C0" w14:textId="77777777" w:rsidTr="00CD6FBC">
        <w:trPr>
          <w:trHeight w:val="454"/>
        </w:trPr>
        <w:tc>
          <w:tcPr>
            <w:tcW w:w="562" w:type="dxa"/>
            <w:shd w:val="clear" w:color="auto" w:fill="auto"/>
            <w:hideMark/>
          </w:tcPr>
          <w:p w14:paraId="1E4CCFAA"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686</w:t>
            </w:r>
          </w:p>
        </w:tc>
        <w:tc>
          <w:tcPr>
            <w:tcW w:w="1021" w:type="dxa"/>
            <w:shd w:val="clear" w:color="auto" w:fill="auto"/>
          </w:tcPr>
          <w:p w14:paraId="1CB6D59C" w14:textId="0100B7F2"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Dziedzictwo Przyrodnicze</w:t>
            </w:r>
          </w:p>
        </w:tc>
        <w:tc>
          <w:tcPr>
            <w:tcW w:w="1630" w:type="dxa"/>
            <w:shd w:val="clear" w:color="auto" w:fill="auto"/>
            <w:hideMark/>
          </w:tcPr>
          <w:p w14:paraId="13D7A30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52971D7C" w14:textId="699A127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br w:type="page"/>
              <w:t>RWr Zbiornikowe</w:t>
            </w:r>
            <w:r w:rsidRPr="00CD6FBC">
              <w:rPr>
                <w:rFonts w:ascii="Calibri" w:eastAsia="Times New Roman" w:hAnsi="Calibri" w:cs="Calibri"/>
                <w:color w:val="000000"/>
                <w:sz w:val="18"/>
                <w:szCs w:val="18"/>
                <w:lang w:eastAsia="pl-PL"/>
              </w:rPr>
              <w:br w:type="page"/>
              <w:t>Rozdz. 3, 5.1. oraz 8.1.</w:t>
            </w:r>
            <w:r w:rsidRPr="00CD6FBC">
              <w:rPr>
                <w:rFonts w:ascii="Calibri" w:eastAsia="Times New Roman" w:hAnsi="Calibri" w:cs="Calibri"/>
                <w:color w:val="000000"/>
                <w:sz w:val="18"/>
                <w:szCs w:val="18"/>
                <w:lang w:eastAsia="pl-PL"/>
              </w:rPr>
              <w:br w:type="page"/>
              <w:t xml:space="preserve">Zał. 3.1. oraz 8. </w:t>
            </w:r>
            <w:r w:rsidRPr="00CD6FBC">
              <w:rPr>
                <w:rFonts w:ascii="Calibri" w:eastAsia="Times New Roman" w:hAnsi="Calibri" w:cs="Calibri"/>
                <w:color w:val="000000"/>
                <w:sz w:val="18"/>
                <w:szCs w:val="18"/>
                <w:lang w:eastAsia="pl-PL"/>
              </w:rPr>
              <w:br w:type="page"/>
              <w:t>Zał. mapowe</w:t>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0A53103E" w14:textId="02B91E4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2FA2C71B" w14:textId="357CD4E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ype="page"/>
              <w:t xml:space="preserve">Takie podejście nie może być usprawiedliwieniem dla znaczących negatywnych zmian w cennych siedliskach związanych z cofkami niektórych zbiorników wodnych. </w:t>
            </w:r>
            <w:r w:rsidRPr="00CD6FBC">
              <w:rPr>
                <w:rFonts w:ascii="Calibri" w:eastAsia="Times New Roman" w:hAnsi="Calibri" w:cs="Calibri"/>
                <w:color w:val="000000"/>
                <w:sz w:val="18"/>
                <w:szCs w:val="18"/>
                <w:lang w:eastAsia="pl-PL"/>
              </w:rPr>
              <w:br w:type="page"/>
            </w:r>
          </w:p>
        </w:tc>
        <w:tc>
          <w:tcPr>
            <w:tcW w:w="1918" w:type="dxa"/>
            <w:shd w:val="clear" w:color="auto" w:fill="auto"/>
            <w:hideMark/>
          </w:tcPr>
          <w:p w14:paraId="12BD3393"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7F703CE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0FDE6EF3" w14:textId="01B972C4"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ype="page"/>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ype="page"/>
              <w:t xml:space="preserve">W zał. </w:t>
            </w:r>
            <w:r w:rsidR="005E7F90" w:rsidRPr="005E7F90">
              <w:rPr>
                <w:rFonts w:ascii="Calibri" w:eastAsia="Times New Roman" w:hAnsi="Calibri" w:cs="Calibri"/>
                <w:color w:val="000000"/>
                <w:sz w:val="18"/>
                <w:szCs w:val="18"/>
                <w:lang w:eastAsia="pl-PL"/>
              </w:rPr>
              <w:t>Wartości graniczne SCW i SZCW</w:t>
            </w:r>
            <w:r w:rsidR="005E7F90" w:rsidRPr="00CD6FBC" w:rsidDel="005E7F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4714803E" w14:textId="77777777" w:rsidTr="00CD6FBC">
        <w:trPr>
          <w:trHeight w:val="454"/>
        </w:trPr>
        <w:tc>
          <w:tcPr>
            <w:tcW w:w="562" w:type="dxa"/>
            <w:shd w:val="clear" w:color="auto" w:fill="auto"/>
            <w:hideMark/>
          </w:tcPr>
          <w:p w14:paraId="059C9F9E"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687</w:t>
            </w:r>
          </w:p>
        </w:tc>
        <w:tc>
          <w:tcPr>
            <w:tcW w:w="1021" w:type="dxa"/>
            <w:shd w:val="clear" w:color="auto" w:fill="auto"/>
          </w:tcPr>
          <w:p w14:paraId="43308D45" w14:textId="139D6E1F"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Dziedzictwo Przyrodnicze</w:t>
            </w:r>
          </w:p>
        </w:tc>
        <w:tc>
          <w:tcPr>
            <w:tcW w:w="1630" w:type="dxa"/>
            <w:shd w:val="clear" w:color="auto" w:fill="auto"/>
            <w:hideMark/>
          </w:tcPr>
          <w:p w14:paraId="063AEE7C" w14:textId="082B048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DDBBD07" w14:textId="52D67E6E"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Zgodnie z dokumentem  </w:t>
            </w:r>
            <w:r w:rsidRPr="00CD6FBC">
              <w:rPr>
                <w:rFonts w:ascii="Calibri" w:eastAsia="Times New Roman" w:hAnsi="Calibri" w:cs="Calibri"/>
                <w:color w:val="000000"/>
                <w:sz w:val="18"/>
                <w:szCs w:val="18"/>
                <w:lang w:eastAsia="pl-PL"/>
              </w:rPr>
              <w:br/>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 dostępny np. na stronie konsultacji IIaPGW https://www.apgw.gov.pl/pl/news/show/90</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Zalecenie z 2012 r.: </w:t>
            </w:r>
            <w:r w:rsidRPr="00CD6FBC">
              <w:rPr>
                <w:rFonts w:ascii="Calibri" w:eastAsia="Times New Roman" w:hAnsi="Calibri" w:cs="Calibri"/>
                <w:color w:val="000000"/>
                <w:sz w:val="18"/>
                <w:szCs w:val="18"/>
                <w:lang w:eastAsia="pl-PL"/>
              </w:rPr>
              <w:br/>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Powyższe zalecenie zostało wykonane w IIaPGW tylko częściowo.</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3377" w:type="dxa"/>
            <w:shd w:val="clear" w:color="auto" w:fill="auto"/>
            <w:hideMark/>
          </w:tcPr>
          <w:p w14:paraId="11EF6EF1" w14:textId="68B1BFAC"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Na tej podstawie należy nadać status NAT wszystkim częściom wód ujętym w projekcie IIaPGW, które nie spełniają wymogów art. 4.3. RDW.</w:t>
            </w:r>
          </w:p>
        </w:tc>
        <w:tc>
          <w:tcPr>
            <w:tcW w:w="3401" w:type="dxa"/>
            <w:shd w:val="clear" w:color="auto" w:fill="auto"/>
            <w:hideMark/>
          </w:tcPr>
          <w:p w14:paraId="297FCC46"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26CC602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0991F0B8"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ECC84EE" w14:textId="24DA7D27"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5E7F90" w:rsidRPr="005E7F90">
              <w:rPr>
                <w:rFonts w:ascii="Calibri" w:eastAsia="Times New Roman" w:hAnsi="Calibri" w:cs="Calibri"/>
                <w:color w:val="000000"/>
                <w:sz w:val="18"/>
                <w:szCs w:val="18"/>
                <w:lang w:eastAsia="pl-PL"/>
              </w:rPr>
              <w:t>Wartości graniczne SCW i SZCW</w:t>
            </w:r>
            <w:r w:rsidR="005E7F90" w:rsidRPr="00CD6FBC" w:rsidDel="005E7F90">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1 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71444111" w14:textId="77777777" w:rsidTr="00E92AE6">
        <w:trPr>
          <w:trHeight w:val="454"/>
        </w:trPr>
        <w:tc>
          <w:tcPr>
            <w:tcW w:w="562" w:type="dxa"/>
            <w:shd w:val="clear" w:color="auto" w:fill="auto"/>
            <w:hideMark/>
          </w:tcPr>
          <w:p w14:paraId="7888A5E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688</w:t>
            </w:r>
          </w:p>
        </w:tc>
        <w:tc>
          <w:tcPr>
            <w:tcW w:w="1021" w:type="dxa"/>
          </w:tcPr>
          <w:p w14:paraId="31A2E78E" w14:textId="19965F6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89FF2AC" w14:textId="32592F9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0B2D8D8D" w14:textId="7E53DE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3377" w:type="dxa"/>
            <w:shd w:val="clear" w:color="auto" w:fill="auto"/>
            <w:hideMark/>
          </w:tcPr>
          <w:p w14:paraId="6D9BFE43" w14:textId="5B97B3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14763858" w14:textId="089C3E1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165C3F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C0DCE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8B134D2" w14:textId="295A77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26DF9445" w14:textId="77777777" w:rsidTr="00E92AE6">
        <w:trPr>
          <w:trHeight w:val="454"/>
        </w:trPr>
        <w:tc>
          <w:tcPr>
            <w:tcW w:w="562" w:type="dxa"/>
            <w:shd w:val="clear" w:color="auto" w:fill="auto"/>
            <w:hideMark/>
          </w:tcPr>
          <w:p w14:paraId="62810EC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689</w:t>
            </w:r>
          </w:p>
        </w:tc>
        <w:tc>
          <w:tcPr>
            <w:tcW w:w="1021" w:type="dxa"/>
          </w:tcPr>
          <w:p w14:paraId="1D238B8C" w14:textId="38D5A92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6184CFD9" w14:textId="6B164B8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3F269A83" w14:textId="69A516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RW20001229199 Wisła od Zgłowiączki do Brdy</w:t>
            </w:r>
            <w:r w:rsidRPr="005E78BB">
              <w:rPr>
                <w:rFonts w:ascii="Calibri" w:eastAsia="Times New Roman" w:hAnsi="Calibri" w:cs="Calibri"/>
                <w:color w:val="000000"/>
                <w:sz w:val="18"/>
                <w:szCs w:val="18"/>
                <w:lang w:eastAsia="pl-PL"/>
              </w:rPr>
              <w:br w:type="page"/>
              <w:t>RW2000122939 Wisła od Brdy do Wdy</w:t>
            </w:r>
            <w:r w:rsidRPr="005E78BB">
              <w:rPr>
                <w:rFonts w:ascii="Calibri" w:eastAsia="Times New Roman" w:hAnsi="Calibri" w:cs="Calibri"/>
                <w:color w:val="000000"/>
                <w:sz w:val="18"/>
                <w:szCs w:val="18"/>
                <w:lang w:eastAsia="pl-PL"/>
              </w:rPr>
              <w:br w:type="page"/>
              <w:t>RW20001229991 Wisła od Wdy do Przekopu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opisie przyczyny wyznaczenia (Zal. 1 Zestawienie Główne) widnieje:</w:t>
            </w:r>
            <w:r w:rsidRPr="005E78BB">
              <w:rPr>
                <w:rFonts w:ascii="Calibri" w:eastAsia="Times New Roman" w:hAnsi="Calibri" w:cs="Calibri"/>
                <w:color w:val="000000"/>
                <w:sz w:val="18"/>
                <w:szCs w:val="18"/>
                <w:lang w:eastAsia="pl-PL"/>
              </w:rPr>
              <w:br w:type="page"/>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type="page"/>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 3.1. SZCW</w:t>
            </w:r>
            <w:r w:rsidRPr="005E78BB">
              <w:rPr>
                <w:rFonts w:ascii="Calibri" w:eastAsia="Times New Roman" w:hAnsi="Calibri" w:cs="Calibri"/>
                <w:color w:val="000000"/>
                <w:sz w:val="18"/>
                <w:szCs w:val="18"/>
                <w:lang w:eastAsia="pl-PL"/>
              </w:rPr>
              <w:br w:type="page"/>
              <w:t>Wyznaczenie SZCW niezgodnie z metodyką</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470275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ype="page"/>
              <w:t>RW20001229199 Wisła od Zgłowiączki do Brdy</w:t>
            </w:r>
            <w:r w:rsidRPr="005E78BB">
              <w:rPr>
                <w:rFonts w:ascii="Calibri" w:eastAsia="Times New Roman" w:hAnsi="Calibri" w:cs="Calibri"/>
                <w:color w:val="000000"/>
                <w:sz w:val="18"/>
                <w:szCs w:val="18"/>
                <w:lang w:eastAsia="pl-PL"/>
              </w:rPr>
              <w:br w:type="page"/>
              <w:t>RW2000122939 Wisła od Brdy do Wdy</w:t>
            </w:r>
            <w:r w:rsidRPr="005E78BB">
              <w:rPr>
                <w:rFonts w:ascii="Calibri" w:eastAsia="Times New Roman" w:hAnsi="Calibri" w:cs="Calibri"/>
                <w:color w:val="000000"/>
                <w:sz w:val="18"/>
                <w:szCs w:val="18"/>
                <w:lang w:eastAsia="pl-PL"/>
              </w:rPr>
              <w:br w:type="page"/>
              <w:t>RW20001229991 Wisła od Wdy do Przekopu Wisły</w:t>
            </w:r>
            <w:r w:rsidRPr="005E78BB">
              <w:rPr>
                <w:rFonts w:ascii="Calibri" w:eastAsia="Times New Roman" w:hAnsi="Calibri" w:cs="Calibri"/>
                <w:color w:val="000000"/>
                <w:sz w:val="18"/>
                <w:szCs w:val="18"/>
                <w:lang w:eastAsia="pl-PL"/>
              </w:rPr>
              <w:br w:type="page"/>
              <w:t xml:space="preserve">naturalny status wody (NAT).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4471B805" w14:textId="6E62C5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type="page"/>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59AD6B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D10B5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515F833" w14:textId="3F43B6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3A457538" w14:textId="77777777" w:rsidTr="00E92AE6">
        <w:trPr>
          <w:trHeight w:val="454"/>
        </w:trPr>
        <w:tc>
          <w:tcPr>
            <w:tcW w:w="562" w:type="dxa"/>
            <w:shd w:val="clear" w:color="auto" w:fill="auto"/>
            <w:hideMark/>
          </w:tcPr>
          <w:p w14:paraId="6A47E9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690</w:t>
            </w:r>
          </w:p>
        </w:tc>
        <w:tc>
          <w:tcPr>
            <w:tcW w:w="1021" w:type="dxa"/>
          </w:tcPr>
          <w:p w14:paraId="4EA794C0" w14:textId="77C5F82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4125D5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6386551B" w14:textId="6A8BE29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p>
        </w:tc>
        <w:tc>
          <w:tcPr>
            <w:tcW w:w="3377" w:type="dxa"/>
            <w:shd w:val="clear" w:color="auto" w:fill="auto"/>
            <w:hideMark/>
          </w:tcPr>
          <w:p w14:paraId="337BE0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3266131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10F79B4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60C83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9123344" w14:textId="3F6EF7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709944BD" w14:textId="77777777" w:rsidTr="00E92AE6">
        <w:trPr>
          <w:trHeight w:val="454"/>
        </w:trPr>
        <w:tc>
          <w:tcPr>
            <w:tcW w:w="562" w:type="dxa"/>
            <w:shd w:val="clear" w:color="auto" w:fill="auto"/>
            <w:hideMark/>
          </w:tcPr>
          <w:p w14:paraId="15AEC40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691</w:t>
            </w:r>
          </w:p>
        </w:tc>
        <w:tc>
          <w:tcPr>
            <w:tcW w:w="1021" w:type="dxa"/>
          </w:tcPr>
          <w:p w14:paraId="0F9EC7E8" w14:textId="00CD789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6E203E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66110CD9" w14:textId="3215773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p>
        </w:tc>
        <w:tc>
          <w:tcPr>
            <w:tcW w:w="3377" w:type="dxa"/>
            <w:shd w:val="clear" w:color="auto" w:fill="auto"/>
            <w:hideMark/>
          </w:tcPr>
          <w:p w14:paraId="3726BBDF" w14:textId="2820FCD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6402281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41C8B8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C4E44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19B5F05" w14:textId="34E9A5D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49C704C7" w14:textId="77777777" w:rsidTr="00E92AE6">
        <w:trPr>
          <w:trHeight w:val="454"/>
        </w:trPr>
        <w:tc>
          <w:tcPr>
            <w:tcW w:w="562" w:type="dxa"/>
            <w:shd w:val="clear" w:color="auto" w:fill="auto"/>
            <w:hideMark/>
          </w:tcPr>
          <w:p w14:paraId="42EF05A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692</w:t>
            </w:r>
          </w:p>
        </w:tc>
        <w:tc>
          <w:tcPr>
            <w:tcW w:w="1021" w:type="dxa"/>
          </w:tcPr>
          <w:p w14:paraId="7CFD9A44" w14:textId="6596ECF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67115B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1FDD6C91" w14:textId="4FCA4DA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ype="page"/>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Streszczenie niespecjalistyczne; IIaPGW Rozdział 7, 8, 9 </w:t>
            </w:r>
            <w:r w:rsidRPr="005E78BB">
              <w:rPr>
                <w:rFonts w:ascii="Calibri" w:eastAsia="Times New Roman" w:hAnsi="Calibri" w:cs="Calibri"/>
                <w:color w:val="000000"/>
                <w:sz w:val="18"/>
                <w:szCs w:val="18"/>
                <w:lang w:eastAsia="pl-PL"/>
              </w:rPr>
              <w:br w:type="page"/>
              <w:t xml:space="preserve">Presja, Cele środowiskowe,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0C9AAE6D" w14:textId="6E022DB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ype="page"/>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ype="page"/>
              <w:t>Bezwzględnie należy usunąć tego typu działania z listy działań ochronnych IIaPGW (PPSS, mała retencja leśna).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52244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2EA984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43E1E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F3EDD93" w14:textId="6D01ED6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ype="page"/>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ype="page"/>
              <w:t>• dokonanych zmian legislacyjnych w zakresie klasyfikacji stanu jcw w okresie 2011-2019;</w:t>
            </w:r>
            <w:r w:rsidRPr="005E78BB">
              <w:rPr>
                <w:rFonts w:ascii="Calibri" w:eastAsia="Times New Roman" w:hAnsi="Calibri" w:cs="Calibri"/>
                <w:color w:val="000000"/>
                <w:sz w:val="18"/>
                <w:szCs w:val="18"/>
                <w:lang w:eastAsia="pl-PL"/>
              </w:rPr>
              <w:br w:type="page"/>
              <w:t>• celów środowiskowych przydzielonych do poszczególnych jcw w poprzednich cyklach planistycznych;</w:t>
            </w:r>
            <w:r w:rsidRPr="005E78BB">
              <w:rPr>
                <w:rFonts w:ascii="Calibri" w:eastAsia="Times New Roman" w:hAnsi="Calibri" w:cs="Calibri"/>
                <w:color w:val="000000"/>
                <w:sz w:val="18"/>
                <w:szCs w:val="18"/>
                <w:lang w:eastAsia="pl-PL"/>
              </w:rPr>
              <w:br w:type="page"/>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ype="page"/>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ype="page"/>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ype="page"/>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ype="page"/>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ype="page"/>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ype="page"/>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4E024E1E" w14:textId="77777777" w:rsidTr="00E92AE6">
        <w:trPr>
          <w:trHeight w:val="454"/>
        </w:trPr>
        <w:tc>
          <w:tcPr>
            <w:tcW w:w="562" w:type="dxa"/>
            <w:shd w:val="clear" w:color="auto" w:fill="auto"/>
            <w:hideMark/>
          </w:tcPr>
          <w:p w14:paraId="730F1E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693</w:t>
            </w:r>
          </w:p>
        </w:tc>
        <w:tc>
          <w:tcPr>
            <w:tcW w:w="1021" w:type="dxa"/>
          </w:tcPr>
          <w:p w14:paraId="2632FF8D" w14:textId="6A0E034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281ED9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428AF8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9 </w:t>
            </w:r>
            <w:r w:rsidRPr="005E78BB">
              <w:rPr>
                <w:rFonts w:ascii="Calibri" w:eastAsia="Times New Roman" w:hAnsi="Calibri" w:cs="Calibri"/>
                <w:color w:val="000000"/>
                <w:sz w:val="18"/>
                <w:szCs w:val="18"/>
                <w:lang w:eastAsia="pl-PL"/>
              </w:rPr>
              <w:br/>
              <w:t>Postęp i wdrożenie działań 2016-2021</w:t>
            </w:r>
          </w:p>
        </w:tc>
        <w:tc>
          <w:tcPr>
            <w:tcW w:w="3377" w:type="dxa"/>
            <w:shd w:val="clear" w:color="auto" w:fill="auto"/>
            <w:hideMark/>
          </w:tcPr>
          <w:p w14:paraId="6873551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B938B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5652E0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47415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662766" w14:textId="72C6CD9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7ABB5F18" w14:textId="77777777" w:rsidTr="00E92AE6">
        <w:trPr>
          <w:trHeight w:val="454"/>
        </w:trPr>
        <w:tc>
          <w:tcPr>
            <w:tcW w:w="562" w:type="dxa"/>
            <w:shd w:val="clear" w:color="auto" w:fill="auto"/>
            <w:hideMark/>
          </w:tcPr>
          <w:p w14:paraId="497BBB7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694</w:t>
            </w:r>
          </w:p>
        </w:tc>
        <w:tc>
          <w:tcPr>
            <w:tcW w:w="1021" w:type="dxa"/>
          </w:tcPr>
          <w:p w14:paraId="618FFBB0" w14:textId="36A13CB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22B799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788F8FC2" w14:textId="175B7E3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5E78BB">
              <w:rPr>
                <w:rFonts w:ascii="Calibri" w:eastAsia="Times New Roman" w:hAnsi="Calibri" w:cs="Calibri"/>
                <w:color w:val="000000"/>
                <w:sz w:val="18"/>
                <w:szCs w:val="18"/>
                <w:lang w:eastAsia="pl-PL"/>
              </w:rPr>
              <w:br/>
              <w:t xml:space="preserve">Działania 2aPGW KPRWP – raport </w:t>
            </w:r>
          </w:p>
        </w:tc>
        <w:tc>
          <w:tcPr>
            <w:tcW w:w="3377" w:type="dxa"/>
            <w:shd w:val="clear" w:color="auto" w:fill="auto"/>
            <w:hideMark/>
          </w:tcPr>
          <w:p w14:paraId="368B06BB" w14:textId="6A51B1C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r>
          </w:p>
        </w:tc>
        <w:tc>
          <w:tcPr>
            <w:tcW w:w="3401" w:type="dxa"/>
            <w:shd w:val="clear" w:color="auto" w:fill="auto"/>
            <w:hideMark/>
          </w:tcPr>
          <w:p w14:paraId="0E8DF427" w14:textId="39E3974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r>
          </w:p>
        </w:tc>
        <w:tc>
          <w:tcPr>
            <w:tcW w:w="1918" w:type="dxa"/>
            <w:shd w:val="clear" w:color="auto" w:fill="auto"/>
            <w:hideMark/>
          </w:tcPr>
          <w:p w14:paraId="76DC22D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63114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3F50B32" w14:textId="13862DA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2B86DD4B" w14:textId="77777777" w:rsidTr="00E92AE6">
        <w:trPr>
          <w:trHeight w:val="454"/>
        </w:trPr>
        <w:tc>
          <w:tcPr>
            <w:tcW w:w="562" w:type="dxa"/>
            <w:shd w:val="clear" w:color="auto" w:fill="auto"/>
            <w:hideMark/>
          </w:tcPr>
          <w:p w14:paraId="013C051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695</w:t>
            </w:r>
          </w:p>
        </w:tc>
        <w:tc>
          <w:tcPr>
            <w:tcW w:w="1021" w:type="dxa"/>
          </w:tcPr>
          <w:p w14:paraId="7A042061" w14:textId="62A25A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3DD94C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544F78AF" w14:textId="333B91B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07D5C352" w14:textId="335AF0C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EB2C9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1BF958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7BA555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6944F2" w14:textId="1C26F5F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ype="page"/>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ype="page"/>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226143AE" w14:textId="77777777" w:rsidTr="00E92AE6">
        <w:trPr>
          <w:trHeight w:val="454"/>
        </w:trPr>
        <w:tc>
          <w:tcPr>
            <w:tcW w:w="562" w:type="dxa"/>
            <w:shd w:val="clear" w:color="auto" w:fill="auto"/>
            <w:hideMark/>
          </w:tcPr>
          <w:p w14:paraId="6FE456D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696</w:t>
            </w:r>
          </w:p>
        </w:tc>
        <w:tc>
          <w:tcPr>
            <w:tcW w:w="1021" w:type="dxa"/>
          </w:tcPr>
          <w:p w14:paraId="421B33C4" w14:textId="0974A2D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6DA95BA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152EA2F7" w14:textId="6A15086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392E8A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497CFBD3" w14:textId="6E14DFE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5AD5A2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C9A6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317C805" w14:textId="0C05DA1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E0413E8" w14:textId="77777777" w:rsidTr="00E92AE6">
        <w:trPr>
          <w:trHeight w:val="454"/>
        </w:trPr>
        <w:tc>
          <w:tcPr>
            <w:tcW w:w="562" w:type="dxa"/>
            <w:shd w:val="clear" w:color="auto" w:fill="auto"/>
            <w:hideMark/>
          </w:tcPr>
          <w:p w14:paraId="086E383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697</w:t>
            </w:r>
          </w:p>
        </w:tc>
        <w:tc>
          <w:tcPr>
            <w:tcW w:w="1021" w:type="dxa"/>
          </w:tcPr>
          <w:p w14:paraId="458CE6CD" w14:textId="5A97699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3E339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4F1C37D1"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16, Zał. 6 </w:t>
            </w:r>
          </w:p>
        </w:tc>
        <w:tc>
          <w:tcPr>
            <w:tcW w:w="3377" w:type="dxa"/>
            <w:shd w:val="clear" w:color="auto" w:fill="auto"/>
            <w:hideMark/>
          </w:tcPr>
          <w:p w14:paraId="08962C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042335D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1918" w:type="dxa"/>
            <w:shd w:val="clear" w:color="auto" w:fill="auto"/>
            <w:hideMark/>
          </w:tcPr>
          <w:p w14:paraId="55D4A51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9CF0B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FDB48A" w14:textId="6633C9D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4FAFBBDA" w14:textId="77777777" w:rsidTr="00E92AE6">
        <w:trPr>
          <w:trHeight w:val="454"/>
        </w:trPr>
        <w:tc>
          <w:tcPr>
            <w:tcW w:w="562" w:type="dxa"/>
            <w:shd w:val="clear" w:color="auto" w:fill="auto"/>
            <w:hideMark/>
          </w:tcPr>
          <w:p w14:paraId="7D7C9C3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698</w:t>
            </w:r>
          </w:p>
        </w:tc>
        <w:tc>
          <w:tcPr>
            <w:tcW w:w="1021" w:type="dxa"/>
          </w:tcPr>
          <w:p w14:paraId="2A7AEC18" w14:textId="7DB9D59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64BC3B7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2442D56C" w14:textId="5284A83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Ochrona i zwiększanie retencji na obszarach rolniczych.</w:t>
            </w:r>
            <w:r w:rsidRPr="005E78BB">
              <w:rPr>
                <w:rFonts w:ascii="Calibri" w:eastAsia="Times New Roman" w:hAnsi="Calibri" w:cs="Calibri"/>
                <w:color w:val="000000"/>
                <w:sz w:val="18"/>
                <w:szCs w:val="18"/>
                <w:lang w:eastAsia="pl-PL"/>
              </w:rPr>
              <w:br w:type="page"/>
              <w:t>Ochrona i zwiększanie retencji leśnej.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RWC_01.07</w:t>
            </w:r>
            <w:r w:rsidRPr="005E78BB">
              <w:rPr>
                <w:rFonts w:ascii="Calibri" w:eastAsia="Times New Roman" w:hAnsi="Calibri" w:cs="Calibri"/>
                <w:color w:val="000000"/>
                <w:sz w:val="18"/>
                <w:szCs w:val="18"/>
                <w:lang w:eastAsia="pl-PL"/>
              </w:rPr>
              <w:br w:type="page"/>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RWC_01.05.</w:t>
            </w:r>
            <w:r w:rsidRPr="005E78BB">
              <w:rPr>
                <w:rFonts w:ascii="Calibri" w:eastAsia="Times New Roman" w:hAnsi="Calibri" w:cs="Calibri"/>
                <w:color w:val="000000"/>
                <w:sz w:val="18"/>
                <w:szCs w:val="18"/>
                <w:lang w:eastAsia="pl-PL"/>
              </w:rPr>
              <w:br w:type="page"/>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ype="page"/>
              <w:t xml:space="preserve">  </w:t>
            </w:r>
            <w:r w:rsidRPr="005E78BB">
              <w:rPr>
                <w:rFonts w:ascii="Calibri" w:eastAsia="Times New Roman" w:hAnsi="Calibri" w:cs="Calibri"/>
                <w:color w:val="000000"/>
                <w:sz w:val="18"/>
                <w:szCs w:val="18"/>
                <w:lang w:eastAsia="pl-PL"/>
              </w:rPr>
              <w:br w:type="page"/>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ype="page"/>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ype="page"/>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ype="page"/>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ype="page"/>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ype="page"/>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Katalogi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33024D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Wykreślić działania RWC_01.05 i RWC_01.07 lub diametralnie zmienić ich planowany zakres, zgodnie z KPRWP . </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A6D9D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5A3E82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B12B9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085F6B9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ype="page"/>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ype="page"/>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62760C3" w14:textId="77777777" w:rsidTr="00E92AE6">
        <w:trPr>
          <w:trHeight w:val="454"/>
        </w:trPr>
        <w:tc>
          <w:tcPr>
            <w:tcW w:w="562" w:type="dxa"/>
            <w:shd w:val="clear" w:color="auto" w:fill="auto"/>
            <w:hideMark/>
          </w:tcPr>
          <w:p w14:paraId="23C669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699</w:t>
            </w:r>
          </w:p>
        </w:tc>
        <w:tc>
          <w:tcPr>
            <w:tcW w:w="1021" w:type="dxa"/>
          </w:tcPr>
          <w:p w14:paraId="0C2C3F23" w14:textId="5D44BE2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08E575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65E13C67" w14:textId="601BA7B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Działania udrożnienia barier migracyjnych</w:t>
            </w:r>
          </w:p>
        </w:tc>
        <w:tc>
          <w:tcPr>
            <w:tcW w:w="3377" w:type="dxa"/>
            <w:shd w:val="clear" w:color="auto" w:fill="auto"/>
            <w:hideMark/>
          </w:tcPr>
          <w:p w14:paraId="0CD7163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327CB4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537584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742488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74E52773" w14:textId="6C592AD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3A54B12A" w14:textId="77777777" w:rsidTr="00E92AE6">
        <w:trPr>
          <w:trHeight w:val="454"/>
        </w:trPr>
        <w:tc>
          <w:tcPr>
            <w:tcW w:w="562" w:type="dxa"/>
            <w:shd w:val="clear" w:color="auto" w:fill="auto"/>
            <w:hideMark/>
          </w:tcPr>
          <w:p w14:paraId="7FB7E79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700</w:t>
            </w:r>
          </w:p>
        </w:tc>
        <w:tc>
          <w:tcPr>
            <w:tcW w:w="1021" w:type="dxa"/>
          </w:tcPr>
          <w:p w14:paraId="577A4B4E" w14:textId="313EC69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208955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FAE4ABB" w14:textId="07BF1E0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r>
          </w:p>
        </w:tc>
        <w:tc>
          <w:tcPr>
            <w:tcW w:w="3377" w:type="dxa"/>
            <w:shd w:val="clear" w:color="auto" w:fill="auto"/>
            <w:hideMark/>
          </w:tcPr>
          <w:p w14:paraId="6C75C1EC"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7C9D5A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3B9FB3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A754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672B9F4" w14:textId="5DBFAF9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5E1882BC" w14:textId="77777777" w:rsidTr="00E92AE6">
        <w:trPr>
          <w:trHeight w:val="454"/>
        </w:trPr>
        <w:tc>
          <w:tcPr>
            <w:tcW w:w="562" w:type="dxa"/>
            <w:shd w:val="clear" w:color="auto" w:fill="auto"/>
            <w:hideMark/>
          </w:tcPr>
          <w:p w14:paraId="5E1D64D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701</w:t>
            </w:r>
          </w:p>
        </w:tc>
        <w:tc>
          <w:tcPr>
            <w:tcW w:w="1021" w:type="dxa"/>
          </w:tcPr>
          <w:p w14:paraId="05702E6E" w14:textId="5055571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72760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CBB8A3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ype="page"/>
              <w:t>ODBUDOWA PIĘTRZEŃ</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1B19B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75B2AFB5" w14:textId="768D9C1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type="page"/>
              <w:t xml:space="preserve">Inne odbudowy/przebudowy też wymagają weryfikacji, bo mogą wykazywać podobne znaczące negatywne oddziaływania.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30BA1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39B1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504ABB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0135F89C" w14:textId="77777777" w:rsidTr="00E92AE6">
        <w:trPr>
          <w:trHeight w:val="454"/>
        </w:trPr>
        <w:tc>
          <w:tcPr>
            <w:tcW w:w="562" w:type="dxa"/>
            <w:shd w:val="clear" w:color="auto" w:fill="auto"/>
            <w:hideMark/>
          </w:tcPr>
          <w:p w14:paraId="6D5C480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702</w:t>
            </w:r>
          </w:p>
        </w:tc>
        <w:tc>
          <w:tcPr>
            <w:tcW w:w="1021" w:type="dxa"/>
          </w:tcPr>
          <w:p w14:paraId="2FEA4BD2" w14:textId="74FAC4B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129B2D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63E9971" w14:textId="5E6D217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prawne i administracyjne</w:t>
            </w:r>
          </w:p>
        </w:tc>
        <w:tc>
          <w:tcPr>
            <w:tcW w:w="3377" w:type="dxa"/>
            <w:shd w:val="clear" w:color="auto" w:fill="auto"/>
            <w:hideMark/>
          </w:tcPr>
          <w:p w14:paraId="0A917F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0AE4CACA" w14:textId="546F406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p>
        </w:tc>
        <w:tc>
          <w:tcPr>
            <w:tcW w:w="1918" w:type="dxa"/>
            <w:shd w:val="clear" w:color="auto" w:fill="auto"/>
            <w:hideMark/>
          </w:tcPr>
          <w:p w14:paraId="064463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8A06D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D86A3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46C2AB8E" w14:textId="77777777" w:rsidTr="00E92AE6">
        <w:trPr>
          <w:trHeight w:val="454"/>
        </w:trPr>
        <w:tc>
          <w:tcPr>
            <w:tcW w:w="562" w:type="dxa"/>
            <w:shd w:val="clear" w:color="auto" w:fill="auto"/>
            <w:hideMark/>
          </w:tcPr>
          <w:p w14:paraId="0E8F39A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703</w:t>
            </w:r>
          </w:p>
        </w:tc>
        <w:tc>
          <w:tcPr>
            <w:tcW w:w="1021" w:type="dxa"/>
          </w:tcPr>
          <w:p w14:paraId="1B6393E5" w14:textId="5359F65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2FB2C4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82A68FC" w14:textId="6487A57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3377" w:type="dxa"/>
            <w:shd w:val="clear" w:color="auto" w:fill="auto"/>
            <w:hideMark/>
          </w:tcPr>
          <w:p w14:paraId="0E0A90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4650DE9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777C6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0ED9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9C0DBF3" w14:textId="2E9265F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42D9C8E6" w14:textId="77777777" w:rsidTr="00E92AE6">
        <w:trPr>
          <w:trHeight w:val="454"/>
        </w:trPr>
        <w:tc>
          <w:tcPr>
            <w:tcW w:w="562" w:type="dxa"/>
            <w:shd w:val="clear" w:color="auto" w:fill="auto"/>
            <w:hideMark/>
          </w:tcPr>
          <w:p w14:paraId="353C3B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704</w:t>
            </w:r>
          </w:p>
        </w:tc>
        <w:tc>
          <w:tcPr>
            <w:tcW w:w="1021" w:type="dxa"/>
          </w:tcPr>
          <w:p w14:paraId="2B68042D" w14:textId="3D4BB7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093F60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F5789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3377" w:type="dxa"/>
            <w:shd w:val="clear" w:color="auto" w:fill="auto"/>
            <w:hideMark/>
          </w:tcPr>
          <w:p w14:paraId="3C3D712E" w14:textId="63B5A70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1C2BB4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53BD19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886E5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A0D7F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mają rangę rozporządzenia, są ogólnodostepne i powszechnie obowiązujące.</w:t>
            </w:r>
          </w:p>
        </w:tc>
      </w:tr>
      <w:tr w:rsidR="0085319C" w:rsidRPr="005E78BB" w14:paraId="03652DE1" w14:textId="77777777" w:rsidTr="00E92AE6">
        <w:trPr>
          <w:trHeight w:val="454"/>
        </w:trPr>
        <w:tc>
          <w:tcPr>
            <w:tcW w:w="562" w:type="dxa"/>
            <w:shd w:val="clear" w:color="auto" w:fill="auto"/>
            <w:hideMark/>
          </w:tcPr>
          <w:p w14:paraId="37FCF92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705</w:t>
            </w:r>
          </w:p>
        </w:tc>
        <w:tc>
          <w:tcPr>
            <w:tcW w:w="1021" w:type="dxa"/>
          </w:tcPr>
          <w:p w14:paraId="34F703E5" w14:textId="1CCE720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Dziedzictwo Przyrodnicze</w:t>
            </w:r>
          </w:p>
        </w:tc>
        <w:tc>
          <w:tcPr>
            <w:tcW w:w="1630" w:type="dxa"/>
            <w:shd w:val="clear" w:color="auto" w:fill="auto"/>
            <w:hideMark/>
          </w:tcPr>
          <w:p w14:paraId="501BB08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14F12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Zmiany w ocenie postępu działań – co 2 lata </w:t>
            </w:r>
          </w:p>
        </w:tc>
        <w:tc>
          <w:tcPr>
            <w:tcW w:w="3377" w:type="dxa"/>
            <w:shd w:val="clear" w:color="auto" w:fill="auto"/>
            <w:hideMark/>
          </w:tcPr>
          <w:p w14:paraId="6176C6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4B50E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50FCD3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E3975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D63A9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85319C" w:rsidRPr="005E78BB" w14:paraId="5363D066" w14:textId="77777777" w:rsidTr="00E92AE6">
        <w:trPr>
          <w:trHeight w:val="454"/>
        </w:trPr>
        <w:tc>
          <w:tcPr>
            <w:tcW w:w="562" w:type="dxa"/>
            <w:shd w:val="clear" w:color="auto" w:fill="auto"/>
            <w:hideMark/>
          </w:tcPr>
          <w:p w14:paraId="5B9DC31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706</w:t>
            </w:r>
          </w:p>
        </w:tc>
        <w:tc>
          <w:tcPr>
            <w:tcW w:w="1021" w:type="dxa"/>
          </w:tcPr>
          <w:p w14:paraId="2B846109" w14:textId="36FA029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407902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7D6955A1" w14:textId="019E271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Ogólna</w:t>
            </w:r>
          </w:p>
        </w:tc>
        <w:tc>
          <w:tcPr>
            <w:tcW w:w="3377" w:type="dxa"/>
            <w:shd w:val="clear" w:color="auto" w:fill="auto"/>
            <w:hideMark/>
          </w:tcPr>
          <w:p w14:paraId="4D07021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20E7145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5C039F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2031D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C7F1C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6792929B" w14:textId="77777777" w:rsidTr="00E92AE6">
        <w:trPr>
          <w:trHeight w:val="454"/>
        </w:trPr>
        <w:tc>
          <w:tcPr>
            <w:tcW w:w="562" w:type="dxa"/>
            <w:shd w:val="clear" w:color="auto" w:fill="auto"/>
            <w:hideMark/>
          </w:tcPr>
          <w:p w14:paraId="373EC34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707</w:t>
            </w:r>
          </w:p>
        </w:tc>
        <w:tc>
          <w:tcPr>
            <w:tcW w:w="1021" w:type="dxa"/>
          </w:tcPr>
          <w:p w14:paraId="5083D1E7" w14:textId="30411DB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4839A9BB" w14:textId="32DD112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7313E7A" w14:textId="79068FF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p>
        </w:tc>
        <w:tc>
          <w:tcPr>
            <w:tcW w:w="3377" w:type="dxa"/>
            <w:shd w:val="clear" w:color="auto" w:fill="auto"/>
            <w:hideMark/>
          </w:tcPr>
          <w:p w14:paraId="6736BC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39E8FB85"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3A05F2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32735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78014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3E1A42C9" w14:textId="77777777" w:rsidTr="00E92AE6">
        <w:trPr>
          <w:trHeight w:val="454"/>
        </w:trPr>
        <w:tc>
          <w:tcPr>
            <w:tcW w:w="562" w:type="dxa"/>
            <w:shd w:val="clear" w:color="auto" w:fill="auto"/>
            <w:hideMark/>
          </w:tcPr>
          <w:p w14:paraId="7D0F2E1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708</w:t>
            </w:r>
          </w:p>
        </w:tc>
        <w:tc>
          <w:tcPr>
            <w:tcW w:w="1021" w:type="dxa"/>
          </w:tcPr>
          <w:p w14:paraId="0108FF31" w14:textId="4D1EA3D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2CE5617F" w14:textId="00912D1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6DA1D6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chaos</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8A6D13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22B4C1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0B71721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A32ED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EDF0D9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346B5D11" w14:textId="77777777" w:rsidTr="00E92AE6">
        <w:trPr>
          <w:trHeight w:val="454"/>
        </w:trPr>
        <w:tc>
          <w:tcPr>
            <w:tcW w:w="562" w:type="dxa"/>
            <w:shd w:val="clear" w:color="auto" w:fill="auto"/>
            <w:hideMark/>
          </w:tcPr>
          <w:p w14:paraId="1080F17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709</w:t>
            </w:r>
          </w:p>
        </w:tc>
        <w:tc>
          <w:tcPr>
            <w:tcW w:w="1021" w:type="dxa"/>
          </w:tcPr>
          <w:p w14:paraId="21D01A66" w14:textId="2B7F5FB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4D49CBAF" w14:textId="324C046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317E60C" w14:textId="6135F19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3377" w:type="dxa"/>
            <w:shd w:val="clear" w:color="auto" w:fill="auto"/>
            <w:hideMark/>
          </w:tcPr>
          <w:p w14:paraId="66E11C4B" w14:textId="1145503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65076374" w14:textId="7F39EF44"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r w:rsidRPr="005E78BB">
              <w:rPr>
                <w:rFonts w:ascii="Calibri" w:eastAsia="Times New Roman" w:hAnsi="Calibri" w:cs="Calibri"/>
                <w:color w:val="000000"/>
                <w:sz w:val="18"/>
                <w:szCs w:val="18"/>
                <w:lang w:eastAsia="pl-PL"/>
              </w:rPr>
              <w:br/>
            </w:r>
          </w:p>
        </w:tc>
        <w:tc>
          <w:tcPr>
            <w:tcW w:w="1918" w:type="dxa"/>
            <w:shd w:val="clear" w:color="auto" w:fill="auto"/>
            <w:hideMark/>
          </w:tcPr>
          <w:p w14:paraId="677F3C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74C27E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FA412A0" w14:textId="179151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4F6A6E59" w14:textId="77777777" w:rsidTr="00E92AE6">
        <w:trPr>
          <w:trHeight w:val="454"/>
        </w:trPr>
        <w:tc>
          <w:tcPr>
            <w:tcW w:w="562" w:type="dxa"/>
            <w:shd w:val="clear" w:color="auto" w:fill="auto"/>
            <w:hideMark/>
          </w:tcPr>
          <w:p w14:paraId="15DE1FF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710</w:t>
            </w:r>
          </w:p>
        </w:tc>
        <w:tc>
          <w:tcPr>
            <w:tcW w:w="1021" w:type="dxa"/>
          </w:tcPr>
          <w:p w14:paraId="31E841F7" w14:textId="5086F02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1CB046FE" w14:textId="5537686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31A04DEC"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3377" w:type="dxa"/>
            <w:shd w:val="clear" w:color="auto" w:fill="auto"/>
            <w:hideMark/>
          </w:tcPr>
          <w:p w14:paraId="6DDA33C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6701E3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4E8200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C605F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2BB2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projekty IIaPGW wraz z załącznikami, w tym mapy stanowiące załączniki do IIaPGW.</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(tekst jednolity Dz. U. z 2021 r.poz. 247, ze zm.).</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0943297D" w14:textId="77777777" w:rsidTr="00E92AE6">
        <w:trPr>
          <w:trHeight w:val="454"/>
        </w:trPr>
        <w:tc>
          <w:tcPr>
            <w:tcW w:w="562" w:type="dxa"/>
            <w:shd w:val="clear" w:color="auto" w:fill="auto"/>
            <w:hideMark/>
          </w:tcPr>
          <w:p w14:paraId="4118347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711</w:t>
            </w:r>
          </w:p>
        </w:tc>
        <w:tc>
          <w:tcPr>
            <w:tcW w:w="1021" w:type="dxa"/>
          </w:tcPr>
          <w:p w14:paraId="09DBDF6A" w14:textId="63B8D73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63560289" w14:textId="1D9BFFF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75AC31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formularz</w:t>
            </w:r>
          </w:p>
        </w:tc>
        <w:tc>
          <w:tcPr>
            <w:tcW w:w="3377" w:type="dxa"/>
            <w:shd w:val="clear" w:color="auto" w:fill="auto"/>
            <w:hideMark/>
          </w:tcPr>
          <w:p w14:paraId="69E7DC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7EF3870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Organy państwowe powinny ułatwiać składanie uwag w ramach konsultacji IIaPGW, a nie je utrudniać.</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5F8F9F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F1BB4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BA9B9A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projektów IIaPGW wraz z załącznikami.</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zróżnicowane kanały komunikacji dostępne dla zainteresowanych. Nie stosowano dodatkowych ograniczeń co do formy przedkładanych uwag.</w:t>
            </w:r>
          </w:p>
        </w:tc>
      </w:tr>
      <w:tr w:rsidR="0085319C" w:rsidRPr="005E78BB" w14:paraId="7F35849E" w14:textId="77777777" w:rsidTr="00E92AE6">
        <w:trPr>
          <w:trHeight w:val="454"/>
        </w:trPr>
        <w:tc>
          <w:tcPr>
            <w:tcW w:w="562" w:type="dxa"/>
            <w:shd w:val="clear" w:color="auto" w:fill="auto"/>
            <w:hideMark/>
          </w:tcPr>
          <w:p w14:paraId="709B454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712</w:t>
            </w:r>
          </w:p>
        </w:tc>
        <w:tc>
          <w:tcPr>
            <w:tcW w:w="1021" w:type="dxa"/>
          </w:tcPr>
          <w:p w14:paraId="229388C4" w14:textId="4526711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7272587F" w14:textId="027240F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7B9FF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25867D1C"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337A6B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7A74F67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1F47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F00728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3B4F9033" w14:textId="77777777" w:rsidTr="00E92AE6">
        <w:trPr>
          <w:trHeight w:val="454"/>
        </w:trPr>
        <w:tc>
          <w:tcPr>
            <w:tcW w:w="562" w:type="dxa"/>
            <w:shd w:val="clear" w:color="auto" w:fill="auto"/>
            <w:hideMark/>
          </w:tcPr>
          <w:p w14:paraId="432DA5C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713</w:t>
            </w:r>
          </w:p>
        </w:tc>
        <w:tc>
          <w:tcPr>
            <w:tcW w:w="1021" w:type="dxa"/>
          </w:tcPr>
          <w:p w14:paraId="46585D55" w14:textId="6ECE4E9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78472A8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5D37A8DA" w14:textId="3A39EE7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r w:rsidRPr="005E78BB">
              <w:rPr>
                <w:rFonts w:ascii="Calibri" w:eastAsia="Times New Roman" w:hAnsi="Calibri" w:cs="Calibri"/>
                <w:color w:val="000000"/>
                <w:sz w:val="18"/>
                <w:szCs w:val="18"/>
                <w:lang w:eastAsia="pl-PL"/>
              </w:rPr>
              <w:br/>
            </w:r>
          </w:p>
        </w:tc>
        <w:tc>
          <w:tcPr>
            <w:tcW w:w="3377" w:type="dxa"/>
            <w:shd w:val="clear" w:color="auto" w:fill="auto"/>
            <w:hideMark/>
          </w:tcPr>
          <w:p w14:paraId="3B55A05E" w14:textId="7E35C65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5EF60293" w14:textId="21A2C3E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1ECDA5B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25BD9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A41F40" w14:textId="2011EFB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F70D15" w14:paraId="7DE6F4BE" w14:textId="77777777" w:rsidTr="00CD6FBC">
        <w:trPr>
          <w:trHeight w:val="454"/>
        </w:trPr>
        <w:tc>
          <w:tcPr>
            <w:tcW w:w="562" w:type="dxa"/>
            <w:shd w:val="clear" w:color="auto" w:fill="auto"/>
            <w:hideMark/>
          </w:tcPr>
          <w:p w14:paraId="765BC5F9"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714</w:t>
            </w:r>
          </w:p>
        </w:tc>
        <w:tc>
          <w:tcPr>
            <w:tcW w:w="1021" w:type="dxa"/>
            <w:shd w:val="clear" w:color="auto" w:fill="auto"/>
          </w:tcPr>
          <w:p w14:paraId="1BD2FB3B" w14:textId="7BA99D4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Polskie Towarzystwo Ochrony Ptaków</w:t>
            </w:r>
          </w:p>
        </w:tc>
        <w:tc>
          <w:tcPr>
            <w:tcW w:w="1630" w:type="dxa"/>
            <w:shd w:val="clear" w:color="auto" w:fill="auto"/>
            <w:hideMark/>
          </w:tcPr>
          <w:p w14:paraId="1A98A714"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6D4E5C77" w14:textId="0C79AFF2"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br/>
              <w:t>RWr Zbiornikowe</w:t>
            </w:r>
            <w:r w:rsidRPr="00CD6FBC">
              <w:rPr>
                <w:rFonts w:ascii="Calibri" w:eastAsia="Times New Roman" w:hAnsi="Calibri" w:cs="Calibri"/>
                <w:color w:val="000000"/>
                <w:sz w:val="18"/>
                <w:szCs w:val="18"/>
                <w:lang w:eastAsia="pl-PL"/>
              </w:rPr>
              <w:br/>
              <w:t>Rozdz. 3, 5.1. oraz 8.1.</w:t>
            </w:r>
            <w:r w:rsidRPr="00CD6FBC">
              <w:rPr>
                <w:rFonts w:ascii="Calibri" w:eastAsia="Times New Roman" w:hAnsi="Calibri" w:cs="Calibri"/>
                <w:color w:val="000000"/>
                <w:sz w:val="18"/>
                <w:szCs w:val="18"/>
                <w:lang w:eastAsia="pl-PL"/>
              </w:rPr>
              <w:br/>
              <w:t xml:space="preserve">Zał. 3.1. oraz 8. </w:t>
            </w:r>
            <w:r w:rsidRPr="00CD6FBC">
              <w:rPr>
                <w:rFonts w:ascii="Calibri" w:eastAsia="Times New Roman" w:hAnsi="Calibri" w:cs="Calibri"/>
                <w:color w:val="000000"/>
                <w:sz w:val="18"/>
                <w:szCs w:val="18"/>
                <w:lang w:eastAsia="pl-PL"/>
              </w:rPr>
              <w:br/>
              <w:t>Zał. mapowe</w:t>
            </w:r>
            <w:r w:rsidRPr="00CD6FBC">
              <w:rPr>
                <w:rFonts w:ascii="Calibri" w:eastAsia="Times New Roman" w:hAnsi="Calibri" w:cs="Calibri"/>
                <w:color w:val="000000"/>
                <w:sz w:val="18"/>
                <w:szCs w:val="18"/>
                <w:lang w:eastAsia="pl-PL"/>
              </w:rPr>
              <w:br/>
            </w:r>
          </w:p>
        </w:tc>
        <w:tc>
          <w:tcPr>
            <w:tcW w:w="3377" w:type="dxa"/>
            <w:shd w:val="clear" w:color="auto" w:fill="auto"/>
            <w:hideMark/>
          </w:tcPr>
          <w:p w14:paraId="723E35E4" w14:textId="025B6234"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57A664FC" w14:textId="68C85D7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257D0CD0"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4961454E"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3AC8E97" w14:textId="473AC44F" w:rsidR="0085319C" w:rsidRPr="00F70D15"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0C15AC" w:rsidRPr="00F70D15">
              <w:rPr>
                <w:rFonts w:ascii="Calibri" w:eastAsia="Times New Roman" w:hAnsi="Calibri" w:cs="Calibri"/>
                <w:color w:val="000000"/>
                <w:sz w:val="18"/>
                <w:szCs w:val="18"/>
                <w:lang w:eastAsia="pl-PL"/>
              </w:rPr>
              <w:t>Wartości graniczne SCW i SZCW</w:t>
            </w:r>
            <w:r w:rsidR="000C15AC" w:rsidRPr="00CD6FBC" w:rsidDel="000C15AC">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F70D15" w14:paraId="777E5059" w14:textId="77777777" w:rsidTr="00CD6FBC">
        <w:trPr>
          <w:trHeight w:val="454"/>
        </w:trPr>
        <w:tc>
          <w:tcPr>
            <w:tcW w:w="562" w:type="dxa"/>
            <w:shd w:val="clear" w:color="auto" w:fill="auto"/>
            <w:hideMark/>
          </w:tcPr>
          <w:p w14:paraId="20481E94"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715</w:t>
            </w:r>
          </w:p>
        </w:tc>
        <w:tc>
          <w:tcPr>
            <w:tcW w:w="1021" w:type="dxa"/>
            <w:shd w:val="clear" w:color="auto" w:fill="auto"/>
          </w:tcPr>
          <w:p w14:paraId="09F59D76" w14:textId="3504272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Polskie Towarzystwo Ochrony Ptaków</w:t>
            </w:r>
          </w:p>
        </w:tc>
        <w:tc>
          <w:tcPr>
            <w:tcW w:w="1630" w:type="dxa"/>
            <w:shd w:val="clear" w:color="auto" w:fill="auto"/>
            <w:hideMark/>
          </w:tcPr>
          <w:p w14:paraId="1D43A351" w14:textId="295090F6"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46DD2B46" w14:textId="5D6FA0B4"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Zalecenie z 2012 r.: </w:t>
            </w:r>
            <w:r w:rsidRPr="00CD6FBC">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ype="page"/>
              <w:t>Część projektu planu, do którego zgłaszana jest uwaga (numer rozdziału, strona dokumentu, nr załącznika): Rozdz. 3.1.SZCW</w:t>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2DD1F5E5" w14:textId="3D766E8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6AD32762"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419AC89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6A0E61EF"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44CFEB2F" w14:textId="1414F647" w:rsidR="0085319C" w:rsidRPr="00F70D15"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0C15AC" w:rsidRPr="00F70D15">
              <w:rPr>
                <w:rFonts w:ascii="Calibri" w:eastAsia="Times New Roman" w:hAnsi="Calibri" w:cs="Calibri"/>
                <w:color w:val="000000"/>
                <w:sz w:val="18"/>
                <w:szCs w:val="18"/>
                <w:lang w:eastAsia="pl-PL"/>
              </w:rPr>
              <w:t>Wartości graniczne SCW i SZCW</w:t>
            </w:r>
            <w:r w:rsidR="000C15AC" w:rsidRPr="00CD6FBC" w:rsidDel="000C15AC">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1AACCE9E" w14:textId="77777777" w:rsidTr="00E92AE6">
        <w:trPr>
          <w:trHeight w:val="454"/>
        </w:trPr>
        <w:tc>
          <w:tcPr>
            <w:tcW w:w="562" w:type="dxa"/>
            <w:shd w:val="clear" w:color="auto" w:fill="auto"/>
            <w:hideMark/>
          </w:tcPr>
          <w:p w14:paraId="43DD643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716</w:t>
            </w:r>
          </w:p>
        </w:tc>
        <w:tc>
          <w:tcPr>
            <w:tcW w:w="1021" w:type="dxa"/>
          </w:tcPr>
          <w:p w14:paraId="40EF8676" w14:textId="7B5DF19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660D60D4" w14:textId="352C801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2A488DFE" w14:textId="3D051E0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3.1.SZCW</w:t>
            </w:r>
          </w:p>
        </w:tc>
        <w:tc>
          <w:tcPr>
            <w:tcW w:w="3377" w:type="dxa"/>
            <w:shd w:val="clear" w:color="auto" w:fill="auto"/>
            <w:hideMark/>
          </w:tcPr>
          <w:p w14:paraId="3C7C0F1B" w14:textId="72576BE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7E5C63BC" w14:textId="78E0D5FE"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396B16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C57ED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432C498" w14:textId="5F92077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38EE29AE" w14:textId="77777777" w:rsidTr="00E92AE6">
        <w:trPr>
          <w:trHeight w:val="454"/>
        </w:trPr>
        <w:tc>
          <w:tcPr>
            <w:tcW w:w="562" w:type="dxa"/>
            <w:shd w:val="clear" w:color="auto" w:fill="auto"/>
            <w:hideMark/>
          </w:tcPr>
          <w:p w14:paraId="727F3D3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717</w:t>
            </w:r>
          </w:p>
        </w:tc>
        <w:tc>
          <w:tcPr>
            <w:tcW w:w="1021" w:type="dxa"/>
          </w:tcPr>
          <w:p w14:paraId="4867FB32" w14:textId="5E09BDB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15BB2B88" w14:textId="2F28490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4881CF15" w14:textId="4E3C6621"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3.1. SZCW</w:t>
            </w:r>
            <w:r w:rsidRPr="005E78BB">
              <w:rPr>
                <w:rFonts w:ascii="Calibri" w:eastAsia="Times New Roman" w:hAnsi="Calibri" w:cs="Calibri"/>
                <w:color w:val="000000"/>
                <w:sz w:val="18"/>
                <w:szCs w:val="18"/>
                <w:lang w:eastAsia="pl-PL"/>
              </w:rPr>
              <w:br/>
              <w:t>Wyznaczenie SZCW niezgodnie z metodyką</w:t>
            </w:r>
          </w:p>
        </w:tc>
        <w:tc>
          <w:tcPr>
            <w:tcW w:w="3377" w:type="dxa"/>
            <w:shd w:val="clear" w:color="auto" w:fill="auto"/>
            <w:hideMark/>
          </w:tcPr>
          <w:p w14:paraId="36F227D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02EEC9A2" w14:textId="3C7C0E2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1DBA08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4E97B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266B47" w14:textId="535F591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336531B7" w14:textId="77777777" w:rsidTr="00E92AE6">
        <w:trPr>
          <w:trHeight w:val="454"/>
        </w:trPr>
        <w:tc>
          <w:tcPr>
            <w:tcW w:w="562" w:type="dxa"/>
            <w:shd w:val="clear" w:color="auto" w:fill="auto"/>
            <w:hideMark/>
          </w:tcPr>
          <w:p w14:paraId="23C1DC7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718</w:t>
            </w:r>
          </w:p>
        </w:tc>
        <w:tc>
          <w:tcPr>
            <w:tcW w:w="1021" w:type="dxa"/>
          </w:tcPr>
          <w:p w14:paraId="581832AF" w14:textId="36C0E8F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5A0490E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7C370A09" w14:textId="0DED98B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Rozdz. 5 Monitoring</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688F69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2F694B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757630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23823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B93CFA" w14:textId="2CB6141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47BE6611" w14:textId="77777777" w:rsidTr="00E92AE6">
        <w:trPr>
          <w:trHeight w:val="454"/>
        </w:trPr>
        <w:tc>
          <w:tcPr>
            <w:tcW w:w="562" w:type="dxa"/>
            <w:shd w:val="clear" w:color="auto" w:fill="auto"/>
            <w:hideMark/>
          </w:tcPr>
          <w:p w14:paraId="4C310CB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719</w:t>
            </w:r>
          </w:p>
        </w:tc>
        <w:tc>
          <w:tcPr>
            <w:tcW w:w="1021" w:type="dxa"/>
          </w:tcPr>
          <w:p w14:paraId="1AF5BE16" w14:textId="21B6BF8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7F99DB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4C951A5C" w14:textId="2C65A88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5 Monitoring</w:t>
            </w:r>
          </w:p>
        </w:tc>
        <w:tc>
          <w:tcPr>
            <w:tcW w:w="3377" w:type="dxa"/>
            <w:shd w:val="clear" w:color="auto" w:fill="auto"/>
            <w:hideMark/>
          </w:tcPr>
          <w:p w14:paraId="0F210A2D" w14:textId="4D697A8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0190102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0EC87DA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C899F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6C8284A" w14:textId="02A33B4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55233478" w14:textId="77777777" w:rsidTr="00E92AE6">
        <w:trPr>
          <w:trHeight w:val="454"/>
        </w:trPr>
        <w:tc>
          <w:tcPr>
            <w:tcW w:w="562" w:type="dxa"/>
            <w:shd w:val="clear" w:color="auto" w:fill="auto"/>
            <w:hideMark/>
          </w:tcPr>
          <w:p w14:paraId="6E5E631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720</w:t>
            </w:r>
          </w:p>
        </w:tc>
        <w:tc>
          <w:tcPr>
            <w:tcW w:w="1021" w:type="dxa"/>
          </w:tcPr>
          <w:p w14:paraId="2E420D41" w14:textId="7ADF39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02771CB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E95D1DB" w14:textId="56FD935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Streszczenie niespecjalistyczne; IIaPGW Rozdział 7, 8, 9 </w:t>
            </w:r>
            <w:r w:rsidRPr="005E78BB">
              <w:rPr>
                <w:rFonts w:ascii="Calibri" w:eastAsia="Times New Roman" w:hAnsi="Calibri" w:cs="Calibri"/>
                <w:color w:val="000000"/>
                <w:sz w:val="18"/>
                <w:szCs w:val="18"/>
                <w:lang w:eastAsia="pl-PL"/>
              </w:rPr>
              <w:br/>
              <w:t xml:space="preserve">Presja, Cele środowiskowe, </w:t>
            </w:r>
          </w:p>
        </w:tc>
        <w:tc>
          <w:tcPr>
            <w:tcW w:w="3377" w:type="dxa"/>
            <w:shd w:val="clear" w:color="auto" w:fill="auto"/>
            <w:hideMark/>
          </w:tcPr>
          <w:p w14:paraId="44A08093" w14:textId="18A691B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5C7152D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0284720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E17418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D3A6AE2" w14:textId="169850C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3889703D" w14:textId="77777777" w:rsidTr="00E92AE6">
        <w:trPr>
          <w:trHeight w:val="454"/>
        </w:trPr>
        <w:tc>
          <w:tcPr>
            <w:tcW w:w="562" w:type="dxa"/>
            <w:shd w:val="clear" w:color="auto" w:fill="auto"/>
            <w:hideMark/>
          </w:tcPr>
          <w:p w14:paraId="42A0CDA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721</w:t>
            </w:r>
          </w:p>
        </w:tc>
        <w:tc>
          <w:tcPr>
            <w:tcW w:w="1021" w:type="dxa"/>
          </w:tcPr>
          <w:p w14:paraId="1107D3CC" w14:textId="60BEDBD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2201C6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392929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Rozdz. 9 </w:t>
            </w:r>
            <w:r w:rsidRPr="005E78BB">
              <w:rPr>
                <w:rFonts w:ascii="Calibri" w:eastAsia="Times New Roman" w:hAnsi="Calibri" w:cs="Calibri"/>
                <w:color w:val="000000"/>
                <w:sz w:val="18"/>
                <w:szCs w:val="18"/>
                <w:lang w:eastAsia="pl-PL"/>
              </w:rPr>
              <w:br w:type="page"/>
              <w:t>Postęp i wdrożenie działań 2016-2021</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B2A80F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8A1B5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5EBCFD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36105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2668A6" w14:textId="65BF96E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3A335307" w14:textId="77777777" w:rsidTr="00E92AE6">
        <w:trPr>
          <w:trHeight w:val="454"/>
        </w:trPr>
        <w:tc>
          <w:tcPr>
            <w:tcW w:w="562" w:type="dxa"/>
            <w:shd w:val="clear" w:color="auto" w:fill="auto"/>
            <w:hideMark/>
          </w:tcPr>
          <w:p w14:paraId="0BA3960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722</w:t>
            </w:r>
          </w:p>
        </w:tc>
        <w:tc>
          <w:tcPr>
            <w:tcW w:w="1021" w:type="dxa"/>
          </w:tcPr>
          <w:p w14:paraId="781C32A3" w14:textId="1503D82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4AC9CD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3AEB60B7" w14:textId="76E254D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5E78BB">
              <w:rPr>
                <w:rFonts w:ascii="Calibri" w:eastAsia="Times New Roman" w:hAnsi="Calibri" w:cs="Calibri"/>
                <w:color w:val="000000"/>
                <w:sz w:val="18"/>
                <w:szCs w:val="18"/>
                <w:lang w:eastAsia="pl-PL"/>
              </w:rPr>
              <w:br/>
              <w:t xml:space="preserve">Działania 2aPGW KPRWP – raport </w:t>
            </w:r>
          </w:p>
        </w:tc>
        <w:tc>
          <w:tcPr>
            <w:tcW w:w="3377" w:type="dxa"/>
            <w:shd w:val="clear" w:color="auto" w:fill="auto"/>
            <w:hideMark/>
          </w:tcPr>
          <w:p w14:paraId="72EA269E" w14:textId="6AB6D91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r>
          </w:p>
        </w:tc>
        <w:tc>
          <w:tcPr>
            <w:tcW w:w="3401" w:type="dxa"/>
            <w:shd w:val="clear" w:color="auto" w:fill="auto"/>
            <w:hideMark/>
          </w:tcPr>
          <w:p w14:paraId="1BD868F2" w14:textId="5C32245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r>
          </w:p>
        </w:tc>
        <w:tc>
          <w:tcPr>
            <w:tcW w:w="1918" w:type="dxa"/>
            <w:shd w:val="clear" w:color="auto" w:fill="auto"/>
            <w:hideMark/>
          </w:tcPr>
          <w:p w14:paraId="583ED4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7D0B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138C6E7" w14:textId="06E0F0B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5E78BB">
              <w:rPr>
                <w:rFonts w:ascii="Calibri" w:eastAsia="Times New Roman" w:hAnsi="Calibri" w:cs="Calibri"/>
                <w:color w:val="000000"/>
                <w:sz w:val="18"/>
                <w:szCs w:val="18"/>
                <w:lang w:eastAsia="pl-PL"/>
              </w:rPr>
              <w:br/>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oceny możliwości wdrożenia działania,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w:t>
            </w:r>
            <w:r w:rsidRPr="005E78BB">
              <w:rPr>
                <w:rFonts w:ascii="Calibri" w:eastAsia="Times New Roman" w:hAnsi="Calibri" w:cs="Calibri"/>
                <w:color w:val="000000"/>
                <w:sz w:val="18"/>
                <w:szCs w:val="18"/>
                <w:lang w:eastAsia="pl-PL"/>
              </w:rPr>
              <w:br/>
              <w:t>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4C83C22E" w14:textId="77777777" w:rsidTr="00E92AE6">
        <w:trPr>
          <w:trHeight w:val="454"/>
        </w:trPr>
        <w:tc>
          <w:tcPr>
            <w:tcW w:w="562" w:type="dxa"/>
            <w:shd w:val="clear" w:color="auto" w:fill="auto"/>
            <w:hideMark/>
          </w:tcPr>
          <w:p w14:paraId="5E04F57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723</w:t>
            </w:r>
          </w:p>
        </w:tc>
        <w:tc>
          <w:tcPr>
            <w:tcW w:w="1021" w:type="dxa"/>
          </w:tcPr>
          <w:p w14:paraId="712A8A0C" w14:textId="4F87902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5F0D75B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2691DFC" w14:textId="6E8B47F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35B00ABD" w14:textId="0E2F5BD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p>
        </w:tc>
        <w:tc>
          <w:tcPr>
            <w:tcW w:w="3401" w:type="dxa"/>
            <w:shd w:val="clear" w:color="auto" w:fill="auto"/>
            <w:hideMark/>
          </w:tcPr>
          <w:p w14:paraId="3D98C5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8D825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734B8B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C9F0B5E" w14:textId="1CF299E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004FB28" w14:textId="77777777" w:rsidTr="00E92AE6">
        <w:trPr>
          <w:trHeight w:val="454"/>
        </w:trPr>
        <w:tc>
          <w:tcPr>
            <w:tcW w:w="562" w:type="dxa"/>
            <w:shd w:val="clear" w:color="auto" w:fill="auto"/>
            <w:hideMark/>
          </w:tcPr>
          <w:p w14:paraId="75BD3EE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724</w:t>
            </w:r>
          </w:p>
        </w:tc>
        <w:tc>
          <w:tcPr>
            <w:tcW w:w="1021" w:type="dxa"/>
          </w:tcPr>
          <w:p w14:paraId="5AE7927D" w14:textId="1EB309E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09BA355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479DFF89" w14:textId="1F3074F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36100F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Usunąć z listy odstępstw te, dla których uzasadnienia stoją w sprzeczności z KPRWP i dla których możliwe są działania poprawiające stan fizykochemiczny wód.</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0B6DCCAF" w14:textId="08FAA52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0E5212B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DA4D8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81A9CFA" w14:textId="7EBB3A9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7E922E9F" w14:textId="77777777" w:rsidTr="00E92AE6">
        <w:trPr>
          <w:trHeight w:val="454"/>
        </w:trPr>
        <w:tc>
          <w:tcPr>
            <w:tcW w:w="562" w:type="dxa"/>
            <w:shd w:val="clear" w:color="auto" w:fill="auto"/>
            <w:hideMark/>
          </w:tcPr>
          <w:p w14:paraId="0A2433A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725</w:t>
            </w:r>
          </w:p>
        </w:tc>
        <w:tc>
          <w:tcPr>
            <w:tcW w:w="1021" w:type="dxa"/>
          </w:tcPr>
          <w:p w14:paraId="6B8DFD4E" w14:textId="558FD0E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5504AE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2FAA9413"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Rozdz. 16, Zał. 6 </w:t>
            </w:r>
          </w:p>
        </w:tc>
        <w:tc>
          <w:tcPr>
            <w:tcW w:w="3377" w:type="dxa"/>
            <w:shd w:val="clear" w:color="auto" w:fill="auto"/>
            <w:hideMark/>
          </w:tcPr>
          <w:p w14:paraId="3DFF5FB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0908B067"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1918" w:type="dxa"/>
            <w:shd w:val="clear" w:color="auto" w:fill="auto"/>
            <w:hideMark/>
          </w:tcPr>
          <w:p w14:paraId="2D6411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304CF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886B89" w14:textId="41E9F5E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6B2A38F1" w14:textId="77777777" w:rsidTr="00E92AE6">
        <w:trPr>
          <w:trHeight w:val="454"/>
        </w:trPr>
        <w:tc>
          <w:tcPr>
            <w:tcW w:w="562" w:type="dxa"/>
            <w:shd w:val="clear" w:color="auto" w:fill="auto"/>
            <w:hideMark/>
          </w:tcPr>
          <w:p w14:paraId="4913916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726</w:t>
            </w:r>
          </w:p>
        </w:tc>
        <w:tc>
          <w:tcPr>
            <w:tcW w:w="1021" w:type="dxa"/>
          </w:tcPr>
          <w:p w14:paraId="25A0CA4E" w14:textId="094E6D5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0A90ED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4FCBD47" w14:textId="1C303D3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Katalogi działań</w:t>
            </w:r>
          </w:p>
        </w:tc>
        <w:tc>
          <w:tcPr>
            <w:tcW w:w="3377" w:type="dxa"/>
            <w:shd w:val="clear" w:color="auto" w:fill="auto"/>
            <w:hideMark/>
          </w:tcPr>
          <w:p w14:paraId="1EF63C4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6773A1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59FA06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7D717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41A828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70EDFE4" w14:textId="77777777" w:rsidTr="00E92AE6">
        <w:trPr>
          <w:trHeight w:val="454"/>
        </w:trPr>
        <w:tc>
          <w:tcPr>
            <w:tcW w:w="562" w:type="dxa"/>
            <w:shd w:val="clear" w:color="auto" w:fill="auto"/>
            <w:hideMark/>
          </w:tcPr>
          <w:p w14:paraId="4DD75AB4"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727</w:t>
            </w:r>
          </w:p>
        </w:tc>
        <w:tc>
          <w:tcPr>
            <w:tcW w:w="1021" w:type="dxa"/>
          </w:tcPr>
          <w:p w14:paraId="09709ED9" w14:textId="20C63FC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24A8EB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F640AF3" w14:textId="3ADD600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t xml:space="preserve">lub </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 xml:space="preserve">należy dokonać zmiany na </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„Monitoring skuteczności istniejących urządzeń do migracji ryb.” i/lub </w:t>
            </w:r>
            <w:r w:rsidRPr="005E78BB">
              <w:rPr>
                <w:rFonts w:ascii="Calibri" w:eastAsia="Times New Roman" w:hAnsi="Calibri" w:cs="Calibri"/>
                <w:color w:val="000000"/>
                <w:sz w:val="18"/>
                <w:szCs w:val="18"/>
                <w:lang w:eastAsia="pl-PL"/>
              </w:rPr>
              <w:br w:type="page"/>
              <w:t>„Kontrola funkcjonowania urządzeń do migracji ryb.”</w:t>
            </w:r>
            <w:r w:rsidRPr="005E78BB">
              <w:rPr>
                <w:rFonts w:ascii="Calibri" w:eastAsia="Times New Roman" w:hAnsi="Calibri" w:cs="Calibri"/>
                <w:color w:val="000000"/>
                <w:sz w:val="18"/>
                <w:szCs w:val="18"/>
                <w:lang w:eastAsia="pl-PL"/>
              </w:rPr>
              <w:br w:type="page"/>
              <w:t>należy dodać kolejne działanie (Działanie I lub Działanie II):</w:t>
            </w:r>
            <w:r w:rsidRPr="005E78BB">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Działania udrożnienia barier migracyjnych</w:t>
            </w:r>
          </w:p>
        </w:tc>
        <w:tc>
          <w:tcPr>
            <w:tcW w:w="3377" w:type="dxa"/>
            <w:shd w:val="clear" w:color="auto" w:fill="auto"/>
            <w:hideMark/>
          </w:tcPr>
          <w:p w14:paraId="3C0504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7890A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4F58E6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0820C4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81EF7A2" w14:textId="5500D6E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3FFE24AF" w14:textId="77777777" w:rsidTr="00E92AE6">
        <w:trPr>
          <w:trHeight w:val="454"/>
        </w:trPr>
        <w:tc>
          <w:tcPr>
            <w:tcW w:w="562" w:type="dxa"/>
            <w:shd w:val="clear" w:color="auto" w:fill="auto"/>
            <w:hideMark/>
          </w:tcPr>
          <w:p w14:paraId="30AFDFB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728</w:t>
            </w:r>
          </w:p>
        </w:tc>
        <w:tc>
          <w:tcPr>
            <w:tcW w:w="1021" w:type="dxa"/>
          </w:tcPr>
          <w:p w14:paraId="2215E0CB" w14:textId="7089C1E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7CAE59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7A8FDDE" w14:textId="2253D961"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391FF6B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1A48350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5F280F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EE7DB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FE14418" w14:textId="72FFF67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w:t>
            </w:r>
          </w:p>
        </w:tc>
      </w:tr>
      <w:tr w:rsidR="0085319C" w:rsidRPr="005E78BB" w14:paraId="76BED2C1" w14:textId="77777777" w:rsidTr="00E92AE6">
        <w:trPr>
          <w:trHeight w:val="454"/>
        </w:trPr>
        <w:tc>
          <w:tcPr>
            <w:tcW w:w="562" w:type="dxa"/>
            <w:shd w:val="clear" w:color="auto" w:fill="auto"/>
            <w:hideMark/>
          </w:tcPr>
          <w:p w14:paraId="13D230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729</w:t>
            </w:r>
          </w:p>
        </w:tc>
        <w:tc>
          <w:tcPr>
            <w:tcW w:w="1021" w:type="dxa"/>
          </w:tcPr>
          <w:p w14:paraId="6DF9F06E" w14:textId="6FE1C55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4DACDF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C004A3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PIĘTRZEŃ</w:t>
            </w:r>
          </w:p>
        </w:tc>
        <w:tc>
          <w:tcPr>
            <w:tcW w:w="3377" w:type="dxa"/>
            <w:shd w:val="clear" w:color="auto" w:fill="auto"/>
            <w:hideMark/>
          </w:tcPr>
          <w:p w14:paraId="322C2E3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p>
        </w:tc>
        <w:tc>
          <w:tcPr>
            <w:tcW w:w="3401" w:type="dxa"/>
            <w:shd w:val="clear" w:color="auto" w:fill="auto"/>
            <w:hideMark/>
          </w:tcPr>
          <w:p w14:paraId="63F504B6" w14:textId="5870850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49C29E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A36FE3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3AC370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6782A9C1" w14:textId="77777777" w:rsidTr="00E92AE6">
        <w:trPr>
          <w:trHeight w:val="454"/>
        </w:trPr>
        <w:tc>
          <w:tcPr>
            <w:tcW w:w="562" w:type="dxa"/>
            <w:shd w:val="clear" w:color="auto" w:fill="auto"/>
            <w:hideMark/>
          </w:tcPr>
          <w:p w14:paraId="11A83F8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730</w:t>
            </w:r>
          </w:p>
        </w:tc>
        <w:tc>
          <w:tcPr>
            <w:tcW w:w="1021" w:type="dxa"/>
          </w:tcPr>
          <w:p w14:paraId="4495F951" w14:textId="435C7A7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7A4A9F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1BDFF00E" w14:textId="427B5B3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Zmiany prawne i administracyjne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90918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6CFB41DF" w14:textId="488956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E1B096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E44F5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69119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15372805" w14:textId="77777777" w:rsidTr="00E92AE6">
        <w:trPr>
          <w:trHeight w:val="454"/>
        </w:trPr>
        <w:tc>
          <w:tcPr>
            <w:tcW w:w="562" w:type="dxa"/>
            <w:shd w:val="clear" w:color="auto" w:fill="auto"/>
            <w:hideMark/>
          </w:tcPr>
          <w:p w14:paraId="1AB7347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731</w:t>
            </w:r>
          </w:p>
        </w:tc>
        <w:tc>
          <w:tcPr>
            <w:tcW w:w="1021" w:type="dxa"/>
          </w:tcPr>
          <w:p w14:paraId="041777D1" w14:textId="4DD200D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0F55F29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F477C1E" w14:textId="034CF8E1"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Konkretne zmiany prawne</w:t>
            </w:r>
          </w:p>
        </w:tc>
        <w:tc>
          <w:tcPr>
            <w:tcW w:w="3377" w:type="dxa"/>
            <w:shd w:val="clear" w:color="auto" w:fill="auto"/>
            <w:hideMark/>
          </w:tcPr>
          <w:p w14:paraId="24716F4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2EC656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9E5BB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6414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7BF372" w14:textId="4F5AFDA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0F04CB72" w14:textId="77777777" w:rsidTr="00E92AE6">
        <w:trPr>
          <w:trHeight w:val="454"/>
        </w:trPr>
        <w:tc>
          <w:tcPr>
            <w:tcW w:w="562" w:type="dxa"/>
            <w:shd w:val="clear" w:color="auto" w:fill="auto"/>
            <w:hideMark/>
          </w:tcPr>
          <w:p w14:paraId="000705D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732</w:t>
            </w:r>
          </w:p>
        </w:tc>
        <w:tc>
          <w:tcPr>
            <w:tcW w:w="1021" w:type="dxa"/>
          </w:tcPr>
          <w:p w14:paraId="5498672B" w14:textId="0C761B8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33938C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E7BF6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Zmiany w funkcjonowaniu zarządzania wód</w:t>
            </w:r>
          </w:p>
        </w:tc>
        <w:tc>
          <w:tcPr>
            <w:tcW w:w="3377" w:type="dxa"/>
            <w:shd w:val="clear" w:color="auto" w:fill="auto"/>
            <w:hideMark/>
          </w:tcPr>
          <w:p w14:paraId="34A46B6C" w14:textId="762E77E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22B9CF5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4D545D4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88A4AE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C6739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25BFCEE7" w14:textId="77777777" w:rsidTr="00E92AE6">
        <w:trPr>
          <w:trHeight w:val="454"/>
        </w:trPr>
        <w:tc>
          <w:tcPr>
            <w:tcW w:w="562" w:type="dxa"/>
            <w:shd w:val="clear" w:color="auto" w:fill="auto"/>
            <w:hideMark/>
          </w:tcPr>
          <w:p w14:paraId="45FD837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733</w:t>
            </w:r>
          </w:p>
        </w:tc>
        <w:tc>
          <w:tcPr>
            <w:tcW w:w="1021" w:type="dxa"/>
          </w:tcPr>
          <w:p w14:paraId="172D3C16" w14:textId="2A0A0B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Polskie Towarzystwo Ochrony Ptaków</w:t>
            </w:r>
          </w:p>
        </w:tc>
        <w:tc>
          <w:tcPr>
            <w:tcW w:w="1630" w:type="dxa"/>
            <w:shd w:val="clear" w:color="auto" w:fill="auto"/>
            <w:hideMark/>
          </w:tcPr>
          <w:p w14:paraId="64192B5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4A0871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Zmiany w ocenie postępu działań – co 2 lata </w:t>
            </w:r>
          </w:p>
        </w:tc>
        <w:tc>
          <w:tcPr>
            <w:tcW w:w="3377" w:type="dxa"/>
            <w:shd w:val="clear" w:color="auto" w:fill="auto"/>
            <w:hideMark/>
          </w:tcPr>
          <w:p w14:paraId="0D6B59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6A44C79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6BAA44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E0ED4A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A00A4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85319C" w:rsidRPr="005E78BB" w14:paraId="385DB9C7" w14:textId="77777777" w:rsidTr="00E92AE6">
        <w:trPr>
          <w:trHeight w:val="454"/>
        </w:trPr>
        <w:tc>
          <w:tcPr>
            <w:tcW w:w="562" w:type="dxa"/>
            <w:shd w:val="clear" w:color="auto" w:fill="auto"/>
            <w:hideMark/>
          </w:tcPr>
          <w:p w14:paraId="4A7139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734</w:t>
            </w:r>
          </w:p>
        </w:tc>
        <w:tc>
          <w:tcPr>
            <w:tcW w:w="1021" w:type="dxa"/>
          </w:tcPr>
          <w:p w14:paraId="2B4DCFA1" w14:textId="5E78DB7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98063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D71AA6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w ocenie postępu działań - co 2 lata</w:t>
            </w:r>
            <w:r w:rsidRPr="005E78BB">
              <w:rPr>
                <w:rFonts w:ascii="Calibri" w:eastAsia="Times New Roman" w:hAnsi="Calibri" w:cs="Calibri"/>
                <w:color w:val="000000"/>
                <w:sz w:val="18"/>
                <w:szCs w:val="18"/>
                <w:lang w:eastAsia="pl-PL"/>
              </w:rPr>
              <w:br w:type="page"/>
              <w:t>Treść uwagi: W przypadku budowli do udrożnienia, dla których nie sporządzono dokumentacji, powinny być ustalone następujące maksymalne terminy do oceny postępu działań: 2 lata – analiza sposobu udrożnienia/ 2 lata – projekt i decyzje / 2 lata – wykonanie.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CA2F84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31C755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25CF77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22C0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74335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ype="page"/>
              <w:t>Coroczne sprawozdania ze stopnia realizacji działań zawartych w PGW stanowią podstawę do zweryfikowania oceny stopnia spełnienia celów środowiskowych.</w:t>
            </w:r>
          </w:p>
        </w:tc>
      </w:tr>
      <w:tr w:rsidR="0085319C" w:rsidRPr="005E78BB" w14:paraId="6187A1D7" w14:textId="77777777" w:rsidTr="00E92AE6">
        <w:trPr>
          <w:trHeight w:val="454"/>
        </w:trPr>
        <w:tc>
          <w:tcPr>
            <w:tcW w:w="562" w:type="dxa"/>
            <w:shd w:val="clear" w:color="auto" w:fill="auto"/>
            <w:hideMark/>
          </w:tcPr>
          <w:p w14:paraId="7EACDA9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735</w:t>
            </w:r>
          </w:p>
        </w:tc>
        <w:tc>
          <w:tcPr>
            <w:tcW w:w="1021" w:type="dxa"/>
          </w:tcPr>
          <w:p w14:paraId="564CCFAC" w14:textId="5D893A6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16376E2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789CF7E" w14:textId="45E45BC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Uwaga ogólna: </w:t>
            </w:r>
            <w:r w:rsidRPr="005E78BB">
              <w:rPr>
                <w:rFonts w:ascii="Calibri" w:eastAsia="Times New Roman" w:hAnsi="Calibri" w:cs="Calibri"/>
                <w:color w:val="000000"/>
                <w:sz w:val="18"/>
                <w:szCs w:val="18"/>
                <w:lang w:eastAsia="pl-PL"/>
              </w:rPr>
              <w:b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p>
        </w:tc>
        <w:tc>
          <w:tcPr>
            <w:tcW w:w="3377" w:type="dxa"/>
            <w:shd w:val="clear" w:color="auto" w:fill="auto"/>
            <w:hideMark/>
          </w:tcPr>
          <w:p w14:paraId="2CEA02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2864ECD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42DE2E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0AAA1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D0DB28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3E4F3E45" w14:textId="77777777" w:rsidTr="00E92AE6">
        <w:trPr>
          <w:trHeight w:val="454"/>
        </w:trPr>
        <w:tc>
          <w:tcPr>
            <w:tcW w:w="562" w:type="dxa"/>
            <w:shd w:val="clear" w:color="auto" w:fill="auto"/>
            <w:hideMark/>
          </w:tcPr>
          <w:p w14:paraId="2B588E0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736</w:t>
            </w:r>
          </w:p>
        </w:tc>
        <w:tc>
          <w:tcPr>
            <w:tcW w:w="1021" w:type="dxa"/>
          </w:tcPr>
          <w:p w14:paraId="1C1FA789" w14:textId="749356A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75267C3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07753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w funkcjonowaniu zarządzania wód</w:t>
            </w:r>
            <w:r w:rsidRPr="005E78BB">
              <w:rPr>
                <w:rFonts w:ascii="Calibri" w:eastAsia="Times New Roman" w:hAnsi="Calibri" w:cs="Calibri"/>
                <w:color w:val="000000"/>
                <w:sz w:val="18"/>
                <w:szCs w:val="18"/>
                <w:lang w:eastAsia="pl-PL"/>
              </w:rPr>
              <w:br/>
              <w:t>Treść uwagi: Bez modyfikacji podejścia Wód Polskich do tematu prac utrzymaniowych na rzekach i potokach oraz ciągłego monitoringu tego procesu stan wód będzie się pogarszał, przez m.in. zwiększenie presji hydromorfologicznej i pochodzącej z rolnictwa.</w:t>
            </w:r>
          </w:p>
        </w:tc>
        <w:tc>
          <w:tcPr>
            <w:tcW w:w="3377" w:type="dxa"/>
            <w:shd w:val="clear" w:color="auto" w:fill="auto"/>
            <w:hideMark/>
          </w:tcPr>
          <w:p w14:paraId="5CDD27C9" w14:textId="224E83D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2B4C29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23F156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C81A1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4272F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mają rangę rozporządzenia, są ogólnodostepne i powszechnie obowiązujące.</w:t>
            </w:r>
          </w:p>
        </w:tc>
      </w:tr>
      <w:tr w:rsidR="0085319C" w:rsidRPr="005E78BB" w14:paraId="0EBA2972" w14:textId="77777777" w:rsidTr="00E92AE6">
        <w:trPr>
          <w:trHeight w:val="454"/>
        </w:trPr>
        <w:tc>
          <w:tcPr>
            <w:tcW w:w="562" w:type="dxa"/>
            <w:shd w:val="clear" w:color="auto" w:fill="auto"/>
            <w:hideMark/>
          </w:tcPr>
          <w:p w14:paraId="0114C2F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737</w:t>
            </w:r>
          </w:p>
        </w:tc>
        <w:tc>
          <w:tcPr>
            <w:tcW w:w="1021" w:type="dxa"/>
          </w:tcPr>
          <w:p w14:paraId="7091563F" w14:textId="536FB2C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5382096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3EB08A47" w14:textId="5853ABC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Konkretne zmiany prawne</w:t>
            </w:r>
            <w:r w:rsidRPr="005E78BB">
              <w:rPr>
                <w:rFonts w:ascii="Calibri" w:eastAsia="Times New Roman" w:hAnsi="Calibri" w:cs="Calibri"/>
                <w:color w:val="000000"/>
                <w:sz w:val="18"/>
                <w:szCs w:val="18"/>
                <w:lang w:eastAsia="pl-PL"/>
              </w:rPr>
              <w:br/>
              <w:t>Treść uwagi: 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(a</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15B5A8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7515ABD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5B6F89D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107D27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4215B59" w14:textId="05AB4AC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Prawa wodnego.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Prawa wodnego,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pr.w. weszło w prawa i obowiązki WZMiUW. Artykuł 240 ust. 4 pkt 8 ustawy pr.w. stanowi, że ZZ WP realizują zadania związane z utrzymaniem wód i pozostałego mienia Skarbu Państwa związanego z gospodarką wodną, w tym obwałowań oraz obszaru międzywala. Tak więc obecnie jednostkami odpowiedzialnymi za utrzymanie wód i wykonywanie prac utrzymaniowych są ZZ WP, w ramach właściwych RZGW WP, które wykonują prawa właścicielskie Skarbu Państwa w stosunku do śródlądowych wód płynących oraz gruntów pokrytych tymi wodami (art. 240, ust. 3 pkt 9 ustawy pr.w.). Zmiana ta miała na celu m. 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pracach utrzymaniowych w cyklu planistycznym 2016-2021 są PUW, które zostały opracowane przez poszczególne RZGW WP dla obszarów przez nie administrowanych i przyjęte w formie aktów prawnych – rozporządzeń.</w:t>
            </w:r>
          </w:p>
        </w:tc>
      </w:tr>
      <w:tr w:rsidR="0085319C" w:rsidRPr="005E78BB" w14:paraId="351CA46A" w14:textId="77777777" w:rsidTr="00E92AE6">
        <w:trPr>
          <w:trHeight w:val="454"/>
        </w:trPr>
        <w:tc>
          <w:tcPr>
            <w:tcW w:w="562" w:type="dxa"/>
            <w:shd w:val="clear" w:color="auto" w:fill="auto"/>
            <w:hideMark/>
          </w:tcPr>
          <w:p w14:paraId="16D4B22A"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738</w:t>
            </w:r>
          </w:p>
        </w:tc>
        <w:tc>
          <w:tcPr>
            <w:tcW w:w="1021" w:type="dxa"/>
          </w:tcPr>
          <w:p w14:paraId="1DF429FC" w14:textId="7F29ACF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05FBFC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F189CC3" w14:textId="566012B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prawne i administracyjne</w:t>
            </w:r>
            <w:r w:rsidRPr="005E78BB">
              <w:rPr>
                <w:rFonts w:ascii="Calibri" w:eastAsia="Times New Roman" w:hAnsi="Calibri" w:cs="Calibri"/>
                <w:color w:val="000000"/>
                <w:sz w:val="18"/>
                <w:szCs w:val="18"/>
                <w:lang w:eastAsia="pl-PL"/>
              </w:rPr>
              <w:br w:type="page"/>
              <w:t xml:space="preserve">Treść uwagi: 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E42B59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403E1A88" w14:textId="1AF7239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98CAC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4CAFC7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A44311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7902CDD9" w14:textId="77777777" w:rsidTr="00E92AE6">
        <w:trPr>
          <w:trHeight w:val="454"/>
        </w:trPr>
        <w:tc>
          <w:tcPr>
            <w:tcW w:w="562" w:type="dxa"/>
            <w:shd w:val="clear" w:color="auto" w:fill="auto"/>
            <w:hideMark/>
          </w:tcPr>
          <w:p w14:paraId="26DC348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739</w:t>
            </w:r>
          </w:p>
        </w:tc>
        <w:tc>
          <w:tcPr>
            <w:tcW w:w="1021" w:type="dxa"/>
          </w:tcPr>
          <w:p w14:paraId="5CEE4B56" w14:textId="7CDC8C0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5F7CE251" w14:textId="6EA22F6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5031A1C" w14:textId="76C9653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terminy: </w:t>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p>
        </w:tc>
        <w:tc>
          <w:tcPr>
            <w:tcW w:w="3377" w:type="dxa"/>
            <w:shd w:val="clear" w:color="auto" w:fill="auto"/>
            <w:hideMark/>
          </w:tcPr>
          <w:p w14:paraId="730D987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6B9EBD1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43C9B7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C9981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7FDA72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4B3B5E92" w14:textId="77777777" w:rsidTr="00E92AE6">
        <w:trPr>
          <w:trHeight w:val="454"/>
        </w:trPr>
        <w:tc>
          <w:tcPr>
            <w:tcW w:w="562" w:type="dxa"/>
            <w:shd w:val="clear" w:color="auto" w:fill="auto"/>
            <w:hideMark/>
          </w:tcPr>
          <w:p w14:paraId="7B9FE4A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740</w:t>
            </w:r>
          </w:p>
        </w:tc>
        <w:tc>
          <w:tcPr>
            <w:tcW w:w="1021" w:type="dxa"/>
          </w:tcPr>
          <w:p w14:paraId="1F31A054" w14:textId="33F54A7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3786E1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2E23E4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 Zał. 4 do erraty nr 1 Zaktualizowany wykaz budowli dla których zaplanowane zostały działania w projekcie IIaPGW – obszar dorzecza Wisły, ODBUDOWA PIĘTRZEŃ</w:t>
            </w:r>
            <w:r w:rsidRPr="005E78BB">
              <w:rPr>
                <w:rFonts w:ascii="Calibri" w:eastAsia="Times New Roman" w:hAnsi="Calibri" w:cs="Calibri"/>
                <w:color w:val="000000"/>
                <w:sz w:val="18"/>
                <w:szCs w:val="18"/>
                <w:lang w:eastAsia="pl-PL"/>
              </w:rPr>
              <w:br/>
              <w:t>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w:t>
            </w:r>
          </w:p>
        </w:tc>
        <w:tc>
          <w:tcPr>
            <w:tcW w:w="3377" w:type="dxa"/>
            <w:shd w:val="clear" w:color="auto" w:fill="auto"/>
            <w:hideMark/>
          </w:tcPr>
          <w:p w14:paraId="32118AD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401" w:type="dxa"/>
            <w:shd w:val="clear" w:color="auto" w:fill="auto"/>
            <w:hideMark/>
          </w:tcPr>
          <w:p w14:paraId="66087641" w14:textId="4DA99B99"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6DAD8A2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59911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C3292E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2C5DB066" w14:textId="77777777" w:rsidTr="00E92AE6">
        <w:trPr>
          <w:trHeight w:val="454"/>
        </w:trPr>
        <w:tc>
          <w:tcPr>
            <w:tcW w:w="562" w:type="dxa"/>
            <w:shd w:val="clear" w:color="auto" w:fill="auto"/>
            <w:hideMark/>
          </w:tcPr>
          <w:p w14:paraId="3FA7E40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741</w:t>
            </w:r>
          </w:p>
        </w:tc>
        <w:tc>
          <w:tcPr>
            <w:tcW w:w="1021" w:type="dxa"/>
          </w:tcPr>
          <w:p w14:paraId="3848C4AD" w14:textId="6436107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061699F2" w14:textId="730B879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C1C908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chaos</w:t>
            </w:r>
            <w:r w:rsidRPr="005E78BB">
              <w:rPr>
                <w:rFonts w:ascii="Calibri" w:eastAsia="Times New Roman" w:hAnsi="Calibri" w:cs="Calibri"/>
                <w:color w:val="000000"/>
                <w:sz w:val="18"/>
                <w:szCs w:val="18"/>
                <w:lang w:eastAsia="pl-PL"/>
              </w:rPr>
              <w:br w:type="page"/>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chaos</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EE0C2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6FA15B6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1C3B54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B2D6D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8D69D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Ustawa Prawo wodne (Dz.U. z 2021 roku poz. 624 z późn. zm., dalej ustawa pr.w.):</w:t>
            </w:r>
            <w:r w:rsidRPr="005E78BB">
              <w:rPr>
                <w:rFonts w:ascii="Calibri" w:eastAsia="Times New Roman" w:hAnsi="Calibri" w:cs="Calibri"/>
                <w:color w:val="000000"/>
                <w:sz w:val="18"/>
                <w:szCs w:val="18"/>
                <w:lang w:eastAsia="pl-PL"/>
              </w:rPr>
              <w:br w:type="page"/>
              <w:t>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w:t>
            </w:r>
            <w:r w:rsidRPr="005E78BB">
              <w:rPr>
                <w:rFonts w:ascii="Calibri" w:eastAsia="Times New Roman" w:hAnsi="Calibri" w:cs="Calibri"/>
                <w:color w:val="000000"/>
                <w:sz w:val="18"/>
                <w:szCs w:val="18"/>
                <w:lang w:eastAsia="pl-PL"/>
              </w:rPr>
              <w:br w:type="page"/>
              <w:t>w ochronie środowiska oraz o ocenach oddziaływania na środowisko (Dz.U. z 2021 roku poz. 247</w:t>
            </w:r>
            <w:r w:rsidRPr="005E78BB">
              <w:rPr>
                <w:rFonts w:ascii="Calibri" w:eastAsia="Times New Roman" w:hAnsi="Calibri" w:cs="Calibri"/>
                <w:color w:val="000000"/>
                <w:sz w:val="18"/>
                <w:szCs w:val="18"/>
                <w:lang w:eastAsia="pl-PL"/>
              </w:rPr>
              <w:br w:type="page"/>
              <w:t>z późn. zm., dalej u.i.o.ś) w zakresie wymaganej dla planów gospodarowania wodami strategicznej oceny oddziaływania na środowisko, w tym zapewnienia udziału społeczeństwa w procedurze strategicznej oceny oddziaływania na środowisko (dalej SOOŚ) przed przyjęciem dokumentów.</w:t>
            </w:r>
            <w:r w:rsidRPr="005E78BB">
              <w:rPr>
                <w:rFonts w:ascii="Calibri" w:eastAsia="Times New Roman" w:hAnsi="Calibri" w:cs="Calibri"/>
                <w:color w:val="000000"/>
                <w:sz w:val="18"/>
                <w:szCs w:val="18"/>
                <w:lang w:eastAsia="pl-PL"/>
              </w:rPr>
              <w:br w:type="page"/>
              <w:t>Informacje dotyczące ww. procedur zawierają zarówno same projekty IIaPGW (rozdział 20 każdego z projektów IIaPGW), jak również Prognozy oddziaływania na środowisko (rozdział 1.2 każdej</w:t>
            </w:r>
            <w:r w:rsidRPr="005E78BB">
              <w:rPr>
                <w:rFonts w:ascii="Calibri" w:eastAsia="Times New Roman" w:hAnsi="Calibri" w:cs="Calibri"/>
                <w:color w:val="000000"/>
                <w:sz w:val="18"/>
                <w:szCs w:val="18"/>
                <w:lang w:eastAsia="pl-PL"/>
              </w:rPr>
              <w:br w:type="page"/>
              <w:t>z prognoz).</w:t>
            </w:r>
            <w:r w:rsidRPr="005E78BB">
              <w:rPr>
                <w:rFonts w:ascii="Calibri" w:eastAsia="Times New Roman" w:hAnsi="Calibri" w:cs="Calibri"/>
                <w:color w:val="000000"/>
                <w:sz w:val="18"/>
                <w:szCs w:val="18"/>
                <w:lang w:eastAsia="pl-PL"/>
              </w:rPr>
              <w:br w:type="page"/>
              <w:t>W związku z charakterem projektów IIaPGW istnieje obowiązek przeprowadzenia dwóch procesów konsultacji społecznych:</w:t>
            </w:r>
            <w:r w:rsidRPr="005E78BB">
              <w:rPr>
                <w:rFonts w:ascii="Calibri" w:eastAsia="Times New Roman" w:hAnsi="Calibri" w:cs="Calibri"/>
                <w:color w:val="000000"/>
                <w:sz w:val="18"/>
                <w:szCs w:val="18"/>
                <w:lang w:eastAsia="pl-PL"/>
              </w:rPr>
              <w:br w:type="page"/>
              <w:t>1.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2. Konsultacje społeczne w ramach SOOŚ wymagane ustawą o udostępnianiu informacji</w:t>
            </w:r>
            <w:r w:rsidRPr="005E78BB">
              <w:rPr>
                <w:rFonts w:ascii="Calibri" w:eastAsia="Times New Roman" w:hAnsi="Calibri" w:cs="Calibri"/>
                <w:color w:val="000000"/>
                <w:sz w:val="18"/>
                <w:szCs w:val="18"/>
                <w:lang w:eastAsia="pl-PL"/>
              </w:rPr>
              <w:br w:type="page"/>
              <w:t>o środowisku i jego ochronie, udziale społeczeństwa w ochronie środowiska oraz o ocenach oddziaływania na środowisko. Zgodnie z art. 46 u.i.o.ś., celem SOOŚ jest ocena środowiskowych skutków realizacji postanowień dokumentu, tj. projektów IIaPGW. Plany gospodarowania wodami na obszarach dorzeczy – jako dokument wyznaczający ramy dla późniejszej realizacji przedsięwzięć mogących znacząco oddziaływać na środowisko – wymagają przeprowadzenia procedury SOOŚ. Elementem SOOŚ jest Prognoza oddziaływania na środowisko każdego projektu IIaPGW (dalej Prognoza). Zgodnie z przepisami działu III rozdziałów 1 i 3 ustawy u.i.o.ś., w procedurze SOOŚ musi zostać zapewniona możliwość udziału społeczeństwa. Ustawa nie definiuje wymaganego następstwa po sobie konsultacji projektów IIaPGW wymaganych ustawą pr.w. oraz konsultacji społecznych w ramach SOOŚ. Dla zapewnienia możliwie maksymalnej aktualności i niezmienności dokumentu poddawanego procedurze SOOŚ, 21-dniowe konsultacje społeczne rozpoczęto pod koniec okresu półrocznych konsultacji społecznych projektów IIaPGW .</w:t>
            </w:r>
            <w:r w:rsidRPr="005E78BB">
              <w:rPr>
                <w:rFonts w:ascii="Calibri" w:eastAsia="Times New Roman" w:hAnsi="Calibri" w:cs="Calibri"/>
                <w:color w:val="000000"/>
                <w:sz w:val="18"/>
                <w:szCs w:val="18"/>
                <w:lang w:eastAsia="pl-PL"/>
              </w:rPr>
              <w:br w:type="page"/>
              <w:t>21-dniowe konsultacje społeczne w ramach SOOŚ projektów IIaPGW przeprowadzone zostały zgodnie z przepisami u.i.o.ś. Konsultacje społeczne w ramach SOOŚ trwały od 30.09.2021 do 20.10.2021 roku. Przez ten okres projekty IIaPGW (wraz z Erratami) oraz prognozy oddziaływania na środowisko podane były do publicznej wiadomości poprzez umieszczenie ich na stronie internetowej projektu, tj. apgw.gov.pl, jak również wyłożenie do wglądu w siedzibie Państwowego Gospodarstwa Wodnego Wody Polskie. W trakcie konsultacji społecznych w ramach SOOŚ zainteresowani mieli możliwość zgłaszania uwag i wniosków w kilku dostępnych formach: formularz online, emailowo, listownie, pisemnie i ustnie do protokołu w siedzibie PGW WP. Podobnie jak w przypadku uwag zgłaszanych w trakcie 6-cio miesięcznego okresu, każda z uwag zgłoszonych w trakcie konsultacji społecznych poddawana jest indywidualnej analizie pod względem jej zasadności, a następnie w zależności od wyniku analizy, zostaje ona uwzględniona, częściowo uwzględniona albo odrzucona jako niezasadna w pracach nad ostateczną wersją prognoz oddziaływania na środowisko i IIaPGW.</w:t>
            </w:r>
            <w:r w:rsidRPr="005E78BB">
              <w:rPr>
                <w:rFonts w:ascii="Calibri" w:eastAsia="Times New Roman" w:hAnsi="Calibri" w:cs="Calibri"/>
                <w:color w:val="000000"/>
                <w:sz w:val="18"/>
                <w:szCs w:val="18"/>
                <w:lang w:eastAsia="pl-PL"/>
              </w:rPr>
              <w:br w:type="page"/>
              <w:t>IIaPGW po konsultacjach społecznych w ramach SOOŚ zawierać będą wprowadzane niezbędne zmiany wynikające z rekomendacji i ustaleń zaprezentowanych w Prognozie oraz wynikające z opinii właściwych organów administracji (GDOŚ, GIS, odpowiednio Urzędy Morskie), a także uznanych za zasadne uwag i wniosków wniesionych w trakcie konsultacji społecznych w ramach SOOŚ. Podkreślenia wymaga, iż proces SOOŚ ma na celu uwzględnienie w ustaleniach dokumentów IIaPGW opinii, uwag i wniosków wynikających z analiz wpływu na środowisko realizacji postanowień ocenianego dokumentu.</w:t>
            </w:r>
            <w:r w:rsidRPr="005E78BB">
              <w:rPr>
                <w:rFonts w:ascii="Calibri" w:eastAsia="Times New Roman" w:hAnsi="Calibri" w:cs="Calibri"/>
                <w:color w:val="000000"/>
                <w:sz w:val="18"/>
                <w:szCs w:val="18"/>
                <w:lang w:eastAsia="pl-PL"/>
              </w:rPr>
              <w:br w:type="page"/>
              <w:t>W związku z przygotowaniem i przeprowadzeniem konsultacji społecznych zgodnie</w:t>
            </w:r>
            <w:r w:rsidRPr="005E78BB">
              <w:rPr>
                <w:rFonts w:ascii="Calibri" w:eastAsia="Times New Roman" w:hAnsi="Calibri" w:cs="Calibri"/>
                <w:color w:val="000000"/>
                <w:sz w:val="18"/>
                <w:szCs w:val="18"/>
                <w:lang w:eastAsia="pl-PL"/>
              </w:rPr>
              <w:br w:type="page"/>
              <w:t>z przepisami prawa oraz przy zapewnieniu możliwie pełnego i aktywnego udziału społeczeństwa</w:t>
            </w:r>
            <w:r w:rsidRPr="005E78BB">
              <w:rPr>
                <w:rFonts w:ascii="Calibri" w:eastAsia="Times New Roman" w:hAnsi="Calibri" w:cs="Calibri"/>
                <w:color w:val="000000"/>
                <w:sz w:val="18"/>
                <w:szCs w:val="18"/>
                <w:lang w:eastAsia="pl-PL"/>
              </w:rPr>
              <w:br w:type="page"/>
              <w:t>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Jednocześnie zwracamy uwagę, iż zainteresowane strony miały możliwość zapoznania się</w:t>
            </w:r>
            <w:r w:rsidRPr="005E78BB">
              <w:rPr>
                <w:rFonts w:ascii="Calibri" w:eastAsia="Times New Roman" w:hAnsi="Calibri" w:cs="Calibri"/>
                <w:color w:val="000000"/>
                <w:sz w:val="18"/>
                <w:szCs w:val="18"/>
                <w:lang w:eastAsia="pl-PL"/>
              </w:rPr>
              <w:br w:type="page"/>
              <w:t>z dokumentami projektów IIaPGW przez okres 6 pełnych miesięcy oraz przez 21 dni w przypadku Prognoz.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oraz ich prognozami oddziaływania na środowisko i zgłoszenie uwag w ramach obu wymienionych powyżej procedur.</w:t>
            </w:r>
          </w:p>
        </w:tc>
      </w:tr>
      <w:tr w:rsidR="0085319C" w:rsidRPr="005E78BB" w14:paraId="1DD37800" w14:textId="77777777" w:rsidTr="00E92AE6">
        <w:trPr>
          <w:trHeight w:val="454"/>
        </w:trPr>
        <w:tc>
          <w:tcPr>
            <w:tcW w:w="562" w:type="dxa"/>
            <w:shd w:val="clear" w:color="auto" w:fill="auto"/>
            <w:hideMark/>
          </w:tcPr>
          <w:p w14:paraId="2145049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742</w:t>
            </w:r>
          </w:p>
        </w:tc>
        <w:tc>
          <w:tcPr>
            <w:tcW w:w="1021" w:type="dxa"/>
          </w:tcPr>
          <w:p w14:paraId="5CB6C34B" w14:textId="09238F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F55728F" w14:textId="27EA821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C18AB7E" w14:textId="1E3FD36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geobaza</w:t>
            </w:r>
            <w:r w:rsidRPr="005E78BB">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geobaza</w:t>
            </w:r>
          </w:p>
        </w:tc>
        <w:tc>
          <w:tcPr>
            <w:tcW w:w="3377" w:type="dxa"/>
            <w:shd w:val="clear" w:color="auto" w:fill="auto"/>
            <w:hideMark/>
          </w:tcPr>
          <w:p w14:paraId="6977EEEA" w14:textId="6A0FCDA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391587A9" w14:textId="54B099D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r w:rsidRPr="005E78BB">
              <w:rPr>
                <w:rFonts w:ascii="Calibri" w:eastAsia="Times New Roman" w:hAnsi="Calibri" w:cs="Calibri"/>
                <w:color w:val="000000"/>
                <w:sz w:val="18"/>
                <w:szCs w:val="18"/>
                <w:lang w:eastAsia="pl-PL"/>
              </w:rPr>
              <w:br/>
            </w:r>
          </w:p>
        </w:tc>
        <w:tc>
          <w:tcPr>
            <w:tcW w:w="1918" w:type="dxa"/>
            <w:shd w:val="clear" w:color="auto" w:fill="auto"/>
            <w:hideMark/>
          </w:tcPr>
          <w:p w14:paraId="0A0233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7F0F9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86F0DF" w14:textId="6F01803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7CE48901" w14:textId="77777777" w:rsidTr="00E92AE6">
        <w:trPr>
          <w:trHeight w:val="454"/>
        </w:trPr>
        <w:tc>
          <w:tcPr>
            <w:tcW w:w="562" w:type="dxa"/>
            <w:shd w:val="clear" w:color="auto" w:fill="auto"/>
            <w:hideMark/>
          </w:tcPr>
          <w:p w14:paraId="54AF5B6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743</w:t>
            </w:r>
          </w:p>
        </w:tc>
        <w:tc>
          <w:tcPr>
            <w:tcW w:w="1021" w:type="dxa"/>
          </w:tcPr>
          <w:p w14:paraId="3E73DF5C" w14:textId="3436F1A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0CBFC60" w14:textId="3FBB74A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C9DC0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dokumenty źródłowe</w:t>
            </w:r>
          </w:p>
        </w:tc>
        <w:tc>
          <w:tcPr>
            <w:tcW w:w="3377" w:type="dxa"/>
            <w:shd w:val="clear" w:color="auto" w:fill="auto"/>
            <w:hideMark/>
          </w:tcPr>
          <w:p w14:paraId="6AE234E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0314180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34EA682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A9C4E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EF3DF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projekty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Wszelkie materiały źródłowe wykorzystane do opracowania projektów IIaPGW, zgodnie z art. 319 ust. 6 ustawy Prawo wodne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projektów IIaPGW.</w:t>
            </w:r>
          </w:p>
        </w:tc>
      </w:tr>
      <w:tr w:rsidR="0085319C" w:rsidRPr="005E78BB" w14:paraId="04945E20" w14:textId="77777777" w:rsidTr="00E92AE6">
        <w:trPr>
          <w:trHeight w:val="454"/>
        </w:trPr>
        <w:tc>
          <w:tcPr>
            <w:tcW w:w="562" w:type="dxa"/>
            <w:shd w:val="clear" w:color="auto" w:fill="auto"/>
            <w:hideMark/>
          </w:tcPr>
          <w:p w14:paraId="6668EFF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744</w:t>
            </w:r>
          </w:p>
        </w:tc>
        <w:tc>
          <w:tcPr>
            <w:tcW w:w="1021" w:type="dxa"/>
          </w:tcPr>
          <w:p w14:paraId="5E4841DD" w14:textId="3AE08501"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48EB603" w14:textId="08D989C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1E96D2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formularz</w:t>
            </w:r>
            <w:r w:rsidRPr="005E78BB">
              <w:rPr>
                <w:rFonts w:ascii="Calibri" w:eastAsia="Times New Roman" w:hAnsi="Calibri" w:cs="Calibri"/>
                <w:color w:val="000000"/>
                <w:sz w:val="18"/>
                <w:szCs w:val="18"/>
                <w:lang w:eastAsia="pl-PL"/>
              </w:rPr>
              <w:br w:type="page"/>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 Konsultacje - formularz</w:t>
            </w:r>
          </w:p>
        </w:tc>
        <w:tc>
          <w:tcPr>
            <w:tcW w:w="3377" w:type="dxa"/>
            <w:shd w:val="clear" w:color="auto" w:fill="auto"/>
            <w:hideMark/>
          </w:tcPr>
          <w:p w14:paraId="530E3A4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63DDA07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Organy państwowe powinny ułatwiać składanie uwag w ramach konsultacji IIaPGW, a nie je utrudniać.</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861A85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5839A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4BA92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dokumentów podlegającym konsultacjom tj. projektów IIaPGW wraz z załącznikami.</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zróżnicowane kanały komunikacji dostępne dla zainteresowanych. Nie stosowano dodatkowych ograniczeń co do formy przedkładanych uwag.</w:t>
            </w:r>
          </w:p>
        </w:tc>
      </w:tr>
      <w:tr w:rsidR="0085319C" w:rsidRPr="005E78BB" w14:paraId="7B7A3CEA" w14:textId="77777777" w:rsidTr="00E92AE6">
        <w:trPr>
          <w:trHeight w:val="454"/>
        </w:trPr>
        <w:tc>
          <w:tcPr>
            <w:tcW w:w="562" w:type="dxa"/>
            <w:shd w:val="clear" w:color="auto" w:fill="auto"/>
            <w:hideMark/>
          </w:tcPr>
          <w:p w14:paraId="4AEBA89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745</w:t>
            </w:r>
          </w:p>
        </w:tc>
        <w:tc>
          <w:tcPr>
            <w:tcW w:w="1021" w:type="dxa"/>
          </w:tcPr>
          <w:p w14:paraId="2C946F8E" w14:textId="525B573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1110D127" w14:textId="1969CDB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4D347E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Konsultacje – dane ze strony aPGW</w:t>
            </w:r>
          </w:p>
        </w:tc>
        <w:tc>
          <w:tcPr>
            <w:tcW w:w="3377" w:type="dxa"/>
            <w:shd w:val="clear" w:color="auto" w:fill="auto"/>
            <w:hideMark/>
          </w:tcPr>
          <w:p w14:paraId="71EB1944"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63352E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0A4C8F1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61B5DC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EA242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3369F226" w14:textId="77777777" w:rsidTr="00E92AE6">
        <w:trPr>
          <w:trHeight w:val="454"/>
        </w:trPr>
        <w:tc>
          <w:tcPr>
            <w:tcW w:w="562" w:type="dxa"/>
            <w:shd w:val="clear" w:color="auto" w:fill="auto"/>
            <w:hideMark/>
          </w:tcPr>
          <w:p w14:paraId="1B7FDF2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746</w:t>
            </w:r>
          </w:p>
        </w:tc>
        <w:tc>
          <w:tcPr>
            <w:tcW w:w="1021" w:type="dxa"/>
          </w:tcPr>
          <w:p w14:paraId="6D6BDC57" w14:textId="152CFF3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1FFDBB4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64074CD1" w14:textId="0B14CBA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071AD196" w14:textId="1F3F5B2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2AE70AEF" w14:textId="31F3576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7C9B497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C5D4C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5F7720" w14:textId="59DA62D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aktualizacji jednostek do planowania z uwzględnieniem MPHP10. W wyniku przeprowadzonych analiz przygotowany został nowy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stanowiący materiał źródłowy dla IIaPGW. Wykaz jednostek planistycznych stanowiących materiał źródłowy do projektów IIaPGW był poddany oddzielnym konsultacjom społecznym w trakcie ich opracowywania.</w:t>
            </w:r>
          </w:p>
        </w:tc>
      </w:tr>
      <w:tr w:rsidR="0085319C" w:rsidRPr="001C3C71" w14:paraId="0801CD97" w14:textId="77777777" w:rsidTr="00CD6FBC">
        <w:trPr>
          <w:trHeight w:val="454"/>
        </w:trPr>
        <w:tc>
          <w:tcPr>
            <w:tcW w:w="562" w:type="dxa"/>
            <w:shd w:val="clear" w:color="auto" w:fill="auto"/>
            <w:hideMark/>
          </w:tcPr>
          <w:p w14:paraId="027B6863"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747</w:t>
            </w:r>
          </w:p>
        </w:tc>
        <w:tc>
          <w:tcPr>
            <w:tcW w:w="1021" w:type="dxa"/>
            <w:shd w:val="clear" w:color="auto" w:fill="auto"/>
          </w:tcPr>
          <w:p w14:paraId="7B4A4F09" w14:textId="7A47C9F4"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na rzecz Ziemi</w:t>
            </w:r>
          </w:p>
        </w:tc>
        <w:tc>
          <w:tcPr>
            <w:tcW w:w="1630" w:type="dxa"/>
            <w:shd w:val="clear" w:color="auto" w:fill="auto"/>
            <w:hideMark/>
          </w:tcPr>
          <w:p w14:paraId="2F0A85C8"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41BB12F0" w14:textId="78509DFF"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RWr Zbiornikowe, Rozdz. 3, 5.1. oraz 8.1., Zał. 3.1. oraz 8. , Zał. mapowe</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r w:rsidRPr="00CD6FBC">
              <w:rPr>
                <w:rFonts w:ascii="Calibri" w:eastAsia="Times New Roman" w:hAnsi="Calibri" w:cs="Calibri"/>
                <w:color w:val="000000"/>
                <w:sz w:val="18"/>
                <w:szCs w:val="18"/>
                <w:lang w:eastAsia="pl-PL"/>
              </w:rPr>
              <w:br/>
              <w:t>Część projektu planu, do którego zgłaszana jest uwaga (numer rozdziału, strona dokumentu, nr załącznika)</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r>
          </w:p>
        </w:tc>
        <w:tc>
          <w:tcPr>
            <w:tcW w:w="3377" w:type="dxa"/>
            <w:shd w:val="clear" w:color="auto" w:fill="auto"/>
            <w:hideMark/>
          </w:tcPr>
          <w:p w14:paraId="40D24D64" w14:textId="113DB8D2"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5EEFC4C0" w14:textId="6E2122A0"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2F5BE845"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73EA75D5"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04B75342" w14:textId="23A46ADC" w:rsidR="0085319C" w:rsidRPr="001C3C71"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F70D15" w:rsidRPr="001C3C71">
              <w:rPr>
                <w:rFonts w:ascii="Calibri" w:eastAsia="Times New Roman" w:hAnsi="Calibri" w:cs="Calibri"/>
                <w:color w:val="000000"/>
                <w:sz w:val="18"/>
                <w:szCs w:val="18"/>
                <w:lang w:eastAsia="pl-PL"/>
              </w:rPr>
              <w:t>Wartości graniczne SCW i SZCW</w:t>
            </w:r>
            <w:r w:rsidR="00F70D15" w:rsidRPr="00CD6FBC" w:rsidDel="00F70D15">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1C3C71" w14:paraId="3FA5A1E9" w14:textId="77777777" w:rsidTr="00CD6FBC">
        <w:trPr>
          <w:trHeight w:val="454"/>
        </w:trPr>
        <w:tc>
          <w:tcPr>
            <w:tcW w:w="562" w:type="dxa"/>
            <w:shd w:val="clear" w:color="auto" w:fill="auto"/>
            <w:hideMark/>
          </w:tcPr>
          <w:p w14:paraId="4838DFB0"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748</w:t>
            </w:r>
          </w:p>
        </w:tc>
        <w:tc>
          <w:tcPr>
            <w:tcW w:w="1021" w:type="dxa"/>
            <w:shd w:val="clear" w:color="auto" w:fill="auto"/>
          </w:tcPr>
          <w:p w14:paraId="2AD1B428" w14:textId="2F1B81D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Towarzystwo na rzecz Ziemi</w:t>
            </w:r>
          </w:p>
        </w:tc>
        <w:tc>
          <w:tcPr>
            <w:tcW w:w="1630" w:type="dxa"/>
            <w:shd w:val="clear" w:color="auto" w:fill="auto"/>
            <w:hideMark/>
          </w:tcPr>
          <w:p w14:paraId="5ED3DCD3" w14:textId="38CCF871"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00CB67F1" w14:textId="489A59E5"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 Rozdz. 3.1.SZCW</w:t>
            </w:r>
            <w:r w:rsidRPr="00CD6FBC">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Zalecenie z 2012 r.: </w:t>
            </w:r>
            <w:r w:rsidRPr="00CD6FBC">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ype="page"/>
              <w:t>Część projektu planu, do którego zgłaszana jest uwaga (numer rozdziału, strona dokumentu, nr załącznika)</w:t>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165F4180" w14:textId="295844B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5F6080C6"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143916E5"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6D2FFAA6"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64AF99A1" w14:textId="50242783" w:rsidR="0085319C" w:rsidRPr="001C3C71"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F3428D" w:rsidRPr="001C3C71">
              <w:rPr>
                <w:rFonts w:ascii="Calibri" w:eastAsia="Times New Roman" w:hAnsi="Calibri" w:cs="Calibri"/>
                <w:color w:val="000000"/>
                <w:sz w:val="18"/>
                <w:szCs w:val="18"/>
                <w:lang w:eastAsia="pl-PL"/>
              </w:rPr>
              <w:t>Wartości graniczne SCW i SZCW</w:t>
            </w:r>
            <w:r w:rsidR="00F3428D" w:rsidRPr="00CD6FBC" w:rsidDel="00F3428D">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3E38E9AF" w14:textId="77777777" w:rsidTr="00E92AE6">
        <w:trPr>
          <w:trHeight w:val="454"/>
        </w:trPr>
        <w:tc>
          <w:tcPr>
            <w:tcW w:w="562" w:type="dxa"/>
            <w:shd w:val="clear" w:color="auto" w:fill="auto"/>
            <w:hideMark/>
          </w:tcPr>
          <w:p w14:paraId="50413B1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749</w:t>
            </w:r>
          </w:p>
        </w:tc>
        <w:tc>
          <w:tcPr>
            <w:tcW w:w="1021" w:type="dxa"/>
          </w:tcPr>
          <w:p w14:paraId="781DEABC" w14:textId="4D50D3A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08C5A87" w14:textId="7E9E988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379C1CA" w14:textId="224179B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3.1.SZCW</w:t>
            </w:r>
            <w:r w:rsidRPr="005E78BB">
              <w:rPr>
                <w:rFonts w:ascii="Calibri" w:eastAsia="Times New Roman" w:hAnsi="Calibri" w:cs="Calibri"/>
                <w:color w:val="000000"/>
                <w:sz w:val="18"/>
                <w:szCs w:val="18"/>
                <w:lang w:eastAsia="pl-PL"/>
              </w:rPr>
              <w:b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410C2691" w14:textId="7E06EDF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0A306DC2" w14:textId="03F7C72C"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7EEF603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04B661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79946AC" w14:textId="5613CAB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082C5EC6" w14:textId="77777777" w:rsidTr="00E92AE6">
        <w:trPr>
          <w:trHeight w:val="454"/>
        </w:trPr>
        <w:tc>
          <w:tcPr>
            <w:tcW w:w="562" w:type="dxa"/>
            <w:shd w:val="clear" w:color="auto" w:fill="auto"/>
            <w:hideMark/>
          </w:tcPr>
          <w:p w14:paraId="2869B71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750</w:t>
            </w:r>
          </w:p>
        </w:tc>
        <w:tc>
          <w:tcPr>
            <w:tcW w:w="1021" w:type="dxa"/>
          </w:tcPr>
          <w:p w14:paraId="0F5A8794" w14:textId="30D53AA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061F2813" w14:textId="74A8F97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74510218" w14:textId="312CDDF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3.1. SZCW, Wyznaczenie SZCW niezgodnie z metodyką</w:t>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62CA3E77"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03CB3CDE" w14:textId="0243194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26EAB7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59886A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771EA0B" w14:textId="6801733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5D53F6BC" w14:textId="77777777" w:rsidTr="00E92AE6">
        <w:trPr>
          <w:trHeight w:val="454"/>
        </w:trPr>
        <w:tc>
          <w:tcPr>
            <w:tcW w:w="562" w:type="dxa"/>
            <w:shd w:val="clear" w:color="auto" w:fill="auto"/>
            <w:hideMark/>
          </w:tcPr>
          <w:p w14:paraId="293C7CF1"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751</w:t>
            </w:r>
          </w:p>
        </w:tc>
        <w:tc>
          <w:tcPr>
            <w:tcW w:w="1021" w:type="dxa"/>
          </w:tcPr>
          <w:p w14:paraId="442592D2" w14:textId="7F3842A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485A55E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4C9DAFB8" w14:textId="4D1EF20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5 Monitoring</w:t>
            </w:r>
            <w:r w:rsidRPr="005E78BB">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86AFF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1BE84D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39FFBDF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326E2A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5D0FBAE" w14:textId="77777777" w:rsidR="0085319C" w:rsidRPr="005E78BB" w:rsidRDefault="0085319C" w:rsidP="0085319C">
            <w:pPr>
              <w:ind w:firstLine="0"/>
              <w:jc w:val="left"/>
              <w:rPr>
                <w:rFonts w:ascii="Calibri" w:eastAsia="Times New Roman" w:hAnsi="Calibri" w:cs="Calibri"/>
                <w:color w:val="000000"/>
                <w:sz w:val="18"/>
                <w:szCs w:val="18"/>
                <w:lang w:eastAsia="pl-PL"/>
              </w:rPr>
            </w:pPr>
          </w:p>
        </w:tc>
      </w:tr>
      <w:tr w:rsidR="0085319C" w:rsidRPr="005E78BB" w14:paraId="76A7AB08" w14:textId="77777777" w:rsidTr="00E92AE6">
        <w:trPr>
          <w:trHeight w:val="454"/>
        </w:trPr>
        <w:tc>
          <w:tcPr>
            <w:tcW w:w="562" w:type="dxa"/>
            <w:shd w:val="clear" w:color="auto" w:fill="auto"/>
            <w:hideMark/>
          </w:tcPr>
          <w:p w14:paraId="792D70C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752</w:t>
            </w:r>
          </w:p>
        </w:tc>
        <w:tc>
          <w:tcPr>
            <w:tcW w:w="1021" w:type="dxa"/>
          </w:tcPr>
          <w:p w14:paraId="3A4DD369" w14:textId="2C62EC8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2EFEEAF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04885A6D" w14:textId="04A4D96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Rozdz. 5 Monitoring</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7E01BB85" w14:textId="614FF71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2383D8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1420F12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ECF9C3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DA7BA6D" w14:textId="439F7E9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7DF2E2BB" w14:textId="77777777" w:rsidTr="00E92AE6">
        <w:trPr>
          <w:trHeight w:val="454"/>
        </w:trPr>
        <w:tc>
          <w:tcPr>
            <w:tcW w:w="562" w:type="dxa"/>
            <w:shd w:val="clear" w:color="auto" w:fill="auto"/>
            <w:hideMark/>
          </w:tcPr>
          <w:p w14:paraId="19593E0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753</w:t>
            </w:r>
          </w:p>
        </w:tc>
        <w:tc>
          <w:tcPr>
            <w:tcW w:w="1021" w:type="dxa"/>
          </w:tcPr>
          <w:p w14:paraId="5C2F9A3C" w14:textId="6A1885F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0BC4B6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148829B3" w14:textId="4E39AA0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Streszczenie niespecjalistyczne; IIaPGW Rozdział 7, 8, 9 Presja, Cele środowiskowe, </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 </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46B474DE" w14:textId="2994674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13F455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1F7BE67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F46467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60A2323" w14:textId="33149F6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76862CD4" w14:textId="77777777" w:rsidTr="00E92AE6">
        <w:trPr>
          <w:trHeight w:val="454"/>
        </w:trPr>
        <w:tc>
          <w:tcPr>
            <w:tcW w:w="562" w:type="dxa"/>
            <w:shd w:val="clear" w:color="auto" w:fill="auto"/>
            <w:hideMark/>
          </w:tcPr>
          <w:p w14:paraId="69F12B39"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754</w:t>
            </w:r>
          </w:p>
        </w:tc>
        <w:tc>
          <w:tcPr>
            <w:tcW w:w="1021" w:type="dxa"/>
          </w:tcPr>
          <w:p w14:paraId="1D243779" w14:textId="49D7C11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72B5B70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403BFC2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Rozdz. 9 </w:t>
            </w:r>
            <w:r w:rsidRPr="005E78BB">
              <w:rPr>
                <w:rFonts w:ascii="Calibri" w:eastAsia="Times New Roman" w:hAnsi="Calibri" w:cs="Calibri"/>
                <w:color w:val="000000"/>
                <w:sz w:val="18"/>
                <w:szCs w:val="18"/>
                <w:lang w:eastAsia="pl-PL"/>
              </w:rPr>
              <w:br/>
              <w:t>Postęp i wdrożenie działań 2016-2021</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5846732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21BCCE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63565F5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393A64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25DE0CE" w14:textId="503AC67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Informacje na temat wyników monitorowania realizacji działań aPWŚK wraz ze stopniem ich realizacji przedstawia rozdział nr 10 IIaPGW.</w:t>
            </w:r>
          </w:p>
        </w:tc>
      </w:tr>
      <w:tr w:rsidR="0085319C" w:rsidRPr="005E78BB" w14:paraId="5E190D3E" w14:textId="77777777" w:rsidTr="00E92AE6">
        <w:trPr>
          <w:trHeight w:val="454"/>
        </w:trPr>
        <w:tc>
          <w:tcPr>
            <w:tcW w:w="562" w:type="dxa"/>
            <w:shd w:val="clear" w:color="auto" w:fill="auto"/>
            <w:hideMark/>
          </w:tcPr>
          <w:p w14:paraId="1472B3B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755</w:t>
            </w:r>
          </w:p>
        </w:tc>
        <w:tc>
          <w:tcPr>
            <w:tcW w:w="1021" w:type="dxa"/>
          </w:tcPr>
          <w:p w14:paraId="33DB9740" w14:textId="7517C5A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53DD05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6124C716" w14:textId="364B26E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Rozdz. 10 Działania 2aPGW KPRWP – raport </w:t>
            </w:r>
            <w:r w:rsidRPr="005E78BB">
              <w:rPr>
                <w:rFonts w:ascii="Calibri" w:eastAsia="Times New Roman" w:hAnsi="Calibri" w:cs="Calibri"/>
                <w:color w:val="000000"/>
                <w:sz w:val="18"/>
                <w:szCs w:val="18"/>
                <w:lang w:eastAsia="pl-PL"/>
              </w:rPr>
              <w:br w:type="page"/>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ype="page"/>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ype="page"/>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ype="page"/>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ype="page"/>
              <w:t>http://www.ratujmyrzeki.pl/250-konsultacje-apgw</w:t>
            </w:r>
            <w:r w:rsidRPr="005E78BB">
              <w:rPr>
                <w:rFonts w:ascii="Calibri" w:eastAsia="Times New Roman" w:hAnsi="Calibri" w:cs="Calibri"/>
                <w:color w:val="000000"/>
                <w:sz w:val="18"/>
                <w:szCs w:val="18"/>
                <w:lang w:eastAsia="pl-PL"/>
              </w:rPr>
              <w:br w:type="page"/>
              <w:t>https://hektarydlanatury.pl/downloads/Raport_dla_WWF_zalaczniki.pdf</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ype="page"/>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AF67733" w14:textId="665B7B6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3C47C20F" w14:textId="22D19BD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27EC8DD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0978F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3B73A1F5" w14:textId="09AD7D1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RDW, a zawarte w nim działania były odpowiedzią na zidentyfikowane presje hydromorfologiczne (na podstawie danych z 2018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ype="page"/>
              <w:t>Na potrzeby IIaPGW uwzględniono najnowsze dane opracowane w ramach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ype="page"/>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ype="page"/>
              <w:t>KPRWP wskazywał działania potencjalne bez uwzględnienia powiązań z wodami podziemnymi, których zły stan ilościowy - presje związane np. z poborem wód i odwodnieniem zasadniczo weryfikują możliwość wdrożenia działań renaturyzacyjnych wskazanych w KPRWP.</w:t>
            </w:r>
            <w:r w:rsidRPr="005E78BB">
              <w:rPr>
                <w:rFonts w:ascii="Calibri" w:eastAsia="Times New Roman" w:hAnsi="Calibri" w:cs="Calibri"/>
                <w:color w:val="000000"/>
                <w:sz w:val="18"/>
                <w:szCs w:val="18"/>
                <w:lang w:eastAsia="pl-PL"/>
              </w:rPr>
              <w:br w:type="page"/>
              <w:t>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w:t>
            </w:r>
            <w:r w:rsidRPr="005E78BB">
              <w:rPr>
                <w:rFonts w:ascii="Calibri" w:eastAsia="Times New Roman" w:hAnsi="Calibri" w:cs="Calibri"/>
                <w:color w:val="000000"/>
                <w:sz w:val="18"/>
                <w:szCs w:val="18"/>
                <w:lang w:eastAsia="pl-PL"/>
              </w:rPr>
              <w:br w:type="page"/>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oceny możliwości wdrożenia działania,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ype="page"/>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 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w:t>
            </w:r>
            <w:r w:rsidRPr="005E78BB">
              <w:rPr>
                <w:rFonts w:ascii="Calibri" w:eastAsia="Times New Roman" w:hAnsi="Calibri" w:cs="Calibri"/>
                <w:color w:val="000000"/>
                <w:sz w:val="18"/>
                <w:szCs w:val="18"/>
                <w:lang w:eastAsia="pl-PL"/>
              </w:rPr>
              <w:br w:type="page"/>
              <w:t>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type="page"/>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ype="page"/>
              <w:t>Nazwa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Opis działania:</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w:t>
            </w:r>
            <w:r w:rsidRPr="005E78BB">
              <w:rPr>
                <w:rFonts w:ascii="Calibri" w:eastAsia="Times New Roman" w:hAnsi="Calibri" w:cs="Calibri"/>
                <w:color w:val="000000"/>
                <w:sz w:val="18"/>
                <w:szCs w:val="18"/>
                <w:lang w:eastAsia="pl-PL"/>
              </w:rPr>
              <w:br w:type="page"/>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ype="page"/>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ype="page"/>
              <w:t>Nazwa działania: Monitoring skuteczności istniejących urządzeń do migracji ryb.</w:t>
            </w:r>
            <w:r w:rsidRPr="005E78BB">
              <w:rPr>
                <w:rFonts w:ascii="Calibri" w:eastAsia="Times New Roman" w:hAnsi="Calibri" w:cs="Calibri"/>
                <w:color w:val="000000"/>
                <w:sz w:val="18"/>
                <w:szCs w:val="18"/>
                <w:lang w:eastAsia="pl-PL"/>
              </w:rPr>
              <w:br w:type="page"/>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ype="page"/>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2BDEF190" w14:textId="77777777" w:rsidTr="00E92AE6">
        <w:trPr>
          <w:trHeight w:val="454"/>
        </w:trPr>
        <w:tc>
          <w:tcPr>
            <w:tcW w:w="562" w:type="dxa"/>
            <w:shd w:val="clear" w:color="auto" w:fill="auto"/>
            <w:hideMark/>
          </w:tcPr>
          <w:p w14:paraId="021DEA2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756</w:t>
            </w:r>
          </w:p>
        </w:tc>
        <w:tc>
          <w:tcPr>
            <w:tcW w:w="1021" w:type="dxa"/>
          </w:tcPr>
          <w:p w14:paraId="44D96BED" w14:textId="2C06954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2E20BF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3953E018" w14:textId="6A195F2A"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Rozdział 8.1. - 8.4. Art. 4.4. i 4.5. RDW</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61C8C704" w14:textId="357FD70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p>
        </w:tc>
        <w:tc>
          <w:tcPr>
            <w:tcW w:w="3401" w:type="dxa"/>
            <w:shd w:val="clear" w:color="auto" w:fill="auto"/>
            <w:hideMark/>
          </w:tcPr>
          <w:p w14:paraId="6E87DD8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D4ABE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78DD13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6A10F90" w14:textId="388CFB63"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03DACD2F" w14:textId="77777777" w:rsidTr="00E92AE6">
        <w:trPr>
          <w:trHeight w:val="454"/>
        </w:trPr>
        <w:tc>
          <w:tcPr>
            <w:tcW w:w="562" w:type="dxa"/>
            <w:shd w:val="clear" w:color="auto" w:fill="auto"/>
            <w:hideMark/>
          </w:tcPr>
          <w:p w14:paraId="22E5EA8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757</w:t>
            </w:r>
          </w:p>
        </w:tc>
        <w:tc>
          <w:tcPr>
            <w:tcW w:w="1021" w:type="dxa"/>
          </w:tcPr>
          <w:p w14:paraId="1086DD66" w14:textId="13987C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0ADBB5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ZAŁĄCZNIKI IIaPGW</w:t>
            </w:r>
          </w:p>
        </w:tc>
        <w:tc>
          <w:tcPr>
            <w:tcW w:w="5663" w:type="dxa"/>
            <w:shd w:val="clear" w:color="auto" w:fill="auto"/>
            <w:hideMark/>
          </w:tcPr>
          <w:p w14:paraId="29D90E59" w14:textId="303A8A7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p>
        </w:tc>
        <w:tc>
          <w:tcPr>
            <w:tcW w:w="3377" w:type="dxa"/>
            <w:shd w:val="clear" w:color="auto" w:fill="auto"/>
            <w:hideMark/>
          </w:tcPr>
          <w:p w14:paraId="070846A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Usunąć z listy odstępstw te, dla których uzasadnienia stoją w sprzeczności z KPRWP i dla których możliwe są działania poprawiające stan fizykochemiczny wód.</w:t>
            </w:r>
          </w:p>
        </w:tc>
        <w:tc>
          <w:tcPr>
            <w:tcW w:w="3401" w:type="dxa"/>
            <w:shd w:val="clear" w:color="auto" w:fill="auto"/>
            <w:hideMark/>
          </w:tcPr>
          <w:p w14:paraId="638A16E1" w14:textId="38BE30C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439C9CC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A36DBA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9658D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w:t>
            </w:r>
          </w:p>
        </w:tc>
      </w:tr>
      <w:tr w:rsidR="0085319C" w:rsidRPr="005E78BB" w14:paraId="280F76F6" w14:textId="77777777" w:rsidTr="00E92AE6">
        <w:trPr>
          <w:trHeight w:val="454"/>
        </w:trPr>
        <w:tc>
          <w:tcPr>
            <w:tcW w:w="562" w:type="dxa"/>
            <w:shd w:val="clear" w:color="auto" w:fill="auto"/>
            <w:hideMark/>
          </w:tcPr>
          <w:p w14:paraId="7BFE237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758</w:t>
            </w:r>
          </w:p>
        </w:tc>
        <w:tc>
          <w:tcPr>
            <w:tcW w:w="1021" w:type="dxa"/>
          </w:tcPr>
          <w:p w14:paraId="0A333EE9" w14:textId="5BE1F3C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20ED69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4EE342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16, Zał. 6</w:t>
            </w:r>
            <w:r w:rsidRPr="005E78BB">
              <w:rPr>
                <w:rFonts w:ascii="Calibri" w:eastAsia="Times New Roman" w:hAnsi="Calibri" w:cs="Calibri"/>
                <w:color w:val="000000"/>
                <w:sz w:val="18"/>
                <w:szCs w:val="18"/>
                <w:lang w:eastAsia="pl-PL"/>
              </w:rPr>
              <w:br w:type="page"/>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ype="page"/>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ype="page"/>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ype="page"/>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ype="page"/>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ype="page"/>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ype="page"/>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ype="page"/>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ype="page"/>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ype="page"/>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ype="page"/>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ype="page"/>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ype="page"/>
              <w:t>Z 19 pozostałych dla przynajmniej 2 przedsięwzięć dśu została uchylona:</w:t>
            </w:r>
            <w:r w:rsidRPr="005E78BB">
              <w:rPr>
                <w:rFonts w:ascii="Calibri" w:eastAsia="Times New Roman" w:hAnsi="Calibri" w:cs="Calibri"/>
                <w:color w:val="000000"/>
                <w:sz w:val="18"/>
                <w:szCs w:val="18"/>
                <w:lang w:eastAsia="pl-PL"/>
              </w:rPr>
              <w:br w:type="page"/>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ype="page"/>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ype="page"/>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type="page"/>
              <w:t>Część projektu planu, do którego zgłaszana jest uwaga (numer rozdziału, strona dokumentu, nr załącznika)</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F84C0B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ype="page"/>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ype="page"/>
              <w:t>Powinno się uaktualnić stan zaawansowania inwestycji – obecnie w IIaPGW status planowanych mają również te zaczęte, a nawet skończone.</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2E184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0928A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0D2BD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FB89A97" w14:textId="0423423C"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47739146" w14:textId="77777777" w:rsidTr="00E92AE6">
        <w:trPr>
          <w:trHeight w:val="454"/>
        </w:trPr>
        <w:tc>
          <w:tcPr>
            <w:tcW w:w="562" w:type="dxa"/>
            <w:shd w:val="clear" w:color="auto" w:fill="auto"/>
            <w:hideMark/>
          </w:tcPr>
          <w:p w14:paraId="7453889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759</w:t>
            </w:r>
          </w:p>
        </w:tc>
        <w:tc>
          <w:tcPr>
            <w:tcW w:w="1021" w:type="dxa"/>
          </w:tcPr>
          <w:p w14:paraId="240D5F5E" w14:textId="065273D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5DF257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3500AB50" w14:textId="6961A79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Katalogi działań</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75B8EF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52D2BB3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79643F3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5D9D07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602005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6F44B91F" w14:textId="77777777" w:rsidTr="00E92AE6">
        <w:trPr>
          <w:trHeight w:val="454"/>
        </w:trPr>
        <w:tc>
          <w:tcPr>
            <w:tcW w:w="562" w:type="dxa"/>
            <w:shd w:val="clear" w:color="auto" w:fill="auto"/>
            <w:hideMark/>
          </w:tcPr>
          <w:p w14:paraId="379902EC"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760</w:t>
            </w:r>
          </w:p>
        </w:tc>
        <w:tc>
          <w:tcPr>
            <w:tcW w:w="1021" w:type="dxa"/>
          </w:tcPr>
          <w:p w14:paraId="01DEA82C" w14:textId="243392D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3CA7660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7D01954B" w14:textId="4E7E9E2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w:t>
            </w:r>
            <w:r w:rsidRPr="005E78BB">
              <w:rPr>
                <w:rFonts w:ascii="Calibri" w:eastAsia="Times New Roman" w:hAnsi="Calibri" w:cs="Calibri"/>
                <w:color w:val="000000"/>
                <w:sz w:val="18"/>
                <w:szCs w:val="18"/>
                <w:lang w:eastAsia="pl-PL"/>
              </w:rPr>
              <w:br/>
              <w:t>udrożnienia barier</w:t>
            </w:r>
            <w:r w:rsidRPr="005E78BB">
              <w:rPr>
                <w:rFonts w:ascii="Calibri" w:eastAsia="Times New Roman" w:hAnsi="Calibri" w:cs="Calibri"/>
                <w:color w:val="000000"/>
                <w:sz w:val="18"/>
                <w:szCs w:val="18"/>
                <w:lang w:eastAsia="pl-PL"/>
              </w:rPr>
              <w:br/>
              <w:t>migracyjnych</w:t>
            </w:r>
            <w:r w:rsidRPr="005E78BB">
              <w:rPr>
                <w:rFonts w:ascii="Calibri" w:eastAsia="Times New Roman" w:hAnsi="Calibri" w:cs="Calibri"/>
                <w:color w:val="000000"/>
                <w:sz w:val="18"/>
                <w:szCs w:val="18"/>
                <w:lang w:eastAsia="pl-PL"/>
              </w:rPr>
              <w:br/>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 xml:space="preserve">lub </w:t>
            </w:r>
            <w:r w:rsidRPr="005E78BB">
              <w:rPr>
                <w:rFonts w:ascii="Calibri" w:eastAsia="Times New Roman" w:hAnsi="Calibri" w:cs="Calibri"/>
                <w:color w:val="000000"/>
                <w:sz w:val="18"/>
                <w:szCs w:val="18"/>
                <w:lang w:eastAsia="pl-PL"/>
              </w:rPr>
              <w:br/>
              <w:t>Analiza możliwości  likwidacji budowli poprzecznych…</w:t>
            </w:r>
            <w:r w:rsidRPr="005E78BB">
              <w:rPr>
                <w:rFonts w:ascii="Calibri" w:eastAsia="Times New Roman" w:hAnsi="Calibri" w:cs="Calibri"/>
                <w:color w:val="000000"/>
                <w:sz w:val="18"/>
                <w:szCs w:val="18"/>
                <w:lang w:eastAsia="pl-PL"/>
              </w:rPr>
              <w:br/>
              <w:t>lub</w:t>
            </w:r>
            <w:r w:rsidRPr="005E78BB">
              <w:rPr>
                <w:rFonts w:ascii="Calibri" w:eastAsia="Times New Roman" w:hAnsi="Calibri" w:cs="Calibri"/>
                <w:color w:val="000000"/>
                <w:sz w:val="18"/>
                <w:szCs w:val="18"/>
                <w:lang w:eastAsia="pl-PL"/>
              </w:rPr>
              <w:br/>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„Analiza możliwości przebudowy budowli poprzecznych…„</w:t>
            </w:r>
            <w:r w:rsidRPr="005E78BB">
              <w:rPr>
                <w:rFonts w:ascii="Calibri" w:eastAsia="Times New Roman" w:hAnsi="Calibri" w:cs="Calibri"/>
                <w:color w:val="000000"/>
                <w:sz w:val="18"/>
                <w:szCs w:val="18"/>
                <w:lang w:eastAsia="pl-PL"/>
              </w:rPr>
              <w:br/>
              <w:t xml:space="preserve">należy dokonać zmiany na </w:t>
            </w:r>
            <w:r w:rsidRPr="005E78BB">
              <w:rPr>
                <w:rFonts w:ascii="Calibri" w:eastAsia="Times New Roman" w:hAnsi="Calibri" w:cs="Calibri"/>
                <w:color w:val="000000"/>
                <w:sz w:val="18"/>
                <w:szCs w:val="18"/>
                <w:lang w:eastAsia="pl-PL"/>
              </w:rPr>
              <w:br/>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„Monitoring skuteczności istniejących urządzeń do migracji ryb.” i/lub </w:t>
            </w:r>
            <w:r w:rsidRPr="005E78BB">
              <w:rPr>
                <w:rFonts w:ascii="Calibri" w:eastAsia="Times New Roman" w:hAnsi="Calibri" w:cs="Calibri"/>
                <w:color w:val="000000"/>
                <w:sz w:val="18"/>
                <w:szCs w:val="18"/>
                <w:lang w:eastAsia="pl-PL"/>
              </w:rPr>
              <w:br/>
              <w:t>„Kontrola funkcjonowania urządzeń do migracji ryb.”</w:t>
            </w:r>
            <w:r w:rsidRPr="005E78BB">
              <w:rPr>
                <w:rFonts w:ascii="Calibri" w:eastAsia="Times New Roman" w:hAnsi="Calibri" w:cs="Calibri"/>
                <w:color w:val="000000"/>
                <w:sz w:val="18"/>
                <w:szCs w:val="18"/>
                <w:lang w:eastAsia="pl-PL"/>
              </w:rPr>
              <w:br/>
              <w:t>należy dodać kolejne działanie (Działanie I lub Działanie II):</w:t>
            </w:r>
            <w:r w:rsidRPr="005E78BB">
              <w:rPr>
                <w:rFonts w:ascii="Calibri" w:eastAsia="Times New Roman" w:hAnsi="Calibri" w:cs="Calibri"/>
                <w:color w:val="000000"/>
                <w:sz w:val="18"/>
                <w:szCs w:val="18"/>
                <w:lang w:eastAsia="pl-PL"/>
              </w:rPr>
              <w:br/>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Tam gdzie jest:</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należy dodać działanie (Działanie I lub Działanie II):</w:t>
            </w:r>
            <w:r w:rsidRPr="005E78BB">
              <w:rPr>
                <w:rFonts w:ascii="Calibri" w:eastAsia="Times New Roman" w:hAnsi="Calibri" w:cs="Calibri"/>
                <w:color w:val="000000"/>
                <w:sz w:val="18"/>
                <w:szCs w:val="18"/>
                <w:lang w:eastAsia="pl-PL"/>
              </w:rPr>
              <w:br/>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w:t>
            </w:r>
          </w:p>
        </w:tc>
        <w:tc>
          <w:tcPr>
            <w:tcW w:w="3377" w:type="dxa"/>
            <w:shd w:val="clear" w:color="auto" w:fill="auto"/>
            <w:hideMark/>
          </w:tcPr>
          <w:p w14:paraId="40C969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09DCE0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79A2E01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7B13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24A1D3BD" w14:textId="287322C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Zgodnie z uwagą zmieniono natomiast zakres działania RWHM_02.06 oraz RWHM_02.08.</w:t>
            </w:r>
            <w:r w:rsidRPr="005E78BB">
              <w:rPr>
                <w:rFonts w:ascii="Calibri" w:eastAsia="Times New Roman" w:hAnsi="Calibri" w:cs="Calibri"/>
                <w:color w:val="000000"/>
                <w:sz w:val="18"/>
                <w:szCs w:val="18"/>
                <w:lang w:eastAsia="pl-PL"/>
              </w:rPr>
              <w:br/>
              <w:t>Obecne brzmienie:</w:t>
            </w:r>
            <w:r w:rsidRPr="005E78BB">
              <w:rPr>
                <w:rFonts w:ascii="Calibri" w:eastAsia="Times New Roman" w:hAnsi="Calibri" w:cs="Calibri"/>
                <w:color w:val="000000"/>
                <w:sz w:val="18"/>
                <w:szCs w:val="18"/>
                <w:lang w:eastAsia="pl-PL"/>
              </w:rPr>
              <w:br/>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32BFF3C5" w14:textId="77777777" w:rsidTr="00E92AE6">
        <w:trPr>
          <w:trHeight w:val="454"/>
        </w:trPr>
        <w:tc>
          <w:tcPr>
            <w:tcW w:w="562" w:type="dxa"/>
            <w:shd w:val="clear" w:color="auto" w:fill="auto"/>
            <w:hideMark/>
          </w:tcPr>
          <w:p w14:paraId="3A7ED4B2"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761</w:t>
            </w:r>
          </w:p>
        </w:tc>
        <w:tc>
          <w:tcPr>
            <w:tcW w:w="1021" w:type="dxa"/>
          </w:tcPr>
          <w:p w14:paraId="00E5DE7E" w14:textId="69952CB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Towarzystwo na rzecz Ziemi</w:t>
            </w:r>
          </w:p>
        </w:tc>
        <w:tc>
          <w:tcPr>
            <w:tcW w:w="1630" w:type="dxa"/>
            <w:shd w:val="clear" w:color="auto" w:fill="auto"/>
            <w:hideMark/>
          </w:tcPr>
          <w:p w14:paraId="1158D5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8022C18" w14:textId="5172CBB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w:t>
            </w:r>
            <w:r w:rsidRPr="005E78BB">
              <w:rPr>
                <w:rFonts w:ascii="Calibri" w:eastAsia="Times New Roman" w:hAnsi="Calibri" w:cs="Calibri"/>
                <w:color w:val="000000"/>
                <w:sz w:val="18"/>
                <w:szCs w:val="18"/>
                <w:lang w:eastAsia="pl-PL"/>
              </w:rPr>
              <w:br w:type="page"/>
              <w:t>udrożnienia</w:t>
            </w:r>
            <w:r w:rsidRPr="005E78BB">
              <w:rPr>
                <w:rFonts w:ascii="Calibri" w:eastAsia="Times New Roman" w:hAnsi="Calibri" w:cs="Calibri"/>
                <w:color w:val="000000"/>
                <w:sz w:val="18"/>
                <w:szCs w:val="18"/>
                <w:lang w:eastAsia="pl-PL"/>
              </w:rPr>
              <w:br w:type="page"/>
              <w:t>Zał. 4 do erraty nr</w:t>
            </w:r>
            <w:r w:rsidRPr="005E78BB">
              <w:rPr>
                <w:rFonts w:ascii="Calibri" w:eastAsia="Times New Roman" w:hAnsi="Calibri" w:cs="Calibri"/>
                <w:color w:val="000000"/>
                <w:sz w:val="18"/>
                <w:szCs w:val="18"/>
                <w:lang w:eastAsia="pl-PL"/>
              </w:rPr>
              <w:br w:type="page"/>
              <w:t>1 Zaktualizowany</w:t>
            </w:r>
            <w:r w:rsidRPr="005E78BB">
              <w:rPr>
                <w:rFonts w:ascii="Calibri" w:eastAsia="Times New Roman" w:hAnsi="Calibri" w:cs="Calibri"/>
                <w:color w:val="000000"/>
                <w:sz w:val="18"/>
                <w:szCs w:val="18"/>
                <w:lang w:eastAsia="pl-PL"/>
              </w:rPr>
              <w:br w:type="page"/>
              <w:t>wykaz budowli dla</w:t>
            </w:r>
            <w:r w:rsidRPr="005E78BB">
              <w:rPr>
                <w:rFonts w:ascii="Calibri" w:eastAsia="Times New Roman" w:hAnsi="Calibri" w:cs="Calibri"/>
                <w:color w:val="000000"/>
                <w:sz w:val="18"/>
                <w:szCs w:val="18"/>
                <w:lang w:eastAsia="pl-PL"/>
              </w:rPr>
              <w:br w:type="page"/>
              <w:t>których</w:t>
            </w:r>
            <w:r w:rsidRPr="005E78BB">
              <w:rPr>
                <w:rFonts w:ascii="Calibri" w:eastAsia="Times New Roman" w:hAnsi="Calibri" w:cs="Calibri"/>
                <w:color w:val="000000"/>
                <w:sz w:val="18"/>
                <w:szCs w:val="18"/>
                <w:lang w:eastAsia="pl-PL"/>
              </w:rPr>
              <w:br w:type="page"/>
              <w:t>zaplanowane</w:t>
            </w:r>
            <w:r w:rsidRPr="005E78BB">
              <w:rPr>
                <w:rFonts w:ascii="Calibri" w:eastAsia="Times New Roman" w:hAnsi="Calibri" w:cs="Calibri"/>
                <w:color w:val="000000"/>
                <w:sz w:val="18"/>
                <w:szCs w:val="18"/>
                <w:lang w:eastAsia="pl-PL"/>
              </w:rPr>
              <w:br w:type="page"/>
              <w:t>zostały działania</w:t>
            </w:r>
            <w:r w:rsidRPr="005E78BB">
              <w:rPr>
                <w:rFonts w:ascii="Calibri" w:eastAsia="Times New Roman" w:hAnsi="Calibri" w:cs="Calibri"/>
                <w:color w:val="000000"/>
                <w:sz w:val="18"/>
                <w:szCs w:val="18"/>
                <w:lang w:eastAsia="pl-PL"/>
              </w:rPr>
              <w:br w:type="page"/>
              <w:t>w projekcie</w:t>
            </w:r>
            <w:r w:rsidRPr="005E78BB">
              <w:rPr>
                <w:rFonts w:ascii="Calibri" w:eastAsia="Times New Roman" w:hAnsi="Calibri" w:cs="Calibri"/>
                <w:color w:val="000000"/>
                <w:sz w:val="18"/>
                <w:szCs w:val="18"/>
                <w:lang w:eastAsia="pl-PL"/>
              </w:rPr>
              <w:br w:type="page"/>
              <w:t>IIaPGW – obszar</w:t>
            </w:r>
            <w:r w:rsidRPr="005E78BB">
              <w:rPr>
                <w:rFonts w:ascii="Calibri" w:eastAsia="Times New Roman" w:hAnsi="Calibri" w:cs="Calibri"/>
                <w:color w:val="000000"/>
                <w:sz w:val="18"/>
                <w:szCs w:val="18"/>
                <w:lang w:eastAsia="pl-PL"/>
              </w:rPr>
              <w:br w:type="page"/>
              <w:t>dorzecza Wisły</w:t>
            </w:r>
            <w:r w:rsidRPr="005E78BB">
              <w:rPr>
                <w:rFonts w:ascii="Calibri" w:eastAsia="Times New Roman" w:hAnsi="Calibri" w:cs="Calibri"/>
                <w:color w:val="000000"/>
                <w:sz w:val="18"/>
                <w:szCs w:val="18"/>
                <w:lang w:eastAsia="pl-PL"/>
              </w:rPr>
              <w:br w:type="page"/>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i braki mogące skutkować wyginięciem łososia w dorzeczu Wisły ze względu na:</w:t>
            </w:r>
            <w:r w:rsidRPr="005E78BB">
              <w:rPr>
                <w:rFonts w:ascii="Calibri" w:eastAsia="Times New Roman" w:hAnsi="Calibri" w:cs="Calibri"/>
                <w:color w:val="000000"/>
                <w:sz w:val="18"/>
                <w:szCs w:val="18"/>
                <w:lang w:eastAsia="pl-PL"/>
              </w:rPr>
              <w:br w:type="page"/>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ype="page"/>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ype="page"/>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ype="page"/>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Zaniechania udrożnienia w skali zlewni:</w:t>
            </w:r>
            <w:r w:rsidRPr="005E78BB">
              <w:rPr>
                <w:rFonts w:ascii="Calibri" w:eastAsia="Times New Roman" w:hAnsi="Calibri" w:cs="Calibri"/>
                <w:color w:val="000000"/>
                <w:sz w:val="18"/>
                <w:szCs w:val="18"/>
                <w:lang w:eastAsia="pl-PL"/>
              </w:rPr>
              <w:br w:type="page"/>
              <w:t>Nida – kilkadziesiąt piętrzeń do udrożnienia w latach 2016-2021 (wpisanych aPWŚK).</w:t>
            </w:r>
            <w:r w:rsidRPr="005E78BB">
              <w:rPr>
                <w:rFonts w:ascii="Calibri" w:eastAsia="Times New Roman" w:hAnsi="Calibri" w:cs="Calibri"/>
                <w:color w:val="000000"/>
                <w:sz w:val="18"/>
                <w:szCs w:val="18"/>
                <w:lang w:eastAsia="pl-PL"/>
              </w:rPr>
              <w:br w:type="page"/>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sprzeczne z celami i zadaniami  dla obszarów Natura 2000: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Inne obszary chronione:</w:t>
            </w:r>
            <w:r w:rsidRPr="005E78BB">
              <w:rPr>
                <w:rFonts w:ascii="Calibri" w:eastAsia="Times New Roman" w:hAnsi="Calibri" w:cs="Calibri"/>
                <w:color w:val="000000"/>
                <w:sz w:val="18"/>
                <w:szCs w:val="18"/>
                <w:lang w:eastAsia="pl-PL"/>
              </w:rPr>
              <w:br w:type="page"/>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ype="page"/>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Niezgodność z zapisami dla ochrony ryb ważnych gospodarczo:</w:t>
            </w:r>
            <w:r w:rsidRPr="005E78BB">
              <w:rPr>
                <w:rFonts w:ascii="Calibri" w:eastAsia="Times New Roman" w:hAnsi="Calibri" w:cs="Calibri"/>
                <w:color w:val="000000"/>
                <w:sz w:val="18"/>
                <w:szCs w:val="18"/>
                <w:lang w:eastAsia="pl-PL"/>
              </w:rPr>
              <w:br w:type="page"/>
              <w:t xml:space="preserve">Pasłęka w Braniewie (niesprawna przepławka), </w:t>
            </w:r>
            <w:r w:rsidRPr="005E78BB">
              <w:rPr>
                <w:rFonts w:ascii="Calibri" w:eastAsia="Times New Roman" w:hAnsi="Calibri" w:cs="Calibri"/>
                <w:color w:val="000000"/>
                <w:sz w:val="18"/>
                <w:szCs w:val="18"/>
                <w:lang w:eastAsia="pl-PL"/>
              </w:rPr>
              <w:br w:type="page"/>
              <w:t>Pasłęka w Zb Pierzchały – brak działań na zaporze zbiornika,</w:t>
            </w:r>
            <w:r w:rsidRPr="005E78BB">
              <w:rPr>
                <w:rFonts w:ascii="Calibri" w:eastAsia="Times New Roman" w:hAnsi="Calibri" w:cs="Calibri"/>
                <w:color w:val="000000"/>
                <w:sz w:val="18"/>
                <w:szCs w:val="18"/>
                <w:lang w:eastAsia="pl-PL"/>
              </w:rPr>
              <w:br w:type="page"/>
              <w:t>Omulew (Dębowiec) – uznana za sprawną przepławka z ponad 1 m piętrzeniem z szandorów.</w:t>
            </w:r>
            <w:r w:rsidRPr="005E78BB">
              <w:rPr>
                <w:rFonts w:ascii="Calibri" w:eastAsia="Times New Roman" w:hAnsi="Calibri" w:cs="Calibri"/>
                <w:color w:val="000000"/>
                <w:sz w:val="18"/>
                <w:szCs w:val="18"/>
                <w:lang w:eastAsia="pl-PL"/>
              </w:rPr>
              <w:br w:type="page"/>
              <w:t xml:space="preserve">Część projektu planu, do którego zgłaszana jest uwaga (numer rozdziału, strona dokumentu, nr załącznika): Działania -udrożnienia </w:t>
            </w:r>
            <w:r w:rsidRPr="005E78BB">
              <w:rPr>
                <w:rFonts w:ascii="Calibri" w:eastAsia="Times New Roman" w:hAnsi="Calibri" w:cs="Calibri"/>
                <w:color w:val="000000"/>
                <w:sz w:val="18"/>
                <w:szCs w:val="18"/>
                <w:lang w:eastAsia="pl-PL"/>
              </w:rPr>
              <w:br w:type="page"/>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66263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Uzupełnić działania inwestycyjne   według wymagań dla ryb (kolumny – X-AD w zał. 4 „erraty”).</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279D281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5318C7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8B54F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5EB3CCAD" w14:textId="6A10427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623096DB" w14:textId="77777777" w:rsidTr="00E92AE6">
        <w:trPr>
          <w:trHeight w:val="454"/>
        </w:trPr>
        <w:tc>
          <w:tcPr>
            <w:tcW w:w="562" w:type="dxa"/>
            <w:shd w:val="clear" w:color="auto" w:fill="auto"/>
            <w:hideMark/>
          </w:tcPr>
          <w:p w14:paraId="08F7AE2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762</w:t>
            </w:r>
          </w:p>
        </w:tc>
        <w:tc>
          <w:tcPr>
            <w:tcW w:w="1021" w:type="dxa"/>
          </w:tcPr>
          <w:p w14:paraId="31737366" w14:textId="1AE1C79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40D9745" w14:textId="5A40A43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8710084" w14:textId="67C44DD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 xml:space="preserve">W kolejnych uwagach przedstawiono szczegółowe odniesienia do ww. obszarów problemowych.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ogólna Plan gospodarowania wodami w dorzeczu (dalej PGW) jest głównym dokumentem planistycznym, na podstawie którego państwa członkowskie mają osiągnąć wyznaczone tam cele środowiskowe dla wód i obszarów chronionych od wód zależnych. Cele środowiskowe zgodnie z Ramową Dyrektywą Wodną (RDW) powinny być co do zasady osiągnięte do 2027 r. Aby to zrealizować plany wskazują na presje oraz sposoby ich likwidacji poprzez realizacje działań ochronnych. Wskazane są też odstępstwa od celów dyrektywy dla konkretnych części wód – te musza być jednak właściwie uzasadnione i opisane, w sposób nie budzący zastrzeżeń. Projekt PGW i każda jego aktualizacja powinna podlegać przynajmniej półrocznym konsultacjom społecznym, a proces ten powinien być przejrzysty, umożliwiający rzeczywisty i skuteczny udział. Państwa „zachęcają wszystkie zainteresowane strony do aktywnego udziału we wdrażaniu niniejszej dyrektywy, w szczególności w opracowywaniu, przeglądzie i uaktualnianiu planów gospodarowania wodami w dorzeczach”. </w:t>
            </w:r>
            <w:r w:rsidRPr="005E78BB">
              <w:rPr>
                <w:rFonts w:ascii="Calibri" w:eastAsia="Times New Roman" w:hAnsi="Calibri" w:cs="Calibri"/>
                <w:color w:val="000000"/>
                <w:sz w:val="18"/>
                <w:szCs w:val="18"/>
                <w:lang w:eastAsia="pl-PL"/>
              </w:rPr>
              <w:br/>
              <w:t>Niestety ww. warunki nie zostały spełnione w przedstawionych do konsultacji projektach II aktualizacji PGW (IIaPGW), w tym IIaPGW Wisły, a sam proces udziału społecznego budzi wiele zastrzeżeń. Bez wyraźnych zmian w dokumentach i poprawienia możliwości udziału społeczeństwa w jego ustanowieniu dokument ten nie spełni swojej podstawowej funkcji – osiągnięcia celów środowiskowych w zgodzie z Ramową Dyrektywą Wodną. Należy mieć na uwadze, że ostatni okres planistyczny nie przyniósł praktycznie żadnej poprawy stanu wód w dorzeczu Wisły, np. cele środowiskowe osiągnęło tylko 0,3% najliczniejszych - rzecznych jednolitych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zakresie wszystkich wymagań (stan wód określono w nich jako dobry). </w:t>
            </w:r>
            <w:r w:rsidRPr="005E78BB">
              <w:rPr>
                <w:rFonts w:ascii="Calibri" w:eastAsia="Times New Roman" w:hAnsi="Calibri" w:cs="Calibri"/>
                <w:color w:val="000000"/>
                <w:sz w:val="18"/>
                <w:szCs w:val="18"/>
                <w:lang w:eastAsia="pl-PL"/>
              </w:rPr>
              <w:br/>
              <w:t>W kolejnych uwagach przedstawiono szczegółowe odniesienia do ww. obszarów problemowych. Uwzględnienie zastrzeżeń i propozycji zmian przypisanych do sformułowanych dalej uwag szczegółowych. 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3377" w:type="dxa"/>
            <w:shd w:val="clear" w:color="auto" w:fill="auto"/>
            <w:hideMark/>
          </w:tcPr>
          <w:p w14:paraId="022DA89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Uwzględnienie zastrzeżeń i propozycji zmian przypisanych do sformułowanych dalej uwag szczegółowych.</w:t>
            </w:r>
          </w:p>
        </w:tc>
        <w:tc>
          <w:tcPr>
            <w:tcW w:w="3401" w:type="dxa"/>
            <w:shd w:val="clear" w:color="auto" w:fill="auto"/>
            <w:hideMark/>
          </w:tcPr>
          <w:p w14:paraId="2CAA4EA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Zapisy PGW muszą w sposób uzasadniony przedstawiać i legalizować podział wód, cele środowiskowe, rozpoznanie presji i dobór środków je likwidujących lub łagodzących. Wszelkie odstępstwa od osiągnięcia lub obniżenia celów środowiskowych muszą być indywidualnie opisane i być weryfikowalne. PGW musi gwarantować wykonanie działań zapobiegających presji (środków) i kontrolę ich postępu. Wreszcie powinien być zapewniony udział społeczeństwa zgodny z zapisami RDW, a Państwo powinno zachęcać do aktywnego udziału w konsultacjach tych dokumentów.</w:t>
            </w:r>
          </w:p>
        </w:tc>
        <w:tc>
          <w:tcPr>
            <w:tcW w:w="1918" w:type="dxa"/>
            <w:shd w:val="clear" w:color="auto" w:fill="auto"/>
            <w:hideMark/>
          </w:tcPr>
          <w:p w14:paraId="1C98185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E9960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92D19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Zgłoszona uwaga ogólna stanowi zbiór uwag szczegółowych przekazanych jednym pismem. Odniesienie się do każdej z uwag szczegółowych znajduje się w poszczególnych wierszach niniejszego zestawienia przypisanych do Zgłaszającego.</w:t>
            </w:r>
          </w:p>
        </w:tc>
      </w:tr>
      <w:tr w:rsidR="0085319C" w:rsidRPr="005E78BB" w14:paraId="7C86777F" w14:textId="77777777" w:rsidTr="00E92AE6">
        <w:trPr>
          <w:trHeight w:val="454"/>
        </w:trPr>
        <w:tc>
          <w:tcPr>
            <w:tcW w:w="562" w:type="dxa"/>
            <w:shd w:val="clear" w:color="auto" w:fill="auto"/>
            <w:hideMark/>
          </w:tcPr>
          <w:p w14:paraId="7D18415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763</w:t>
            </w:r>
          </w:p>
        </w:tc>
        <w:tc>
          <w:tcPr>
            <w:tcW w:w="1021" w:type="dxa"/>
          </w:tcPr>
          <w:p w14:paraId="7B499718" w14:textId="62B3CF6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1D7BB920" w14:textId="1F6ED96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2E79BB38" w14:textId="37C4C40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w:t>
            </w:r>
            <w:r>
              <w:rPr>
                <w:rFonts w:ascii="Calibri" w:eastAsia="Times New Roman" w:hAnsi="Calibri" w:cs="Calibri"/>
                <w:color w:val="000000"/>
                <w:sz w:val="18"/>
                <w:szCs w:val="18"/>
                <w:lang w:eastAsia="pl-PL"/>
              </w:rPr>
              <w:t>KONSULTACJE SPOŁECZNE</w:t>
            </w:r>
            <w:r w:rsidRPr="005E78BB">
              <w:rPr>
                <w:rFonts w:ascii="Calibri" w:eastAsia="Times New Roman" w:hAnsi="Calibri" w:cs="Calibri"/>
                <w:color w:val="000000"/>
                <w:sz w:val="18"/>
                <w:szCs w:val="18"/>
                <w:lang w:eastAsia="pl-PL"/>
              </w:rPr>
              <w:t xml:space="preserve"> - terminy</w:t>
            </w:r>
            <w:r w:rsidRPr="005E78BB">
              <w:rPr>
                <w:rFonts w:ascii="Calibri" w:eastAsia="Times New Roman" w:hAnsi="Calibri" w:cs="Calibri"/>
                <w:color w:val="000000"/>
                <w:sz w:val="18"/>
                <w:szCs w:val="18"/>
                <w:lang w:eastAsia="pl-PL"/>
              </w:rPr>
              <w:br/>
              <w:t xml:space="preserve">Niedopuszczalna była nagła i znacząca zmiana zapisów projektów IIaPGW jedynie na dwa tygodnie przed końcem „przynajmniej półrocznych” konsultacji w trybie przepisów RDW (30 września – publikacja zmian; 14 października – koniec konsultacji). Termin ten bezwzględnie powinien być przedłużony.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Wprowadzone zmiany, nazwane błędnie „erratami” w aż 4 dorzeczach, w tym największych – Wisły i Odry, odnoszą się do dwóch niezależnych kwestii - obszarów chronionych przeznaczonych do ochrony gatunków zwierząt wodnych o znaczeniu gospodarczym i kolejną w ciągu propozycję projektu VI aKPOŚK. Zmiany wymagają m.in. ponownej analizy działań zaplanowanych w dorzeczach, a odnoszących się do udrożnień budowli piętrzących oraz do konkretnych zapisów głównie uszczuplających zestaw działań likwidujących presje zanieczyszczeń komunalnych.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Ilość zmian do weryfikacji przez uczestniczących w konsultacjach społecznych jest oszałamiająca, a prezentowane liczby w dokumentach nazwanych „erratami” zapisów IIaPGW nie odpowiadają faktycznej skali zmian. Dla przykładu, w erracie nr 1 dla Wisły, wskazano, że zmianie/dodaniu ulega 68 działań w IIaPGW Wisły, przy zmianach celów środowiskowych dla prawie 260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Zmiany te przekładają się na kolejne, radykalne zmiany w zestawieniu  budowli do działań poprawiających ich drożność  (Zał. 4 do „erraty” wcześniej zał. 1 do zał. 7 IIaPGW). Społeczeństwo zostało zmuszone do dokonania ponownej weryfikacji tego zestawienia (obecnie ponad 3100 działań na konkretnych budowlach), choćby ze względu na całkowitą i nieuzasadnioną zmianę numeracji budowli w stosunku do publikacji w  wersji z kwietnia. Liczba budowli położonych na „nowych” obszarach chronionych dla gatunków gospodarczych w dorzeczu Wisły to aż 821.</w:t>
            </w:r>
            <w:r w:rsidRPr="005E78BB">
              <w:rPr>
                <w:rFonts w:ascii="Calibri" w:eastAsia="Times New Roman" w:hAnsi="Calibri" w:cs="Calibri"/>
                <w:color w:val="000000"/>
                <w:sz w:val="18"/>
                <w:szCs w:val="18"/>
                <w:lang w:eastAsia="pl-PL"/>
              </w:rPr>
              <w:br/>
              <w:t>Wszystkie ww. zmiany są znaczące i powinny być weryfikowalne w procesie udziału społecznego., Sposób ich wprowadzenia, ramy czasowe przewidziane na zapoznanie się z nimi stanowią naruszenie terminów przewidzianych w art. 14 RDW.</w:t>
            </w:r>
          </w:p>
        </w:tc>
        <w:tc>
          <w:tcPr>
            <w:tcW w:w="3377" w:type="dxa"/>
            <w:shd w:val="clear" w:color="auto" w:fill="auto"/>
            <w:hideMark/>
          </w:tcPr>
          <w:p w14:paraId="0F102E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Wydłużenie czasu konsultacji publicznych ze względu na fundamentalne zmiany w treści konsultowanych dokumentów, odnoszące się do takich podstawowych elementów jak nowe działania ochronne czy uzupełnienie IIaPGW o zapisy dotyczące obszarów chronionych w rozumieniu RDW, a także ocena wpływu zmniejszenia zakresu działań z kategorii gospodarka ściekowa na możliwość osiągnięcia celów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Minimalny termin pozwalający na choćby pobieżne zapoznanie się ze zmianami to miesiąc od daty ich publikacji.</w:t>
            </w:r>
          </w:p>
        </w:tc>
        <w:tc>
          <w:tcPr>
            <w:tcW w:w="3401" w:type="dxa"/>
            <w:shd w:val="clear" w:color="auto" w:fill="auto"/>
            <w:hideMark/>
          </w:tcPr>
          <w:p w14:paraId="7AE172E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dodatkowo:</w:t>
            </w:r>
            <w:r w:rsidRPr="005E78BB">
              <w:rPr>
                <w:rFonts w:ascii="Calibri" w:eastAsia="Times New Roman" w:hAnsi="Calibri" w:cs="Calibri"/>
                <w:color w:val="000000"/>
                <w:sz w:val="18"/>
                <w:szCs w:val="18"/>
                <w:lang w:eastAsia="pl-PL"/>
              </w:rPr>
              <w:br/>
              <w:t xml:space="preserve">Zgodnie z zapisami RDW, konsultacje projektów planów gospodarowania wodami w dorzeczu trwają pół roku. Nieuzasadnione jest skrócenie tego okresu do jedynie dwóch tygodni. IIaPGW został uzupełniony , co prawda o niezbędny element, jakim są obszary chronione przeznaczone do ochrony gatunków zwierząt wodnych o znaczeniu gospodarczym, ale zdecydowanie zbyt późno. Rozporządzenie  Ministra Rolnictwa i Rozwoju Wsi z dnia 6 maja 2021 r. w sprawie określenia gatunków zwierząt wodnych o znaczeniu gospodarczym oraz obszarów przeznaczonych do ochrony tych gatunków zostało opublikowane 14 maja – miesiąc po rozpoczęciu konsultacji IIaPGW. Aktualizacja projektu IIaPGW w tym zakresie zajęła Wodom Polskim 4 i pół miesiąca. Jak społeczeństwo ma się do tych zagadnień odnieść jedynie w dwa tygodnie? Termin publikacji rozporządzenia mógł być jednocześnie datą publikacji „erraty” i wtedy możliwy był nawet przepisowy 6 miesięczny termin konsultacji przy ich przedłużeniu do 14 listopada. Natomiast w przypadku publikacji VIaKPOŚK, to dokument ten podlegał już konsultacjom publicznym w grudniu 2020 r. a zapisy projektu wystawionego do ponownych konsultacji (31 sierpnia – 20 sierpnia br.) ponowne konsultacje wskazują na znaczne i nieuzasadnione ograniczenie projektu. Jego modyfikacja (szczególnie - in minus) w tak późnym okresie procesu konsultacji aPGW jest niezrozumiała i niewłaściwa. </w:t>
            </w:r>
            <w:r w:rsidRPr="005E78BB">
              <w:rPr>
                <w:rFonts w:ascii="Calibri" w:eastAsia="Times New Roman" w:hAnsi="Calibri" w:cs="Calibri"/>
                <w:color w:val="000000"/>
                <w:sz w:val="18"/>
                <w:szCs w:val="18"/>
                <w:lang w:eastAsia="pl-PL"/>
              </w:rPr>
              <w:br/>
            </w:r>
          </w:p>
        </w:tc>
        <w:tc>
          <w:tcPr>
            <w:tcW w:w="1918" w:type="dxa"/>
            <w:shd w:val="clear" w:color="auto" w:fill="auto"/>
            <w:hideMark/>
          </w:tcPr>
          <w:p w14:paraId="3601D3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F16BA0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5EC7D0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Plany gospodarowania wodami są przygotowywane zgodnie z przepisami prawa zarówno na etapie opracowania projektów tych dokumentów, jak również ich wersji ostatecznych. Podstawę prawną stanowią: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Tym samym zachowane zostały terminy wymagane przepisami prawa oraz umożliwiające</w:t>
            </w:r>
            <w:r w:rsidRPr="005E78BB">
              <w:rPr>
                <w:rFonts w:ascii="Calibri" w:eastAsia="Times New Roman" w:hAnsi="Calibri" w:cs="Calibri"/>
                <w:color w:val="000000"/>
                <w:sz w:val="18"/>
                <w:szCs w:val="18"/>
                <w:lang w:eastAsia="pl-PL"/>
              </w:rPr>
              <w:br/>
              <w:t>w rzetelny sposób zapoznanie się z projektami IIaPGW i zgłoszenie uwag w ramach wymienionej powyżej procedury.</w:t>
            </w:r>
          </w:p>
        </w:tc>
      </w:tr>
      <w:tr w:rsidR="0085319C" w:rsidRPr="005E78BB" w14:paraId="0342B3E7" w14:textId="77777777" w:rsidTr="00E92AE6">
        <w:trPr>
          <w:trHeight w:val="454"/>
        </w:trPr>
        <w:tc>
          <w:tcPr>
            <w:tcW w:w="562" w:type="dxa"/>
            <w:shd w:val="clear" w:color="auto" w:fill="auto"/>
            <w:hideMark/>
          </w:tcPr>
          <w:p w14:paraId="4DA3352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764</w:t>
            </w:r>
          </w:p>
        </w:tc>
        <w:tc>
          <w:tcPr>
            <w:tcW w:w="1021" w:type="dxa"/>
          </w:tcPr>
          <w:p w14:paraId="2DC40C25" w14:textId="272804C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5AAE3996" w14:textId="3E80F40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8E421C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chaos</w:t>
            </w:r>
            <w:r w:rsidRPr="005E78BB">
              <w:rPr>
                <w:rFonts w:ascii="Calibri" w:eastAsia="Times New Roman" w:hAnsi="Calibri" w:cs="Calibri"/>
                <w:color w:val="000000"/>
                <w:sz w:val="18"/>
                <w:szCs w:val="18"/>
                <w:lang w:eastAsia="pl-PL"/>
              </w:rPr>
              <w:br w:type="page"/>
              <w:t>Zgodnie z komunikatem na stronie internetowej poświęconej konsultacjom IIaPGW https://apgw.gov.pl/ z końca września 2021 r. od 30 września miały być opublikowane prognozy ooś oraz projekty IIaPGW wraz z „erratami” i do tych wszystkich dokumentów można składać uwagi do 20 października.</w:t>
            </w:r>
            <w:r w:rsidRPr="005E78BB">
              <w:rPr>
                <w:rFonts w:ascii="Calibri" w:eastAsia="Times New Roman" w:hAnsi="Calibri" w:cs="Calibri"/>
                <w:color w:val="000000"/>
                <w:sz w:val="18"/>
                <w:szCs w:val="18"/>
                <w:lang w:eastAsia="pl-PL"/>
              </w:rPr>
              <w:br w:type="page"/>
              <w:t xml:space="preserve">Jednak już 1 października, opublikowano inny komunikat, że „to ostatni dzwonek, by wziąć udział w konsultacjach społecznych w ramach drugiej aktualizacji planów gospodarowania wodami, które trwają tylko do 14 października”.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Różnią się terminy oraz adresy i formularze składania uwag. Mamy więc dwa tryby konsultacji, które nie wiadomo czym się różnią co do skutków (jak potraktowane zostaną uwagi złożone w pierwszym, a jak w drugim procesie) i czy trzeba składać te same uwagi dwa razy na tych różnych formularzach, na różne adresy e-mail, czy wystarczy raz. Oba komunikaty informują o składaniu uwag do tych samych projektów IIaPGW wraz z „erratami”, bądź, gdzie indziej – suplementami. Mamy do czynienia z kompletnym chaosem, który utrudnia udział społeczny.  Oba terminy są za krótkie na zapoznanie się ze zmianami w IIaPGW (wprowadzonymi pod koniec września) oraz z bardzo rozbudowaną prognozą ooś wraz z ok. 20 załącznikami dla każdego dorzecza.</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12EFE96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wyjaśnić różnice pomiędzy oboma procesami konsultacji (szczególnie co do losu i skutków składanych uwag i wniosków), zintegrować je tak bardzo jak to tylko możliwe. Powinny mieć wspólny, przedłużony czas konsultacji przynajmniej do 31 października.  Powinno zostać jednoznacznie wyjaśnione, czy uwagi złożone w jednym z procesów  będą brane pod uwagę w obu procedurach, czy trzeba powielać składanie uwag w obu procesach. </w:t>
            </w:r>
          </w:p>
        </w:tc>
        <w:tc>
          <w:tcPr>
            <w:tcW w:w="3401" w:type="dxa"/>
            <w:shd w:val="clear" w:color="auto" w:fill="auto"/>
            <w:hideMark/>
          </w:tcPr>
          <w:p w14:paraId="18D979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Nakładanie się terminów składania uwag „półrocznych” z tymi składanymi w ramach strategicznej oceny oddziaływania na środowisko (SOOŚ) odnoszących się do tych samych dokumentów bez słowa wytłumaczenia jest absolutnie niedopuszczalne. Uczestniczący w konsultacjach nie wiedzą do kiedy i jakie uwagi składać, na jakich formularzach i jakie to ma konsekwencje – który tryb jest ważniejszy i czy uwagi trzeba złożyć dwukrotnie. </w:t>
            </w:r>
            <w:r w:rsidRPr="005E78BB">
              <w:rPr>
                <w:rFonts w:ascii="Calibri" w:eastAsia="Times New Roman" w:hAnsi="Calibri" w:cs="Calibri"/>
                <w:color w:val="000000"/>
                <w:sz w:val="18"/>
                <w:szCs w:val="18"/>
                <w:lang w:eastAsia="pl-PL"/>
              </w:rPr>
              <w:br w:type="page"/>
              <w:t xml:space="preserve">Jedynym rozwiązaniem jest ujednolicenie trybu składania uwag  i rozszerzenie terminów ich składania. </w:t>
            </w:r>
            <w:r w:rsidRPr="005E78BB">
              <w:rPr>
                <w:rFonts w:ascii="Calibri" w:eastAsia="Times New Roman" w:hAnsi="Calibri" w:cs="Calibri"/>
                <w:color w:val="000000"/>
                <w:sz w:val="18"/>
                <w:szCs w:val="18"/>
                <w:lang w:eastAsia="pl-PL"/>
              </w:rPr>
              <w:br w:type="page"/>
              <w:t>W związku z publikacją „errat” będących de facto znaczącymi uzupełnieniami oraz w związku z tym, że dla procedury SOOŚ przewidziano najkrótszy możliwy ustawowo termin (21 dni) mimo olbrzymiego skomplikowania i objętości konsultowanych dokumentów (kilkadziesiąt załączników, kilkadziesiąt tysięcy rekordów) koniec terminu konsultacji powinien zostać wyznaczony przynajmniej na 31 października.</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6A28F4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03362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E5238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Specyfika dokumentów, jakimi są plany gospodarowania wodami determinuje konieczność przeprowadzania wymaganych przepisami prawa kolejnych kroków w procesie opracowywania zarówno projektów dokumentów, jak również ich wersji ostatecznych z uwzględnieniem charakteru dokumentu. Podstawę prawną stanowią:</w:t>
            </w:r>
            <w:r w:rsidRPr="005E78BB">
              <w:rPr>
                <w:rFonts w:ascii="Calibri" w:eastAsia="Times New Roman" w:hAnsi="Calibri" w:cs="Calibri"/>
                <w:color w:val="000000"/>
                <w:sz w:val="18"/>
                <w:szCs w:val="18"/>
                <w:lang w:eastAsia="pl-PL"/>
              </w:rPr>
              <w:br w:type="page"/>
              <w:t>• Ustawa Prawo wodne (Dz.U. z 2021 roku poz. 624 z późn. zm., dalej ustawa pr.w.): w zakresie opracowania projektów planów gospodarowania wodami wraz z przeprowadzeniem konsultacji społecznych dla umożliwienia przedłożenia uwag do projektów dokumentów;</w:t>
            </w:r>
            <w:r w:rsidRPr="005E78BB">
              <w:rPr>
                <w:rFonts w:ascii="Calibri" w:eastAsia="Times New Roman" w:hAnsi="Calibri" w:cs="Calibri"/>
                <w:color w:val="000000"/>
                <w:sz w:val="18"/>
                <w:szCs w:val="18"/>
                <w:lang w:eastAsia="pl-PL"/>
              </w:rPr>
              <w:br w:type="page"/>
              <w:t>• Ustawa o udostępnianiu informacji o środowisku i jego ochronie, udziale społeczeństwa w ochronie środowiska oraz o ocenach oddziaływania na środowisko (Dz.U. z 2021 roku poz. 247 z późn. zm., dalej u.i.o.ś) w zakresie wymaganej dla planów gospodarowania wodami strategicznej oceny oddziaływania na środowisko, w tym zapewnienia udziału społeczeństwa w procedurze strategicznej oceny oddziaływania na środowisko (dalej SOOŚ)przed przyjęciem dokumentów..</w:t>
            </w:r>
            <w:r w:rsidRPr="005E78BB">
              <w:rPr>
                <w:rFonts w:ascii="Calibri" w:eastAsia="Times New Roman" w:hAnsi="Calibri" w:cs="Calibri"/>
                <w:color w:val="000000"/>
                <w:sz w:val="18"/>
                <w:szCs w:val="18"/>
                <w:lang w:eastAsia="pl-PL"/>
              </w:rPr>
              <w:br w:type="page"/>
              <w:t>Informacje dotyczące ww. procedur zawierają zarówno projekty IIaPGW (rozdział 20 każdego z projektów IIaPGW).</w:t>
            </w:r>
            <w:r w:rsidRPr="005E78BB">
              <w:rPr>
                <w:rFonts w:ascii="Calibri" w:eastAsia="Times New Roman" w:hAnsi="Calibri" w:cs="Calibri"/>
                <w:color w:val="000000"/>
                <w:sz w:val="18"/>
                <w:szCs w:val="18"/>
                <w:lang w:eastAsia="pl-PL"/>
              </w:rPr>
              <w:br w:type="page"/>
              <w:t>W ramach opracowywania projektu IIaPGW przeprowadzany jest m.in. proces konsultacji społecznych projektu dokumentu. Półroczne konsultacje społeczne projektów IIaPGW (sześciomiesięczne) wynikające z przepisów Ramowej Dyrektywy Wodnej (2000/60/WE) oraz ustawy pr.w. – mają na celu zaangażowanie wszystkich zainteresowanych stron do aktywnego udziału w opracowywaniu, przeglądzie i aktualizacji planów gospodarowania wodami. Zgodnie z art. 319 ust. 5 ustawy pr.w. w terminie 6 miesięcy od dnia podania do publicznej wiadomości dokumentu projektu planu gospodarowania wodami, zainteresowani mogą składać do ministra właściwego do spraw gospodarki wodnej pisemne uwagi do ustaleń zawartych w tych dokumentach. Wypełniając ww. obowiązek prawny, projekty II aPGW zostały opublikowane i udostępnione społeczeństwu do uwag między 14 kwietnia a 14 października 2021 r. Przez cały okres 6 miesięcy, projekty IIaPGW dla poszczególnych obszarów dorzeczy podane były do publicznej wiadomości poprzez umieszczenie ich na stronie internetowej drugiej aktualizacji planów gospodarowania wodami (https://www.apgw.gov.pl), jak również wyłożenie ich do wglądu zarówno w siedzibie Ministerstwa Infrastruktury, jak i Państwowego Gospodarstwa Wodnego Wody Polskie. Uwagi do projektów IIaPGW można było składać poprzez ankietę on-line, wiadomość e-mail na wskazany adres, pisemnie na adres MI i PGW WP, ustnie do protokołu, jak również w trakcie przeprowadzonych spotkań konsultacyjnych (łącznie 15 spotkań konsultacyjnych dotyczących poszczególnych regionów wodnych). Niezależnie od sposobu zgłoszenia uwagi, każda z nich zostaje poddana indywidualnej analizie pod kątem zasadności, a następnie w zależności od wyniku analizy, zostaje uwzględniona lub częściowo uwzględniona w ostatecznej wersji dokumentów, albo uznana jako niezasadna.</w:t>
            </w:r>
            <w:r w:rsidRPr="005E78BB">
              <w:rPr>
                <w:rFonts w:ascii="Calibri" w:eastAsia="Times New Roman" w:hAnsi="Calibri" w:cs="Calibri"/>
                <w:color w:val="000000"/>
                <w:sz w:val="18"/>
                <w:szCs w:val="18"/>
                <w:lang w:eastAsia="pl-PL"/>
              </w:rPr>
              <w:br w:type="page"/>
              <w:t>Z uwagi na dokonane w trakcie trwających konsultacji społecznych, zmiany przepisów prawa oraz istotne zmiany projektu dokumentu stanowiącego materiał źródłowy do projektów IIaPGW, których uwzględnienie nie było możliwe przed podaniem projektów IIaPGW do konsultacji społecznych, podjęte zostały działania dla zapewnienia społeczeństwu informacji o dokonywanych zmianach w projektach IIaPGW, jeszcze w okresie konsultacji społecznych. Dokonane zmiany w projekcie IIaPGW związane były z wejściem w życie rozporządzenia Ministra Rolnictwa i Rozwoju Wsi z dnia 6 maja 2021 r. w sprawie określenia gatunków zwierząt wodnych o znaczeniu gospodarczym oraz obszarów przeznaczonych do ochrony tych gatunków (Dz.U. 2021 r. poz. 896) oraz zmianach projektu szóstej aktualizacji Krajowego Programu Oczyszczania Ścieków Komunalnych (VIaKPOŚK) w wersji z dnia 30.08.2021 r. Zarówno nowy akt prawny, jak i projekt VIaKPOŚK stanowią dokumenty, których ustalenia uwzględniane są w projektach IIaPGW. Oba ww. dokumenty procedowane były niezależnie od projektów IIaPGW (tj. procedura legislacyjna przyjęcia rozporządzenia oraz konsultacje społeczne projektu VIaKPOŚK) w związku z tym nie stanowią one nowych, niedostępnych dla społeczeństwa dokumentów, w rozumieniu prezentowania ich ustaleń po raz pierwszy w projektach IIaPGW. Zmiany, o których mowa powyżej włączone zostały w formie errat stanowiących element konsultowanych projektów IIaPGW (są to dokumenty wskazujące w przejrzysty sposób zmiany dokonywane w projektach IIaPGW, poprzez zdefiniowanie miejsca i rodzaju dokonywanej zmiany). Erraty podane zostały do publicznej wiadomości w dniu 30.09.2021 r.</w:t>
            </w:r>
            <w:r w:rsidRPr="005E78BB">
              <w:rPr>
                <w:rFonts w:ascii="Calibri" w:eastAsia="Times New Roman" w:hAnsi="Calibri" w:cs="Calibri"/>
                <w:color w:val="000000"/>
                <w:sz w:val="18"/>
                <w:szCs w:val="18"/>
                <w:lang w:eastAsia="pl-PL"/>
              </w:rPr>
              <w:br w:type="page"/>
              <w:t>W związku z przygotowaniem i przeprowadzeniem konsultacji społecznych projektów IIaPGW zgodnie z przepisami prawa oraz przy zapewnieniu możliwie pełnego i aktywnego udziału społeczeństwa w konsultacjach społecznych (pomimo utrudnień wynikających z COVID-19) uznać należy, iż nie zaistniały przesłanki do przedłużenia przyjętego okresu konsultacji społecznych.</w:t>
            </w:r>
            <w:r w:rsidRPr="005E78BB">
              <w:rPr>
                <w:rFonts w:ascii="Calibri" w:eastAsia="Times New Roman" w:hAnsi="Calibri" w:cs="Calibri"/>
                <w:color w:val="000000"/>
                <w:sz w:val="18"/>
                <w:szCs w:val="18"/>
                <w:lang w:eastAsia="pl-PL"/>
              </w:rPr>
              <w:br w:type="page"/>
              <w:t>Zainteresowane strony miały możliwość zapoznania się z dokumentami projektów IIaPGW przez okres 6 pełnych miesięcy. Osoby zainteresowane projektem IIaPGW mają dostęp do bieżącej informacji o prowadzonych pracach w formie Newslettera, w tym również informacji o dokonaniu koniecznych zmian wynikających ze zmian prawa oraz VIaKPOŚK i zaprezentowaniu ich w postaci errat podanych do publicznej wiadomości. Podczas prowadzonych spotkań konsultacyjnych również podkreślana była konieczność wprowadzenia korekt związanych z wejściem w życie rozporządzenia w sprawie określenia gatunków zwierząt wodnych o znaczeniu gospodarczym oraz obszarów przeznaczonych do ochrony tych gatunków.</w:t>
            </w:r>
            <w:r w:rsidRPr="005E78BB">
              <w:rPr>
                <w:rFonts w:ascii="Calibri" w:eastAsia="Times New Roman" w:hAnsi="Calibri" w:cs="Calibri"/>
                <w:color w:val="000000"/>
                <w:sz w:val="18"/>
                <w:szCs w:val="18"/>
                <w:lang w:eastAsia="pl-PL"/>
              </w:rPr>
              <w:br w:type="page"/>
              <w:t>Tym samym zachowane zostały terminy wymagane przepisami prawa oraz umożliwiające</w:t>
            </w:r>
            <w:r w:rsidRPr="005E78BB">
              <w:rPr>
                <w:rFonts w:ascii="Calibri" w:eastAsia="Times New Roman" w:hAnsi="Calibri" w:cs="Calibri"/>
                <w:color w:val="000000"/>
                <w:sz w:val="18"/>
                <w:szCs w:val="18"/>
                <w:lang w:eastAsia="pl-PL"/>
              </w:rPr>
              <w:br w:type="page"/>
              <w:t>w rzetelny sposób zapoznanie się z projektami IIaPGW i zgłoszenie uwag w ramach wymienionej powyżej procedury.</w:t>
            </w:r>
          </w:p>
        </w:tc>
      </w:tr>
      <w:tr w:rsidR="0085319C" w:rsidRPr="005E78BB" w14:paraId="31E0E1F6" w14:textId="77777777" w:rsidTr="00E92AE6">
        <w:trPr>
          <w:trHeight w:val="454"/>
        </w:trPr>
        <w:tc>
          <w:tcPr>
            <w:tcW w:w="562" w:type="dxa"/>
            <w:shd w:val="clear" w:color="auto" w:fill="auto"/>
            <w:hideMark/>
          </w:tcPr>
          <w:p w14:paraId="30FC615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765</w:t>
            </w:r>
          </w:p>
        </w:tc>
        <w:tc>
          <w:tcPr>
            <w:tcW w:w="1021" w:type="dxa"/>
          </w:tcPr>
          <w:p w14:paraId="480FC10C" w14:textId="454AEFE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84ED52B" w14:textId="622E70CD"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3549E01" w14:textId="5C8917EF"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geobaza</w:t>
            </w:r>
            <w:r w:rsidRPr="005E78BB">
              <w:rPr>
                <w:rFonts w:ascii="Calibri" w:eastAsia="Times New Roman" w:hAnsi="Calibri" w:cs="Calibri"/>
                <w:color w:val="000000"/>
                <w:sz w:val="18"/>
                <w:szCs w:val="18"/>
                <w:lang w:eastAsia="pl-PL"/>
              </w:rPr>
              <w:br/>
              <w:t>W ramach konsultacji nie udostępniono żadnej wizualizacji elementów IIaPGW, które byłyby czytelne i pozwalały na rozróżnienie poszczególnych elementów, w tym tak podstawowych i wymaganych zgodnie z RDW, jak: zmienione jednolite części wód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zmienione statusy wód, działania ochronne, oraz sieć monitoringu wód i obszarów chronionych od wód zależnych. Załączniki graficzne do IIaPGW są zbyt zgeneralizowane i nie posiadają żadnych opisów warstw. Brak czytelnego przedstawienia elementów planu podlegających konsultacjom uniemożliwia skuteczne składanie uwag do IIaPGW. Należy podkreślić, że stworzenie bazy danych czy nawet zobrazowanie warstw GIS było możliwe, na co wskazuje choćby udostępniona publicznie geobaza aktualizacji planów gospodarowania ryzykiem powodziowym (aPZRP) na portalu mapowym. Dane te były udostępniane w formie geobazy również na wniosek.</w:t>
            </w:r>
            <w:r w:rsidRPr="005E78BB">
              <w:rPr>
                <w:rFonts w:ascii="Calibri" w:eastAsia="Times New Roman" w:hAnsi="Calibri" w:cs="Calibri"/>
                <w:color w:val="000000"/>
                <w:sz w:val="18"/>
                <w:szCs w:val="18"/>
                <w:lang w:eastAsia="pl-PL"/>
              </w:rPr>
              <w:br/>
              <w:t>Z informacji uzyskanych od kilku organizacji ekologicznych zrzeszonych w ramach Koalicji Ratujmy Rzeki (KRR), wynika że Wody Polskie nawet po udostępnieniu na wniosek części danych przestrzennych IIaPGW nie zgadzają się na upublicznienie czy nawet dalsze przekazywanie jakichkolwiek danych i materiałów źródłowych IIaPGW, w tym wizualizacji danych przestrzennych, jednocześnie zastrzegając, że dane te są nieostateczne.  Jednocześnie twierdzą, że nie posiadają gotowej geobazy, a część danych przestrzennych choć jest w ich posiadaniu, nie zostanie udostępnionych (sieć monitoringu). Jest to naruszenie przepisów o dostępie do informacji o środowisku i sprzeczne z duchem i literą RDW.</w:t>
            </w:r>
          </w:p>
        </w:tc>
        <w:tc>
          <w:tcPr>
            <w:tcW w:w="3377" w:type="dxa"/>
            <w:shd w:val="clear" w:color="auto" w:fill="auto"/>
            <w:hideMark/>
          </w:tcPr>
          <w:p w14:paraId="303E3580" w14:textId="4048A76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Powtórzyć / przedłużyć konsultacje społeczne z użyciem danych pozwalających na weryfikację zapisów programu w czytelnych formach graficznych. Ze względu na daleko idące zmiany w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wyznaczaniu wód „nienaturalnych” (SZCW i SCW) dane te powinny być upowszechnione na ogólnodostępnej platformie (jak w przypadku konsultacji aPZRP) oraz dostępne na wniosek. </w:t>
            </w:r>
          </w:p>
        </w:tc>
        <w:tc>
          <w:tcPr>
            <w:tcW w:w="3401" w:type="dxa"/>
            <w:shd w:val="clear" w:color="auto" w:fill="auto"/>
            <w:hideMark/>
          </w:tcPr>
          <w:p w14:paraId="5D973E9F" w14:textId="61F89B0E"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narzędzia do weryfikacji zapisów projektu IIaPGW (umożliwiającego poznanie np. tak podstawowych danych przestrzennych jak zasięgi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działań ochronnych) znacząco obniża jakość konsultacji publicznych. Uwaga składana wielokrotnie m.in. w trakcie spotkań konsultacyjnych nie doczekała się żadnej reakcji.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Mapy udostępnione wraz z projektem IIaPGW nie są ani czytelne ani możliwe do wykorzystania przez osoby uczestniczące w konsultacjach.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Działanie Wód Polskich w tym zakresie jest sprzeczne z: </w:t>
            </w:r>
            <w:r w:rsidRPr="005E78BB">
              <w:rPr>
                <w:rFonts w:ascii="Calibri" w:eastAsia="Times New Roman" w:hAnsi="Calibri" w:cs="Calibri"/>
                <w:color w:val="000000"/>
                <w:sz w:val="18"/>
                <w:szCs w:val="18"/>
                <w:lang w:eastAsia="pl-PL"/>
              </w:rPr>
              <w:br/>
              <w:t xml:space="preserve">art. 14 RDW – </w:t>
            </w:r>
            <w:r w:rsidRPr="005E78BB">
              <w:rPr>
                <w:rFonts w:ascii="Calibri" w:eastAsia="Times New Roman" w:hAnsi="Calibri" w:cs="Calibri"/>
                <w:color w:val="000000"/>
                <w:sz w:val="18"/>
                <w:szCs w:val="18"/>
                <w:lang w:eastAsia="pl-PL"/>
              </w:rPr>
              <w:br/>
              <w:t>Państwa Członkowskie zachęcają wszystkie zainteresowane strony do aktywnego udziału we wdrażaniu niniejszej dyrektywy, w szczególności w opracowywaniu, przeglądzie i uaktualnianiu planów gospodarowania wodami w dorzeczach.</w:t>
            </w:r>
            <w:r w:rsidRPr="005E78BB">
              <w:rPr>
                <w:rFonts w:ascii="Calibri" w:eastAsia="Times New Roman" w:hAnsi="Calibri" w:cs="Calibri"/>
                <w:color w:val="000000"/>
                <w:sz w:val="18"/>
                <w:szCs w:val="18"/>
                <w:lang w:eastAsia="pl-PL"/>
              </w:rPr>
              <w:br/>
              <w:t>Zał. VII – pkt 1, 3, 4</w:t>
            </w:r>
            <w:r w:rsidRPr="005E78BB">
              <w:rPr>
                <w:rFonts w:ascii="Calibri" w:eastAsia="Times New Roman" w:hAnsi="Calibri" w:cs="Calibri"/>
                <w:color w:val="000000"/>
                <w:sz w:val="18"/>
                <w:szCs w:val="18"/>
                <w:lang w:eastAsia="pl-PL"/>
              </w:rPr>
              <w:br/>
            </w:r>
          </w:p>
        </w:tc>
        <w:tc>
          <w:tcPr>
            <w:tcW w:w="1918" w:type="dxa"/>
            <w:shd w:val="clear" w:color="auto" w:fill="auto"/>
            <w:hideMark/>
          </w:tcPr>
          <w:p w14:paraId="0E4A52C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545636D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A81D54F" w14:textId="595DFE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Projekty IIaPGW poddawane konsultacjom społecznym przygotowane zostały zgodnie w zakresem określonym ustawą Prawo wodne, rozporządzeniem Rady Ministrów z dnia 4 października 2019 r. w sprawie szczegółowego zakresu opracowywania planów gospodarowania wodami na obszarach dorzeczy oraz wymogami raportowymi Komisji Europejskiej. Specyfika planów gospodarowania wodami oraz zakres wymaganych informacji powodują, iż IIaPGW to obszerne dokumenty prezentujące szczegółowe dane na poziomie obszaru dorzecza, regionów wodnych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zachowania czytelności dokumentu zastosowano następującą jego strukturę:</w:t>
            </w:r>
            <w:r w:rsidRPr="005E78BB">
              <w:rPr>
                <w:rFonts w:ascii="Calibri" w:eastAsia="Times New Roman" w:hAnsi="Calibri" w:cs="Calibri"/>
                <w:color w:val="000000"/>
                <w:sz w:val="18"/>
                <w:szCs w:val="18"/>
                <w:lang w:eastAsia="pl-PL"/>
              </w:rPr>
              <w:br/>
              <w:t>• część główna dokumentu -– prezentująca w sposób opisowy poszczególne zagadnienia na poziomie obszaru dorzecza oraz poszczególnych regionów wodnych w formie opisowej oraz zestawień statystycznych. Wszelkie zestawienia tabelaryczne oraz zobrazowania mapowe znajdują się w załącznikach;</w:t>
            </w:r>
            <w:r w:rsidRPr="005E78BB">
              <w:rPr>
                <w:rFonts w:ascii="Calibri" w:eastAsia="Times New Roman" w:hAnsi="Calibri" w:cs="Calibri"/>
                <w:color w:val="000000"/>
                <w:sz w:val="18"/>
                <w:szCs w:val="18"/>
                <w:lang w:eastAsia="pl-PL"/>
              </w:rPr>
              <w:br/>
              <w:t xml:space="preserve">• załączniki IIaPGW -– stanowiące integralną część IIaPGW, prezentujące w sposób szczegółowy, dla każdej jcw, dane dot. zagadnień zaprezentowanych w części głównej, w tym załącznik nr 1 (Zestawienie główne) zawierający zbiorcze zestawienie danych charakteryzujących każdą jcw obszaru dorzecza w zakresie zagadnień objętych planem gospodarowania wodami. Załączniki tabelaryczne prezentują komplet danych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informacjami dotyczącymi wzajemnych powiązań pomiędzy zagadnieniami.</w:t>
            </w:r>
            <w:r w:rsidRPr="005E78BB">
              <w:rPr>
                <w:rFonts w:ascii="Calibri" w:eastAsia="Times New Roman" w:hAnsi="Calibri" w:cs="Calibri"/>
                <w:color w:val="000000"/>
                <w:sz w:val="18"/>
                <w:szCs w:val="18"/>
                <w:lang w:eastAsia="pl-PL"/>
              </w:rPr>
              <w:br/>
              <w:t xml:space="preserve">• załączniki graficzne prezentujące zobrazowania mapowe zagadnień przedstawionych w części głównej oraz załącznikach IIaPGW. Załączniki graficzne, których liczba różni się dla poszczególnych dorzeczy (przykładowo dla obszaru dorzecza Wisły: 67 załączników graficznych) stanowią element uzupełniający dla danych prezentowanych w części głównej oraz załącznikach IIaPGW. 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Zarówno informacje 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ich statusie, typologii, obszarach chronionych, ocenie stanu, ppk, zidentyfikowanych presjach, występujących budowlach w obszarze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przypisanych działaniach oraz wskazanych odstępstwach i inne, znajdują się w załącznikach IIaPGW (w tym załączniku nr 1).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Jako materiał dodatkowy opracowana zostanie geobaza IIaPGW, podobnie jak w przypadku poprzednich cykli planistycznych, która zawierać będzie dane zgodne z ostatecznie przyjętą wersją IIaPGW. 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zgodnie z art. 319 ust. 6 ustawy Prawo wodne. Możliwość ta każdorazowo wskazywana była również podczas spotkań konsultacyjnych przeprowadzonych w ramach konsultacji społecznych projektów IIaPGW.</w:t>
            </w:r>
            <w:r w:rsidRPr="005E78BB">
              <w:rPr>
                <w:rFonts w:ascii="Calibri" w:eastAsia="Times New Roman" w:hAnsi="Calibri" w:cs="Calibri"/>
                <w:color w:val="000000"/>
                <w:sz w:val="18"/>
                <w:szCs w:val="18"/>
                <w:lang w:eastAsia="pl-PL"/>
              </w:rPr>
              <w:br/>
              <w:t xml:space="preserve">Jednocześnie zarówno 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jak i wyniki projektu dot. wyznaczenia SCW i SZCW stanowiły przedmiot odrębnych, wcześniej przeprowadzonych konsultacji tych materiałów źródłowych, prace nad którymi zakończone zostały w okresie 2019-2020.</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492BB38A" w14:textId="77777777" w:rsidTr="00E92AE6">
        <w:trPr>
          <w:trHeight w:val="454"/>
        </w:trPr>
        <w:tc>
          <w:tcPr>
            <w:tcW w:w="562" w:type="dxa"/>
            <w:shd w:val="clear" w:color="auto" w:fill="auto"/>
            <w:hideMark/>
          </w:tcPr>
          <w:p w14:paraId="1B495EE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766</w:t>
            </w:r>
          </w:p>
        </w:tc>
        <w:tc>
          <w:tcPr>
            <w:tcW w:w="1021" w:type="dxa"/>
          </w:tcPr>
          <w:p w14:paraId="532DD2F2" w14:textId="66E3171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63B97289" w14:textId="650E971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5C6BEF0C"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dokumenty źródłowe</w:t>
            </w:r>
            <w:r w:rsidRPr="005E78BB">
              <w:rPr>
                <w:rFonts w:ascii="Calibri" w:eastAsia="Times New Roman" w:hAnsi="Calibri" w:cs="Calibri"/>
                <w:color w:val="000000"/>
                <w:sz w:val="18"/>
                <w:szCs w:val="18"/>
                <w:lang w:eastAsia="pl-PL"/>
              </w:rPr>
              <w:br/>
              <w:t>Dokumenty źródłowe do projektów PGW nie są udostępnione w publicznej domenie, a dostęp do nich jest ściśle reglamentowany przez Wody Polskie, z zakazem ich dalszego udostępniania komukolwiek, jako „dokumentów niepublicznych, udostępnionych przez osoby trzecie, podlegających prawu autorskiemu i nieskończonych”. Ograniczenie udostępniania danych (niektóre organizacje wprost miały zakazane dalsze ich udostepnienie, zakaz dotyczył także map towarzyszącym projektom IIaPGW) nie miało podanych podstaw prawnych.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podejście jest niezgodne z przepisami prawa krajowego i wspólnotowego.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Dokumenty źródłowe do PGW i ich aktualizacji mają status dokumentów publicznych, dotyczących ochrony środowiska, czyli o takim samym statusie jak np. raporty o odziaływaniu na środowisko. Jasno precyzują to wytyczne Komisji Europejskiej do implementacji RDW: CIS No8 https://circabc.europa.eu/sd/a/0fc804ff-5fe6-4874-8e0d-de3e47637a63/Guidance%20No%208%20-%20Public%20participation%20%28WG%202.9%29.pdf   (rozdział 5.2.). Już w 2003 r. wytyczne te precyzowały, że dostęp do materiałów/dokumentów źródłowych powinien być bezproblemowy i publiczny, a minimum to udostępnianie ich na wniosek w odpowiednich centrach informacji danych PGW. Sugerowanym sposobem udostępniania tych dokumentów była jednak publikacja ich poprzez  internet celem publicznego i powszechnego dostępu. Stwierdzono też, że nie powinno  stanowić to technicznego problemu (po 18 latach nie powinno stanowić go nadal).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upowszechnianiu dokumentów źródłowych, będących podstawą, a zarazem uszczegółowieniem projektu IIaPGW (liczna cytacja w projektach), powstałych za pieniądze publiczne, w głównej mierze z funduszy UE, powoduje, że nie można mówić o prawidłowym przeprowadzeniu konsultacji publicznych. Szczególnie traktowanie tych dokumentów jako nieskończonych (możliwe zastosowanie odmowy udostępnienia z art. 16 uoś), a mimo tego przygotowanych do obowiązkowych półrocznych konsultacji publicznych (wymienione w projekcie IIaPGW) powoduje, że konsultacje te nie mogą być uznane za przeprowadzone w trybie art. 14 ust. 1 RDW.</w:t>
            </w:r>
            <w:r w:rsidRPr="005E78BB">
              <w:rPr>
                <w:rFonts w:ascii="Calibri" w:eastAsia="Times New Roman" w:hAnsi="Calibri" w:cs="Calibri"/>
                <w:color w:val="000000"/>
                <w:sz w:val="18"/>
                <w:szCs w:val="18"/>
                <w:lang w:eastAsia="pl-PL"/>
              </w:rPr>
              <w:br/>
              <w:t>Odnieść można wrażenie, że nieopublikowanie dokumentów w domenie publicznej to celowe ograniczanie udziału interesariuszy. Warto w tym miejscu przytoczyć słowa  Dyrektora Departamentu Zarządzania Środowiskiem Wodnym Przemysława  Gruszeckiego wygłoszone na spotkaniu konsultacyjnym w Zielonej Górze, że dokumenty źródłowe są udostępniane na indywidualny wniosek, ale nie mogą podlegać dalszemu rozpowszechnianiu nawet w niezmienionej formie, gdyż Wody Polskie „muszą wiedzieć jak te dokumenty krążą”.</w:t>
            </w:r>
          </w:p>
        </w:tc>
        <w:tc>
          <w:tcPr>
            <w:tcW w:w="3377" w:type="dxa"/>
            <w:shd w:val="clear" w:color="auto" w:fill="auto"/>
            <w:hideMark/>
          </w:tcPr>
          <w:p w14:paraId="33BE94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bezzwłocznie udostępnić dokumenty źródłowe IIaPGW w domenie publicznej – nawet udostępnienie objętości kilkadziesiąt GB nie stanowi aktualnie żadnego technicznego problemu.</w:t>
            </w:r>
          </w:p>
        </w:tc>
        <w:tc>
          <w:tcPr>
            <w:tcW w:w="3401" w:type="dxa"/>
            <w:shd w:val="clear" w:color="auto" w:fill="auto"/>
            <w:hideMark/>
          </w:tcPr>
          <w:p w14:paraId="31473CA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Ograniczenia w udostępnianiu dokumentów źródłowych, traktowanie ich jako materiałów podlegających przepisom prawa autorskiego i to o statusie nieostatecznych jest niezgodnie z zapisami Ramowej Dyrektywy Wodnej (art. 14) oraz postanowień Konwencji Aarhus i Dyrektywy 2003/4/WE, a co za tym idzie, również ustawy ooś (Dz. U. 2008 Nr 199 poz. 1227 z późn. zm.) i ustawy o dostępie do informacji publicznej.</w:t>
            </w:r>
          </w:p>
        </w:tc>
        <w:tc>
          <w:tcPr>
            <w:tcW w:w="1918" w:type="dxa"/>
            <w:shd w:val="clear" w:color="auto" w:fill="auto"/>
            <w:hideMark/>
          </w:tcPr>
          <w:p w14:paraId="14EE458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3EF3A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BA7A32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zgodnie z wymogami ustawy z dnia 3 października 2008 r. o udostępnianiu informacji o środowisku i jego ochronie, udziale społeczeństwa w ochronie środowiska oraz o ocenach oddziaływania na środowisko (tekst jednolity Dz. U. z 20212 r. poz. 247, ze zm.), dokumentów podlegającym konsultacjom tj. projekty IIaPGW wraz z załącznikami, w tym mapami.</w:t>
            </w:r>
            <w:r w:rsidRPr="005E78BB">
              <w:rPr>
                <w:rFonts w:ascii="Calibri" w:eastAsia="Times New Roman" w:hAnsi="Calibri" w:cs="Calibri"/>
                <w:color w:val="000000"/>
                <w:sz w:val="18"/>
                <w:szCs w:val="18"/>
                <w:lang w:eastAsia="pl-PL"/>
              </w:rPr>
              <w:br/>
              <w:t>Wszystkie materiały źródłowe wykorzystane do opracowania projektów IIaPGW, zgodnie z art. 319 ust. 6 ustawy Prawo wodne (tekst jednolity Dz.U. z 2021 r.poz. 624, ze zm.) udostępniane są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Możliwość ta każdorazowo wskazywana była również podczas spotkań konsultacyjnych przeprowadzonych w ramach konsultacji społecznych projektów IIaPGW.</w:t>
            </w:r>
          </w:p>
        </w:tc>
      </w:tr>
      <w:tr w:rsidR="0085319C" w:rsidRPr="005E78BB" w14:paraId="52AFB1D4" w14:textId="77777777" w:rsidTr="00E92AE6">
        <w:trPr>
          <w:trHeight w:val="454"/>
        </w:trPr>
        <w:tc>
          <w:tcPr>
            <w:tcW w:w="562" w:type="dxa"/>
            <w:shd w:val="clear" w:color="auto" w:fill="auto"/>
            <w:hideMark/>
          </w:tcPr>
          <w:p w14:paraId="2C9385D5"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767</w:t>
            </w:r>
          </w:p>
        </w:tc>
        <w:tc>
          <w:tcPr>
            <w:tcW w:w="1021" w:type="dxa"/>
          </w:tcPr>
          <w:p w14:paraId="185E7CC3" w14:textId="30F9857A"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1762CB8" w14:textId="09B7550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6D9E55B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formularz</w:t>
            </w:r>
            <w:r w:rsidRPr="005E78BB">
              <w:rPr>
                <w:rFonts w:ascii="Calibri" w:eastAsia="Times New Roman" w:hAnsi="Calibri" w:cs="Calibri"/>
                <w:color w:val="000000"/>
                <w:sz w:val="18"/>
                <w:szCs w:val="18"/>
                <w:lang w:eastAsia="pl-PL"/>
              </w:rPr>
              <w:br w:type="page"/>
              <w:t xml:space="preserve">Niezrozumiałe jest przedstawienie do konsultacji formularza utrudniającego składanie większej ilości uwag., przy jednoczesnej sugestii, że to jedyny sposób składania uwag pocztą e-mail. Uwagi mają być złożone w formularzu tekstowym, jedna pod drugą: UWAGA, PROPONOWANE ZMIANY i UZASADNIENIE. Aby złożyć więcej uwag, należy kopiować pola. Lepszym, bardziej przyjaznym użytkownikom i wcześniej praktykowanym przez Wody Polskie sposobem było składanie uwag na formularzu w formie tabeli – z ww. tematycznymi kolumnami. </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6E4B93F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Umożliwić składanie uwag również w innych formach niż załączony na stronach konsultacji formularz, w tym w formie tabelarycznej. Stosowna informacja powinna znaleźć się na stronie https://apgw.gov.pl/pl/konsultacje </w:t>
            </w:r>
          </w:p>
        </w:tc>
        <w:tc>
          <w:tcPr>
            <w:tcW w:w="3401" w:type="dxa"/>
            <w:shd w:val="clear" w:color="auto" w:fill="auto"/>
            <w:hideMark/>
          </w:tcPr>
          <w:p w14:paraId="64784B0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Organy państwowe powinny ułatwiać składanie uwag w ramach konsultacji IIaPGW, a nie je utrudniać.</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75E29BA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17A9F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857FDC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Konsultacje społeczne projektów IIaPGW rozpoczęły się udostępnieniem dokumentów podlegającym konsultacjom tj. projektów IIaPGW wraz z załącznikami, zgodnie z wymogami ustawy z dnia 3 października 2008 r. o udostępnianiu informacji o środowisku i jego ochronie, udziale społeczeństwa w ochronie środowiska oraz o ocenach oddziaływania na środowisko.</w:t>
            </w:r>
            <w:r w:rsidRPr="005E78BB">
              <w:rPr>
                <w:rFonts w:ascii="Calibri" w:eastAsia="Times New Roman" w:hAnsi="Calibri" w:cs="Calibri"/>
                <w:color w:val="000000"/>
                <w:sz w:val="18"/>
                <w:szCs w:val="18"/>
                <w:lang w:eastAsia="pl-PL"/>
              </w:rPr>
              <w:br w:type="page"/>
              <w:t>Jednocześnie udostępniona została informacja o terminach i możliwych sposobach zgłaszania uwag do konsultowanych dokumentów. Wskazanymi kanałami do zgłaszania uwag w ramach konsultacji społecznych projektów IIaPGW (zgodnie z informacją m.in. na stronie www.apgw.gov.pl) były:</w:t>
            </w:r>
            <w:r w:rsidRPr="005E78BB">
              <w:rPr>
                <w:rFonts w:ascii="Calibri" w:eastAsia="Times New Roman" w:hAnsi="Calibri" w:cs="Calibri"/>
                <w:color w:val="000000"/>
                <w:sz w:val="18"/>
                <w:szCs w:val="18"/>
                <w:lang w:eastAsia="pl-PL"/>
              </w:rPr>
              <w:br w:type="page"/>
              <w:t>- poprzez ankietę online na stronie;</w:t>
            </w:r>
            <w:r w:rsidRPr="005E78BB">
              <w:rPr>
                <w:rFonts w:ascii="Calibri" w:eastAsia="Times New Roman" w:hAnsi="Calibri" w:cs="Calibri"/>
                <w:color w:val="000000"/>
                <w:sz w:val="18"/>
                <w:szCs w:val="18"/>
                <w:lang w:eastAsia="pl-PL"/>
              </w:rPr>
              <w:br w:type="page"/>
              <w:t>- poprzez wiadomość e-mail na adres: konsultacje@apgw.gov.pl lub apgw@mi.gov.pl;</w:t>
            </w:r>
            <w:r w:rsidRPr="005E78BB">
              <w:rPr>
                <w:rFonts w:ascii="Calibri" w:eastAsia="Times New Roman" w:hAnsi="Calibri" w:cs="Calibri"/>
                <w:color w:val="000000"/>
                <w:sz w:val="18"/>
                <w:szCs w:val="18"/>
                <w:lang w:eastAsia="pl-PL"/>
              </w:rPr>
              <w:br w:type="page"/>
              <w:t>- pisemnie, w miejscu udostępnienia dokumentów planistycznych, w Państwowym Gospodarstwie Wodnym Wody Polskie w Warszawie, ul. Żelazna 59A, 00-848 Warszawa;</w:t>
            </w:r>
            <w:r w:rsidRPr="005E78BB">
              <w:rPr>
                <w:rFonts w:ascii="Calibri" w:eastAsia="Times New Roman" w:hAnsi="Calibri" w:cs="Calibri"/>
                <w:color w:val="000000"/>
                <w:sz w:val="18"/>
                <w:szCs w:val="18"/>
                <w:lang w:eastAsia="pl-PL"/>
              </w:rPr>
              <w:br w:type="page"/>
              <w:t>- pisemnie, przesyłając uwagi na adres Ministerstwa Infrastruktury, ul. Chałubińskiego 4/6, 00-928 Warszawa;</w:t>
            </w:r>
            <w:r w:rsidRPr="005E78BB">
              <w:rPr>
                <w:rFonts w:ascii="Calibri" w:eastAsia="Times New Roman" w:hAnsi="Calibri" w:cs="Calibri"/>
                <w:color w:val="000000"/>
                <w:sz w:val="18"/>
                <w:szCs w:val="18"/>
                <w:lang w:eastAsia="pl-PL"/>
              </w:rPr>
              <w:br w:type="page"/>
              <w:t>- ustnie, do protokołu, w siedzibie Ministerstwa Infrastruktury, ul. Nowy Świat 6/12, 00-400 Warszawa, III piętro, Departament Gospodarki Wodnej i Żeglugi Śródlądowej.</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Tym samym zapewnione zostały zróżnicowane kanały komunikacji dostępne dla zainteresowanych. Nie stosowano dodatkowych ograniczeń co do formy przedkładanych uwag.</w:t>
            </w:r>
          </w:p>
        </w:tc>
      </w:tr>
      <w:tr w:rsidR="0085319C" w:rsidRPr="005E78BB" w14:paraId="7138E535" w14:textId="77777777" w:rsidTr="00E92AE6">
        <w:trPr>
          <w:trHeight w:val="454"/>
        </w:trPr>
        <w:tc>
          <w:tcPr>
            <w:tcW w:w="562" w:type="dxa"/>
            <w:shd w:val="clear" w:color="auto" w:fill="auto"/>
            <w:hideMark/>
          </w:tcPr>
          <w:p w14:paraId="3945F97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768</w:t>
            </w:r>
          </w:p>
        </w:tc>
        <w:tc>
          <w:tcPr>
            <w:tcW w:w="1021" w:type="dxa"/>
          </w:tcPr>
          <w:p w14:paraId="1A142D3B" w14:textId="6F82750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124FB2ED" w14:textId="6172752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KONSULTACJE SPOŁECZNE</w:t>
            </w:r>
          </w:p>
        </w:tc>
        <w:tc>
          <w:tcPr>
            <w:tcW w:w="5663" w:type="dxa"/>
            <w:shd w:val="clear" w:color="auto" w:fill="auto"/>
            <w:hideMark/>
          </w:tcPr>
          <w:p w14:paraId="168FF3C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Konsultacje – dane ze strony aPGW</w:t>
            </w:r>
            <w:r w:rsidRPr="005E78BB">
              <w:rPr>
                <w:rFonts w:ascii="Calibri" w:eastAsia="Times New Roman" w:hAnsi="Calibri" w:cs="Calibri"/>
                <w:color w:val="000000"/>
                <w:sz w:val="18"/>
                <w:szCs w:val="18"/>
                <w:lang w:eastAsia="pl-PL"/>
              </w:rPr>
              <w:br/>
              <w:t>Informacje na temat IIaPGW i procesu konsultacji umieszczono na stronie https://apgw.gov.pl/, jednocześnie przekierowując na nią z adresu www.apgw.kzgw.gov.pl , na którym znajdowała się dokumentacja dotycząca poprzedniej aktualizacji PGW, w tym wyniki konsultacji publicznych tychże. Znajdowały się tam również informacje o konsultacjach niektórych dokumentów źródłowych IIaPGW. W przypadku konsultacji aPZRP nie postąpiono w ten sposób – nadal dostępne są dane ze „starej” strony co znacznie ułatwia proces konsultacji aktualizacji tego dokumentu.</w:t>
            </w:r>
          </w:p>
        </w:tc>
        <w:tc>
          <w:tcPr>
            <w:tcW w:w="3377" w:type="dxa"/>
            <w:shd w:val="clear" w:color="auto" w:fill="auto"/>
            <w:hideMark/>
          </w:tcPr>
          <w:p w14:paraId="2B8816A6"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Przywrócić dane z poprzedniego okresu planistycznego, dostępne pod starym adresem konsultacji www.apgw.kzgw.gov.pl </w:t>
            </w:r>
          </w:p>
        </w:tc>
        <w:tc>
          <w:tcPr>
            <w:tcW w:w="3401" w:type="dxa"/>
            <w:shd w:val="clear" w:color="auto" w:fill="auto"/>
            <w:hideMark/>
          </w:tcPr>
          <w:p w14:paraId="1ED9B3B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20D09CB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E1A0B5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3340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Uwaga nie dotyczy bezpośrednio konsultowanego dokumentu, a internetowej strony projektowej. Strona apgw.gov.pl została zmodyfikowana na potrzeby bieżących prac i konsultacji społecznych. Informacje dotyczące poprzedniej aktualizacji PGW znajdują się w zakładce https://apgw.gov.pl/pl/II-cykl-informacje-ogolne; https://apgw.gov.pl/pl/II-cykl-konsultacje-spoleczne; https://apgw.gov.pl/pl/II-cykl-materialy-do-pobrania. Na stronie www.apgw.gov.pl znajdują się wszystkie informacje, które były niezbędne do wzięcia udziału w konsultacjach społecznych projektów IIaPGW – same projekty planów, ich wersje niespecjalistyczne, broszura, ulotka, słowniczek pojęć i formularz zgłaszania uwag. Wyniki konsultacji również znajdą się na stronie. Dokumentacja z poprzedniego cyklu może zostać udostępniona na wniosek osoby zainteresowanej.</w:t>
            </w:r>
          </w:p>
        </w:tc>
      </w:tr>
      <w:tr w:rsidR="0085319C" w:rsidRPr="005E78BB" w14:paraId="1CB0247B" w14:textId="77777777" w:rsidTr="00E92AE6">
        <w:trPr>
          <w:trHeight w:val="454"/>
        </w:trPr>
        <w:tc>
          <w:tcPr>
            <w:tcW w:w="562" w:type="dxa"/>
            <w:shd w:val="clear" w:color="auto" w:fill="auto"/>
            <w:hideMark/>
          </w:tcPr>
          <w:p w14:paraId="2EBE0FA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769</w:t>
            </w:r>
          </w:p>
        </w:tc>
        <w:tc>
          <w:tcPr>
            <w:tcW w:w="1021" w:type="dxa"/>
          </w:tcPr>
          <w:p w14:paraId="171EECDA" w14:textId="7AD09A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7CF29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716BACFD" w14:textId="23BD89B0"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Rozdz. 3</w:t>
            </w:r>
            <w:r w:rsidRPr="005E78BB">
              <w:rPr>
                <w:rFonts w:ascii="Calibri" w:eastAsia="Times New Roman" w:hAnsi="Calibri" w:cs="Calibri"/>
                <w:color w:val="000000"/>
                <w:sz w:val="18"/>
                <w:szCs w:val="18"/>
                <w:lang w:eastAsia="pl-PL"/>
              </w:rPr>
              <w:br/>
              <w:t xml:space="preserve">W IIaPGW dla dorzecza Wisły znacząco zmniejszono liczbę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(z 2660 do 1719), w stosunku do aPGW. Część cieków całkowicie usunięto z układu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część połączono z innymi ciekami, a największa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zniknęła poprzez złączenie sąsiadujących części wód w obrębie tego samego cieku. W wyniku tych zabiegów średnia długość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wzrosła w dorzeczu Wisły o prawie połowę – z ok 24 km do ponad 36,5 km. Obecnie najdłuższa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ma aż 234 km, najdłuższa obejmująca jedną rzekę – 150 km (Bug od Włodawki do granicy w Niemirowie – wcześniej 3 mniejsze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Zarzadzanie i ochrona tak dużych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bardzo mało efektywna. Przyczyna takiego podejścia (takich zmian), nie została wyjaśniona w projekcie IIaPGW.  </w:t>
            </w:r>
            <w:r w:rsidRPr="005E78BB">
              <w:rPr>
                <w:rFonts w:ascii="Calibri" w:eastAsia="Times New Roman" w:hAnsi="Calibri" w:cs="Calibri"/>
                <w:color w:val="000000"/>
                <w:sz w:val="18"/>
                <w:szCs w:val="18"/>
                <w:lang w:eastAsia="pl-PL"/>
              </w:rPr>
              <w:br/>
              <w:t xml:space="preserve">Nie wystarczy napisać, że zmiany zostały wprowadzone na podstawie trzech czy  czterech dokumentów źródłowych. Takie zmiany mają bardzo duże konsekwencje prawne, np. zezwolenia na inwestycje, które w poprzednim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mogłyby zostać zrealizowane względu na negatywne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Państwa członkowskie nie mają pełnej dowolności w ustalaniu granic i typologii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tak radykalne zmiany powinny zostać poddane pełnej kontroli publicznej. Nawet jeśli któryś z dokumentów, na podstawie którego dokonano zmian, był przedstawiony do konsultacji publicznych, to informacja o ich wynikach powinna znaleźć się w projekcie IIaPGW. Nie powinno się też wykluczać zmian w układzie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wyniku konsultacji projektu IIaPGW.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4AD85999" w14:textId="59176C3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Uzasadnić w IIaPGW zmiany mające na celu ograniczenie ilości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szczególnie, że zostały utworzone na podstawie więcej niż jednego opracowania. Ponownie zweryfikować zasadność wyłączeń części cieków niebędących ciekami okresowymi z „sieci”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Ponownie zweryfikować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składające się wcześniej z przynajmniej 3 odrębnych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Zweryfikować połączenia w odniesieniu do hydromorfologicznej klasyfikacji odcinków cieków, które w wyniku agregacji zmieniły status na SZCW z NAT. Potrzebny jest też opis roli organów zarządzających wodami w utworzeniu ostatecznej (przedstawionej do konsultacji) siatki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 xml:space="preserve">Różnice między nowym i starym układem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(dostępne publicznie warstwy przestrzenne) powinny być możliwe do zweryfikowania także w formie wizualnej. Przedstawione nieczytelne zbiorcze mapy – załączniki IIaPGW - tej roli nie spełniają.</w:t>
            </w:r>
          </w:p>
        </w:tc>
        <w:tc>
          <w:tcPr>
            <w:tcW w:w="3401" w:type="dxa"/>
            <w:shd w:val="clear" w:color="auto" w:fill="auto"/>
            <w:hideMark/>
          </w:tcPr>
          <w:p w14:paraId="68F22DCD" w14:textId="3CCDAF1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Zmiany w zasięgu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głównie poprzez ich scalenie i wydłużenie implikują daleko idące zmiany prawne. Co prawda ułatwiają sporządzenie właściwej, bardziej kompletnej sieci monitoringu wód, jednak efektem jest też umożliwienie realizacji inwestycji, które przy wcześniejszym, bardziej szczegółowym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mogły być zrealizowane ze względu na oddziaływanie na sąsiadujące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(art. 4.8 RDW), czy większą presję na konkretną część wód. IIaPGW powinno zawierać dowód, że za nowym podziałem stoją racjonalne przesłanki, inne niż np. oszczędności na rozbudowie sieci monitoringowej i chęć realizacji większej ilości przedsięwzięć wykazujących presje na wody - znacząco negatywnie oddziałujących na stan wód i obszary chronione zależne od wód. Dziwnym zbiegiem okoliczności, nagle żadne z przedsięwzięć spełniających według Wód Polskich warunki derogacji art. 4.7 nie wykazuje negatywnych oddziaływań na inne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niż te, na których jest czy ma być położone.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Zmniejszenie o 6 jednostek typologii rzek nie może być jedyną podstawą do zmian poczynionych 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 wyniku daleko idących ujednoliceń powstały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„giganty” o długościach łącznych powyżej 200 km, a także bardzo długie odcinki pojedynczych cieków, których monitorowanie w jednym miejscu (punkcie) jest kompletnie niemiarodajne. </w:t>
            </w:r>
          </w:p>
        </w:tc>
        <w:tc>
          <w:tcPr>
            <w:tcW w:w="1918" w:type="dxa"/>
            <w:shd w:val="clear" w:color="auto" w:fill="auto"/>
            <w:hideMark/>
          </w:tcPr>
          <w:p w14:paraId="2DD40E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B4C904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0348D8C1" w14:textId="291BBEF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podrzednim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1A305930" w14:textId="77777777" w:rsidTr="00CD6FBC">
        <w:trPr>
          <w:trHeight w:val="454"/>
        </w:trPr>
        <w:tc>
          <w:tcPr>
            <w:tcW w:w="562" w:type="dxa"/>
            <w:shd w:val="clear" w:color="auto" w:fill="auto"/>
            <w:hideMark/>
          </w:tcPr>
          <w:p w14:paraId="2C74374A"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770</w:t>
            </w:r>
          </w:p>
        </w:tc>
        <w:tc>
          <w:tcPr>
            <w:tcW w:w="1021" w:type="dxa"/>
            <w:shd w:val="clear" w:color="auto" w:fill="auto"/>
          </w:tcPr>
          <w:p w14:paraId="49A5614A" w14:textId="2FBD946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ClientEarth Prawnicy dla Ziemi</w:t>
            </w:r>
          </w:p>
        </w:tc>
        <w:tc>
          <w:tcPr>
            <w:tcW w:w="1630" w:type="dxa"/>
            <w:shd w:val="clear" w:color="auto" w:fill="auto"/>
            <w:hideMark/>
          </w:tcPr>
          <w:p w14:paraId="383904B9"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OGÓLNY OPIS CECH CHARAKTERYSTYCZNYCH OBSZARU DORZECZA WRAZ Z WYKAZEM OBSZARÓW CHRONIONYCH</w:t>
            </w:r>
          </w:p>
        </w:tc>
        <w:tc>
          <w:tcPr>
            <w:tcW w:w="5663" w:type="dxa"/>
            <w:shd w:val="clear" w:color="auto" w:fill="auto"/>
            <w:hideMark/>
          </w:tcPr>
          <w:p w14:paraId="7E7701E0" w14:textId="521859CD"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Dotyczy: Podział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RWr Zbiornikowe, Rozdz. 3, 5.1. oraz 8.1., Zał. 3.1. oraz 8. , Zał. mapowe</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W obecnym IIaPGW wyróżniono zbiornikowe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wcześniej wyznaczone jako rzeczne (RW). Zmiana ta nie dotyczy wszystkich zbiorników, a wobec braku czytelnych map w projekcie IIaPGW nie jest znana ich forma i zasięg.  Cofki niektórych zbiorników podgórskich i nizinnych mają charakter koryt rzecznych, delt i innych form stanowiących cenne siedliska przyrodnicze. Dla zbiornikowych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stosuje się odmienną ocenę potencjału (wszystkie są SZCW). Może to oznaczać, że działania polegające na odtwarzaniu pojemności zbiorników czy udrażniania wlotów do nich nie będą interpretowane jako negatywne oddziaływanie na cele środowiskowe RDW, mimo, że taki negatywny wpływ wystąpi - poprzez likwidację cennych siedlisk przyrodniczych dla gatunków wodnych i od wód zależnych.</w:t>
            </w:r>
          </w:p>
        </w:tc>
        <w:tc>
          <w:tcPr>
            <w:tcW w:w="3377" w:type="dxa"/>
            <w:shd w:val="clear" w:color="auto" w:fill="auto"/>
            <w:hideMark/>
          </w:tcPr>
          <w:p w14:paraId="368FDD6B" w14:textId="6AF696ED" w:rsidR="0085319C" w:rsidRPr="00CD6FBC" w:rsidRDefault="0085319C" w:rsidP="0085319C">
            <w:pPr>
              <w:spacing w:after="240"/>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Zweryfikować wyznaczenie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Wyłączyć z wyznaczeń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cofki zbiorników mające charakter koryt rzecznych, delt i innych form stanowiących cenne siedliska przyrodnicze(obligatoryjnie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uznanych za zbiorniki limniczne).</w:t>
            </w:r>
          </w:p>
        </w:tc>
        <w:tc>
          <w:tcPr>
            <w:tcW w:w="3401" w:type="dxa"/>
            <w:shd w:val="clear" w:color="auto" w:fill="auto"/>
            <w:hideMark/>
          </w:tcPr>
          <w:p w14:paraId="482E3334" w14:textId="1E659B48"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Dla zbiornikowych RWr nie stosuje się przy ocenie indeksu HIR, a dla części z nich ocena potencjału elementów fizykochemicznych opiera się na normach dla jezior (stratyfikowanych i niestratyfkowanych). Przy ocenie elementów biologicznych dla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wyznaczonych jako limniczne stosuje się klasyfikację jak dla jezior.</w:t>
            </w:r>
            <w:r w:rsidRPr="00CD6FBC">
              <w:rPr>
                <w:rFonts w:ascii="Calibri" w:eastAsia="Times New Roman" w:hAnsi="Calibri" w:cs="Calibri"/>
                <w:color w:val="000000"/>
                <w:sz w:val="18"/>
                <w:szCs w:val="18"/>
                <w:lang w:eastAsia="pl-PL"/>
              </w:rPr>
              <w:br/>
              <w:t xml:space="preserve">Takie podejście nie może być usprawiedliwieniem dla znaczących negatywnych zmian w cennych siedliskach związanych z cofkami niektórych zbiorników wodnych. </w:t>
            </w:r>
          </w:p>
        </w:tc>
        <w:tc>
          <w:tcPr>
            <w:tcW w:w="1918" w:type="dxa"/>
            <w:shd w:val="clear" w:color="auto" w:fill="auto"/>
            <w:hideMark/>
          </w:tcPr>
          <w:p w14:paraId="2F6F29DC"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56A599D6"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2A0B9A6F" w14:textId="7158E869"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IIaPGW prezentuje odrębnie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które w poprzednim planie gospodarowania wodami analizowane były w kategorii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w:t>
            </w:r>
            <w:r w:rsidRPr="00CD6FBC">
              <w:rPr>
                <w:rFonts w:ascii="Calibri" w:eastAsia="Times New Roman" w:hAnsi="Calibri" w:cs="Calibri"/>
                <w:color w:val="000000"/>
                <w:sz w:val="18"/>
                <w:szCs w:val="18"/>
                <w:lang w:eastAsia="pl-PL"/>
              </w:rPr>
              <w:br/>
              <w:t xml:space="preserve">Przyjęte podejście pozwala na charakterystykę każdej z kategorii wód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LW,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TW,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CW.</w:t>
            </w:r>
            <w:r w:rsidRPr="00CD6FBC">
              <w:rPr>
                <w:rFonts w:ascii="Calibri" w:eastAsia="Times New Roman" w:hAnsi="Calibri" w:cs="Calibri"/>
                <w:color w:val="000000"/>
                <w:sz w:val="18"/>
                <w:szCs w:val="18"/>
                <w:lang w:eastAsia="pl-PL"/>
              </w:rPr>
              <w:br/>
              <w:t xml:space="preserve">W zał. </w:t>
            </w:r>
            <w:r w:rsidR="001C3C71" w:rsidRPr="001C3C71">
              <w:rPr>
                <w:rFonts w:ascii="Calibri" w:eastAsia="Times New Roman" w:hAnsi="Calibri" w:cs="Calibri"/>
                <w:color w:val="000000"/>
                <w:sz w:val="18"/>
                <w:szCs w:val="18"/>
                <w:lang w:eastAsia="pl-PL"/>
              </w:rPr>
              <w:t>Wartości graniczne SCW i SZCW</w:t>
            </w:r>
            <w:r w:rsidR="001C3C71" w:rsidRPr="00CD6FBC" w:rsidDel="001C3C71">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wskazano dla RWr wartości graniczne parametrów fizykochemicznych odpowiadające najbliższemu naturalnemu typowi abiotycznemu poprzez przyporządkowanie wyznaczonych SZCW RWr do odpowiednich typów wód naturalnych. Przyjęta zasada opiera się na podziale zbiorników zaporowych na typy: reolimniczne, przejściowe i limniczne. Dla zbiorników reolimnicznych jako odpowiedni dla wartości granic parametrów fizykochemicznych wskazano typ abiotyczny rzeki, na której zbudowany jest zbiornik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poniżej zapory). Wynika to ze stosunkowo najmniejszej zmiany warunków fizykochemicznych w zbiornikach tego typu (o czasie retencji nie przekraczającym 20 dni) w stosunku do panujących w rzece nie spiętrzonej. Dla zbiorników przejściowych (czas retencji 20-40 dni) jako odpowiednik naturalny wskazano wielkie rzeki nizinne (obecnie typ nr 21, w nowej typologii – typ RWN). Są to naturalne środowiska rzeczne o największej szerokości i głębokości oraz z reguły wolniejszym przepływie, toteż panujące w nich warunki fizykochemiczne są najbardziej zbliżone dla zbiorników o umiarkowanym czasie retencji. Natomiast dla zbiorników limnicznych (czas retencji ponad 40 dni), jako naturalny odpowiednik zostały wskazane odpowiednie typy jezior, z uwzględnieniem głębokości i możliwości wykształcenia stratyfikacji termicznej w zbiorniku.</w:t>
            </w:r>
            <w:r w:rsidRPr="00CD6FBC">
              <w:rPr>
                <w:rFonts w:ascii="Calibri" w:eastAsia="Times New Roman" w:hAnsi="Calibri" w:cs="Calibri"/>
                <w:color w:val="000000"/>
                <w:sz w:val="18"/>
                <w:szCs w:val="18"/>
                <w:lang w:eastAsia="pl-PL"/>
              </w:rPr>
              <w:br/>
            </w:r>
            <w:r w:rsidRPr="00CD6FBC">
              <w:rPr>
                <w:rFonts w:ascii="Calibri" w:eastAsia="Times New Roman" w:hAnsi="Calibri" w:cs="Calibri"/>
                <w:color w:val="000000"/>
                <w:sz w:val="18"/>
                <w:szCs w:val="18"/>
                <w:lang w:eastAsia="pl-PL"/>
              </w:rPr>
              <w:br/>
              <w:t xml:space="preserve">Zgłoszona uwaga w zakresie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RWr dotyczy materiału źródłowego do projektów IIaPGW i zostanie rozpatrzona przy aktualizacji jednostek do planowania na kolejny cykl. Wykaz jednostek planistycznych stanowiących materiał źródłowy do projektów IIaPGW był poddany oddzielnym konsultacjom społecznym w trakcie ich opracowywania.</w:t>
            </w:r>
          </w:p>
        </w:tc>
      </w:tr>
      <w:tr w:rsidR="0085319C" w:rsidRPr="005E78BB" w14:paraId="21D8FE59" w14:textId="77777777" w:rsidTr="00CD6FBC">
        <w:trPr>
          <w:trHeight w:val="454"/>
        </w:trPr>
        <w:tc>
          <w:tcPr>
            <w:tcW w:w="562" w:type="dxa"/>
            <w:shd w:val="clear" w:color="auto" w:fill="auto"/>
            <w:hideMark/>
          </w:tcPr>
          <w:p w14:paraId="4BDA3724" w14:textId="77777777" w:rsidR="0085319C" w:rsidRPr="00CD6FBC" w:rsidRDefault="0085319C" w:rsidP="0085319C">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771</w:t>
            </w:r>
          </w:p>
        </w:tc>
        <w:tc>
          <w:tcPr>
            <w:tcW w:w="1021" w:type="dxa"/>
            <w:shd w:val="clear" w:color="auto" w:fill="auto"/>
          </w:tcPr>
          <w:p w14:paraId="4B302109" w14:textId="16F3386B"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Fundacja ClientEarth Prawnicy dla Ziemi</w:t>
            </w:r>
          </w:p>
        </w:tc>
        <w:tc>
          <w:tcPr>
            <w:tcW w:w="1630" w:type="dxa"/>
            <w:shd w:val="clear" w:color="auto" w:fill="auto"/>
            <w:hideMark/>
          </w:tcPr>
          <w:p w14:paraId="585679A5" w14:textId="71FEA249"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088595AC" w14:textId="69FB5D5A"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Dotyczy: Rozdz. 3.1.SZCW</w:t>
            </w:r>
            <w:r w:rsidRPr="00CD6FBC">
              <w:rPr>
                <w:rFonts w:ascii="Calibri" w:eastAsia="Times New Roman" w:hAnsi="Calibri" w:cs="Calibri"/>
                <w:color w:val="000000"/>
                <w:sz w:val="18"/>
                <w:szCs w:val="18"/>
                <w:lang w:eastAsia="pl-PL"/>
              </w:rPr>
              <w:br w:type="page"/>
              <w:t xml:space="preserve">Wyznaczenie SZCW wymaga „rozwiania wszystkich racjonalnych wątpliwości, że istnieją przesłanki do wyznaczenia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jako nienaturalnej części wód”,  a wszelkie niepewności, w tym brak danych, nie pozwalają na obniżenie wymogów celów środowiskowych (potencjał ekologiczny zamiast stanu).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Zgodnie z art. 4.3. RDW Państwa Członkowskie mogą wyznaczyć część wód powierzchniowych jako sztucznie lub silnie zmienioną, gdy:</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a) zmiany charakterystyk hydromorfologicznych tej części wód, które byłyby konieczne dla osiągnięcia dobrego stanu ekologicznego, mogłyby wywrzeć znaczący niekorzystny wpływ na: środowisko w szerszym znaczeniu; żeglugę, włączając urządzenia portowe, lub rekreację; działalność, do której celów woda jest magazynowana, takie jak zaopatrzenie w wodę do spożycia, wytwarzanie prądu lub nawadnianie; regulację wód, zapobieganie powodzi, odwadnianie ziemi; lub inną jednakowo ważną działalność człowieka związaną ze zrównoważonym rozwojem;</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b) korzystne cele, do których się dąży za pomocą charakterystyki sztucznej lub silnie zmienionej części wód, nie mogą ze względu na możliwości techniczne lub nieproporcjonalne koszty, być racjonalnie osiągnięte za pomocą innych środków, które stanowią opcję znacznie korzystniejszą środowiskowo.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Takie przeznaczenie i związane z tym przyczyny są szczegółowo określane w planach gospodarowania wodami w dorzeczach wymaganych na mocy art. 13 i przeglądanych co sześć lat.”</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Zgodnie z dokumentem  </w:t>
            </w:r>
            <w:r w:rsidRPr="00CD6FBC">
              <w:rPr>
                <w:rFonts w:ascii="Calibri" w:eastAsia="Times New Roman" w:hAnsi="Calibri" w:cs="Calibri"/>
                <w:color w:val="000000"/>
                <w:sz w:val="18"/>
                <w:szCs w:val="18"/>
                <w:lang w:eastAsia="pl-PL"/>
              </w:rPr>
              <w:br w:type="page"/>
              <w:t xml:space="preserve">DOKUMENT ROBOCZY SŁUŻB KOMISJI Drugie plany gospodarowania wodami w dorzeczu – państwo członkowskie: Polska – </w:t>
            </w:r>
            <w:r w:rsidRPr="00CD6FBC">
              <w:rPr>
                <w:rFonts w:ascii="Calibri" w:eastAsia="Times New Roman" w:hAnsi="Calibri" w:cs="Calibri"/>
                <w:color w:val="000000"/>
                <w:sz w:val="18"/>
                <w:szCs w:val="18"/>
                <w:lang w:eastAsia="pl-PL"/>
              </w:rPr>
              <w:br w:type="page"/>
              <w:t>- dostępny np. na stronie konsultacji IIaPGW https://www.apgw.gov.pl/pl/news/show/90</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Zalecenie z 2012 r.: </w:t>
            </w:r>
            <w:r w:rsidRPr="00CD6FBC">
              <w:rPr>
                <w:rFonts w:ascii="Calibri" w:eastAsia="Times New Roman" w:hAnsi="Calibri" w:cs="Calibri"/>
                <w:color w:val="000000"/>
                <w:sz w:val="18"/>
                <w:szCs w:val="18"/>
                <w:lang w:eastAsia="pl-PL"/>
              </w:rPr>
              <w:br w:type="page"/>
              <w:t xml:space="preserve">Wyznaczenie silnie zmienionych jednolitych części wód powinno być zgodne ze wszystkimi wymogami określonymi w art. 4 ust. 3. W planach gospodarowania wodami w dorzeczach należy położyć szczególny nacisk na ocenę „znaczącego niekorzystnego wpływu” na sposób korzystania z wód lub środowisko naturalne oraz brak „opcji znacznie korzystniejszych środowiskowo”. Jest to konieczne do zapewnienia przejrzystości procesu wyznaczania.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Powyższe zalecenie zostało wykonane w IIaPGW tylko częściowo.</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Dane przedstawione w IIaPGW, w tym w załączniku 1 dla Wisły (Zestawienie Główne), nie pozwalają w sposób przejrzysty ocenić sposobu wyznaczania SZCW, a warunki uznania (niekorzystny wpływ i brak innych opcji) nie są szczegółowo i indywidualnie dla danej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określone w projekcie IIaPGW.</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 xml:space="preserve">Wszystkie SZCW w Zał. 1 Zestawienie Główne mają warunki uznania opisane hasłowo: brak możliwości skutecznego odwrócenia zmian hydromorfologicznych, brak alternatyw dla pełnionych funkcji. Nie ma wytłumaczenia dlaczego tak jest. Wymienione są warunki hydromorfologiczne, ale też hasłowo, np.: zapory, bariery, przegrody (zabudowa poprzeczna); zmiany fizyczne koryta /strefy nadbrzeżnej, zabudowa podłużna; podobnie z funkcjami: np.: energetyka wodna; ochrona przeciwpowodziowa; rozwój obszarów miejskich - zaopatrzenie w wodę ludności. </w:t>
            </w:r>
            <w:r w:rsidRPr="00CD6FBC">
              <w:rPr>
                <w:rFonts w:ascii="Calibri" w:eastAsia="Times New Roman" w:hAnsi="Calibri" w:cs="Calibri"/>
                <w:color w:val="000000"/>
                <w:sz w:val="18"/>
                <w:szCs w:val="18"/>
                <w:lang w:eastAsia="pl-PL"/>
              </w:rPr>
              <w:br w:type="page"/>
              <w:t>Na tej podstawie nie można ani potwierdzić ani zaprzeczyć, że zmian hydromorfologicznych nie można odwrócić bez szkody dla pełnionych funkcji i nie ma żadnych rozwiązań alternatywnych dla osiągnięcia tych „korzystnych celów”, o których mowa w przytoczonym wyżej zapisie RDW. Zwłaszcza, że powstał nieuwzględniony dostatecznie w IIaPGW – Krajowy Program Renaturyzacji Wód Powierzchniowych (KPRWP).</w:t>
            </w:r>
            <w:r w:rsidRPr="00CD6FBC">
              <w:rPr>
                <w:rFonts w:ascii="Calibri" w:eastAsia="Times New Roman" w:hAnsi="Calibri" w:cs="Calibri"/>
                <w:color w:val="000000"/>
                <w:sz w:val="18"/>
                <w:szCs w:val="18"/>
                <w:lang w:eastAsia="pl-PL"/>
              </w:rPr>
              <w:br w:type="page"/>
              <w:t xml:space="preserve">Jeśli zaś, zachodzi niepewność, co do możliwości wyznaczenia SZCW, wyznaczenie takie było nieuprawnione. </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r>
          </w:p>
        </w:tc>
        <w:tc>
          <w:tcPr>
            <w:tcW w:w="3377" w:type="dxa"/>
            <w:shd w:val="clear" w:color="auto" w:fill="auto"/>
            <w:hideMark/>
          </w:tcPr>
          <w:p w14:paraId="07CB9C16" w14:textId="70D49863"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Każdorazowo udowodnić (dla konkretnej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brak wątpliwości przy wyznaczeniu SZCW, szczególnie udowodnić  zmiany charakterystyk hydromorfologicznych tej części wód, które byłyby konieczne dla osiągnięcia dobrego stanu ekologicznego, mogłyby wywrzeć znaczący niekorzystny wpływ na dane cele działalności opisanej w RDW, oraz że faktycznie nie było innych opcji znacznie korzystniejszych środowiskowo.</w:t>
            </w:r>
            <w:r w:rsidRPr="00CD6FBC">
              <w:rPr>
                <w:rFonts w:ascii="Calibri" w:eastAsia="Times New Roman" w:hAnsi="Calibri" w:cs="Calibri"/>
                <w:color w:val="000000"/>
                <w:sz w:val="18"/>
                <w:szCs w:val="18"/>
                <w:lang w:eastAsia="pl-PL"/>
              </w:rPr>
              <w:br w:type="page"/>
              <w:t>Należy przy tym wziąć pod uwagę, indywidualne dla każdej a</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ustalenia KPRWP.</w:t>
            </w:r>
            <w:r w:rsidRPr="00CD6FBC">
              <w:rPr>
                <w:rFonts w:ascii="Calibri" w:eastAsia="Times New Roman" w:hAnsi="Calibri" w:cs="Calibri"/>
                <w:color w:val="000000"/>
                <w:sz w:val="18"/>
                <w:szCs w:val="18"/>
                <w:lang w:eastAsia="pl-PL"/>
              </w:rPr>
              <w:br w:type="page"/>
            </w:r>
            <w:r w:rsidRPr="00CD6FBC">
              <w:rPr>
                <w:rFonts w:ascii="Calibri" w:eastAsia="Times New Roman" w:hAnsi="Calibri" w:cs="Calibri"/>
                <w:color w:val="000000"/>
                <w:sz w:val="18"/>
                <w:szCs w:val="18"/>
                <w:lang w:eastAsia="pl-PL"/>
              </w:rPr>
              <w:br w:type="page"/>
              <w:t>Na tej podstawie należy nadać status NAT wszystkim częściom wód ujętym w projekcie IIaPGW, które nie spełniają wymogów art. 4.3. RDW.</w:t>
            </w:r>
            <w:r w:rsidRPr="00CD6FBC">
              <w:rPr>
                <w:rFonts w:ascii="Calibri" w:eastAsia="Times New Roman" w:hAnsi="Calibri" w:cs="Calibri"/>
                <w:color w:val="000000"/>
                <w:sz w:val="18"/>
                <w:szCs w:val="18"/>
                <w:lang w:eastAsia="pl-PL"/>
              </w:rPr>
              <w:br w:type="page"/>
            </w:r>
          </w:p>
        </w:tc>
        <w:tc>
          <w:tcPr>
            <w:tcW w:w="3401" w:type="dxa"/>
            <w:shd w:val="clear" w:color="auto" w:fill="auto"/>
            <w:hideMark/>
          </w:tcPr>
          <w:p w14:paraId="292FBF1A"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Jak w treści uwagi.</w:t>
            </w:r>
          </w:p>
        </w:tc>
        <w:tc>
          <w:tcPr>
            <w:tcW w:w="1918" w:type="dxa"/>
            <w:shd w:val="clear" w:color="auto" w:fill="auto"/>
            <w:hideMark/>
          </w:tcPr>
          <w:p w14:paraId="27C30A62"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 - </w:t>
            </w:r>
          </w:p>
        </w:tc>
        <w:tc>
          <w:tcPr>
            <w:tcW w:w="1276" w:type="dxa"/>
            <w:shd w:val="clear" w:color="auto" w:fill="auto"/>
            <w:hideMark/>
          </w:tcPr>
          <w:p w14:paraId="00722573" w14:textId="77777777" w:rsidR="0085319C" w:rsidRPr="00CD6FBC"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wyjaśnienie</w:t>
            </w:r>
          </w:p>
        </w:tc>
        <w:tc>
          <w:tcPr>
            <w:tcW w:w="3513" w:type="dxa"/>
            <w:shd w:val="clear" w:color="auto" w:fill="auto"/>
            <w:hideMark/>
          </w:tcPr>
          <w:p w14:paraId="36136A12" w14:textId="0A0E99CA" w:rsidR="0085319C" w:rsidRPr="005E78BB" w:rsidRDefault="0085319C" w:rsidP="0085319C">
            <w:pPr>
              <w:ind w:firstLine="0"/>
              <w:jc w:val="left"/>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przygotowany został zaktualizowany wykaz SCW i SZCW stanowiący materiał źródłowy dla IIaPGW. Załącznik nr 1 IIaPGW przedstawia wyniki tego działania dla poszczególnych </w:t>
            </w:r>
            <w:r w:rsidR="00513278">
              <w:rPr>
                <w:rFonts w:ascii="Calibri" w:eastAsia="Times New Roman" w:hAnsi="Calibri" w:cs="Calibri"/>
                <w:color w:val="000000"/>
                <w:sz w:val="18"/>
                <w:szCs w:val="18"/>
                <w:lang w:eastAsia="pl-PL"/>
              </w:rPr>
              <w:t>JCWP</w:t>
            </w:r>
            <w:r w:rsidRPr="00CD6FBC">
              <w:rPr>
                <w:rFonts w:ascii="Calibri" w:eastAsia="Times New Roman" w:hAnsi="Calibri" w:cs="Calibri"/>
                <w:color w:val="000000"/>
                <w:sz w:val="18"/>
                <w:szCs w:val="18"/>
                <w:lang w:eastAsia="pl-PL"/>
              </w:rPr>
              <w:t xml:space="preserve"> w zakresie uzasadnienia wyznaczenia, sposobu użytkowania wód oraz zmian hydromorfologicznych z nimi związanych. Załącznik </w:t>
            </w:r>
            <w:r w:rsidR="001C3C71" w:rsidRPr="001C3C71">
              <w:rPr>
                <w:rFonts w:ascii="Calibri" w:eastAsia="Times New Roman" w:hAnsi="Calibri" w:cs="Calibri"/>
                <w:color w:val="000000"/>
                <w:sz w:val="18"/>
                <w:szCs w:val="18"/>
                <w:lang w:eastAsia="pl-PL"/>
              </w:rPr>
              <w:t>Wartości graniczne SCW i SZCW</w:t>
            </w:r>
            <w:r w:rsidR="001C3C71" w:rsidRPr="00CD6FBC" w:rsidDel="001C3C71">
              <w:rPr>
                <w:rFonts w:ascii="Calibri" w:eastAsia="Times New Roman" w:hAnsi="Calibri" w:cs="Calibri"/>
                <w:color w:val="000000"/>
                <w:sz w:val="18"/>
                <w:szCs w:val="18"/>
                <w:lang w:eastAsia="pl-PL"/>
              </w:rPr>
              <w:t xml:space="preserve"> </w:t>
            </w:r>
            <w:r w:rsidRPr="00CD6FBC">
              <w:rPr>
                <w:rFonts w:ascii="Calibri" w:eastAsia="Times New Roman" w:hAnsi="Calibri" w:cs="Calibri"/>
                <w:color w:val="000000"/>
                <w:sz w:val="18"/>
                <w:szCs w:val="18"/>
                <w:lang w:eastAsia="pl-PL"/>
              </w:rPr>
              <w:t>przedstawia wartości graniczne dobrego potencjału ekologicznego. Wartości te zostały określone indywidualnie dla poszczególnych części wód przy uwzględnieniu wdrażania planowanych działań restytucyjnych. KPRWP jest dokumentem wskazującym kierunki działań: nie uwzględnia aspektów związanych ze sposobem użytkowania wód zidentyfikowanych na etapie wyznaczenia SZCW.</w:t>
            </w:r>
          </w:p>
        </w:tc>
      </w:tr>
      <w:tr w:rsidR="0085319C" w:rsidRPr="005E78BB" w14:paraId="3F9F7AF0" w14:textId="77777777" w:rsidTr="00E92AE6">
        <w:trPr>
          <w:trHeight w:val="454"/>
        </w:trPr>
        <w:tc>
          <w:tcPr>
            <w:tcW w:w="562" w:type="dxa"/>
            <w:shd w:val="clear" w:color="auto" w:fill="auto"/>
            <w:hideMark/>
          </w:tcPr>
          <w:p w14:paraId="1CA2580D"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772</w:t>
            </w:r>
          </w:p>
        </w:tc>
        <w:tc>
          <w:tcPr>
            <w:tcW w:w="1021" w:type="dxa"/>
          </w:tcPr>
          <w:p w14:paraId="38CA8CAD" w14:textId="0BC824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1EE38960" w14:textId="2D7828E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1A19F8F3" w14:textId="5987410B"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3.1.SZCW</w:t>
            </w:r>
            <w:r w:rsidRPr="005E78BB">
              <w:rPr>
                <w:rFonts w:ascii="Calibri" w:eastAsia="Times New Roman" w:hAnsi="Calibri" w:cs="Calibri"/>
                <w:color w:val="000000"/>
                <w:sz w:val="18"/>
                <w:szCs w:val="18"/>
                <w:lang w:eastAsia="pl-PL"/>
              </w:rPr>
              <w:br/>
              <w:t xml:space="preserve">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wcześniej wyznaczone jako NATuralne (aPGW) w wyniku powiększenia (złączenia z innymi) uzyskało w nowym podziale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status SZCW. Błędem metodycznym było niewprowadzenie ponownej korekty podziału nowych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trakcie przyznawania im statusu NAT/SZCW/SCW tylko sztywne bazowanie na już wyznaczonym układzie.. </w:t>
            </w: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prawidłowym  utworzenie jednej dużej SZCW z mniejszych o mieszanym statucie.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Przykładem mogą być tutaj dwie górskie rzeki Łososina i Stradomka. Obie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od górnego. O typowaniu jako SZCW (indeks HIR) decydowała tu zabudowa poprzeczna w górnych częściach zlewni. Wcześniej dolne części rzek, jako oddzielne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miały status NAT.</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Takich przykładów, szczególnie w częściach źródłowych, jest wiele.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 – ta ostatnia została złączona aż z 8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 tego niektórych o statusie NAT(w tym ciek główny).</w:t>
            </w:r>
          </w:p>
        </w:tc>
        <w:tc>
          <w:tcPr>
            <w:tcW w:w="3377" w:type="dxa"/>
            <w:shd w:val="clear" w:color="auto" w:fill="auto"/>
            <w:hideMark/>
          </w:tcPr>
          <w:p w14:paraId="71704A48" w14:textId="348CAB1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przywrócić wcześniejszy podział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wraz z poprzednim statusem wód w przypadkach, w których dane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utraciły status NAT tylko w wyniku złączenia z innymi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klasyfikowanymi jako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Dotyczy to także innych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dorzeczu Wisły, w analogicznej sytuacji, np. dopływ Koszarawy  -   Sopotnia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„Soła od Wody Ujsolskiej do Zbiornika Tresna” RW200014213259 obecnie „Soła od Wody Ujsolskiej do zb. Tresna” RW20000421327999.</w:t>
            </w:r>
          </w:p>
        </w:tc>
        <w:tc>
          <w:tcPr>
            <w:tcW w:w="3401" w:type="dxa"/>
            <w:shd w:val="clear" w:color="auto" w:fill="auto"/>
            <w:hideMark/>
          </w:tcPr>
          <w:p w14:paraId="7BDE9B59" w14:textId="2421872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AA7C26">
              <w:rPr>
                <w:rFonts w:ascii="Calibri" w:eastAsia="Times New Roman" w:hAnsi="Calibri" w:cs="Calibri"/>
                <w:color w:val="000000"/>
                <w:sz w:val="18"/>
                <w:szCs w:val="18"/>
                <w:lang w:val="en-GB" w:eastAsia="pl-PL"/>
              </w:rPr>
              <w:t xml:space="preserve">Zgodnie z wytycznymi CIS Guidance No2 „Identification of Water Bodies” (rozdz. </w:t>
            </w:r>
            <w:r w:rsidRPr="005E78BB">
              <w:rPr>
                <w:rFonts w:ascii="Calibri" w:eastAsia="Times New Roman" w:hAnsi="Calibri" w:cs="Calibri"/>
                <w:color w:val="000000"/>
                <w:sz w:val="18"/>
                <w:szCs w:val="18"/>
                <w:lang w:eastAsia="pl-PL"/>
              </w:rPr>
              <w:t xml:space="preserve">2.1.) nie jest właściwe utworzenie jednej dużej SZCW z mniejszych o różnym statucie. Wymienione w treści uwagi jako przykłady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zostały utworzone z kilku mniejszych, w obu przypadkach dolny odcinek rzeki jest w dużo lepszym stanie hydromorfologicznym. O SZCW w obu przypadkach decyduje gęsta zabudowa poprzeczna w górnych częściach zlewni. W przypadku Łososiny dolna część to obszar Natura 2000 wyznaczony dla ochrony ryb i siedlisk z wodami związanych, w przypadku Łososiny odcinek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poniżej Tarnawki (wcześniej odrębna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jest to siedlisko wielu gatunków zwierząt z zał. II czy IV DŚ, w tym brzanki, kozy złotawej, skójki gruboskorupowej. Zgodnie z najnowszym planem powiększenia obszaru Natura 2000 „Tarnawka” ten fragment Stradomki częściowo obejmowałyby nowe granice obszaru. Obniżanie wymagań potencjału ekologicznego w stosunku do stanu ekologicznego w tych częściach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byłoby niezgodne z celami RDW. Niewłaściwa jest w takim przypadku metodyka wskazana w rozdz. 8.1.2. IIaPGW. Jest to również sprzeczne z celami środowiskowymi obszarów chronionych, w tym Natura 2000, a także obszarach chronionych dla gatunków o znaczeniu gospodarczym (troć wędrowna). Aspekt obszarów dla gatunków „gospodarczych” w ogóle nie został wzięty pod uwagę w uzupełnionym „erratą” IIaPGW.</w:t>
            </w:r>
          </w:p>
        </w:tc>
        <w:tc>
          <w:tcPr>
            <w:tcW w:w="1918" w:type="dxa"/>
            <w:shd w:val="clear" w:color="auto" w:fill="auto"/>
            <w:hideMark/>
          </w:tcPr>
          <w:p w14:paraId="25FA947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1DE8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B5A3B3E" w14:textId="5753C05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zwiększenie długości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 statystyki te również potwierdzają brak wpływu aktualizacji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liczbę SZCW i SCW. Lokalne wzrosty liczby SZCW wynikają z lepszych danych w zakresie presji hydromorfologicznych oraz z zastosowania nowej metodyki.</w:t>
            </w:r>
          </w:p>
        </w:tc>
      </w:tr>
      <w:tr w:rsidR="0085319C" w:rsidRPr="005E78BB" w14:paraId="72F62B49" w14:textId="77777777" w:rsidTr="00E92AE6">
        <w:trPr>
          <w:trHeight w:val="454"/>
        </w:trPr>
        <w:tc>
          <w:tcPr>
            <w:tcW w:w="562" w:type="dxa"/>
            <w:shd w:val="clear" w:color="auto" w:fill="auto"/>
            <w:hideMark/>
          </w:tcPr>
          <w:p w14:paraId="643C129E"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773</w:t>
            </w:r>
          </w:p>
        </w:tc>
        <w:tc>
          <w:tcPr>
            <w:tcW w:w="1021" w:type="dxa"/>
          </w:tcPr>
          <w:p w14:paraId="4BCBE537" w14:textId="181FF0B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5DE4A250" w14:textId="487DCD7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Wykaz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podaniem ich typów i ustalonych warunków referencyjnych oraz statusu</w:t>
            </w:r>
          </w:p>
        </w:tc>
        <w:tc>
          <w:tcPr>
            <w:tcW w:w="5663" w:type="dxa"/>
            <w:shd w:val="clear" w:color="auto" w:fill="auto"/>
            <w:hideMark/>
          </w:tcPr>
          <w:p w14:paraId="2733C67C" w14:textId="1389E93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3.1. SZCW, Wyznaczenie SZCW niezgodnie z metodyką</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procedurze wyznaczania SZCW dokonano manipulacji polegających na nadaniu statusu SZCW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które zgodnie z przyjętą metodyką powinny mieć status NATuralnych.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 dorzeczu Wisły są to trzy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opisie przyczyny wyznaczenia (Zal. 1 Zestawienie Główne) widnieje:</w:t>
            </w:r>
            <w:r w:rsidRPr="005E78BB">
              <w:rPr>
                <w:rFonts w:ascii="Calibri" w:eastAsia="Times New Roman" w:hAnsi="Calibri" w:cs="Calibri"/>
                <w:color w:val="000000"/>
                <w:sz w:val="18"/>
                <w:szCs w:val="18"/>
                <w:lang w:eastAsia="pl-PL"/>
              </w:rPr>
              <w:br/>
              <w:t>„Korekta ekspercka z uwagi na przekształcenia związane z drogą wodną na podstawie dodatkowych informacji uzyskanych od administratora cieku: rzeka Wisła na całym odcinku jest rzeką płynącą w korycie znacznie przekształconym w stosunku do koryta naturalnego. Brzegi są obustronnie uregulowane zabudową podłużną (tamy podłużne z ostrogami)”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Zgodnie z informacjami od organizacji mających dostęp do dokumentów źródłowych, dla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dokonano ponownej eksperckiej analizy w ramach opracowania Ostateczna metodyka wyznaczania SZCW i SCW, jednak analiza ta dała wynik niepozwalający na wyznaczenie jako SZCW.   Taki jest też komentarz wykonawcy opracowania znajdujący się w pliku Załącznik do wykazu RW_uzasadnienia. Siłowe wyznaczenie SZCW na podstawie opisu administratora wód nt. użytkowania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dróg wodnych jest wbrew metodyce i wytycznych KE CIS No4 „Identification and Designation of Heavily Modified and Artificial Water Bodies”, według których podstawą do uznania za SCZW jest hydromorfologiczna jakość wód, a w następnej kolejności pod uwagę brane jest dopiero jej użytkowanie. </w:t>
            </w:r>
            <w:r w:rsidRPr="005E78BB">
              <w:rPr>
                <w:rFonts w:ascii="Calibri" w:eastAsia="Times New Roman" w:hAnsi="Calibri" w:cs="Calibri"/>
                <w:color w:val="000000"/>
                <w:sz w:val="18"/>
                <w:szCs w:val="18"/>
                <w:lang w:eastAsia="pl-PL"/>
              </w:rPr>
              <w:br/>
              <w:t xml:space="preserve">Konieczne jest przywrócenie statusu wód NAT w stosunku do trzech ww.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c>
          <w:tcPr>
            <w:tcW w:w="3377" w:type="dxa"/>
            <w:shd w:val="clear" w:color="auto" w:fill="auto"/>
            <w:hideMark/>
          </w:tcPr>
          <w:p w14:paraId="08523A59"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Przywrócić dla:</w:t>
            </w:r>
            <w:r w:rsidRPr="005E78BB">
              <w:rPr>
                <w:rFonts w:ascii="Calibri" w:eastAsia="Times New Roman" w:hAnsi="Calibri" w:cs="Calibri"/>
                <w:color w:val="000000"/>
                <w:sz w:val="18"/>
                <w:szCs w:val="18"/>
                <w:lang w:eastAsia="pl-PL"/>
              </w:rPr>
              <w:br/>
              <w:t>RW20001229199 Wisła od Zgłowiączki do Brdy</w:t>
            </w:r>
            <w:r w:rsidRPr="005E78BB">
              <w:rPr>
                <w:rFonts w:ascii="Calibri" w:eastAsia="Times New Roman" w:hAnsi="Calibri" w:cs="Calibri"/>
                <w:color w:val="000000"/>
                <w:sz w:val="18"/>
                <w:szCs w:val="18"/>
                <w:lang w:eastAsia="pl-PL"/>
              </w:rPr>
              <w:br/>
              <w:t>RW2000122939 Wisła od Brdy do Wdy</w:t>
            </w:r>
            <w:r w:rsidRPr="005E78BB">
              <w:rPr>
                <w:rFonts w:ascii="Calibri" w:eastAsia="Times New Roman" w:hAnsi="Calibri" w:cs="Calibri"/>
                <w:color w:val="000000"/>
                <w:sz w:val="18"/>
                <w:szCs w:val="18"/>
                <w:lang w:eastAsia="pl-PL"/>
              </w:rPr>
              <w:br/>
              <w:t>RW20001229991 Wisła od Wdy do Przekopu Wisły</w:t>
            </w:r>
            <w:r w:rsidRPr="005E78BB">
              <w:rPr>
                <w:rFonts w:ascii="Calibri" w:eastAsia="Times New Roman" w:hAnsi="Calibri" w:cs="Calibri"/>
                <w:color w:val="000000"/>
                <w:sz w:val="18"/>
                <w:szCs w:val="18"/>
                <w:lang w:eastAsia="pl-PL"/>
              </w:rPr>
              <w:br/>
              <w:t xml:space="preserve">naturalny status wody (NAT). </w:t>
            </w:r>
            <w:r w:rsidRPr="005E78BB">
              <w:rPr>
                <w:rFonts w:ascii="Calibri" w:eastAsia="Times New Roman" w:hAnsi="Calibri" w:cs="Calibri"/>
                <w:color w:val="000000"/>
                <w:sz w:val="18"/>
                <w:szCs w:val="18"/>
                <w:lang w:eastAsia="pl-PL"/>
              </w:rPr>
              <w:br/>
            </w:r>
          </w:p>
        </w:tc>
        <w:tc>
          <w:tcPr>
            <w:tcW w:w="3401" w:type="dxa"/>
            <w:shd w:val="clear" w:color="auto" w:fill="auto"/>
            <w:hideMark/>
          </w:tcPr>
          <w:p w14:paraId="55951DC1" w14:textId="744B195B"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Wyznaczenie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jako SZCW jest nieuprawnione i jak wynika z dokumentów źródłowych – wynika z chęci obniżenia celów środowiskowych dla rzek będących drogami wodnymi, na których planowane są dalsze inwestycje hydrotechniczne znacząco negatywnie oddziałujące na możliwość osiągnięcia celów środowiskowych.</w:t>
            </w:r>
            <w:r w:rsidRPr="005E78BB">
              <w:rPr>
                <w:rFonts w:ascii="Calibri" w:eastAsia="Times New Roman" w:hAnsi="Calibri" w:cs="Calibri"/>
                <w:color w:val="000000"/>
                <w:sz w:val="18"/>
                <w:szCs w:val="18"/>
                <w:lang w:eastAsia="pl-PL"/>
              </w:rPr>
              <w:br/>
              <w:t xml:space="preserve">Podstawą do uznania za SCZW jest hydromorfologiczny stan wód, w następnej kolejności brane jest pod uwagę użytkowanie. Wyznaczenie SZCW na przedmiotowych 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Wisły  należy uznać za manipulację.</w:t>
            </w:r>
          </w:p>
        </w:tc>
        <w:tc>
          <w:tcPr>
            <w:tcW w:w="1918" w:type="dxa"/>
            <w:shd w:val="clear" w:color="auto" w:fill="auto"/>
            <w:hideMark/>
          </w:tcPr>
          <w:p w14:paraId="54A3628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B06F69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52DA3EA" w14:textId="45767EF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 ramach szeregu prac realizowanych w okresie III cyklu planistycznego przeprowadzone zostały również działania dotyczące przeglądu i weryfikacji metodyk wyznaczania silnie zmienionych (SZCW) i sztucznych (SCW) części wód wraz ze wstępnym i ostatecznym ich wyznaczeniem. W wyniku przeprowadzonych analiz przygotowano zostały zaktualizowany wykaz SCW i SZCW stanowiący materiał źródłowy dla IIaPGW. W III cyklu SZCW i SCW zostały wyznaczone na podstawie nowej metodyki, która głównie opiera się na obliczeniu kameralnego komponentu Hydromorfologiczny Indeks Rzeczny (HIRk). Elementy składowe tego indeksu są obliczone w stosunku do długości cieków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związku z powyższym scalenie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(czyli zwiększenie jej długości) nie prowadzi do przeszacowania presji hydromorfologicznych. W skali Polski udział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SZCW i SCW wynosi 21% w IIaPGW, a w poprzednim cyklu planistycznym 26% (aPGW): statystyki te również potwierdzają braku wpływu scalenia na liczbę SZCW i SCW. Lokalne wzrosty liczby SZCW wynikają z lepszych danych w zakresie presji hydromorfologicznych oraz z zastosowania nowej metodyki.</w:t>
            </w:r>
          </w:p>
        </w:tc>
      </w:tr>
      <w:tr w:rsidR="0085319C" w:rsidRPr="005E78BB" w14:paraId="2D74EBCC" w14:textId="77777777" w:rsidTr="00E92AE6">
        <w:trPr>
          <w:trHeight w:val="454"/>
        </w:trPr>
        <w:tc>
          <w:tcPr>
            <w:tcW w:w="562" w:type="dxa"/>
            <w:shd w:val="clear" w:color="auto" w:fill="auto"/>
            <w:hideMark/>
          </w:tcPr>
          <w:p w14:paraId="68E7834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774</w:t>
            </w:r>
          </w:p>
        </w:tc>
        <w:tc>
          <w:tcPr>
            <w:tcW w:w="1021" w:type="dxa"/>
          </w:tcPr>
          <w:p w14:paraId="7AE2E0E3" w14:textId="1C6282AF"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7F2130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3740FA72" w14:textId="7631DE8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5 Monitoring</w:t>
            </w:r>
            <w:r w:rsidRPr="005E78BB">
              <w:rPr>
                <w:rFonts w:ascii="Calibri" w:eastAsia="Times New Roman" w:hAnsi="Calibri" w:cs="Calibri"/>
                <w:color w:val="000000"/>
                <w:sz w:val="18"/>
                <w:szCs w:val="18"/>
                <w:lang w:eastAsia="pl-PL"/>
              </w:rPr>
              <w:br w:type="page"/>
              <w:t xml:space="preserve">Sieć monitoringu wód powierzchniowych można ocenić tylko ilościowo, a nie jakościowo  - w odniesieniu do położenia. Nie przedstawiono bowiem wymaganych przez RDW map sieci monitoringu – takich, które byłyby czytelne i pozwalałyby na ocenę lokalizacji sieci punktów pomiarowo-kontrolnych monitoringu GIOŚ (ppk) w stosunku do położenia i granic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oraz obszarów chronionych w rozumieniu RDW. Dane te nie są udostępniane przez Wody Polskie nawet na wniosek, mimo że organ ten jest w posiadaniu owych  danych (odpowiedź na wniosek jednej z organizacji ekologicznych).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2D4BC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Udostępnić sieć lokalizacji ppk w formie wizualnej pozwalającej na ocenę położenia względem obiektów, które sieć ma monitorować. Najlepiej by była to wirtualna mapa z bazą danych, jak w przypadku konsultacji aPZRP.</w:t>
            </w:r>
          </w:p>
        </w:tc>
        <w:tc>
          <w:tcPr>
            <w:tcW w:w="3401" w:type="dxa"/>
            <w:shd w:val="clear" w:color="auto" w:fill="auto"/>
            <w:hideMark/>
          </w:tcPr>
          <w:p w14:paraId="465A340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Sieć monitoringowa i jej przedstawienie w czytelnej formie graficznej to wymóg art. 13 w powiązaniu z zał. VII RDW.</w:t>
            </w:r>
          </w:p>
        </w:tc>
        <w:tc>
          <w:tcPr>
            <w:tcW w:w="1918" w:type="dxa"/>
            <w:shd w:val="clear" w:color="auto" w:fill="auto"/>
            <w:hideMark/>
          </w:tcPr>
          <w:p w14:paraId="0D8B747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FFFDB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2CB4C1A0" w14:textId="49CC57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rozporządzeniem Rady Ministrów z dnia 4 października 2019 r. w sprawie szczegółowego zakresu opracowywania planów gospodarowania wodami na obszarach dorzeczy, w IIaPGW dokonane zostało graficzne przedstawienie w obowiązującym państwowym systemie odniesień przestrzennych sieci monitoringu wód wraz ze wskazaniem programów monitoringowych.</w:t>
            </w:r>
            <w:r w:rsidRPr="005E78BB">
              <w:rPr>
                <w:rFonts w:ascii="Calibri" w:eastAsia="Times New Roman" w:hAnsi="Calibri" w:cs="Calibri"/>
                <w:color w:val="000000"/>
                <w:sz w:val="18"/>
                <w:szCs w:val="18"/>
                <w:lang w:eastAsia="pl-PL"/>
              </w:rPr>
              <w:br w:type="pag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Zgodnie z wymaganym zakresem dla aktualizacji planu gospodarowania wodami IIaPGW prezentuje m.in. informacje dotyczące obowiązującej sieci monitoringu - obowiązującej w okresie poprzedniego cyklu planistycznego podsumowywanego w IIaPGW.</w:t>
            </w:r>
            <w:r w:rsidRPr="005E78BB">
              <w:rPr>
                <w:rFonts w:ascii="Calibri" w:eastAsia="Times New Roman" w:hAnsi="Calibri" w:cs="Calibri"/>
                <w:color w:val="000000"/>
                <w:sz w:val="18"/>
                <w:szCs w:val="18"/>
                <w:lang w:eastAsia="pl-PL"/>
              </w:rPr>
              <w:br w:type="page"/>
              <w:t>Monitoring, w tym ustalenia sieci monitoringu to zakres właściwości GIOŚ, IIaPGW nie jest dokumentem ustalającym sieć monitoringu.</w:t>
            </w:r>
            <w:r w:rsidRPr="005E78BB">
              <w:rPr>
                <w:rFonts w:ascii="Calibri" w:eastAsia="Times New Roman" w:hAnsi="Calibri" w:cs="Calibri"/>
                <w:color w:val="000000"/>
                <w:sz w:val="18"/>
                <w:szCs w:val="18"/>
                <w:lang w:eastAsia="pl-PL"/>
              </w:rPr>
              <w:br w:type="page"/>
              <w:t>W ramach IIaPGW przedstawione zostały również wstępne informacje o planowanej sieci na lata 2022-2027, która ostatecznie ustalana jest przez GIOŚ przy wykorzystaniu informacji pozyskanych ze zrealizowanych projektów w tym Analizy znaczących oddziaływań antropogenicznych (Załaczniki 8 - 12) . Informacje zawarte w IIaPGW dotyczące sieci monitoringu na lata 2022-2027 nie stanowią ustalenia sieci monitoringu. Sieć monitoringu ustalana jest w ramach PMŚ stanowiąc zakres odpowiedzialności GIOŚ.</w:t>
            </w:r>
            <w:r w:rsidRPr="005E78BB">
              <w:rPr>
                <w:rFonts w:ascii="Calibri" w:eastAsia="Times New Roman" w:hAnsi="Calibri" w:cs="Calibri"/>
                <w:color w:val="000000"/>
                <w:sz w:val="18"/>
                <w:szCs w:val="18"/>
                <w:lang w:eastAsia="pl-PL"/>
              </w:rPr>
              <w:br w:type="page"/>
              <w:t xml:space="preserve">Załączniki graficzne nie zawierają żadnych dodatkowych ustaleń, które nie byłyby zaprezentowane szczegółowo z przypisaniem do poszczególnych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części tabelarycznej IIaPGW. Informacja o ppk dla poszczególnych jcw zaprezentowana jest w załączniku nr 1 do IIaPGW. Należy pamiętać, iż docelowa struktura i format IIaPGW wprowadzanego w formie rozporządzenia uzależnione są od zasad techniki legislacyjnej, a tym samym ich rozmiar musi odpowiadać wskazanym ograniczeniom.</w:t>
            </w:r>
            <w:r w:rsidRPr="005E78BB">
              <w:rPr>
                <w:rFonts w:ascii="Calibri" w:eastAsia="Times New Roman" w:hAnsi="Calibri" w:cs="Calibri"/>
                <w:color w:val="000000"/>
                <w:sz w:val="18"/>
                <w:szCs w:val="18"/>
                <w:lang w:eastAsia="pl-PL"/>
              </w:rPr>
              <w:br w:type="page"/>
              <w:t>Jako materiał dodatkowy opracowana zostanie geobaza IIaPGW, podobnie jak w przypadku poprzednich cykli planistycznych, która zawierać będzie dane zgodne z ostatecznie przyjętą wersją IIaPGW.</w:t>
            </w:r>
            <w:r w:rsidRPr="005E78BB">
              <w:rPr>
                <w:rFonts w:ascii="Calibri" w:eastAsia="Times New Roman" w:hAnsi="Calibri" w:cs="Calibri"/>
                <w:color w:val="000000"/>
                <w:sz w:val="18"/>
                <w:szCs w:val="18"/>
                <w:lang w:eastAsia="pl-PL"/>
              </w:rPr>
              <w:br w:type="page"/>
              <w:t>Na etapie konsultacji społecznych projektów IIaPGW materiały źródłowe wykorzystane do opracowania projektów IIaPGW udostępniane były przez Państwowe Gospodarstwo Wodne Wody Polskie na zasadach i w trybie określonych w przepisach ustawy z dnia 3 października 2008 r. o udostępnianiu informacji o środowisku i jego ochronie, udziale społeczeństwa w ochronie środowiska oraz o ocenach oddziaływania na środowisko, a także zgodnie z art. 319 ust. 6 ustawy Prawo wodne. Możliwość ta każdorazowo wskazywana była również podczas spotkań konsultacyjnych przeprowadzonych w ramach konsultacji społecznych projektów IIaPGW.</w:t>
            </w:r>
          </w:p>
        </w:tc>
      </w:tr>
      <w:tr w:rsidR="0085319C" w:rsidRPr="005E78BB" w14:paraId="036EE17D" w14:textId="77777777" w:rsidTr="00E92AE6">
        <w:trPr>
          <w:trHeight w:val="454"/>
        </w:trPr>
        <w:tc>
          <w:tcPr>
            <w:tcW w:w="562" w:type="dxa"/>
            <w:shd w:val="clear" w:color="auto" w:fill="auto"/>
            <w:hideMark/>
          </w:tcPr>
          <w:p w14:paraId="7986AE5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775</w:t>
            </w:r>
          </w:p>
        </w:tc>
        <w:tc>
          <w:tcPr>
            <w:tcW w:w="1021" w:type="dxa"/>
          </w:tcPr>
          <w:p w14:paraId="103B128C" w14:textId="0A3C4420"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61BA4A6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w:t>
            </w:r>
          </w:p>
        </w:tc>
        <w:tc>
          <w:tcPr>
            <w:tcW w:w="5663" w:type="dxa"/>
            <w:shd w:val="clear" w:color="auto" w:fill="auto"/>
            <w:hideMark/>
          </w:tcPr>
          <w:p w14:paraId="42C65CE4" w14:textId="3DB04A41"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5 Monitoring</w:t>
            </w:r>
            <w:r w:rsidRPr="005E78BB">
              <w:rPr>
                <w:rFonts w:ascii="Calibri" w:eastAsia="Times New Roman" w:hAnsi="Calibri" w:cs="Calibri"/>
                <w:color w:val="000000"/>
                <w:sz w:val="18"/>
                <w:szCs w:val="18"/>
                <w:lang w:eastAsia="pl-PL"/>
              </w:rPr>
              <w:br/>
              <w:t xml:space="preserve">Pokrycie siecią monitoringu w dorzeczu Wisły znacząco się polepszyło w stosunku do poprzedniej aPGW, głównie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wcześniej niewyznaczonych zbiornikowych - RWr). W latach 2016-2021 monitorowano tylko nieco ponad 50%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(1354 ppk na 2660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teraz ma to być 97%(1663 ppk na 1719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(LW) liczba ppk wzrosła o 99, z 264/484 na 363/499, jednak nadal ok. 25% jeziornych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pozostaje poza siecią monitoringową. Lepsze pokrycie siecią monitoringową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wynika głównie z połączenia ich w nowywm cyklu planistycznym w większe jednostki. Niestety nadal duża część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nie będzie objęta monitoringiem diagnostycznym MD (Środkowa Wisła – tylko 40%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 MD będą objęte wszystkie zbiorniki z wyjątkiem regionu Dolnej Wisły – tu objęty nim jest tylko 1 na 4 zbiorniki (wszystkie: monitoring operacyjny MO). Sieć monitoringu nadal wymaga rozszerzenia. Nie wiadomo dlaczego nie objęto monitoringiem tych kilku brakujących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i dlaczego nadal ponad ¼ jezior nie jest monitorowana.</w:t>
            </w:r>
          </w:p>
        </w:tc>
        <w:tc>
          <w:tcPr>
            <w:tcW w:w="3377" w:type="dxa"/>
            <w:shd w:val="clear" w:color="auto" w:fill="auto"/>
            <w:hideMark/>
          </w:tcPr>
          <w:p w14:paraId="4EE66521" w14:textId="1D0E8F2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Należy objąć monitoringiem (choćby MO) wszystkie brakujące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wzmocnić sieć MD dla RW, uzupełnić sieć monitoringu dla LW oraz wprowadzić MD dla wszystkich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RWr.</w:t>
            </w:r>
          </w:p>
        </w:tc>
        <w:tc>
          <w:tcPr>
            <w:tcW w:w="3401" w:type="dxa"/>
            <w:shd w:val="clear" w:color="auto" w:fill="auto"/>
            <w:hideMark/>
          </w:tcPr>
          <w:p w14:paraId="77C275B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Jak w  treści uwagi.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Uzupełnienie sieci monitoringu nie będzie powodować znaczącego obciążenia budżetu państwa i jest wykonalne przy niewielkim wsparciu struktur GIOŚ / WIOŚ.</w:t>
            </w:r>
          </w:p>
        </w:tc>
        <w:tc>
          <w:tcPr>
            <w:tcW w:w="1918" w:type="dxa"/>
            <w:shd w:val="clear" w:color="auto" w:fill="auto"/>
            <w:hideMark/>
          </w:tcPr>
          <w:p w14:paraId="7A2A8EF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DBBC7C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7EC686D" w14:textId="547761EE"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Monitoring wód jest częścią Państwowego Monitoringu Środowiska, a zasady jego organizacji i funkcjonowania prezentowane są w wieloletnim strategicznym programie państwowego monitoringu środowiska opracowywanym przez Głównego Inspektora Ochrony Środowiska i zatwierdzanym przez ministra właściwego ds. klimatu.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Nową sieć monitoringu tworzy się poprzez weryfikację sieci istniejącej w poprzednim cyklu gospodarowania wodami. Szczegółowe kryteria wyznaczania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do monitorowania oraz ppk określają załączniki nr 1 i 2 do rozporządzenia Ministra Infrastruktury z dnia 13 lipca 2021 r. w sprawie form i sposobu prowadzenia monitoringu jednolitych części wód powierzchniowych i jednolitych części wód podziemnych. Sieć ppk jest ustalana na podstawie aktualnego wykazu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wraz z ich charakterystyką obejmującą: status, typ, cele środowiskowe oraz zagrożenie nieosiągnięciem celów środowiskowych, a także rodzaj presji oddziałującej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projektowaniu sieci monitoringu wykorzystuje się także aktualne wykazy obszarów chronionych. Zgodnie z wymaganym zakresem dla aktualizacji planu gospodarowania wodami IIaPGW prezentuje m.in. informacje dotyczące obowiązującej sieci monitoringu - obowiązującej w okresie poprzedniego cyklu planistycznego podsumowywanego w IIaPGW. Monitoring, w tym ustalenia sieci monitoringu to obszary odpowiedzialności GIOŚ, IIaPGW nie jest dokumentem ustalającym sieć monitoringu.</w:t>
            </w:r>
          </w:p>
        </w:tc>
      </w:tr>
      <w:tr w:rsidR="0085319C" w:rsidRPr="005E78BB" w14:paraId="36C1390D" w14:textId="77777777" w:rsidTr="00E92AE6">
        <w:trPr>
          <w:trHeight w:val="454"/>
        </w:trPr>
        <w:tc>
          <w:tcPr>
            <w:tcW w:w="562" w:type="dxa"/>
            <w:shd w:val="clear" w:color="auto" w:fill="auto"/>
            <w:hideMark/>
          </w:tcPr>
          <w:p w14:paraId="4FCD1B4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776</w:t>
            </w:r>
          </w:p>
        </w:tc>
        <w:tc>
          <w:tcPr>
            <w:tcW w:w="1021" w:type="dxa"/>
          </w:tcPr>
          <w:p w14:paraId="3D1A60D5" w14:textId="450E3D3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039FC56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CELE ŚRODOWISKOWE DLA JEDNOLITYCH CZĘŚCI WÓD I OBSZARÓW CHRONIONYCH</w:t>
            </w:r>
          </w:p>
        </w:tc>
        <w:tc>
          <w:tcPr>
            <w:tcW w:w="5663" w:type="dxa"/>
            <w:shd w:val="clear" w:color="auto" w:fill="auto"/>
            <w:hideMark/>
          </w:tcPr>
          <w:p w14:paraId="2363E206" w14:textId="5951C51D"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Dotyczy: Streszczenie niespecjalistyczne; IIaPGW Rozdział 7, 8, 9 </w:t>
            </w:r>
            <w:r w:rsidRPr="005E78BB">
              <w:rPr>
                <w:rFonts w:ascii="Calibri" w:eastAsia="Times New Roman" w:hAnsi="Calibri" w:cs="Calibri"/>
                <w:color w:val="000000"/>
                <w:sz w:val="18"/>
                <w:szCs w:val="18"/>
                <w:lang w:eastAsia="pl-PL"/>
              </w:rPr>
              <w:br/>
              <w:t xml:space="preserve">Presja, Cele środowiskowe, </w:t>
            </w:r>
            <w:r w:rsidRPr="005E78BB">
              <w:rPr>
                <w:rFonts w:ascii="Calibri" w:eastAsia="Times New Roman" w:hAnsi="Calibri" w:cs="Calibri"/>
                <w:color w:val="000000"/>
                <w:sz w:val="18"/>
                <w:szCs w:val="18"/>
                <w:lang w:eastAsia="pl-PL"/>
              </w:rPr>
              <w:br/>
              <w:t xml:space="preserve">Stopień 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jest żaden. W IIaPGW można znaleźć różne wartości – w wersji niespecjalistycznej planu jest mowa o spełnieniu wszystkich wymogów przez 0,3%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projekcie IIaPGW liczba ta wynosi 1,5%! W klasyfikacji stanu/potencjału cele spełniło ok 4 %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W tym tempie cele RDW osiągniemy za kilkaset lat.</w:t>
            </w:r>
            <w:r w:rsidRPr="005E78BB">
              <w:rPr>
                <w:rFonts w:ascii="Calibri" w:eastAsia="Times New Roman" w:hAnsi="Calibri" w:cs="Calibri"/>
                <w:color w:val="000000"/>
                <w:sz w:val="18"/>
                <w:szCs w:val="18"/>
                <w:lang w:eastAsia="pl-PL"/>
              </w:rPr>
              <w:br/>
              <w:t xml:space="preserve">Jednocześnie znacząca presja na elementy biologiczne zależne od hydromorfologii występuje w przypadku aż 81 %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(rozdz. 7 IIaPGW), a zestaw działań likwidujących presje hydromorfologiczne był w dorzeczu Wisły na lata 2016-2021 niewielki, w zasadzie określony tylko dla budowli piętrzących (pomijając kilkanaście niezrealizowanych działań w dorzeczu Nidy) i był około 5-krotnie skromniejszy niż planowany obecnie i w znacznej większości nie został wykonany, o czym poniżej dalszej części uwag.</w:t>
            </w:r>
            <w:r w:rsidRPr="005E78BB">
              <w:rPr>
                <w:rFonts w:ascii="Calibri" w:eastAsia="Times New Roman" w:hAnsi="Calibri" w:cs="Calibri"/>
                <w:color w:val="000000"/>
                <w:sz w:val="18"/>
                <w:szCs w:val="18"/>
                <w:lang w:eastAsia="pl-PL"/>
              </w:rPr>
              <w:br/>
            </w:r>
          </w:p>
        </w:tc>
        <w:tc>
          <w:tcPr>
            <w:tcW w:w="3377" w:type="dxa"/>
            <w:shd w:val="clear" w:color="auto" w:fill="auto"/>
            <w:hideMark/>
          </w:tcPr>
          <w:p w14:paraId="49E2B41B" w14:textId="7968002A"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Brak postępu we wdrażaniu RDW na 6 lat przed ostatecznym terminem osiągnięcia celów środowiskowych w przypadku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wymaga podjęcia radykalnych działań: właściwego, szerokiego  doboru  działań realizujących cele środowiskowe i znacznej redukcji presji, zwłaszcza hydromorfologicznej na wody. Sprowadza się to powinno do realizacji KPRWP w pełnej formie, uzupełnionego o „reakcje” na rozpoznane nowe presje. Należy przy tym ograniczyć wszystkie działania powodujące te presje – działania inwestycyjne i tzw. prace utrzymaniowe. </w:t>
            </w:r>
            <w:r w:rsidRPr="005E78BB">
              <w:rPr>
                <w:rFonts w:ascii="Calibri" w:eastAsia="Times New Roman" w:hAnsi="Calibri" w:cs="Calibri"/>
                <w:color w:val="000000"/>
                <w:sz w:val="18"/>
                <w:szCs w:val="18"/>
                <w:lang w:eastAsia="pl-PL"/>
              </w:rPr>
              <w:br/>
              <w:t xml:space="preserve">Należy wykreślić z planów IIaPGW, PPSS i aPZRP, i im podobnych z zakresu gospodarki wodnej, te działania które powodują dalsze przekształcenia hydromorfologiczne, a które już teraz nie zostały zweryfikowane pod kątem oddziaływania na stan wód. </w:t>
            </w:r>
            <w:r w:rsidRPr="005E78BB">
              <w:rPr>
                <w:rFonts w:ascii="Calibri" w:eastAsia="Times New Roman" w:hAnsi="Calibri" w:cs="Calibri"/>
                <w:color w:val="000000"/>
                <w:sz w:val="18"/>
                <w:szCs w:val="18"/>
                <w:lang w:eastAsia="pl-PL"/>
              </w:rPr>
              <w:br/>
              <w:t>Bezwzględnie należy usunąć tego typu działania z listy działań ochronnych IIaPGW (PPSS, mała retencja leśna).</w:t>
            </w:r>
          </w:p>
        </w:tc>
        <w:tc>
          <w:tcPr>
            <w:tcW w:w="3401" w:type="dxa"/>
            <w:shd w:val="clear" w:color="auto" w:fill="auto"/>
            <w:hideMark/>
          </w:tcPr>
          <w:p w14:paraId="192444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Liczby podane w treści uwagi nie wymagają komentarza, ani uzasadnienia.</w:t>
            </w:r>
          </w:p>
        </w:tc>
        <w:tc>
          <w:tcPr>
            <w:tcW w:w="1918" w:type="dxa"/>
            <w:shd w:val="clear" w:color="auto" w:fill="auto"/>
            <w:hideMark/>
          </w:tcPr>
          <w:p w14:paraId="1F751F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6B37DF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9769F11" w14:textId="5145987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Informacją uzyskiwaną w każdej aktualizacji procesu jest określenie jego postępu, co w przypadku IIaPGW oznacza ocenę postępu w osiąganiu przez jcw celów środowiskowych, zgodnie z art. 318 ust. 6 pkt 2 ustawy Prawo wodne (dalej pr.w.) oraz zgodnie z §2 ust. 1 pkt. 35 Rozporządzenia Rady Ministrów z dnia 4 października 2019 r. w sprawie szczegółowego zakresu opracowywania planów gospodarowania wodami na obszarach dorzeczy (dalej r.p.g.w.).</w:t>
            </w:r>
            <w:r w:rsidRPr="005E78BB">
              <w:rPr>
                <w:rFonts w:ascii="Calibri" w:eastAsia="Times New Roman" w:hAnsi="Calibri" w:cs="Calibri"/>
                <w:color w:val="000000"/>
                <w:sz w:val="18"/>
                <w:szCs w:val="18"/>
                <w:lang w:eastAsia="pl-PL"/>
              </w:rPr>
              <w:br/>
              <w:t>Na potrzeby opracowania IIaPGW przeprowadzono ocenę postępu w osiąganiu celów środowiskowych w latach 2011-2019, której podstawę stanowiły analizy:</w:t>
            </w:r>
            <w:r w:rsidRPr="005E78BB">
              <w:rPr>
                <w:rFonts w:ascii="Calibri" w:eastAsia="Times New Roman" w:hAnsi="Calibri" w:cs="Calibri"/>
                <w:color w:val="000000"/>
                <w:sz w:val="18"/>
                <w:szCs w:val="18"/>
                <w:lang w:eastAsia="pl-PL"/>
              </w:rPr>
              <w:br/>
              <w:t>• dokonanych zmian legislacyjnych w zakresie klasyfikacji stanu jcw w okresie 2011-2019;</w:t>
            </w:r>
            <w:r w:rsidRPr="005E78BB">
              <w:rPr>
                <w:rFonts w:ascii="Calibri" w:eastAsia="Times New Roman" w:hAnsi="Calibri" w:cs="Calibri"/>
                <w:color w:val="000000"/>
                <w:sz w:val="18"/>
                <w:szCs w:val="18"/>
                <w:lang w:eastAsia="pl-PL"/>
              </w:rPr>
              <w:br/>
              <w:t>• celów środowiskowych przydzielonych do poszczególnych jcw w poprzednich cyklach planistycznych;</w:t>
            </w:r>
            <w:r w:rsidRPr="005E78BB">
              <w:rPr>
                <w:rFonts w:ascii="Calibri" w:eastAsia="Times New Roman" w:hAnsi="Calibri" w:cs="Calibri"/>
                <w:color w:val="000000"/>
                <w:sz w:val="18"/>
                <w:szCs w:val="18"/>
                <w:lang w:eastAsia="pl-PL"/>
              </w:rPr>
              <w:br/>
              <w:t>• oceny wdrożenia zestawów działań zaplanowanych w poprzednich cyklach planistycznych (na poziomie umożliwiającym wskazanie ogólnego trendu skuteczności zaplanowanych działań);</w:t>
            </w:r>
            <w:r w:rsidRPr="005E78BB">
              <w:rPr>
                <w:rFonts w:ascii="Calibri" w:eastAsia="Times New Roman" w:hAnsi="Calibri" w:cs="Calibri"/>
                <w:color w:val="000000"/>
                <w:sz w:val="18"/>
                <w:szCs w:val="18"/>
                <w:lang w:eastAsia="pl-PL"/>
              </w:rPr>
              <w:br/>
              <w:t>• wyników monitoringu i ocen stanu jcw z wyszczególnieniem zmian w zakresie warunków referencyjnych do roku 2019 włącznie.</w:t>
            </w:r>
            <w:r w:rsidRPr="005E78BB">
              <w:rPr>
                <w:rFonts w:ascii="Calibri" w:eastAsia="Times New Roman" w:hAnsi="Calibri" w:cs="Calibri"/>
                <w:color w:val="000000"/>
                <w:sz w:val="18"/>
                <w:szCs w:val="18"/>
                <w:lang w:eastAsia="pl-PL"/>
              </w:rPr>
              <w:br/>
              <w:t>Ocena postępu w osiąganiu celów środowiskowych przedstawia proces dokonany w okresie 2011-2019 z uwzględnieniem zidentyfikowanych czynników, wpływających na ocenę stanu, innych niż rzeczywista zmiana jakości wynikająca ze zmiany wartości, parametrów wskaźnikowych stosowanych w ocenie. Grupę tych czynników stanowią między innymi dokonywane w analizowanym okresie zmiany klasyfikacji stanu jcw, typologii jcw i inne.</w:t>
            </w:r>
            <w:r w:rsidRPr="005E78BB">
              <w:rPr>
                <w:rFonts w:ascii="Calibri" w:eastAsia="Times New Roman" w:hAnsi="Calibri" w:cs="Calibri"/>
                <w:color w:val="000000"/>
                <w:sz w:val="18"/>
                <w:szCs w:val="18"/>
                <w:lang w:eastAsia="pl-PL"/>
              </w:rPr>
              <w:br/>
              <w:t>Przeprowadzona ocena uwzględnia oczywiście również przegląd zestawów działań przewidzianych do realizacji w cyklu 2010 – 2015 i 2016 -2021, w celu potwierdzenia ich wpływu na postęp w osiąganiu celów środowiskowych. Zestawy działań dla jcw zostały ocenione wraz z ich realizacją na podstawie opracowania Ocena postępu we wdrażaniu programów działań wraz ze sporządzeniem raportu dla KE (z I aktualizacji PWŚK) oraz rocznych sprawozdań z realizacji działań zgodnie z art. 328 ustawy pr.w. Nie jest jednak jedyny element oceny postępu działań.</w:t>
            </w:r>
            <w:r w:rsidRPr="005E78BB">
              <w:rPr>
                <w:rFonts w:ascii="Calibri" w:eastAsia="Times New Roman" w:hAnsi="Calibri" w:cs="Calibri"/>
                <w:color w:val="000000"/>
                <w:sz w:val="18"/>
                <w:szCs w:val="18"/>
                <w:lang w:eastAsia="pl-PL"/>
              </w:rPr>
              <w:br/>
              <w:t xml:space="preserve">Proces przygotowania projektów IIaPGW uwzględniał opracowanie zestawów działań stanowiących obecnie bezpośredni element IIaPGW (w odróżnieniu od poprzednich planów gospodarowania wodami, gdzie w samej treści Planu znajdowało się podsumowanie zestawów, które stanowiły przedmiot odrębnego dokumentu aPWŚK). Proces budowy zestawów działań poprzedzony został wypracowaniem metodyki opracowania zestawów działań (materiał źródłowy IIaPGW) zawierającej szczegółowe informacje dotyczące podejścia metodycznego dokonywanych analiz. Metodyka opracowania zestawów działań zakładała konieczność przeprowadzenia wielowariantowych analiz doboru działań ukierunkowanych na dobór działań odpowiednio do statusu, oceny stanu, uwarunkowań środowiskowych i prawnych, zidentyfikowanych presji antropogenicznych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przy zachowaniu możliwie najwyższej skuteczności całych zestawów działań. Każde działanie podlegało analizom realności, efektywności jakościowej i kosztowej na wielu poziomach, zarówno prognozy stanu wód, jak i aspektów ekonomicznych ich realności wraz z analizami skutków społeczno – gospodarczych oraz przy uwzględnieniu wyników sprawdzianu klimatycznego.</w:t>
            </w:r>
            <w:r w:rsidRPr="005E78BB">
              <w:rPr>
                <w:rFonts w:ascii="Calibri" w:eastAsia="Times New Roman" w:hAnsi="Calibri" w:cs="Calibri"/>
                <w:color w:val="000000"/>
                <w:sz w:val="18"/>
                <w:szCs w:val="18"/>
                <w:lang w:eastAsia="pl-PL"/>
              </w:rPr>
              <w:br/>
              <w:t>W efekcie dobrane zostały, w zestawy dla każdej jcw, działania których realizacja (łącznie) skutkować ma osiągnięciem szacowanych poziomów poprawy określonych wskaźników. Zestawy działań poddane zostały szczegółowym analizom skuteczności wskazującym potencjalny szacowany poziom możliwego do uzyskania efektu przy założeniu pełnej realizacji działań wskazanych w zestawach. Każda zmiana działania, czy też niepełna realizacja zestawu przyczynia się do zmian w zakresie oszacowanej skuteczności. Wyniki analiz w odniesieniu do każdego działania zaprezentowane zostały w załączniku do IIaPGW (zestaw działań).</w:t>
            </w:r>
            <w:r w:rsidRPr="005E78BB">
              <w:rPr>
                <w:rFonts w:ascii="Calibri" w:eastAsia="Times New Roman" w:hAnsi="Calibri" w:cs="Calibri"/>
                <w:color w:val="000000"/>
                <w:sz w:val="18"/>
                <w:szCs w:val="18"/>
                <w:lang w:eastAsia="pl-PL"/>
              </w:rPr>
              <w:br/>
              <w:t>Na potrzeby IIaPGW uwzględniono najnowsze dane opracowane w ramach Analizy znaczących oddziaływań antropogenicznych wraz z oceną ich wpływu na stan wód oraz ryzykiem nieosiągnięcia celów środowiskowych, aktualne wyniki z monitoringu GIOŚ z lat 2011-2019,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ze zlewni.</w:t>
            </w:r>
          </w:p>
        </w:tc>
      </w:tr>
      <w:tr w:rsidR="0085319C" w:rsidRPr="005E78BB" w14:paraId="271850CB" w14:textId="77777777" w:rsidTr="00E92AE6">
        <w:trPr>
          <w:trHeight w:val="454"/>
        </w:trPr>
        <w:tc>
          <w:tcPr>
            <w:tcW w:w="562" w:type="dxa"/>
            <w:shd w:val="clear" w:color="auto" w:fill="auto"/>
            <w:hideMark/>
          </w:tcPr>
          <w:p w14:paraId="2DB6747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777</w:t>
            </w:r>
          </w:p>
        </w:tc>
        <w:tc>
          <w:tcPr>
            <w:tcW w:w="1021" w:type="dxa"/>
          </w:tcPr>
          <w:p w14:paraId="2F7A460E" w14:textId="4E4F4CA8"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1015341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POSTĘPU W OSIĄGANIU CELÓW ŚRODOWISKOWYCH</w:t>
            </w:r>
          </w:p>
        </w:tc>
        <w:tc>
          <w:tcPr>
            <w:tcW w:w="5663" w:type="dxa"/>
            <w:shd w:val="clear" w:color="auto" w:fill="auto"/>
            <w:hideMark/>
          </w:tcPr>
          <w:p w14:paraId="187B6FE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Rozdz. 9 Postęp i wdrożenie działań 2016-2021</w:t>
            </w:r>
            <w:r w:rsidRPr="005E78BB">
              <w:rPr>
                <w:rFonts w:ascii="Calibri" w:eastAsia="Times New Roman" w:hAnsi="Calibri" w:cs="Calibri"/>
                <w:color w:val="000000"/>
                <w:sz w:val="18"/>
                <w:szCs w:val="18"/>
                <w:lang w:eastAsia="pl-PL"/>
              </w:rPr>
              <w:br w:type="page"/>
              <w:t>W projekcie IIaPGW nie dokonano oceny wykonania działań za lata 2016-2021 w odniesieniu do presji hydromorfologicznych (HM). Zadań było znacznie mniej niż obecnie (renaturyzacyjnych, innych niż udrożnienia przegród było w dorzeczu Wisły tylko kilkanaście i w ok. 90% dotyczyły zlewni rzeki Nidy i zdecydowana większość tych działań nie została wykonana, ze względu na brak finansowania projektu RZGW w Krakowie). Co do udrożnień budowli – można jedynie posiłkować się wykazem budowli do udrożnienia (w „erracie” zał. 4). Działań z aPWŚK wymieniono tam dla dorzecza Wisły ponad 360, niewykonanych zadań przynajmniej w części jest ok. 240 (prolongacja). Co ciekawsze, część działań z aPWŚK polegających na udrożnieniu barier migracyjnych nie tylko nie została wykonana, ale w nowym cyklu planistycznym została zaniechana. Ma to miejsce również w obszarach Natura 2000 utworzonych dla ochrony ryb – sieci obszarów w zlewni rzeki Nidy, dorzeczu Dunajca , na rzece Wisłoce, gdzie udrożnienie budowli jest celem ujętym w PZO lub w wymaganiach dla chronionych gatunków. Do tego część działań aPWŚK w ogóle nie została w IIaPGW ujęta, np. pominięto całkowicie zadanie „likwidacja barier migracyjnych na odcinkach: Białej Nidy od źródła do połączenia z Czarną Nidą - 9 barier (135+250; 132+500; 128+950; 127+500 ; 127+100; 126+800; 124+100; 119+800; 118+150)”.</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5281CBA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Zapisy IIaPGW należy uzupełnić  o stopień wykonania działań z aPWŚK w dorzeczu Wisły w odniesieniu do wszystkich kategorii i grup.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586FEAB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Bez oceny wykonania działań na najbardziej istotną w skali dorzecza presję – hydromorfologiczną, niemożliwa jest ocena doboru działań na lata 2021-2027. Możliwe do wykonania oceny wskazują,  że działania w znakomitej większości nie zostały wykonane, trudno więc mówić o  tym, ze zostały „wdrożone wszystkie działania naprawcze”, o których mowa w RDW.</w:t>
            </w:r>
          </w:p>
        </w:tc>
        <w:tc>
          <w:tcPr>
            <w:tcW w:w="1918" w:type="dxa"/>
            <w:shd w:val="clear" w:color="auto" w:fill="auto"/>
            <w:hideMark/>
          </w:tcPr>
          <w:p w14:paraId="588B544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42D08A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7EB2A95D" w14:textId="41B19372"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z aPWŚK były przedmiotem analizy przy ocenie stopnia realizacji działań w latach 2016-2021 i ocenie osiągnięcia celów środowiskowych. Danymi wejściowymi do analiz był status realizacji działań z aPWŚK oraz wyniki pracy Ocena postępu we wdrażaniu działań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d wynikających z aPWŚK (2018). Dobór działań prolongowanych do IIaPGW (niezrealizowanych w aPWŚK) obejmował szczegółową weryfikację zasadności realizacji tych działań, zgodnie z metodyką opracowania zestawu działań (materiał źródłowy do IIaPGW), na podstawie wyników analizy presji oraz wyników monitoringu stanu wód GIOŚ 2019 i zidentyfikowane ryzyko nieosiągnięcia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 xml:space="preserve">Na potrzeby IIaPGW uwzględniono najnowsze dane opracowane w ramach projektu Analiza znaczących oddziaływań antropogenicznych wraz z oceną ich wpływu na stan wód oraz ryzykiem nieosiągnięcia celów środowiskowych, aktualne wyniki z monitoringu GIOŚ z 2019 roku, wykonano aktualizację bazy danych HYMO zwierającą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ect..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wskazując indywidualne programy naprawcze dla jezior oraz rekultywacje. W IIaPGW wypracowano działania z uwzględnieniem powiązań - synergii wód powierzchniowych z wodami podziemnymi. Często bez poprawy stanu wód podziemnych - likwidacji presji na wody podziemne wdrożenia działań renaturyzacyjnych na wodach powierzchniowych będzie nie skuteczne, czyli nie przyniesie poprawy stanu wód. W ramach IIaPGW zaplanowano działania z zakresu udrożnienia budowli poprzecznych. Dodatkowo w przypadku zlewni rzeki Nidy uzupełniono 10 zadań uwzględniających działania renaturyzacyjne i udrożnieniowe, będące prolongacją działań z aPWŚK. Działaniem technicznymi dla drożności biologicznej jest RWHM_02.01. Także działania RWHM_02.06 oraz RWHM_02.08, po wykonaniu oceny wpływu budowli poprzecznej na osiągnięcie celów środowiskowych i przeprowadzeniu monitoringu, umożliwiają przebudowanie budowli w zakresie zapewniającym drożność biologiczną. Dla wszystkich wskazanych w uwadze cieków takie działania zostały zaplanowane.</w:t>
            </w:r>
            <w:r w:rsidRPr="005E78BB">
              <w:rPr>
                <w:rFonts w:ascii="Calibri" w:eastAsia="Times New Roman" w:hAnsi="Calibri" w:cs="Calibri"/>
                <w:color w:val="000000"/>
                <w:sz w:val="18"/>
                <w:szCs w:val="18"/>
                <w:lang w:eastAsia="pl-PL"/>
              </w:rPr>
              <w:br w:type="page"/>
              <w:t>Informacje na temat wyników monitorowania realizacji działań aPWŚK wraz ze stopniem ich realizacji przedstawia rozdział nr 10 IIaPGW.</w:t>
            </w:r>
          </w:p>
        </w:tc>
      </w:tr>
      <w:tr w:rsidR="0085319C" w:rsidRPr="005E78BB" w14:paraId="7641FB95" w14:textId="77777777" w:rsidTr="00E92AE6">
        <w:trPr>
          <w:trHeight w:val="454"/>
        </w:trPr>
        <w:tc>
          <w:tcPr>
            <w:tcW w:w="562" w:type="dxa"/>
            <w:shd w:val="clear" w:color="auto" w:fill="auto"/>
            <w:hideMark/>
          </w:tcPr>
          <w:p w14:paraId="6AE046E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778</w:t>
            </w:r>
          </w:p>
        </w:tc>
        <w:tc>
          <w:tcPr>
            <w:tcW w:w="1021" w:type="dxa"/>
          </w:tcPr>
          <w:p w14:paraId="6CE60507" w14:textId="533CB587"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3A286B3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PODSUMOWANIE DZIAŁAŃ ZAWARTYCH W APGW</w:t>
            </w:r>
          </w:p>
        </w:tc>
        <w:tc>
          <w:tcPr>
            <w:tcW w:w="5663" w:type="dxa"/>
            <w:shd w:val="clear" w:color="auto" w:fill="auto"/>
            <w:hideMark/>
          </w:tcPr>
          <w:p w14:paraId="3BA66F88" w14:textId="51496B69"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Jednym z działań krajowych wpisanych do aPWŚK było stworzenie Krajowego Programu Renaturyzacji  Wód Powierzchniowych (KPRWP). Jego utworzenie i realizacja była jednym z argumentów strony polskiej w dyskusji z KE dot. wypełnienie postanowień RDW (patrz s. 13  Dokument roboczy… https://www.apgw.gov.pl/pl/news/show/90) i właściwe wdrożenie działań naprawczych przypisanych do znaczących presji. </w:t>
            </w:r>
            <w:r w:rsidRPr="005E78BB">
              <w:rPr>
                <w:rFonts w:ascii="Calibri" w:eastAsia="Times New Roman" w:hAnsi="Calibri" w:cs="Calibri"/>
                <w:color w:val="000000"/>
                <w:sz w:val="18"/>
                <w:szCs w:val="18"/>
                <w:lang w:eastAsia="pl-PL"/>
              </w:rPr>
              <w:br/>
              <w:t xml:space="preserve">Opracowanie  „Ocena stopnia uwzględnienia Krajowego Programu Renaturyzacji Wód Powierzchniowych w projektach drugiej aktualizacji Planów Gospodarowania Wodami (II aPGW) wraz z rekomendacjami do II aPGW” wykonana na zlecenie WWF Polska przez Fundację Hektary dla Natury, ujawnia, że KPRWP nie został ujęty w ramach działań IIaPGW. </w:t>
            </w:r>
            <w:r w:rsidRPr="005E78BB">
              <w:rPr>
                <w:rFonts w:ascii="Calibri" w:eastAsia="Times New Roman" w:hAnsi="Calibri" w:cs="Calibri"/>
                <w:color w:val="000000"/>
                <w:sz w:val="18"/>
                <w:szCs w:val="18"/>
                <w:lang w:eastAsia="pl-PL"/>
              </w:rPr>
              <w:br/>
              <w:t xml:space="preserve">Zgodnie z raportem - w żadnej 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nie wdrożono w pełni rekomendacji z KPRWP, na 43%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brak jest wdrożenia zapisów KPRWP, a w przypadku pozostałych 57%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zapisy KPRWP wdrożono w IIaPGW jedynie częściowo. Ponadto, w wyniku planowanych działań w ramach IIaPGW (inwestycje uznane za spełniające przesłanki art. 4.7 RDW), PPSS i aPZRP, dodatkowa presja wystąpi w prawie co trzeciej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(27%), nie wliczając w to prac utrzymaniowych. Taki stan rzeczy wymaga nie tylko pełnego wdrożenia KPRWP, ale i jego uzupełnienia.</w:t>
            </w:r>
            <w:r w:rsidRPr="005E78BB">
              <w:rPr>
                <w:rFonts w:ascii="Calibri" w:eastAsia="Times New Roman" w:hAnsi="Calibri" w:cs="Calibri"/>
                <w:color w:val="000000"/>
                <w:sz w:val="18"/>
                <w:szCs w:val="18"/>
                <w:lang w:eastAsia="pl-PL"/>
              </w:rPr>
              <w:br/>
              <w:t xml:space="preserve">Z powyższego wynika, że KPRWP został potraktowany jako „zestaw działań zalecanych”, a nie podstawa do likwidacji znaczących presji. Jest to niedopuszczalne, szczególnie, że jest to dokument późniejszy, uzupełniający w stosunku do opracowania „Przegląd i weryfikacja metodyk wyznaczania silnie zmienionych i sztucznych części wód powierzchniowych wraz ze wstępnym i ostatecznym wyznaczeniem (2019)”; w którym określono katalog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o statusie SZCW.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Raport o którym mowa powyżej, w odróżnieniu od KPRWP i innych dokumentów źródłowych jest dostępny w domenie publicznej (m.in.):</w:t>
            </w:r>
            <w:r w:rsidRPr="005E78BB">
              <w:rPr>
                <w:rFonts w:ascii="Calibri" w:eastAsia="Times New Roman" w:hAnsi="Calibri" w:cs="Calibri"/>
                <w:color w:val="000000"/>
                <w:sz w:val="18"/>
                <w:szCs w:val="18"/>
                <w:lang w:eastAsia="pl-PL"/>
              </w:rPr>
              <w:br/>
              <w:t>http://www.ratujmyrzeki.pl/250-konsultacje-apgw</w:t>
            </w:r>
            <w:r w:rsidRPr="005E78BB">
              <w:rPr>
                <w:rFonts w:ascii="Calibri" w:eastAsia="Times New Roman" w:hAnsi="Calibri" w:cs="Calibri"/>
                <w:color w:val="000000"/>
                <w:sz w:val="18"/>
                <w:szCs w:val="18"/>
                <w:lang w:eastAsia="pl-PL"/>
              </w:rPr>
              <w:br/>
              <w:t>https://hektarydlanatury.pl/downloads/Raport_dla_WWF_zalaczniki.pdf</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Udostępnione dane pozwalają na dokonanie samodzielnych analiz dotyczące konkretnych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Brak działań z KPRWP w obliczu rozpoznanych presji HM i na obszary chronione nie pozwala na zastosowanie odstępstw czasowych (4.4 RDW) ani obniżenia wskaźników do osiągnięcia celów środowiskowych (4.5 RDW).</w:t>
            </w:r>
            <w:r w:rsidRPr="005E78BB">
              <w:rPr>
                <w:rFonts w:ascii="Calibri" w:eastAsia="Times New Roman" w:hAnsi="Calibri" w:cs="Calibri"/>
                <w:color w:val="000000"/>
                <w:sz w:val="18"/>
                <w:szCs w:val="18"/>
                <w:lang w:eastAsia="pl-PL"/>
              </w:rPr>
              <w:br/>
              <w:t>Zaniechanie realizacji Programu będzie skutkować świadomym sabotowaniem osiągnięcia celów środowiskowych w roku 2027.</w:t>
            </w:r>
            <w:r w:rsidRPr="005E78BB">
              <w:rPr>
                <w:rFonts w:ascii="Calibri" w:eastAsia="Times New Roman" w:hAnsi="Calibri" w:cs="Calibri"/>
                <w:color w:val="000000"/>
                <w:sz w:val="18"/>
                <w:szCs w:val="18"/>
                <w:lang w:eastAsia="pl-PL"/>
              </w:rPr>
              <w:br/>
              <w:t>Część projektu planu, do którego zgłaszana jest uwaga (numer rozdziału, strona dokumentu, nr załącznika): Rozdz. 10</w:t>
            </w:r>
            <w:r w:rsidRPr="005E78BB">
              <w:rPr>
                <w:rFonts w:ascii="Calibri" w:eastAsia="Times New Roman" w:hAnsi="Calibri" w:cs="Calibri"/>
                <w:color w:val="000000"/>
                <w:sz w:val="18"/>
                <w:szCs w:val="18"/>
                <w:lang w:eastAsia="pl-PL"/>
              </w:rPr>
              <w:br/>
              <w:t xml:space="preserve">Działania 2aPGW KPRWP – raport </w:t>
            </w:r>
          </w:p>
        </w:tc>
        <w:tc>
          <w:tcPr>
            <w:tcW w:w="3377" w:type="dxa"/>
            <w:shd w:val="clear" w:color="auto" w:fill="auto"/>
            <w:hideMark/>
          </w:tcPr>
          <w:p w14:paraId="7B11779D" w14:textId="0D9621E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Uzupełnić katalog działań o zapisy KPRWP, wraz z analizą dodatkowych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na których zidentyfikowano nowe presje hydromorfologiczne (przedsięwzięcia, prace utrzymaniowe).</w:t>
            </w:r>
            <w:r w:rsidRPr="005E78BB">
              <w:rPr>
                <w:rFonts w:ascii="Calibri" w:eastAsia="Times New Roman" w:hAnsi="Calibri" w:cs="Calibri"/>
                <w:color w:val="000000"/>
                <w:sz w:val="18"/>
                <w:szCs w:val="18"/>
                <w:lang w:eastAsia="pl-PL"/>
              </w:rPr>
              <w:br/>
            </w:r>
          </w:p>
        </w:tc>
        <w:tc>
          <w:tcPr>
            <w:tcW w:w="3401" w:type="dxa"/>
            <w:shd w:val="clear" w:color="auto" w:fill="auto"/>
            <w:hideMark/>
          </w:tcPr>
          <w:p w14:paraId="6826BF9D" w14:textId="1D97CF93"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Wybiórcze traktowanie przez Wody Polskie KPRWP oznacza, że ani w poprzednim cyklu planistycznym, ani w obecnie konsultowanym nie będą „wdrożone wszystkie działania naprawcze”. To z kolei ma konsekwencje prawne – nie można ustalić dla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derogacji z art. 4.4. i 4.5. Do podważenia są także podstawy wyznaczenia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jako SZCW.</w:t>
            </w:r>
            <w:r w:rsidRPr="005E78BB">
              <w:rPr>
                <w:rFonts w:ascii="Calibri" w:eastAsia="Times New Roman" w:hAnsi="Calibri" w:cs="Calibri"/>
                <w:color w:val="000000"/>
                <w:sz w:val="18"/>
                <w:szCs w:val="18"/>
                <w:lang w:eastAsia="pl-PL"/>
              </w:rPr>
              <w:br/>
            </w:r>
          </w:p>
        </w:tc>
        <w:tc>
          <w:tcPr>
            <w:tcW w:w="1918" w:type="dxa"/>
            <w:shd w:val="clear" w:color="auto" w:fill="auto"/>
            <w:hideMark/>
          </w:tcPr>
          <w:p w14:paraId="3191D4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428C9D9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2786B7B2" w14:textId="14CDEF96"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Krajowy program renaturyzacji wód powierzchniowych był punktem wyjścia do opracowania działań dla wód powierzchniowych z zakresu poprawy stanu hydromorfologicznego i biologicznego wód powierzchniowych z uwzględnieniem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KPRWP opracowany w 2019/2020 roku stanowi realizację wymagań aPWŚK, a zawarte w nim działania były odpowiedzią na zidentyfikowane presje hydromorfologiczne (na podstawie danych z 2019 roku), wskazał potrzeby poprawy stanu hydromorfologicznego wód powierzchniowych. W ramach KPRWP wskazano tzw. Obszary Wymagające Renaturyzacji oraz Obszary Priorytetowe, w których działania renaturyzacyjne powinny zostać zrealizowane w pierwszej kolejności, biorąc pod uwagę uwarunkowania środowiskowe i ekonomiczne. W Programie tym każdej jednolitej części wód powierzchniowych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która została zaliczona do tych obszarów, przypisano potencjalne zestawy działań renaturyzacyjnych, jednak co należy podkreślić, już wówczas wskazano, że zakres działań w KPRWP, sposób wdrożenia działań, jak i sama lokalizacja działań wymagają doprecyzowania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dalszych szczegółowych analiz w skali lokalnej.</w:t>
            </w:r>
            <w:r w:rsidRPr="005E78BB">
              <w:rPr>
                <w:rFonts w:ascii="Calibri" w:eastAsia="Times New Roman" w:hAnsi="Calibri" w:cs="Calibri"/>
                <w:color w:val="000000"/>
                <w:sz w:val="18"/>
                <w:szCs w:val="18"/>
                <w:lang w:eastAsia="pl-PL"/>
              </w:rPr>
              <w:br/>
              <w:t xml:space="preserve">Na potrzeby IIaPGW uwzględniono najnowsze dane opracowane w ramach Analizy znaczących oddziaływań antropogenicznych wraz z oceną ich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aktualne wyniki z monitoringu GIOŚ z 2019 r., wykonano aktualizację bazy danych HYMO zawierającą dane o presjach hydromorfologicznych, w tym budowli piętrzących. Dokonano weryfikacji między innymi obiektów piętrzących wpływających na ciągłość biologiczną i morfologiczną cieków, usuwając z bazy obiekty powtarzające się, uszczegółowiając na podstawie ankietyzacji informację z zakresu wysokości piętrzenia, drożności, skuteczności przepławek itp..</w:t>
            </w:r>
            <w:r w:rsidRPr="005E78BB">
              <w:rPr>
                <w:rFonts w:ascii="Calibri" w:eastAsia="Times New Roman" w:hAnsi="Calibri" w:cs="Calibri"/>
                <w:color w:val="000000"/>
                <w:sz w:val="18"/>
                <w:szCs w:val="18"/>
                <w:lang w:eastAsia="pl-PL"/>
              </w:rPr>
              <w:br/>
              <w:t xml:space="preserve">Na podstawie pozyskanych i zweryfikowanych informacji zostały zaplanowane działania ukierunkowane na przywrócenie i określenie problemów związanych z ciągłością biologiczną, z jednoczesnym uwzględnieniem najważniejszych potrzeb ryb dwuśrodowiskowych, gatunków chronionych i klasy wskaźników ichtiologicznych oraz efektywności ekonomicznej szerokich potrzeb udrożnienia cieków. Dodatkowo bardzo szczegółowo uwzględniono działania służące spełnieniu celów środowiskowych dla obszarów chronionych. W zakresie renaturyzacji włączono do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rzecznych działania służące poprawie stanu hydromorfologicznego, biologicznego i fizykochemicznego wód z uwzględnieniem możliwości likwidacji presji antropogenicznych zawarte w PZO i PO, oraz działania z tzw. testu restytucji opracowanego w ramach projektu: Przegląd i weryfikacja metodyk wyznaczania silnie zmienionych i sztucznych części wód powierzchniowych wraz ze wstępnym i ostatecznym wyznaczeniem wskazane dla SZCW, dla których na podstawie danych GIOŚ zidentyfikowano ryzyko nieosiągnięcia celów środowiskowych z uwagi na presje hydromorfologiczne. W przypadku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jeziornych zespół ekspertów pracujący przy KPRWP opracował i uszczegółowił na potrzeby IIaPGW zestawy działań możliwe do wdrożenia w tych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uwzględniając czynniki dodatkowe takie jak: zagrożenie suszą, brak przepływu w ciekach zasilających, presje na wody podziemne - związane z lejami depresji, a także stan jakościowy. W wielu przypadkach wskazano konieczność realizacji indywidualnych programów naprawczych dla jezior, w tym programu Renaturyzacji i Rekultywacji. W przypadku indywidualnych programów naprawczych dla jezior należy mieć na uwadze, że poprawa warunków hydromorfologicznych, w tym w szczególności w strefie brzegowej i litoralnej, stanowi kluczowy element tych programów. Są to m.in. strefy buforowe, pozwalające z jednej strony na poprawę stanu hydromorfologicznych, z drugiej stanowiące barierę dla biogenów mogących dostawać się do jeziora że zlewni.</w:t>
            </w:r>
            <w:r w:rsidRPr="005E78BB">
              <w:rPr>
                <w:rFonts w:ascii="Calibri" w:eastAsia="Times New Roman" w:hAnsi="Calibri" w:cs="Calibri"/>
                <w:color w:val="000000"/>
                <w:sz w:val="18"/>
                <w:szCs w:val="18"/>
                <w:lang w:eastAsia="pl-PL"/>
              </w:rPr>
              <w:br/>
              <w:t>KPRWP wskazywał działania potencjalne bez uwzględnienia powiązań z wodami podziemnymi, których zły stan ilościowy (presje związane np. z poborem wód i odwodnieniem) zasadniczo weryfikuje możliwość wdrożenia działań renaturyzacyjnych wskazanych w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z KPRWP wymagają szczegółowej weryfikacji w zakresie zarówno zakresu jak i możliwości ich wdrożenia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tym weryfikacji wpływu wdrożenia działań renaturyzacyjnych na ryzyko powodziowe w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 zatem wymagać będą między innymi modelowania hydraulicznego przepływu wód, uwzględnienia potencjalnych działań wpisanych w aktualizowane obecnie aPZRP, a także konsultacji z podmiotami będącymi właścicielami gruntów czy urządzeń wodnych w obrębie planowanych działań. Uwzględnienie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d oraz zestawów działań aPGW wynikających z PO/PZO/ZO w celu eliminacji działań powtarzających się.</w:t>
            </w:r>
            <w:r w:rsidRPr="005E78BB">
              <w:rPr>
                <w:rFonts w:ascii="Calibri" w:eastAsia="Times New Roman" w:hAnsi="Calibri" w:cs="Calibri"/>
                <w:color w:val="000000"/>
                <w:sz w:val="18"/>
                <w:szCs w:val="18"/>
                <w:lang w:eastAsia="pl-PL"/>
              </w:rPr>
              <w:br/>
              <w:t xml:space="preserve">W wyniku dokonanej ponownej weryfikacji w zakresie działań KPRWP, zestawy działań IIaPGW uzupełnione zostały o działania renaturyzacyjne wskazane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NAT, zagrożonych, z presją znaczącą BIO_HM inną niż ciągłość (PPH2), powodującą zły stan elementów biologicznych zależnych od hydromorfologii i ryzyko nieosiągnięcia celów środowiskowych, w tym dla obszarów chronionych, dla których wskazano cele środowiskowe w zakresie wymogów rzek włosinicznikowych i wylewów, bez działań wynikających z testu restytucji.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Wprowadzono działanie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Analiza sposobu przeprowadzenia renaturyzacji koryta cieku oraz realizacja działań na podstawie przeprowadzonej analizy (do 2027 r.).</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Dokonane zostały również modyfikacje zestawów działań w zakresie działań ukierunkowanych na zapewnienie ciągłości biologicznej, a tym samym zapewnienie osiągnięcia celów środowiskowych w zakresie ciągłości biologicznej w perspektywie do 2027 r. Wprowadzone zmiany dotyczą m.in. działania RWHM_02.06, uzupełnionego o możliwość realizacji działania technicznego z zakresu przywrócenia drożności po wykonaniu oceny. Działanie RWHM_02.06 obecnie zawiera następujące zapisy:</w:t>
            </w:r>
            <w:r w:rsidRPr="005E78BB">
              <w:rPr>
                <w:rFonts w:ascii="Calibri" w:eastAsia="Times New Roman" w:hAnsi="Calibri" w:cs="Calibri"/>
                <w:color w:val="000000"/>
                <w:sz w:val="18"/>
                <w:szCs w:val="18"/>
                <w:lang w:eastAsia="pl-PL"/>
              </w:rPr>
              <w:br/>
              <w:t>Nazwa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Opis działania:</w:t>
            </w:r>
            <w:r w:rsidRPr="005E78BB">
              <w:rPr>
                <w:rFonts w:ascii="Calibri" w:eastAsia="Times New Roman" w:hAnsi="Calibri" w:cs="Calibri"/>
                <w:color w:val="000000"/>
                <w:sz w:val="18"/>
                <w:szCs w:val="18"/>
                <w:lang w:eastAsia="pl-PL"/>
              </w:rPr>
              <w:br/>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Zastosowanie:</w:t>
            </w:r>
            <w:r w:rsidRPr="005E78BB">
              <w:rPr>
                <w:rFonts w:ascii="Calibri" w:eastAsia="Times New Roman" w:hAnsi="Calibri" w:cs="Calibri"/>
                <w:color w:val="000000"/>
                <w:sz w:val="18"/>
                <w:szCs w:val="18"/>
                <w:lang w:eastAsia="pl-PL"/>
              </w:rPr>
              <w:br/>
              <w:t>Działania mają na celu identyfikację wpływu budowli poprzecznych na ciągłość biologiczną. Działanie dedykowane w przypadku występowania budowli, dla których brak informacji uniemożliwia ocenę wpływu na ciągłość biologiczną, w szczególności, czy obiekt jest wyposażony w urządzenia do migracji ryb lub parametry obiektu (np. wysokość piętrzenia) umożliwiają migrację ryb. Wykaz budowli objętych działaniem zamieszczono w Zał. 1 Wykaz działań dla budowli.</w:t>
            </w:r>
            <w:r w:rsidRPr="005E78BB">
              <w:rPr>
                <w:rFonts w:ascii="Calibri" w:eastAsia="Times New Roman" w:hAnsi="Calibri" w:cs="Calibri"/>
                <w:color w:val="000000"/>
                <w:sz w:val="18"/>
                <w:szCs w:val="18"/>
                <w:lang w:eastAsia="pl-PL"/>
              </w:rPr>
              <w:br/>
              <w:t>Jednocześnie zmiany dokonano również w zakresie działania RWHM_02.08, które obecnie zawiera następujące zapisy:</w:t>
            </w:r>
            <w:r w:rsidRPr="005E78BB">
              <w:rPr>
                <w:rFonts w:ascii="Calibri" w:eastAsia="Times New Roman" w:hAnsi="Calibri" w:cs="Calibri"/>
                <w:color w:val="000000"/>
                <w:sz w:val="18"/>
                <w:szCs w:val="18"/>
                <w:lang w:eastAsia="pl-PL"/>
              </w:rPr>
              <w:br/>
              <w:t>Nazwa działania: Monitoring skuteczności istniejących urządzeń do migracji ryb.</w:t>
            </w:r>
            <w:r w:rsidRPr="005E78BB">
              <w:rPr>
                <w:rFonts w:ascii="Calibri" w:eastAsia="Times New Roman" w:hAnsi="Calibri" w:cs="Calibri"/>
                <w:color w:val="000000"/>
                <w:sz w:val="18"/>
                <w:szCs w:val="18"/>
                <w:lang w:eastAsia="pl-PL"/>
              </w:rPr>
              <w:br/>
              <w:t xml:space="preserve">Opis działania: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r w:rsidRPr="005E78BB">
              <w:rPr>
                <w:rFonts w:ascii="Calibri" w:eastAsia="Times New Roman" w:hAnsi="Calibri" w:cs="Calibri"/>
                <w:color w:val="000000"/>
                <w:sz w:val="18"/>
                <w:szCs w:val="18"/>
                <w:lang w:eastAsia="pl-PL"/>
              </w:rPr>
              <w:br/>
              <w:t>Zastosowanie: Działanie mające na celu zapewnienie monitoringu urządzeń do migracji ryb, w przypadku, gdy istnieje informacja, że obiekty są wyposażone w takie urządzenia. Wykaz budowli objętych działaniem zamieszczono w Zał. 1 Wykaz działań dla budowli.</w:t>
            </w:r>
          </w:p>
        </w:tc>
      </w:tr>
      <w:tr w:rsidR="0085319C" w:rsidRPr="005E78BB" w14:paraId="56EC76DB" w14:textId="77777777" w:rsidTr="00E92AE6">
        <w:trPr>
          <w:trHeight w:val="454"/>
        </w:trPr>
        <w:tc>
          <w:tcPr>
            <w:tcW w:w="562" w:type="dxa"/>
            <w:shd w:val="clear" w:color="auto" w:fill="auto"/>
            <w:hideMark/>
          </w:tcPr>
          <w:p w14:paraId="5C5D6DC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779</w:t>
            </w:r>
          </w:p>
        </w:tc>
        <w:tc>
          <w:tcPr>
            <w:tcW w:w="1021" w:type="dxa"/>
          </w:tcPr>
          <w:p w14:paraId="10685BEB" w14:textId="5B0CD67B"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7B6D2AF8" w14:textId="5E60CC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Cele środowiskowe </w:t>
            </w:r>
            <w:r w:rsidR="00513278">
              <w:rPr>
                <w:rFonts w:ascii="Calibri" w:eastAsia="Times New Roman" w:hAnsi="Calibri" w:cs="Calibri"/>
                <w:color w:val="000000"/>
                <w:sz w:val="18"/>
                <w:szCs w:val="18"/>
                <w:lang w:eastAsia="pl-PL"/>
              </w:rPr>
              <w:t>JCWP</w:t>
            </w:r>
          </w:p>
        </w:tc>
        <w:tc>
          <w:tcPr>
            <w:tcW w:w="5663" w:type="dxa"/>
            <w:shd w:val="clear" w:color="auto" w:fill="auto"/>
            <w:hideMark/>
          </w:tcPr>
          <w:p w14:paraId="261663C2" w14:textId="74E886E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Dotyczy:Rozdz. 8.1. – 8.4. Art. 4.4. i 4.5. RDW</w:t>
            </w:r>
            <w:r w:rsidRPr="005E78BB">
              <w:rPr>
                <w:rFonts w:ascii="Calibri" w:eastAsia="Times New Roman" w:hAnsi="Calibri" w:cs="Calibri"/>
                <w:color w:val="000000"/>
                <w:sz w:val="18"/>
                <w:szCs w:val="18"/>
                <w:lang w:eastAsia="pl-PL"/>
              </w:rPr>
              <w:br/>
              <w:t>W stosunku do aPGW (2016-2021) w IIaPGW znacznie zwiększona została ilość „przyznanych” odstępstw z art. 4.5 RDW (złagodzenie celów środowiskowych).)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aPGW –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RW: 21 /2660 = </w:t>
            </w:r>
          </w:p>
        </w:tc>
        <w:tc>
          <w:tcPr>
            <w:tcW w:w="3377" w:type="dxa"/>
            <w:shd w:val="clear" w:color="auto" w:fill="auto"/>
            <w:hideMark/>
          </w:tcPr>
          <w:p w14:paraId="43FDC019" w14:textId="6C370C76"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Usunąć z listy odstępstw na podstawie art. 4.4 i 4.5 RDW te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nie wdrożono lub nie zaplanowano możliwych działań naprawczych.</w:t>
            </w:r>
            <w:r w:rsidRPr="005E78BB">
              <w:rPr>
                <w:rFonts w:ascii="Calibri" w:eastAsia="Times New Roman" w:hAnsi="Calibri" w:cs="Calibri"/>
                <w:color w:val="000000"/>
                <w:sz w:val="18"/>
                <w:szCs w:val="18"/>
                <w:lang w:eastAsia="pl-PL"/>
              </w:rPr>
              <w:br/>
            </w:r>
          </w:p>
        </w:tc>
        <w:tc>
          <w:tcPr>
            <w:tcW w:w="3401" w:type="dxa"/>
            <w:shd w:val="clear" w:color="auto" w:fill="auto"/>
            <w:hideMark/>
          </w:tcPr>
          <w:p w14:paraId="78BF68E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2276BD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D61B4F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4867F345" w14:textId="1FB61960"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Odstępstwem od celów RDW jest każdy przypadek, w którym nie udało się osiągnąć celów środowiskowych, zatem koniecznym jest zbadanie przyczyn nieosiągnięcia celów środowiskowych. Przypadki, w których odstępstwu nie towarzyszą działania dedykowane konkretnej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to przypadki w których, zależnie od sytuacji, przyczyną złego stanu wód są warunki naturalne LUB przypadki w których uznano, że wystarczające będą krajowe działania horyzontalne wynikające z IIaPGW.</w:t>
            </w:r>
            <w:r w:rsidRPr="005E78BB">
              <w:rPr>
                <w:rFonts w:ascii="Calibri" w:eastAsia="Times New Roman" w:hAnsi="Calibri" w:cs="Calibri"/>
                <w:color w:val="000000"/>
                <w:sz w:val="18"/>
                <w:szCs w:val="18"/>
                <w:lang w:eastAsia="pl-PL"/>
              </w:rPr>
              <w:br/>
              <w:t>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w:t>
            </w:r>
            <w:r w:rsidRPr="005E78BB">
              <w:rPr>
                <w:rFonts w:ascii="Calibri" w:eastAsia="Times New Roman" w:hAnsi="Calibri" w:cs="Calibri"/>
                <w:color w:val="000000"/>
                <w:sz w:val="18"/>
                <w:szCs w:val="18"/>
                <w:lang w:eastAsia="pl-PL"/>
              </w:rPr>
              <w:br/>
              <w:t xml:space="preserve">Różnice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61B4E2D9" w14:textId="77777777" w:rsidTr="00E92AE6">
        <w:trPr>
          <w:trHeight w:val="454"/>
        </w:trPr>
        <w:tc>
          <w:tcPr>
            <w:tcW w:w="562" w:type="dxa"/>
            <w:shd w:val="clear" w:color="auto" w:fill="auto"/>
            <w:hideMark/>
          </w:tcPr>
          <w:p w14:paraId="489892C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780</w:t>
            </w:r>
          </w:p>
        </w:tc>
        <w:tc>
          <w:tcPr>
            <w:tcW w:w="1021" w:type="dxa"/>
          </w:tcPr>
          <w:p w14:paraId="6DFF0281" w14:textId="168D0FB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C84704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FD4C3F1" w14:textId="2E93E01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Kryteria użyte do ustanowienia odstępstw z art. 4.4 i 4.5 powinny być przejrzyste, jednoznaczne i odpowiednie oraz powinny zostać odpowiednio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uzasadnione w PGW (patrz CIS Guidance No. 20). </w:t>
            </w:r>
            <w:r w:rsidRPr="005E78BB">
              <w:rPr>
                <w:rFonts w:ascii="Calibri" w:eastAsia="Times New Roman" w:hAnsi="Calibri" w:cs="Calibri"/>
                <w:color w:val="000000"/>
                <w:sz w:val="18"/>
                <w:szCs w:val="18"/>
                <w:lang w:eastAsia="pl-PL"/>
              </w:rPr>
              <w:br w:type="page"/>
              <w:t xml:space="preserve">W załączniku 8 do IIaPGW nie mamy indywidualnych opisów, tylko powielane dla wielu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hasła, z których nie wynika, dlaczego akurat na danej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konkretna działalność człowieka np. rolnicza uniemożliwia wdrożenie działań naprawczych typu renaturyzacja czy udrożnienie piętrzeń. W związku z niewdrożeniem wielu działań naprawczych, opisy te wydają się być nieodpowiednie.</w:t>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06DAE1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Poprawić opis odstępstw tak, aby było możliwe sprawdzenie czy jego ustanowienie było właściwe.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Usunąć z listy odstępstw te, dla których uzasadnienia stoją w sprzeczności z KPRWP i dla których możliwe są działania poprawiające stan fizykochemiczny wód.</w:t>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3ABCBBBD" w14:textId="3E8874D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Właściwe uzasadnienie odstępstwa jest niezbędne dla jego prawidłowego wyznaczenia. Brak przejrzystych, jednoznacznych i adekwatnych kryteriów dla każdej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 odstępstwem wyklucza jego ustanowienie. </w:t>
            </w:r>
          </w:p>
        </w:tc>
        <w:tc>
          <w:tcPr>
            <w:tcW w:w="1918" w:type="dxa"/>
            <w:shd w:val="clear" w:color="auto" w:fill="auto"/>
            <w:hideMark/>
          </w:tcPr>
          <w:p w14:paraId="757B269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0843C0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3BFFDC58" w14:textId="6B343C0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Odstępstwa uzasadniono pod względem wielu kryteriów - indywidualnie dla każdej jednolitej części wód.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są przedmiotem szerokich analiz związanych z opracowywaniem zestawów działań. Każdy przypadek odstępstwa od osiągnięcia celów środowiskowych (czyli: każdy przypadek, w którym nie zostały osiągnięte cele środowiskowe lub -w przypadku niemonitorowanego stanu/potencjału ekologicznego- stwierdzono zagrożenie ich nieosiągnięcia) jest szczegółowo uzasadniony w Wykazie Odstępstw (który należy odczytywać w połączeniu z danymi IIaPGW na temat skuteczności zestawów działań) informacjami na temat przyczyn nieosiągnięcia celów środowiskowych. Do katalogu tych przyczyn należą konkretne rodzaje presji lub warunki naturalne - szczegółowe informacje (adekwatne do współczesnego stanu wiedzy i do dostępnych danych) zostały przedstawione w Wykazie Odstępstw. Zgodzić należy się z tym, że odstępstwa w trybie art. 4 ust. 4-5 Ramowej Dyrektywy Wodnej oczywiście są dopuszczalne wyłącznie pod warunkiem zapewnienia dowodu, że podjęto wszelkie możliwe (wykonalne technicznie i racjonalne ekonomicznie) działania mające na celu osiągnięcie możliwie najlepszego stanu wód. Kryteria wykonalności technicznej i racjonalności kosztów stanowią element szerokich analiz związanych z opracowywaniem zestawów działań przeprowadzonych w ramach IIaPGW.Różnica w liczbie wskazanych odstępstw pomiędzy aPGW i IIaPGW wynika również ze stale rozszerzanej, uzupełnianej i aktualizowanej bazy danych dot. stanu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presji antropogenicznych i innych elementów wpływających na możliwość poddania szczegółowym analizom zdecydowanie większej liczby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Duża liczba odstępstw od celów środowiskowych nie wynika z tego, że je "przyznano" w IIaPGW, lecz z tego, że w wielu przypadkach nie osiągnięto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zatem nastąpiło odstępstwo od założonego celu (=od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p>
        </w:tc>
      </w:tr>
      <w:tr w:rsidR="0085319C" w:rsidRPr="005E78BB" w14:paraId="6358A330" w14:textId="77777777" w:rsidTr="00E92AE6">
        <w:trPr>
          <w:trHeight w:val="454"/>
        </w:trPr>
        <w:tc>
          <w:tcPr>
            <w:tcW w:w="562" w:type="dxa"/>
            <w:shd w:val="clear" w:color="auto" w:fill="auto"/>
            <w:hideMark/>
          </w:tcPr>
          <w:p w14:paraId="736F9896"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781</w:t>
            </w:r>
          </w:p>
        </w:tc>
        <w:tc>
          <w:tcPr>
            <w:tcW w:w="1021" w:type="dxa"/>
          </w:tcPr>
          <w:p w14:paraId="61BFF543" w14:textId="3CA1A47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29F17D5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WYKAZ INWESTYCJI I DZIAŁAŃ</w:t>
            </w:r>
          </w:p>
        </w:tc>
        <w:tc>
          <w:tcPr>
            <w:tcW w:w="5663" w:type="dxa"/>
            <w:shd w:val="clear" w:color="auto" w:fill="auto"/>
            <w:hideMark/>
          </w:tcPr>
          <w:p w14:paraId="30626D57"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Rozdz. 16, Zał. 6 </w:t>
            </w:r>
            <w:r w:rsidRPr="005E78BB">
              <w:rPr>
                <w:rFonts w:ascii="Calibri" w:eastAsia="Times New Roman" w:hAnsi="Calibri" w:cs="Calibri"/>
                <w:color w:val="000000"/>
                <w:sz w:val="18"/>
                <w:szCs w:val="18"/>
                <w:lang w:eastAsia="pl-PL"/>
              </w:rPr>
              <w:br/>
              <w:t xml:space="preserve">W projekcie IIaPGW opublikowano listę przedsięwzięć, która zgodnie z art. 436 PW, powinna spełniać w sposób obiektywny kryteria art. 68 PW, czyli spełniać warunki art. 4.7 RDW do udzielenia derogacji.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272 przedsięwzięć rzekomo spełniających ww. kryteria, takie podejście zastosowano jedynie do 5 nowych przedsięwzięć zgłoszonych w latach 2016-2021, które przeszły procedurę oceny oddziaływania na środowisko (i/lub oceny wodnoprawnej) wraz z elementami oceny z art. 68 PW.</w:t>
            </w:r>
            <w:r w:rsidRPr="005E78BB">
              <w:rPr>
                <w:rFonts w:ascii="Calibri" w:eastAsia="Times New Roman" w:hAnsi="Calibri" w:cs="Calibri"/>
                <w:color w:val="000000"/>
                <w:sz w:val="18"/>
                <w:szCs w:val="18"/>
                <w:lang w:eastAsia="pl-PL"/>
              </w:rPr>
              <w:br/>
              <w:t>Reszta przedsięwzięć - 267 - została przepisanych z poprzedniego aPGW, tylko na podstawie deklaracji inwestorów chęci kontynuacji ich realizacji. Takie odmienne podejście do „starych” przedsięwzięć jest niedopuszczalne. Zmiana w trybie ujmowania w IIaPGW tego typu przedsięwzięć nastąpiła w wyniku dużych wątpliwości, co do jakości pobieżnych ocen zasadności spełniania przesłanek 4.7 publikowanych w poprzednim cyklu planistycznym – odbywały się one bez właściwych procedur ocenowych. Uwagi wysuwane przez organizacje ekologiczne zostały podzielone przez Komisję Europejską, która w cytowanym już sprawozdaniu https://www.apgw.gov.pl/pl/news/show/90 zaleciła:</w:t>
            </w:r>
            <w:r w:rsidRPr="005E78BB">
              <w:rPr>
                <w:rFonts w:ascii="Calibri" w:eastAsia="Times New Roman" w:hAnsi="Calibri" w:cs="Calibri"/>
                <w:color w:val="000000"/>
                <w:sz w:val="18"/>
                <w:szCs w:val="18"/>
                <w:lang w:eastAsia="pl-PL"/>
              </w:rPr>
              <w:br/>
              <w:t xml:space="preserve">Polska musi zapewnić, aby stosowanie wyłączeń na mocy art. 4 ust. 7 opierało się na dogłębnej ocenie wszystkich etapów wymaganych zgodnie z RDW, w szczególności na ocenie, czy realizacja projektu stanowi nadrzędny interes publiczny i czy korzyści dla społeczeństwa przeważają nad degradacją środowiska, przy uwzględnieniu braku realnych rozwiązań alternatywnych stanowiących korzystniejszą opcję środowiskową. Ponadto projekty te mogą być realizowane jedynie wówczas, gdy zostaną zastosowane wszystkie możliwe środki w celu złagodzenia negatywnego wpływu na stan/potencjał jednolitych części wód.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Spośród 267 „starych” przedsięwzięć aż 238 nie posiada wydanej decyzji o środowiskowych uwarunkowaniach (dśu), w tym tak znacząco negatywnie oddziałujące na środowisko jak:</w:t>
            </w:r>
            <w:r w:rsidRPr="005E78BB">
              <w:rPr>
                <w:rFonts w:ascii="Calibri" w:eastAsia="Times New Roman" w:hAnsi="Calibri" w:cs="Calibri"/>
                <w:color w:val="000000"/>
                <w:sz w:val="18"/>
                <w:szCs w:val="18"/>
                <w:lang w:eastAsia="pl-PL"/>
              </w:rPr>
              <w:br/>
              <w:t>• Budowa zbiornika Kąty Myscowa – brak dśu, brak udziału społecznego, raport ooś od 2013 do kolejnej poprawy, oddziaływanie na 4 obszary Natura 2000 i park narodowy;</w:t>
            </w:r>
            <w:r w:rsidRPr="005E78BB">
              <w:rPr>
                <w:rFonts w:ascii="Calibri" w:eastAsia="Times New Roman" w:hAnsi="Calibri" w:cs="Calibri"/>
                <w:color w:val="000000"/>
                <w:sz w:val="18"/>
                <w:szCs w:val="18"/>
                <w:lang w:eastAsia="pl-PL"/>
              </w:rPr>
              <w:br/>
              <w:t>• Budowa zbiornika Dukla na Jasiołce – brak jakichkolwiek dokumentów czy ocen oddziaływania na cokolwiek;</w:t>
            </w:r>
            <w:r w:rsidRPr="005E78BB">
              <w:rPr>
                <w:rFonts w:ascii="Calibri" w:eastAsia="Times New Roman" w:hAnsi="Calibri" w:cs="Calibri"/>
                <w:color w:val="000000"/>
                <w:sz w:val="18"/>
                <w:szCs w:val="18"/>
                <w:lang w:eastAsia="pl-PL"/>
              </w:rPr>
              <w:br/>
              <w:t>• Budowa zbiornika wodnego w km 39+120 rzeki Dunajec, zapory powłokowej piętrzącej wodę powierzchniową w zbiorniku wodnym, przepławki dla ryb, śluzy dla przeprawy kajaków, linii przesyłowej dla zasilania zapory przeponowej oraz modernizacja ujęcia wody pitnej dla miasta Brzeska i instalacji odnawialnego źródła energii;-</w:t>
            </w:r>
            <w:r w:rsidRPr="005E78BB">
              <w:rPr>
                <w:rFonts w:ascii="Calibri" w:eastAsia="Times New Roman" w:hAnsi="Calibri" w:cs="Calibri"/>
                <w:color w:val="000000"/>
                <w:sz w:val="18"/>
                <w:szCs w:val="18"/>
                <w:lang w:eastAsia="pl-PL"/>
              </w:rPr>
              <w:br/>
              <w:t xml:space="preserve"> inwestycja spotkała się z odmową uzgodnienia przedsięwzięcia przez RDOŚ w Krakowie poprzedzoną negatywną opinią RROP.</w:t>
            </w:r>
            <w:r w:rsidRPr="005E78BB">
              <w:rPr>
                <w:rFonts w:ascii="Calibri" w:eastAsia="Times New Roman" w:hAnsi="Calibri" w:cs="Calibri"/>
                <w:color w:val="000000"/>
                <w:sz w:val="18"/>
                <w:szCs w:val="18"/>
                <w:lang w:eastAsia="pl-PL"/>
              </w:rPr>
              <w:br/>
              <w:t>Dotyczy to też  blisko 200 regulacji rzek, w tym w obszarach Natura 2000 czy obszarach przeznaczonych dla gatunków o znaczeniu gospodarczym:</w:t>
            </w:r>
            <w:r w:rsidRPr="005E78BB">
              <w:rPr>
                <w:rFonts w:ascii="Calibri" w:eastAsia="Times New Roman" w:hAnsi="Calibri" w:cs="Calibri"/>
                <w:color w:val="000000"/>
                <w:sz w:val="18"/>
                <w:szCs w:val="18"/>
                <w:lang w:eastAsia="pl-PL"/>
              </w:rPr>
              <w:br/>
              <w:t>• Zestaw kilkunastu inwestycji w dorzeczu Nidy, jak „Udrożnienie rzeki Czarna Nida wraz z zabezpieczeniem przeciwpowodziowym terenów zabudowanych na odcinku od Morawicy do Napękowa, gmina Morawica, Daleszyce, Górno i Bieliny.” – Wody Polskie zaniechały tu działań renaturyzacyjnych, ale podtrzymały plany regulacji tych samych rzek w tych samych miejscach;</w:t>
            </w:r>
            <w:r w:rsidRPr="005E78BB">
              <w:rPr>
                <w:rFonts w:ascii="Calibri" w:eastAsia="Times New Roman" w:hAnsi="Calibri" w:cs="Calibri"/>
                <w:color w:val="000000"/>
                <w:sz w:val="18"/>
                <w:szCs w:val="18"/>
                <w:lang w:eastAsia="pl-PL"/>
              </w:rPr>
              <w:br/>
              <w:t>• „Zabezpieczenie przeciwpowodziowe na rzece Krzyworzeka w km 0+100-4+000 w miejscowości Stadniki, gm. Dobczyce, pow. Myślenicki” – w ponad połowie wykonane bez żadnych ocen w trybie zgłoszeń z art. 118 UOP;</w:t>
            </w:r>
            <w:r w:rsidRPr="005E78BB">
              <w:rPr>
                <w:rFonts w:ascii="Calibri" w:eastAsia="Times New Roman" w:hAnsi="Calibri" w:cs="Calibri"/>
                <w:color w:val="000000"/>
                <w:sz w:val="18"/>
                <w:szCs w:val="18"/>
                <w:lang w:eastAsia="pl-PL"/>
              </w:rPr>
              <w:br/>
              <w:t>• „Zabezpieczenie koryta potoku Tarnawka w km 0+000-7+500 msc. Boczów, Tarnawa, gm. Łaponów, pow. bocheński, woj. Małopolski” – obszar Natura 2000, wykonane częściowo w trybie art. 118 bez decyzji.</w:t>
            </w:r>
            <w:r w:rsidRPr="005E78BB">
              <w:rPr>
                <w:rFonts w:ascii="Calibri" w:eastAsia="Times New Roman" w:hAnsi="Calibri" w:cs="Calibri"/>
                <w:color w:val="000000"/>
                <w:sz w:val="18"/>
                <w:szCs w:val="18"/>
                <w:lang w:eastAsia="pl-PL"/>
              </w:rPr>
              <w:br/>
              <w:t>Wśród pozostałych 29 przedsięwzięć, aż 10 posiada dśu starszą niż 8 lat, co jest obecnie granicą ważności dokumentu, nie można tu mówić też o jakiejkolwiek dogłębnej i aktualnej ocenie wpływu na cele środowiskowe i analizie spełniania kryteriów derogacyjnych. Najstarsza z nich ukończyła w marcu 17 lat (2004 rok) i już niedługo będzie pełnoletnia.</w:t>
            </w:r>
            <w:r w:rsidRPr="005E78BB">
              <w:rPr>
                <w:rFonts w:ascii="Calibri" w:eastAsia="Times New Roman" w:hAnsi="Calibri" w:cs="Calibri"/>
                <w:color w:val="000000"/>
                <w:sz w:val="18"/>
                <w:szCs w:val="18"/>
                <w:lang w:eastAsia="pl-PL"/>
              </w:rPr>
              <w:br/>
              <w:t>Z 19 pozostałych dla przynajmniej 2 przedsięwzięć dśu została uchylona:</w:t>
            </w:r>
            <w:r w:rsidRPr="005E78BB">
              <w:rPr>
                <w:rFonts w:ascii="Calibri" w:eastAsia="Times New Roman" w:hAnsi="Calibri" w:cs="Calibri"/>
                <w:color w:val="000000"/>
                <w:sz w:val="18"/>
                <w:szCs w:val="18"/>
                <w:lang w:eastAsia="pl-PL"/>
              </w:rPr>
              <w:br/>
              <w:t>• Budowa zbiornika wodnego Wierna Rzeka na rzece Łososinie, na terenie gm. Łopuszno, Piekoszów i Strawczyn – GDOŚ dnia 26 listopada 2020 r. uchylił dśu wydaną przez RDOŚ w Kielcach – decyzja przeoczona przez twórców projekty IIaPGW;</w:t>
            </w:r>
            <w:r w:rsidRPr="005E78BB">
              <w:rPr>
                <w:rFonts w:ascii="Calibri" w:eastAsia="Times New Roman" w:hAnsi="Calibri" w:cs="Calibri"/>
                <w:color w:val="000000"/>
                <w:sz w:val="18"/>
                <w:szCs w:val="18"/>
                <w:lang w:eastAsia="pl-PL"/>
              </w:rPr>
              <w:br/>
              <w:t>• Ochrona przed wodami powodziowymi dolnego odcinka Wisły od Włocławka do jej ujścia do Zatoki - Stopień wodny poniżej Włocławka – Minister Środowiska decyzją z sierpnia 2021 r. uchyli dśu wydaną przez  RDOŚ w Bydgoszczy.</w:t>
            </w:r>
            <w:r w:rsidRPr="005E78BB">
              <w:rPr>
                <w:rFonts w:ascii="Calibri" w:eastAsia="Times New Roman" w:hAnsi="Calibri" w:cs="Calibri"/>
                <w:color w:val="000000"/>
                <w:sz w:val="18"/>
                <w:szCs w:val="18"/>
                <w:lang w:eastAsia="pl-PL"/>
              </w:rPr>
              <w:br/>
              <w:t xml:space="preserve">Na 17 ostałych się „starych” inwestycji, aż 7 zostało przez organizacje ekologiczne uznanych za niespełniających warunków derogacji, a dla 5 derogacja jest wątpliwa. Uwagi te dotyczyły ostatecznej wersji aPGW, a opisy derogacji dla tych działań praktycznie się nie zmieniły. Dla pięciu ostatnich przedsięwzięć uwag nie sporządzono.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Ponadto nie są aktualne dane o statusach inwestycji – część z nich jest obecnie wykonywana lub nawet zakończona. Przykładami może być: Program "Budowa drogi wodnej łączącej Zalew Wiślany z Zatoką Gdańską" czyli tzw. przekop Mierzei Wiślanej czy „Odbudowa zbiornika wodnego istniejącego na rzece Czarnej Koneckiej/Malenieckiej w Sielpi wraz z turystyczno-rekreacyjnym zagospodarowaniem tego terenu i obszaru funkcjonalnie z nim związanego”.</w:t>
            </w:r>
            <w:r w:rsidRPr="005E78BB">
              <w:rPr>
                <w:rFonts w:ascii="Calibri" w:eastAsia="Times New Roman" w:hAnsi="Calibri" w:cs="Calibri"/>
                <w:color w:val="000000"/>
                <w:sz w:val="18"/>
                <w:szCs w:val="18"/>
                <w:lang w:eastAsia="pl-PL"/>
              </w:rPr>
              <w:br/>
            </w:r>
          </w:p>
        </w:tc>
        <w:tc>
          <w:tcPr>
            <w:tcW w:w="3377" w:type="dxa"/>
            <w:shd w:val="clear" w:color="auto" w:fill="auto"/>
            <w:hideMark/>
          </w:tcPr>
          <w:p w14:paraId="4B096A5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Należy usunąć z listy przedsięwzięć spełniających przesłanki art. 4.7 RDW wszystkie przedsięwzięcia bez decyzji o środowiskowych uwarunkowaniach (dśu), także te dla których została ona uchylona, wszystkie których dśu ma ponad 8 lat.</w:t>
            </w:r>
            <w:r w:rsidRPr="005E78BB">
              <w:rPr>
                <w:rFonts w:ascii="Calibri" w:eastAsia="Times New Roman" w:hAnsi="Calibri" w:cs="Calibri"/>
                <w:color w:val="000000"/>
                <w:sz w:val="18"/>
                <w:szCs w:val="18"/>
                <w:lang w:eastAsia="pl-PL"/>
              </w:rPr>
              <w:br/>
              <w:t>Pozostałych 14 przedsięwzięć ze „starej” listy aPGW należy ponownie przeanalizować pod kątem oddziaływania na cele środowiskowe i spełnianie przesłanek do derogacji. Należy też sprawdzić, czy wydane decyzje były poprzedzone procedurą oceny oddziaływania i czy w ramach niej analizowano w ogóle aspekty art. 68 PW (4.7 RDW).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Przedsięwzięcia niespełniające wymogów art. 436 PW powinny się znaleźć na innej liście inwestycji i działań, które mogą spowodować nieosiągnięcie dobrego stanu wód lub pogorszenie dobrego stanu wód – liście działań bez przesądzenia o spełnianiu warunków derogacji,  ale też przedstawionej w IIaPGW, co będzie zgodnie z wytycznymi CIS Guidance No 20 i 37.</w:t>
            </w:r>
            <w:r w:rsidRPr="005E78BB">
              <w:rPr>
                <w:rFonts w:ascii="Calibri" w:eastAsia="Times New Roman" w:hAnsi="Calibri" w:cs="Calibri"/>
                <w:color w:val="000000"/>
                <w:sz w:val="18"/>
                <w:szCs w:val="18"/>
                <w:lang w:eastAsia="pl-PL"/>
              </w:rPr>
              <w:br/>
              <w:t>Powinno się uaktualnić stan zaawansowania inwestycji – obecnie w IIaPGW status planowanych mają również te zaczęte, a nawet skończone.</w:t>
            </w:r>
          </w:p>
        </w:tc>
        <w:tc>
          <w:tcPr>
            <w:tcW w:w="3401" w:type="dxa"/>
            <w:shd w:val="clear" w:color="auto" w:fill="auto"/>
            <w:hideMark/>
          </w:tcPr>
          <w:p w14:paraId="43405262"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Przynajmniej 253 z 272 przedsięwzięć nie spełniają żadnych kryteriów do uznania za spełniających warunki odstępstwa z art. 4.7 RDW (68 PW z tego ponad 230 nie posiada decyzji o środowiskowych uwarunkowaniach. Wymagane wymogi RDW, potwierdzone przez KE, w przypadku tych inwestycji nie zostały spełnione.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1918" w:type="dxa"/>
            <w:shd w:val="clear" w:color="auto" w:fill="auto"/>
            <w:hideMark/>
          </w:tcPr>
          <w:p w14:paraId="15A552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0267E8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7592E78" w14:textId="333658F8"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85319C" w:rsidRPr="005E78BB" w14:paraId="56624543" w14:textId="77777777" w:rsidTr="00E92AE6">
        <w:trPr>
          <w:trHeight w:val="454"/>
        </w:trPr>
        <w:tc>
          <w:tcPr>
            <w:tcW w:w="562" w:type="dxa"/>
            <w:shd w:val="clear" w:color="auto" w:fill="auto"/>
            <w:hideMark/>
          </w:tcPr>
          <w:p w14:paraId="5A794100"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782</w:t>
            </w:r>
          </w:p>
        </w:tc>
        <w:tc>
          <w:tcPr>
            <w:tcW w:w="1021" w:type="dxa"/>
          </w:tcPr>
          <w:p w14:paraId="1FFF2BE5" w14:textId="202E7AA3"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6843F97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2C6AB8B" w14:textId="2A27505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Katalogi działań</w:t>
            </w:r>
            <w:r w:rsidRPr="005E78BB">
              <w:rPr>
                <w:rFonts w:ascii="Calibri" w:eastAsia="Times New Roman" w:hAnsi="Calibri" w:cs="Calibri"/>
                <w:color w:val="000000"/>
                <w:sz w:val="18"/>
                <w:szCs w:val="18"/>
                <w:lang w:eastAsia="pl-PL"/>
              </w:rPr>
              <w:br/>
              <w:t>Należy w katalogu działań IIaPGW Adaptacja do zmian klimatu usunąć te działania, które są zgrupowane w pakietach: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Ochrona i zwiększanie retencji na obszarach rolniczych.</w:t>
            </w:r>
            <w:r w:rsidRPr="005E78BB">
              <w:rPr>
                <w:rFonts w:ascii="Calibri" w:eastAsia="Times New Roman" w:hAnsi="Calibri" w:cs="Calibri"/>
                <w:color w:val="000000"/>
                <w:sz w:val="18"/>
                <w:szCs w:val="18"/>
                <w:lang w:eastAsia="pl-PL"/>
              </w:rPr>
              <w:br/>
              <w:t>Ochrona i zwiększanie retencji leśnej.</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Zgodnie z opisem załączników IIaPGW (Zał. 7.2. - 1) działania te RWC_01.07 oraz RWC_01.05. to również realizacja konkretnych inwestycji do nich przypisanych.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RWC_01.07</w:t>
            </w:r>
            <w:r w:rsidRPr="005E78BB">
              <w:rPr>
                <w:rFonts w:ascii="Calibri" w:eastAsia="Times New Roman" w:hAnsi="Calibri" w:cs="Calibri"/>
                <w:color w:val="000000"/>
                <w:sz w:val="18"/>
                <w:szCs w:val="18"/>
                <w:lang w:eastAsia="pl-PL"/>
              </w:rPr>
              <w:br/>
              <w:t xml:space="preserve">Realizacja działań wskazanych  w etapie I (działanie RWC_01.06.) polegających na zwiększeniu poziomu retencji wody w zlewni w obszarach rolniczych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RWC_01.05.</w:t>
            </w:r>
            <w:r w:rsidRPr="005E78BB">
              <w:rPr>
                <w:rFonts w:ascii="Calibri" w:eastAsia="Times New Roman" w:hAnsi="Calibri" w:cs="Calibri"/>
                <w:color w:val="000000"/>
                <w:sz w:val="18"/>
                <w:szCs w:val="18"/>
                <w:lang w:eastAsia="pl-PL"/>
              </w:rPr>
              <w:br/>
              <w:t xml:space="preserve">Realizacja działań wskazanych  w etapie I (działanie RWC_01.04.) polegających na zwiększeniu poziomu retencji wody w zlewni w obszarach leśnych dla ograniczenia wymywania zanieczyszczeń obszarowych w celu poprawy stany wód i osiągnięcia wyznaczonych celów środowiskowych – dobrego stanu wód. Dodatkowo wzrost retencji ograniczy ryzyko suszy rolniczej wskazanej dla tego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ramach programu PPSS.</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xml:space="preserve">Zastosowanie RWC_01.07 (rolnicze) to Budowa oraz przebudowa urządzeń melioracji wodnych dla zwiększania retencji glebowej (w zakresie budowy/przebudowy) oraz inne metody zwiększenia ilości i czasu retencji wód na gruntach rolnych. </w:t>
            </w:r>
            <w:r w:rsidRPr="005E78BB">
              <w:rPr>
                <w:rFonts w:ascii="Calibri" w:eastAsia="Times New Roman" w:hAnsi="Calibri" w:cs="Calibri"/>
                <w:color w:val="000000"/>
                <w:sz w:val="18"/>
                <w:szCs w:val="18"/>
                <w:lang w:eastAsia="pl-PL"/>
              </w:rPr>
              <w:br/>
              <w:t xml:space="preserve">A implementacja działań leśnych RWC_01.05 ma polegać na realizacji przedsięwzięć w ramach tzw. małej retencji górskiej i nizinnej.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Działania „rolnicze” są wprost powiązane z zadaniami wpisanymi do PPSS, które będą znaczącą presją hydromorfologiczną dla rzecznych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nowe i odbudowane jazy (bariery migracyjne, przekształcenia siedlisk), stabilizacje brzegów, zmiana przebiegu i pogłębianie koryt. Działania te de facto sprzyjają także odwadnianiu pól i promocji intensyfikacji upraw rolniczych – bardziej wodochłonnych i skutkujących osuszaniem naturalnych terenów zalewowych i podmokłych. </w:t>
            </w:r>
            <w:r w:rsidRPr="005E78BB">
              <w:rPr>
                <w:rFonts w:ascii="Calibri" w:eastAsia="Times New Roman" w:hAnsi="Calibri" w:cs="Calibri"/>
                <w:color w:val="000000"/>
                <w:sz w:val="18"/>
                <w:szCs w:val="18"/>
                <w:lang w:eastAsia="pl-PL"/>
              </w:rPr>
              <w:br/>
              <w:t>Działania z zakresu małej retencji polegają obecnie na budowie zbiorników małej retencji – również w dolinach naturalnych rzek i potoków, wraz z ich przegradzaniem i likwidacją siedlisk przybrzeżnych. Kolejne realizowane obecnie przez Lasy Państwowe działania to:</w:t>
            </w:r>
            <w:r w:rsidRPr="005E78BB">
              <w:rPr>
                <w:rFonts w:ascii="Calibri" w:eastAsia="Times New Roman" w:hAnsi="Calibri" w:cs="Calibri"/>
                <w:color w:val="000000"/>
                <w:sz w:val="18"/>
                <w:szCs w:val="18"/>
                <w:lang w:eastAsia="pl-PL"/>
              </w:rPr>
              <w:br/>
              <w:t>zabudowa przeciwerozyjna dróg, szlaków zrywkowych oraz zabezpieczenie obiektów infrastruktury leśnej przed skutkami nadmiernej erozji wodnej związanej z gwałtownymi opadami i spływami wód (m.in. wodospusty, płotki drewniane, kaszyce, narzut kamienny).</w:t>
            </w:r>
            <w:r w:rsidRPr="005E78BB">
              <w:rPr>
                <w:rFonts w:ascii="Calibri" w:eastAsia="Times New Roman" w:hAnsi="Calibri" w:cs="Calibri"/>
                <w:color w:val="000000"/>
                <w:sz w:val="18"/>
                <w:szCs w:val="18"/>
                <w:lang w:eastAsia="pl-PL"/>
              </w:rPr>
              <w:br/>
              <w:t xml:space="preserve">Są to zwykłe regulacje rzek i potoków płynących np. w sąsiedztwie dróg leśnych wybudowanych wzdłuż cieków. </w:t>
            </w:r>
            <w:r w:rsidRPr="005E78BB">
              <w:rPr>
                <w:rFonts w:ascii="Calibri" w:eastAsia="Times New Roman" w:hAnsi="Calibri" w:cs="Calibri"/>
                <w:color w:val="000000"/>
                <w:sz w:val="18"/>
                <w:szCs w:val="18"/>
                <w:lang w:eastAsia="pl-PL"/>
              </w:rPr>
              <w:br/>
              <w:t>Występuje tu niezgodność z celami RDW, celami związanymi z ochroną bioróżnorodności. Wymienione rodzaje działań inwestycyjnych z PPSS, i Małej retencji powinny podlegać ocenom z art. 4.7 a nie być działaniem mającym spełniać cele RDW, z którymi (w większości) są sprzeczne.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Jeśli mają zostać w IIaPGW, musi powstać zapis uniemożliwiający realizacji działań mogących pogorszyć hydromorfologię rzek i potoków oraz wpływać negatywnie na siedliska przyrodnicze z nimi związane. Należałoby wykreślić możliwość budowy urządzeń technicznych na naturalnych ciekach oraz przekształcanie tych cieków. Należy wprowadzić działania renaturyzacyjne, wpisane w KPRWP.</w:t>
            </w:r>
          </w:p>
        </w:tc>
        <w:tc>
          <w:tcPr>
            <w:tcW w:w="3377" w:type="dxa"/>
            <w:shd w:val="clear" w:color="auto" w:fill="auto"/>
            <w:hideMark/>
          </w:tcPr>
          <w:p w14:paraId="6AAFAE6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Usunąć  zapisy pozwalające na realizacji działań polegających na pogorszeniu hydromorfologii rzek i pogorszeniu stanu obszarów mokradłowych z nimi związanych.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Wykreślić działania RWC_01.05 i RWC_01.07 lub diametralnie zmienić ich planowany zakres, zgodnie z KPRWP . </w:t>
            </w:r>
          </w:p>
        </w:tc>
        <w:tc>
          <w:tcPr>
            <w:tcW w:w="3401" w:type="dxa"/>
            <w:shd w:val="clear" w:color="auto" w:fill="auto"/>
            <w:hideMark/>
          </w:tcPr>
          <w:p w14:paraId="70C2035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Pod szyldem adaptacji do zmian klimatu wprowadza się działania w większości zwiększające presję hydromorfologiczną oraz presję na siedliska i gatunki od wód zależne (także w obszarach chronionych). Jest to sprzeczne z postanowieniami RDW (powinny podlegać ocenie spłeniania warunków 4.7). </w:t>
            </w:r>
          </w:p>
        </w:tc>
        <w:tc>
          <w:tcPr>
            <w:tcW w:w="1918" w:type="dxa"/>
            <w:shd w:val="clear" w:color="auto" w:fill="auto"/>
            <w:hideMark/>
          </w:tcPr>
          <w:p w14:paraId="5E066E8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7CC0A8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29BD188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Wymienione działania dotyczą szeroko rozumianej naturalnej retencji krajobrazowej i retencji wód opadowych i nie są związane z tworzeniem barier na rzekach i pogorszeniem stanu obszarów mokradłowych. W tym celu doprecyzowano nazwy i opisy działań poprzez dodanie słowa „naturalnej” przed słowem retencja.</w:t>
            </w:r>
            <w:r w:rsidRPr="005E78BB">
              <w:rPr>
                <w:rFonts w:ascii="Calibri" w:eastAsia="Times New Roman" w:hAnsi="Calibri" w:cs="Calibri"/>
                <w:color w:val="000000"/>
                <w:sz w:val="18"/>
                <w:szCs w:val="18"/>
                <w:lang w:eastAsia="pl-PL"/>
              </w:rPr>
              <w:br/>
              <w:t>Jednocześnie w katalogu krajowym znajduje się działanie: Edukacja prowadzących działalność rolniczą w zakresie dobrej praktyki rolniczej oraz prowadzenie dla nich specjalistycznego doradztwa w zakresie zapobiegania zanieczyszczeniu azotanami, służące promocji katalogu dobrych praktyk rolniczych.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„Zwiększenie ilości i czasu retencji wód na gruntach rolnych" polega na wdrożeniu zarówno metod technicznych jak i nietechnicznych spowalniających odpływ wody z terenów rolniczych, polegających na: a) spowolnieniu lub zatrzymaniu na obszarach użytkowanych rolniczo spływu wód powierzchniowych z małych zlewni przez odpowiednie zabiegi agrotechniczne (zwiększanie retencji wody glebowej), poprawiające strukturę gleby i zmniejszające jej parowanie, a także ograniczające erozję wodną przez stosowanie bezorkowych systemów uprawy, utrzymanie całorocznej pokrywy roślinnej, trwałych zadarnień lub zalesień terenów o dużym nachyleniu, a na stokach mniej nachylonych prowadzenie zabiegów uprawnych w kierunku poprzecznym do nachylenia stoku, b) wzmacnianiu usług ekosystemowych obszarów wiejskich, głównie poprzez: tworzenie zadrzewień śródpolnych; zachowanie oraz odtworzenie śródpolnych oczek wodnych i mokradeł; utrzymywanie lub odtwarzanie zadarnionych skarp oraz pasów ochronnych o charakterze zakrzewień lub zadrzewień śródpolnych w celu ochrony i wzmacniania retencji wodnej gleb, zmniejszanie potencjalnych skutków niszczącej siły wiatru, parowania wody z gleby oraz spowalnianie przesuszania pól), c) zwiększaniu mikroretencji, polegającej m. in. na odtwarzaniu i ochronie oczek wodnych, budowie małych stawów i zbiorników, których zadaniem będzie retencjonowanie wody na gruntach rolnych a także odbiór i magazynowanie wody z dachów budynków oraz utwardzonych nawierzchni w obrębie gospodarstw rolnych, d) przywracaniu łączności funkcjonalnej koryta i doliny rzecznej umożliwiającej gromadzenie wody w glebie oraz na użytkach wzdłuż cieków. Szczegółowe metody retencji wody na obszarach wiejskich wynikać będą m.in. z opracowanych dobrych praktyk w zakresie racjonalizacji zużycia wody w rolnictwie i sposobów jej zatrzymywania. Dobór działań będzie zależny od istniejących warunków w danym gospodarstwie rolnym.</w:t>
            </w:r>
            <w:r w:rsidRPr="005E78BB">
              <w:rPr>
                <w:rFonts w:ascii="Calibri" w:eastAsia="Times New Roman" w:hAnsi="Calibri" w:cs="Calibri"/>
                <w:color w:val="000000"/>
                <w:sz w:val="18"/>
                <w:szCs w:val="18"/>
                <w:lang w:eastAsia="pl-PL"/>
              </w:rPr>
              <w:br/>
              <w:t>„Zwiększenie retencji naturalnej na gruntach leśnych" obejmuje zarówno opracowanie analizy potrzeb i możliwości zwiększania retencji na gruntach leśnych oraz przyjęcie do realizacji wskazanych w analizie możliwych rozwiązań służących zwiększeniu retencji zgodnych z celami RDW.</w:t>
            </w:r>
          </w:p>
        </w:tc>
      </w:tr>
      <w:tr w:rsidR="0085319C" w:rsidRPr="005E78BB" w14:paraId="1EC88C6B" w14:textId="77777777" w:rsidTr="00E92AE6">
        <w:trPr>
          <w:trHeight w:val="454"/>
        </w:trPr>
        <w:tc>
          <w:tcPr>
            <w:tcW w:w="562" w:type="dxa"/>
            <w:shd w:val="clear" w:color="auto" w:fill="auto"/>
            <w:hideMark/>
          </w:tcPr>
          <w:p w14:paraId="1307F5DB"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783</w:t>
            </w:r>
          </w:p>
        </w:tc>
        <w:tc>
          <w:tcPr>
            <w:tcW w:w="1021" w:type="dxa"/>
          </w:tcPr>
          <w:p w14:paraId="1037C2C6" w14:textId="32239529"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5AE2BD01"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4779C753" w14:textId="14A4AF6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barier migracyjnych</w:t>
            </w:r>
            <w:r w:rsidRPr="005E78BB">
              <w:rPr>
                <w:rFonts w:ascii="Calibri" w:eastAsia="Times New Roman" w:hAnsi="Calibri" w:cs="Calibri"/>
                <w:color w:val="000000"/>
                <w:sz w:val="18"/>
                <w:szCs w:val="18"/>
                <w:lang w:eastAsia="pl-PL"/>
              </w:rPr>
              <w:br w:type="page"/>
              <w:t>Należy zmienić zakres działań przypisanych budowlom piętrzącym, aby umożliwić realizację celów środowiskowych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piętrzących w zakresie zapewniającym ciągłość biologiczną i spełnienie celów środowiskowych. Realizacja działań zgodnie z przeprowadzoną analizą.</w:t>
            </w:r>
            <w:r w:rsidRPr="005E78BB">
              <w:rPr>
                <w:rFonts w:ascii="Calibri" w:eastAsia="Times New Roman" w:hAnsi="Calibri" w:cs="Calibri"/>
                <w:color w:val="000000"/>
                <w:sz w:val="18"/>
                <w:szCs w:val="18"/>
                <w:lang w:eastAsia="pl-PL"/>
              </w:rPr>
              <w:br w:type="page"/>
              <w:t xml:space="preserve">lub </w:t>
            </w:r>
            <w:r w:rsidRPr="005E78BB">
              <w:rPr>
                <w:rFonts w:ascii="Calibri" w:eastAsia="Times New Roman" w:hAnsi="Calibri" w:cs="Calibri"/>
                <w:color w:val="000000"/>
                <w:sz w:val="18"/>
                <w:szCs w:val="18"/>
                <w:lang w:eastAsia="pl-PL"/>
              </w:rPr>
              <w:br w:type="page"/>
              <w:t>Analiza możliwości  likwidacji budowli poprzecznych…</w:t>
            </w:r>
            <w:r w:rsidRPr="005E78BB">
              <w:rPr>
                <w:rFonts w:ascii="Calibri" w:eastAsia="Times New Roman" w:hAnsi="Calibri" w:cs="Calibri"/>
                <w:color w:val="000000"/>
                <w:sz w:val="18"/>
                <w:szCs w:val="18"/>
                <w:lang w:eastAsia="pl-PL"/>
              </w:rPr>
              <w:br w:type="page"/>
              <w:t>lub</w:t>
            </w:r>
            <w:r w:rsidRPr="005E78BB">
              <w:rPr>
                <w:rFonts w:ascii="Calibri" w:eastAsia="Times New Roman" w:hAnsi="Calibri" w:cs="Calibri"/>
                <w:color w:val="000000"/>
                <w:sz w:val="18"/>
                <w:szCs w:val="18"/>
                <w:lang w:eastAsia="pl-PL"/>
              </w:rPr>
              <w:br w:type="page"/>
              <w:t xml:space="preserve">Analiza możliwości  likwidacji budowli poprzecznych/przebudowa budowli poprzecznych </w:t>
            </w:r>
            <w:r w:rsidRPr="005E78BB">
              <w:rPr>
                <w:rFonts w:ascii="Calibri" w:eastAsia="Times New Roman" w:hAnsi="Calibri" w:cs="Calibri"/>
                <w:color w:val="000000"/>
                <w:sz w:val="18"/>
                <w:szCs w:val="18"/>
                <w:lang w:eastAsia="pl-PL"/>
              </w:rPr>
              <w:br w:type="page"/>
              <w:t>należy zmienić zapis z „Analiza możliwości…” na  „Analiza sposobu…” – pozostawienie działania na poziomie badania możliwości nie gwarantuje podjęcia kroków na rzecz przedsięwzięć sprzyjających osiąganiu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„Analiza możliwości przebudowy budowli poprzecznych…„</w:t>
            </w:r>
            <w:r w:rsidRPr="005E78BB">
              <w:rPr>
                <w:rFonts w:ascii="Calibri" w:eastAsia="Times New Roman" w:hAnsi="Calibri" w:cs="Calibri"/>
                <w:color w:val="000000"/>
                <w:sz w:val="18"/>
                <w:szCs w:val="18"/>
                <w:lang w:eastAsia="pl-PL"/>
              </w:rPr>
              <w:br w:type="page"/>
              <w:t xml:space="preserve">należy dokonać zmiany na </w:t>
            </w:r>
            <w:r w:rsidRPr="005E78BB">
              <w:rPr>
                <w:rFonts w:ascii="Calibri" w:eastAsia="Times New Roman" w:hAnsi="Calibri" w:cs="Calibri"/>
                <w:color w:val="000000"/>
                <w:sz w:val="18"/>
                <w:szCs w:val="18"/>
                <w:lang w:eastAsia="pl-PL"/>
              </w:rPr>
              <w:br w:type="page"/>
              <w:t>„Analiza sposobu likwidacji (wyłączenia z eksploatacji) budowli poprzecznych /przebudowy budowli poprzecznych…” – aby zapewnić likwidację piętrzeń (barier) wszędzie tam, gdzie okaże się to w wyniku analizy możliwe.</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„Monitoring skuteczności istniejących urządzeń do migracji ryb.” i/lub </w:t>
            </w:r>
            <w:r w:rsidRPr="005E78BB">
              <w:rPr>
                <w:rFonts w:ascii="Calibri" w:eastAsia="Times New Roman" w:hAnsi="Calibri" w:cs="Calibri"/>
                <w:color w:val="000000"/>
                <w:sz w:val="18"/>
                <w:szCs w:val="18"/>
                <w:lang w:eastAsia="pl-PL"/>
              </w:rPr>
              <w:br w:type="page"/>
              <w:t>„Kontrola funkcjonowania urządzeń do migracji ryb.”</w:t>
            </w:r>
            <w:r w:rsidRPr="005E78BB">
              <w:rPr>
                <w:rFonts w:ascii="Calibri" w:eastAsia="Times New Roman" w:hAnsi="Calibri" w:cs="Calibri"/>
                <w:color w:val="000000"/>
                <w:sz w:val="18"/>
                <w:szCs w:val="18"/>
                <w:lang w:eastAsia="pl-PL"/>
              </w:rPr>
              <w:br w:type="page"/>
              <w:t>należy dodać kolejne działanie (Działanie I lub Działanie II):</w:t>
            </w:r>
            <w:r w:rsidRPr="005E78BB">
              <w:rPr>
                <w:rFonts w:ascii="Calibri" w:eastAsia="Times New Roman" w:hAnsi="Calibri" w:cs="Calibri"/>
                <w:color w:val="000000"/>
                <w:sz w:val="18"/>
                <w:szCs w:val="18"/>
                <w:lang w:eastAsia="pl-PL"/>
              </w:rPr>
              <w:br w:type="page"/>
              <w:t>„Przebudowa lub budowa nowego urządzenia dla migracji organizmów wodnych w wypadku jego braku lub nieskutecznego działania / Przegląd zgód wodnoprawnych w przypadku zaniechania działań udrożnieniowych.”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Tam gdzie jest:</w:t>
            </w:r>
            <w:r w:rsidRPr="005E78BB">
              <w:rPr>
                <w:rFonts w:ascii="Calibri" w:eastAsia="Times New Roman" w:hAnsi="Calibri" w:cs="Calibri"/>
                <w:color w:val="000000"/>
                <w:sz w:val="18"/>
                <w:szCs w:val="18"/>
                <w:lang w:eastAsia="pl-PL"/>
              </w:rPr>
              <w:br w:type="page"/>
              <w:t xml:space="preserve">„Ocena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w:t>
            </w:r>
            <w:r w:rsidRPr="005E78BB">
              <w:rPr>
                <w:rFonts w:ascii="Calibri" w:eastAsia="Times New Roman" w:hAnsi="Calibri" w:cs="Calibri"/>
                <w:color w:val="000000"/>
                <w:sz w:val="18"/>
                <w:szCs w:val="18"/>
                <w:lang w:eastAsia="pl-PL"/>
              </w:rPr>
              <w:br w:type="page"/>
              <w:t>należy dodać działanie (Działanie I lub Działanie II):</w:t>
            </w:r>
            <w:r w:rsidRPr="005E78BB">
              <w:rPr>
                <w:rFonts w:ascii="Calibri" w:eastAsia="Times New Roman" w:hAnsi="Calibri" w:cs="Calibri"/>
                <w:color w:val="000000"/>
                <w:sz w:val="18"/>
                <w:szCs w:val="18"/>
                <w:lang w:eastAsia="pl-PL"/>
              </w:rPr>
              <w:br w:type="page"/>
              <w:t xml:space="preserve">„W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 realizacja działań inwestycyjnych ukierunkowanych na neutralizację negatywnego oddziaływania i osiągnięcie celów środowiskowych.”</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25E08D9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401" w:type="dxa"/>
            <w:shd w:val="clear" w:color="auto" w:fill="auto"/>
            <w:hideMark/>
          </w:tcPr>
          <w:p w14:paraId="32A412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 Tylko takie zapisy pozwolą na osiągnięcie celów środowiskowych do 2027 r.</w:t>
            </w:r>
          </w:p>
        </w:tc>
        <w:tc>
          <w:tcPr>
            <w:tcW w:w="1918" w:type="dxa"/>
            <w:shd w:val="clear" w:color="auto" w:fill="auto"/>
            <w:hideMark/>
          </w:tcPr>
          <w:p w14:paraId="5B701B2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6CD907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472CDA89" w14:textId="6C61526F"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Działania RWHM_02.01 oraz RWHM_01.05 są działaniami technicznymi. Działania były przypisywane do obiektów oraz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dla których zidentyfikowano potrzebę przebudowy ze względu na brak ciągłości biologicznej (na podstawie informacji o wysokości piętrzenia, występowania urządzeń do migracji ryb, skuteczności urządzeń do migracji ryb). Wobec tego z założenia działanie uwzględnia przebudowę obiektów z wcześniejszą analizą możliwych opcji przebudowy.</w:t>
            </w:r>
            <w:r w:rsidRPr="005E78BB">
              <w:rPr>
                <w:rFonts w:ascii="Calibri" w:eastAsia="Times New Roman" w:hAnsi="Calibri" w:cs="Calibri"/>
                <w:color w:val="000000"/>
                <w:sz w:val="18"/>
                <w:szCs w:val="18"/>
                <w:lang w:eastAsia="pl-PL"/>
              </w:rPr>
              <w:br w:type="page"/>
              <w:t>Działanie RWHM_02.07 jest działaniem kontrolnym i było przypisywane łącznie z działaniem RWHM_02.08. Dodatkowo działanie to jest realizowane w ramach kontroli gospodarowania wodami, o jakiej mowa w art. 334 ustawy pr.w. Dalsze postępowania, które wynikają z kontroli są uregulowane w art. 341 ustawy pr.w.</w:t>
            </w:r>
            <w:r w:rsidRPr="005E78BB">
              <w:rPr>
                <w:rFonts w:ascii="Calibri" w:eastAsia="Times New Roman" w:hAnsi="Calibri" w:cs="Calibri"/>
                <w:color w:val="000000"/>
                <w:sz w:val="18"/>
                <w:szCs w:val="18"/>
                <w:lang w:eastAsia="pl-PL"/>
              </w:rPr>
              <w:br w:type="page"/>
              <w:t>Zgodnie z uwagą zmieniono natomiast zakres działania RWHM_02.06 oraz RWHM_02.08.</w:t>
            </w:r>
            <w:r w:rsidRPr="005E78BB">
              <w:rPr>
                <w:rFonts w:ascii="Calibri" w:eastAsia="Times New Roman" w:hAnsi="Calibri" w:cs="Calibri"/>
                <w:color w:val="000000"/>
                <w:sz w:val="18"/>
                <w:szCs w:val="18"/>
                <w:lang w:eastAsia="pl-PL"/>
              </w:rPr>
              <w:br w:type="page"/>
              <w:t>Obecne brzmienie:</w:t>
            </w:r>
            <w:r w:rsidRPr="005E78BB">
              <w:rPr>
                <w:rFonts w:ascii="Calibri" w:eastAsia="Times New Roman" w:hAnsi="Calibri" w:cs="Calibri"/>
                <w:color w:val="000000"/>
                <w:sz w:val="18"/>
                <w:szCs w:val="18"/>
                <w:lang w:eastAsia="pl-PL"/>
              </w:rPr>
              <w:br w:type="page"/>
              <w:t xml:space="preserve">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Wykaz budowli objętych działaniem zamieszczono w Zał. 1 Wykaz działań dla budowli.</w:t>
            </w:r>
            <w:r w:rsidRPr="005E78BB">
              <w:rPr>
                <w:rFonts w:ascii="Calibri" w:eastAsia="Times New Roman" w:hAnsi="Calibri" w:cs="Calibri"/>
                <w:color w:val="000000"/>
                <w:sz w:val="18"/>
                <w:szCs w:val="18"/>
                <w:lang w:eastAsia="pl-PL"/>
              </w:rPr>
              <w:br w:type="page"/>
              <w:t xml:space="preserve">Działanie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w:t>
            </w:r>
          </w:p>
        </w:tc>
      </w:tr>
      <w:tr w:rsidR="0085319C" w:rsidRPr="005E78BB" w14:paraId="47F64353" w14:textId="77777777" w:rsidTr="00E92AE6">
        <w:trPr>
          <w:trHeight w:val="454"/>
        </w:trPr>
        <w:tc>
          <w:tcPr>
            <w:tcW w:w="562" w:type="dxa"/>
            <w:shd w:val="clear" w:color="auto" w:fill="auto"/>
            <w:hideMark/>
          </w:tcPr>
          <w:p w14:paraId="0EBFA5C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784</w:t>
            </w:r>
          </w:p>
        </w:tc>
        <w:tc>
          <w:tcPr>
            <w:tcW w:w="1021" w:type="dxa"/>
          </w:tcPr>
          <w:p w14:paraId="69F2218D" w14:textId="1A1E067C"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605FEA2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5AA7D1A2" w14:textId="3FDC62B8"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Działania - udrożnienia </w:t>
            </w:r>
            <w:r w:rsidRPr="005E78BB">
              <w:rPr>
                <w:rFonts w:ascii="Calibri" w:eastAsia="Times New Roman" w:hAnsi="Calibri" w:cs="Calibri"/>
                <w:color w:val="000000"/>
                <w:sz w:val="18"/>
                <w:szCs w:val="18"/>
                <w:lang w:eastAsia="pl-PL"/>
              </w:rPr>
              <w:br/>
              <w:t>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Publikacja załącznika nr 4 do Erraty nr 1 (Zaktualizowany wykaz budowli dla których zaplanowane zostały działania w projekcie IIaPGW – obszar dorzecza Wisły) na dwa tygodnie przed końcem półrocznych konsultacji publicznych nie pozwala na pełne odniesienie się do jego zapisów. Poniżej przedstawiono podstawowe braki w programie działań udrożnieniowych, mogących mieć skutki nie tylko lokalnego nieosiągnięcia celów środowiskowych, ale także - w skali całego dorzecza. Zidentyfikowano m.in. zaniechanie realizacji działań niewykonanych  w poprzednim aPWŚK, a mających kluczowe znaczenia dla ochrony gatunków w skali kraju i osiągnięcia celów środowiskowych w obszarach wodnych i od wód zależnych.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i braki mogące skutkować wyginięciem łososia w dorzeczu Wisły ze względu na:</w:t>
            </w:r>
            <w:r w:rsidRPr="005E78BB">
              <w:rPr>
                <w:rFonts w:ascii="Calibri" w:eastAsia="Times New Roman" w:hAnsi="Calibri" w:cs="Calibri"/>
                <w:color w:val="000000"/>
                <w:sz w:val="18"/>
                <w:szCs w:val="18"/>
                <w:lang w:eastAsia="pl-PL"/>
              </w:rPr>
              <w:br/>
              <w:t xml:space="preserve">1. Brak udrożnienia dwóch barier w Lubiczu na Drwęcy – (działania: „Ocena wpływu…” i „Kontrola…” + „Monitoring…”) zamiast działań udrożnieniowych. Zgodnie z PZO obszaru Natura 2000 "Dolina Drwęcy" PLH280001, oba piętrzenia (jaz "przy młynie" oraz jaz wodociągów są niedrożne dla ryb, w tym dla łososia i wymagają działań inwestycyjnych. Słuszność takich działań rozumieją Wodociągi Toruńskie, które zamówiły koncepcję udrożnienia piętrzenia.   </w:t>
            </w:r>
            <w:r w:rsidRPr="005E78BB">
              <w:rPr>
                <w:rFonts w:ascii="Calibri" w:eastAsia="Times New Roman" w:hAnsi="Calibri" w:cs="Calibri"/>
                <w:color w:val="000000"/>
                <w:sz w:val="18"/>
                <w:szCs w:val="18"/>
                <w:lang w:eastAsia="pl-PL"/>
              </w:rPr>
              <w:br/>
              <w:t xml:space="preserve">2. Brak działań inwestycyjnych na Włocławku – wykonano tylko jedną przepławkę (przebudowa) z trzech wymaganych na podstawie dśu dot. przebudowy i remontu stopnia  (2011 r.), nie wykonano też okna monitoringowego na przepławce oraz przebudowy stopnia stabilizującego poniżej zapory, tak aby był drożny dla ryb. Za niewykonanie dśu Wody Polskie płaciły już kary administracyjne. W działaniach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Zb. Włocławek wpisano kontrolę urządzeń umożliwiających migrację ryb i organizmów wodnych, ale w zał. nr 4 – nie uwzględniono Stopnia Włocławek.</w:t>
            </w:r>
            <w:r w:rsidRPr="005E78BB">
              <w:rPr>
                <w:rFonts w:ascii="Calibri" w:eastAsia="Times New Roman" w:hAnsi="Calibri" w:cs="Calibri"/>
                <w:color w:val="000000"/>
                <w:sz w:val="18"/>
                <w:szCs w:val="18"/>
                <w:lang w:eastAsia="pl-PL"/>
              </w:rPr>
              <w:br/>
              <w:t>3. Stopień w Kozienicach – istnieje i jest niedrożny dla ryb (co pokazują badania). W IIaPGW nie zaplanowano żadnych działań udrożnieniowych czy kontrolnych. Mimo wątpliwej legalności piętrzenia, jest on fizyczną przegrodą.</w:t>
            </w:r>
            <w:r w:rsidRPr="005E78BB">
              <w:rPr>
                <w:rFonts w:ascii="Calibri" w:eastAsia="Times New Roman" w:hAnsi="Calibri" w:cs="Calibri"/>
                <w:color w:val="000000"/>
                <w:sz w:val="18"/>
                <w:szCs w:val="18"/>
                <w:lang w:eastAsia="pl-PL"/>
              </w:rPr>
              <w:br/>
              <w:t xml:space="preserve">4. Wisłoka  - jeden z 3. obszarów dla ochrony tarlisk łososia w górnej Wiśle – wydano kilkadziesiąt miliardów zł na przebudowę piętrzeń w całym dorzeczu, ale nie wykonano najważniejszego – w Mielcu (pierwsze piętrzenie na rzece), choć jest on wpisany w apWŚK. Obecnie w IIaPGW zapisano tylko kontrolę i monitoring przepławki która nie istnieje.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Zaniechania udrożnienia w skali zlewni:</w:t>
            </w:r>
            <w:r w:rsidRPr="005E78BB">
              <w:rPr>
                <w:rFonts w:ascii="Calibri" w:eastAsia="Times New Roman" w:hAnsi="Calibri" w:cs="Calibri"/>
                <w:color w:val="000000"/>
                <w:sz w:val="18"/>
                <w:szCs w:val="18"/>
                <w:lang w:eastAsia="pl-PL"/>
              </w:rPr>
              <w:br/>
              <w:t>Nida – kilkadziesiąt piętrzeń do udrożnienia w latach 2016-2021 (wpisanych aPWŚK).</w:t>
            </w:r>
            <w:r w:rsidRPr="005E78BB">
              <w:rPr>
                <w:rFonts w:ascii="Calibri" w:eastAsia="Times New Roman" w:hAnsi="Calibri" w:cs="Calibri"/>
                <w:color w:val="000000"/>
                <w:sz w:val="18"/>
                <w:szCs w:val="18"/>
                <w:lang w:eastAsia="pl-PL"/>
              </w:rPr>
              <w:br/>
              <w:t xml:space="preserve">Zamiast realizacji w zakładanym terminie lub w nowym okresie planistycznym, większości z budowli koniecznych do udrożnienia przypisano tylko działanie na „Ocena wpływu…” lub „Kontrola…” + „Monitoring…” (brak działań inwestycyjnych), a kilkanaście nich w ogóle pominięto w zestawieniu budowli (górna Nida zwana Białą Nidą; Lubrzanka, Brzeźnica). Brak działań jest tożsamy ze znaczącym negatywnym wpływem na kilka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obszary Natura 2000. Udrożnienia były wpisane w PZO, a brak udrożnienia zagraża spójności sieci Natura 2000. Wszędzie gdzie zaniechano działań renaturyzacyjnych zaplanowano inwestycje Wód Polskich, poczynając od budowy Zbiornika Wierna Rzeka (GDOŚ uchylił dśu w 2020 r.), po gigantyczne regulacje Nidy i jej dopływów: Czarnej Nidy, Morawki, Lubrzanki, Belnianki, Bobrzy (wszystkie –te przedsięwzięcia wpisano także w obecny zestaw przedsięwzięć rzekomo spełniających warunki derogacji art.4.7 RDW).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Pilica – powyżej Zbiornika Sulejów –  na kilkadziesiąt piętrzeń znajdujących się na Pilicy i jej dopływach w obszarach Natura 2000, udrożnionych wg zał. nr 4 do erraty IIaPGW ma być tylko kilkanaście. W przypadku obszaru Natura 2000 Dolina Górnej Pilicy, gdzie przedmiotem ochrony jest m.in. kilka gatunków ryb, na blisko 40 piętrzeń (w tym wysokich jazów MEW) do udrożnienia przewidziano tylko 2, reszcie przypisano tylko działania nieinwestorskie: „Ocena wpływu…”. Brak udrożnień będzie sprzeczny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(zapewnienie drożności) i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Narew – 79 piętrzeń w dorzeczu Narwi ma wpisaną w IIaPGW uwagę „Piętrzenie rozpoczyna się po 20 kwietnia  po migracji ryb”, również jazy na samej Narwi na odcinku pomiędzy Biebrzańskim Parkiem Narodowym i Narwiańskim PN. Tylko 1 na 79 budowli ma przypisane działanie inwestycyjne (udrożnieniowe). 20 kwietnia to dla wielu gatunków środek okresu wędrówek związanych z rozrodem, więc nie może to być przesłanka pozwalająca na brak podejmowania udrożnień budowli. Na Narwi w obszarach Natura 2000 wyznaczonych m.in. dla ochrony ryb np. „Ostoja Narwiańska” znajdują się obiekty niedrożne  przez cały rok.</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sprzeczne z celami i zadaniami  dla obszarów Natura 2000:</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Dunajec – Czchów – brak udrożnienia zapory w Czchowie mimo niesprawnej przepławki, wpisowi do PZO obszaru „Dolny Dunajec” oraz powołaniu obszaru dla ochrony troci wędrownej. Działanie - tylko „kontrola…” i „monitoring…” – uniemożliwi osiągnięcie celów środowiskowych dla tych obszarów.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Kamienica – obszar Natura 2000 „Środkowy Dunajec z Dopływami” – niedrożny próg w dolnym odcinku rzeki wpisany w PZO do udrożnienia. Zlokalizowana tam mała elektrownia wodna (MEW) stara się obecnie o przedłużenie pozwolenia wodnoprawnego bez konieczności przebudowy piętrzenia. W IIaPGW nie przewidziano w tym miejscu żadnych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Paleśnianka – dwa piętrzenia wpisane do udrożnienia w PZO – brak jakichkolwiek działań w IIaPGW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Inne obszary chronione:</w:t>
            </w:r>
            <w:r w:rsidRPr="005E78BB">
              <w:rPr>
                <w:rFonts w:ascii="Calibri" w:eastAsia="Times New Roman" w:hAnsi="Calibri" w:cs="Calibri"/>
                <w:color w:val="000000"/>
                <w:sz w:val="18"/>
                <w:szCs w:val="18"/>
                <w:lang w:eastAsia="pl-PL"/>
              </w:rPr>
              <w:br/>
              <w:t>Jeziorka i Czarna –wymagane udrożnienia wg planów ochrony dla Parku Krajobrazowego Lasy Chojnowskie oraz Warszawskiego Obszaru Chronionego Krajobrazu - brak jakichkolwiek działań w zał. 4. (co znamienne, obok znajduje się oddział  IRŚ w Żabieńcu).</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Brak spójności między zapisami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zał. 4:</w:t>
            </w:r>
            <w:r w:rsidRPr="005E78BB">
              <w:rPr>
                <w:rFonts w:ascii="Calibri" w:eastAsia="Times New Roman" w:hAnsi="Calibri" w:cs="Calibri"/>
                <w:color w:val="000000"/>
                <w:sz w:val="18"/>
                <w:szCs w:val="18"/>
                <w:lang w:eastAsia="pl-PL"/>
              </w:rPr>
              <w:br/>
              <w:t xml:space="preserve">Czarna Staszowska – w zestawieniu głównym jest drożność do Zb. Chańcza, ale brak jakichkolwiek działań na konkretnych barierach w zał. 4.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Niezgodność z zapisami dla ochrony ryb ważnych gospodarczo:</w:t>
            </w:r>
            <w:r w:rsidRPr="005E78BB">
              <w:rPr>
                <w:rFonts w:ascii="Calibri" w:eastAsia="Times New Roman" w:hAnsi="Calibri" w:cs="Calibri"/>
                <w:color w:val="000000"/>
                <w:sz w:val="18"/>
                <w:szCs w:val="18"/>
                <w:lang w:eastAsia="pl-PL"/>
              </w:rPr>
              <w:br/>
              <w:t xml:space="preserve">Pasłęka w Braniewie (niesprawna przepławka), </w:t>
            </w:r>
            <w:r w:rsidRPr="005E78BB">
              <w:rPr>
                <w:rFonts w:ascii="Calibri" w:eastAsia="Times New Roman" w:hAnsi="Calibri" w:cs="Calibri"/>
                <w:color w:val="000000"/>
                <w:sz w:val="18"/>
                <w:szCs w:val="18"/>
                <w:lang w:eastAsia="pl-PL"/>
              </w:rPr>
              <w:br/>
              <w:t>Pasłęka w Zb Pierzchały – brak działań na zaporze zbiornika,</w:t>
            </w:r>
            <w:r w:rsidRPr="005E78BB">
              <w:rPr>
                <w:rFonts w:ascii="Calibri" w:eastAsia="Times New Roman" w:hAnsi="Calibri" w:cs="Calibri"/>
                <w:color w:val="000000"/>
                <w:sz w:val="18"/>
                <w:szCs w:val="18"/>
                <w:lang w:eastAsia="pl-PL"/>
              </w:rPr>
              <w:br/>
              <w:t>Omulew (Dębowiec) – uznana za sprawną przepławka z ponad 1 m piętrzeniem z szandorów.</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r>
          </w:p>
        </w:tc>
        <w:tc>
          <w:tcPr>
            <w:tcW w:w="3377" w:type="dxa"/>
            <w:shd w:val="clear" w:color="auto" w:fill="auto"/>
            <w:hideMark/>
          </w:tcPr>
          <w:p w14:paraId="73221568"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Uzupełnić listę działań inwestycyjnych – faktycznych udrożnień o wszystkie wynikające z PZO i innych planów dla cennych przyrodniczo obszarów chronionych.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Uzupełnić działania inwestycyjne   według wymagań dla ryb (kolumny – X-AD w zał. 4 „erraty”).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Dokonać ponownej weryfikacji drożności budowli na podstawie faktycznego stanu budowli, a nie tylko ankietyzacji właściciela lub użytkownika budowli. </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Umieścić w wykazie budowli wszystkie te, które znalazły się w działaniach IIaPGW i dodatkowo te pominięte, ale wynikające z KPRWP.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Uznać za wymagające udrożnienia budowle, które zostały wskazane jako drożne do 20 kwietnia (dorzecze Narwi).</w:t>
            </w:r>
            <w:r w:rsidRPr="005E78BB">
              <w:rPr>
                <w:rFonts w:ascii="Calibri" w:eastAsia="Times New Roman" w:hAnsi="Calibri" w:cs="Calibri"/>
                <w:color w:val="000000"/>
                <w:sz w:val="18"/>
                <w:szCs w:val="18"/>
                <w:lang w:eastAsia="pl-PL"/>
              </w:rPr>
              <w:br/>
            </w:r>
          </w:p>
        </w:tc>
        <w:tc>
          <w:tcPr>
            <w:tcW w:w="3401" w:type="dxa"/>
            <w:shd w:val="clear" w:color="auto" w:fill="auto"/>
            <w:hideMark/>
          </w:tcPr>
          <w:p w14:paraId="7D9C23A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6A1094A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923ECE4"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 częściowo</w:t>
            </w:r>
          </w:p>
        </w:tc>
        <w:tc>
          <w:tcPr>
            <w:tcW w:w="3513" w:type="dxa"/>
            <w:shd w:val="clear" w:color="auto" w:fill="auto"/>
            <w:hideMark/>
          </w:tcPr>
          <w:p w14:paraId="1243A3F9" w14:textId="2B2D57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Przywołana w uwadze errata do IIaPGW dotycząca korekt wynikających z wejścia w życie rozporządzenia Ministra Rolnictwa i Rozwoju Wsi z dnia 6 maja 2021 r. w sprawie określenia gatunków zwierząt wodnych o znaczeniu gospodarczym oraz obszarów przeznaczonych do ochrony tych gatunków (Dz.U. 2021 r. poz. 896) prezentuje wyłącznie korekty konsultowanych IIaPGW wynikające z zapisów ww. rozporządzenia, precyzyjnie dookreślając każdą z dokonanych zmian. Przyjęty sposób prezentacji zmian zapewnia możliwość czytelnej prezentacji dokonanych zmian a tym samym zapoznania się z nimi czytelnika. Zapisy rozporządzenia zaadaptowane zostały do IIaPGW poprzez aktualizację celów środowiskowych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obrębie których znajdują się obszary przeznaczone do ochrony gatunków zwierząt wodnych o znaczeniu gospodarczym wskazane w rozporządzeniu, przy jednoczesnej weryfikacji - i w przypadku zidentyfikowania takiej konieczności również korekty - przypisanych działań w zakresie zapewnienia drożności. Tym samym zmiany wynikające z uwzględnienia ustaleń rozporządzenia (zaprezentowane w formie erraty) stanowią element pozytywnie wpływający na poszczególne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których dotyczy rozporządzenie. Uzupełniono działania techniczne dla jazów na Drwęcy w Lubiczu, zapory Zb. Włocławek, progu stabilizującego poniżej Zb. Włocławek, stopnia Kozienice. Skorygowano także działanie dla piętrzenia w Mielcu na Wisłoce. Na podstawie weryfikacji statusu realizacji działań z aPWŚK prolongowano wybrane działania dla zlewni rzeki Nidy. RZGW Kraków wystąpi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 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 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 Zmieniono także zakres działania RWHM_02.06 oraz RWHM_02.08. Działanie RWHM_02.06 Ocena wpływu budowli poprzecznych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W przypadku działania RWHM_02.08 jest to obecnie Monitoring skuteczności istniejących urządzeń do migracji ryb w celu weryfikacji prawidłowego funkcjonowania tych urządzeń. W przypadku stwierdzenia negatywnego wpływu budowli na ciągłość biologiczną i cele środowiskowe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Wobec tego działania te dopuszczają możliwość przebudowy budowli w przypadku, gdy będą one zagrażały osiągnięciu celów środowiskowych (np. w przypadku Narwi, Łeby i Wąskiej). Dodatkowo w opraciu o zgłoszone w ramach konsultacji uwagi, uzupełniono i skorygowano działania dla Dunajca, w tym dla elektrowni wodnej Czchów. Obecnie przypisane są działania prolongowane z aPWŚK: opracowanie wariantowej analizy sposobu udrożnienia budowli piętrzących na odcinku cieku istotnego - Dunajec ze wskazaniem wariantu do realizacji oraz opracowaniem dokumentacji projektowej (RWHM_02.02) oraz realizacja wybranego wariantu udrożnienia cieku istotnego - Dunajec - działanie inwestycyjne (RWHM_02.03). Skorygowano działanie dla Wdy i dodano działanie inwestycyjne RWHM_02.03 realizacja wybranego wariantu udrożnienia odcinka cieku istotnego - Wda - działanie inwestycyjne. W IIaPGW zaproponowano techniczne działania udrożnieniowe dla Kamienicy i Czarnej. Uzupełniono również działania dla Paleśnianki i skorygowano działania dla Pasłęki oraz wskazanej budowli na rzece Omulew. Oprócz działań udrożnieniowych, ze względu na występowanie obszarówch chronionych zostały zaproponowane także działania związane z realizacją PZO/PO. Należy także podkreślić, iż w ramamch IIaPGW zaplanowano działania ukierunkowane na przywrócenie i określenie problemów związanych z ciągłością biologiczną, z jednoczesnym uwzględnieniem najważniejszych potrzeb ryb dwuśrodowiskowych, gatunków chronionych, klasy wskaźników ichtiologicznych oraz efektywności ekonomicznej szerokich potrzeb udrożnienia cieków. Udrożenienie w obrębie obszaru Natura 2000 Dolina Drwęcy PLH280001 zostało uwzględnione jako działanie w kategorii "Realizacja działań wynikających z planów ochrony i planów zadań ochronnych dla obszarów chronionych". Pełne brzmienie działania: "Opracowanie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w:t>
            </w:r>
          </w:p>
        </w:tc>
      </w:tr>
      <w:tr w:rsidR="0085319C" w:rsidRPr="005E78BB" w14:paraId="6A9380E7" w14:textId="77777777" w:rsidTr="00E92AE6">
        <w:trPr>
          <w:trHeight w:val="454"/>
        </w:trPr>
        <w:tc>
          <w:tcPr>
            <w:tcW w:w="562" w:type="dxa"/>
            <w:shd w:val="clear" w:color="auto" w:fill="auto"/>
            <w:hideMark/>
          </w:tcPr>
          <w:p w14:paraId="4D81A603"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785</w:t>
            </w:r>
          </w:p>
        </w:tc>
        <w:tc>
          <w:tcPr>
            <w:tcW w:w="1021" w:type="dxa"/>
          </w:tcPr>
          <w:p w14:paraId="15D6E4CF" w14:textId="0CEB8C8E"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546730F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ZESTAW DZIAŁAŃ</w:t>
            </w:r>
          </w:p>
        </w:tc>
        <w:tc>
          <w:tcPr>
            <w:tcW w:w="5663" w:type="dxa"/>
            <w:shd w:val="clear" w:color="auto" w:fill="auto"/>
            <w:hideMark/>
          </w:tcPr>
          <w:p w14:paraId="15CECE2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Działania -udrożnienia, Zał. 4 do erraty nr 1 Zaktualizowany wykaz budowli dla których zaplanowane zostały działania w projekcie IIaPGW – obszar dorzecza Wisły</w:t>
            </w:r>
            <w:r w:rsidRPr="005E78BB">
              <w:rPr>
                <w:rFonts w:ascii="Calibri" w:eastAsia="Times New Roman" w:hAnsi="Calibri" w:cs="Calibri"/>
                <w:color w:val="000000"/>
                <w:sz w:val="18"/>
                <w:szCs w:val="18"/>
                <w:lang w:eastAsia="pl-PL"/>
              </w:rPr>
              <w:br/>
              <w:t>ODBUDOWA PIĘTRZEŃ</w:t>
            </w:r>
            <w:r w:rsidRPr="005E78BB">
              <w:rPr>
                <w:rFonts w:ascii="Calibri" w:eastAsia="Times New Roman" w:hAnsi="Calibri" w:cs="Calibri"/>
                <w:color w:val="000000"/>
                <w:sz w:val="18"/>
                <w:szCs w:val="18"/>
                <w:lang w:eastAsia="pl-PL"/>
              </w:rPr>
              <w:br/>
              <w:t xml:space="preserve">W zał. 4 do „Erraty” nr 1 niesłusznie znalazły się zadania polegające na odbudowie lub budowie nowych barier migracyjnych. W dorzeczu Wisły znalazło się 16 takich działań, z czego tylko jedno zdaje się być w pełni usprawiedliwione (budowa przepławki dla ryb na rzece Pasłęce w ramach przebudowy/ odbudowy jazu w km 29+537). Większość z budowli do odbudowy/przebudowy  prawdopodobnie nie istnieje albo istnieją one w stanie umożliwiającym gatunkom wodnym migrację. Odbudowa jazów, czy to na cele rolnicze, czy w ramach budowy MEW (vide nieistniejący jaz na rz. Kamienna w km 50+130 – identyfikator w bazie hymo 170002010201, nr w IIaPGW według zał. 4 - 4701) powinny być traktowane nie jako działanie polepszające warunki hydromorfologiczne lecz jako zagrożenie dla celów środowiskowych. </w:t>
            </w:r>
            <w:r w:rsidRPr="005E78BB">
              <w:rPr>
                <w:rFonts w:ascii="Calibri" w:eastAsia="Times New Roman" w:hAnsi="Calibri" w:cs="Calibri"/>
                <w:color w:val="000000"/>
                <w:sz w:val="18"/>
                <w:szCs w:val="18"/>
                <w:lang w:eastAsia="pl-PL"/>
              </w:rPr>
              <w:br/>
              <w:t xml:space="preserve">Część projektu planu, do którego zgłaszana jest uwaga (numer rozdziału, strona dokumentu, nr załącznika): </w:t>
            </w:r>
          </w:p>
        </w:tc>
        <w:tc>
          <w:tcPr>
            <w:tcW w:w="3377" w:type="dxa"/>
            <w:shd w:val="clear" w:color="auto" w:fill="auto"/>
            <w:hideMark/>
          </w:tcPr>
          <w:p w14:paraId="39C764CB"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Wykreślić z zał. 4 do „erraty” 1 działania które polegają na odbudowie nieistniejących obecnie barier migracyjnych. Odbudowa bądź przebudowa tych, które nie są obecnie barierami powinna być uznana za zagrożenie dla celów środowiskowych wód i obszarów chronionych i ujęta w stosownym załączniku (patrz CIS Guidance No 20 i 37 oraz art. 435 PW). Bezwzględnie należy wykreślić działanie „wykonanie przepławki dla ryb w ramach zadania "Odbudowa piętrzenia wody na rzece Kamiennej w km 50+130"”, jako próbę „podpięcia” pod działania ochronne budowy nowego piętrzenia stwarzającego nową barierę migracyjnej w postaci nie tylko piętrzenia, ale i bariery behawioralnej w postaci cofki piętrzenia. Działanie to jest sprzeczne z wymogami środowiskowymi dla gatunków będących przedmiotami ochrony obszaru Natura 2000 „Dolina Kamienicy”.</w:t>
            </w:r>
            <w:r w:rsidRPr="005E78BB">
              <w:rPr>
                <w:rFonts w:ascii="Calibri" w:eastAsia="Times New Roman" w:hAnsi="Calibri" w:cs="Calibri"/>
                <w:color w:val="000000"/>
                <w:sz w:val="18"/>
                <w:szCs w:val="18"/>
                <w:lang w:eastAsia="pl-PL"/>
              </w:rPr>
              <w:br/>
            </w:r>
          </w:p>
        </w:tc>
        <w:tc>
          <w:tcPr>
            <w:tcW w:w="3401" w:type="dxa"/>
            <w:shd w:val="clear" w:color="auto" w:fill="auto"/>
            <w:hideMark/>
          </w:tcPr>
          <w:p w14:paraId="3172832F" w14:textId="2801BE25"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Działanie polegające na budowie całkiem nowego piętrzenia na rzece Kamiennej w ramach „wykonanie przepławki dla ryb w ramach zadania "Odbudowa piętrzenia wody na rzece Kamiennej w km 50+130"” jest próbą „podpięcia” pod działania ochronne budowy nowego piętrzenia skutkującego powstaniem nowej bariery migracyjnej w postaci nie tylko piętrzenia, ale i bariery behawioralnej w wyniku utworzenia cofki piętrzenia. Działanie to kumuluje się z innymi niedawno wykonanymi nowymi przegrodami (MEW Skoki) i jest sprzeczne z celami środowiskowymi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obszaru Natura 2000, na którym się znajduje.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Inne odbudowy/przebudowy też wymagają weryfikacji, bo mogą wykazywać podobne znaczące negatywne oddziaływania. </w:t>
            </w:r>
          </w:p>
        </w:tc>
        <w:tc>
          <w:tcPr>
            <w:tcW w:w="1918" w:type="dxa"/>
            <w:shd w:val="clear" w:color="auto" w:fill="auto"/>
            <w:hideMark/>
          </w:tcPr>
          <w:p w14:paraId="111F67D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7CDF345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uwzględniono</w:t>
            </w:r>
          </w:p>
        </w:tc>
        <w:tc>
          <w:tcPr>
            <w:tcW w:w="3513" w:type="dxa"/>
            <w:shd w:val="clear" w:color="auto" w:fill="auto"/>
            <w:hideMark/>
          </w:tcPr>
          <w:p w14:paraId="19E7BEE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Usunięto z zestawu działań wskazane działania i zastąpiono je działaniemm RWHM_02.01 Analiza możliwości przebudowy budowli piętrzących w zakresie zapewniającym ciągłość biologiczną i spełnienie celów środowiskowych. Realizacja działań zgodnie z przeprowadzoną analizą.</w:t>
            </w:r>
          </w:p>
        </w:tc>
      </w:tr>
      <w:tr w:rsidR="0085319C" w:rsidRPr="005E78BB" w14:paraId="2383E293" w14:textId="77777777" w:rsidTr="00E92AE6">
        <w:trPr>
          <w:trHeight w:val="454"/>
        </w:trPr>
        <w:tc>
          <w:tcPr>
            <w:tcW w:w="562" w:type="dxa"/>
            <w:shd w:val="clear" w:color="auto" w:fill="auto"/>
            <w:hideMark/>
          </w:tcPr>
          <w:p w14:paraId="37C507B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786</w:t>
            </w:r>
          </w:p>
        </w:tc>
        <w:tc>
          <w:tcPr>
            <w:tcW w:w="1021" w:type="dxa"/>
          </w:tcPr>
          <w:p w14:paraId="627EF6D3" w14:textId="437BDE54"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6EB968E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59FA5D94" w14:textId="1F154A1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prawne i administracyjne</w:t>
            </w:r>
            <w:r w:rsidRPr="005E78BB">
              <w:rPr>
                <w:rFonts w:ascii="Calibri" w:eastAsia="Times New Roman" w:hAnsi="Calibri" w:cs="Calibri"/>
                <w:color w:val="000000"/>
                <w:sz w:val="18"/>
                <w:szCs w:val="18"/>
                <w:lang w:eastAsia="pl-PL"/>
              </w:rPr>
              <w:br w:type="page"/>
              <w:t xml:space="preserve">Bez zmian prawnych oraz rewizji planów inwestycyjnych wynikających z programów sektorowych – PPSS, PZRP i innych, nie ma możliwości osiągnięcia celów IIaPGW i celów RDW.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Dokumenty sektorowe powinny być spójne  z IIaPGW, jednak przy ich projektach nie wzięto pod uwagę celów środowiskowych RDW i działań na lata 2021-2027. Działania w nich zapisane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tych dokumentów. PPSS jest przyjęty rozporządzeniem, jego nieprzeanalizowanie działania będą wykazywać (w większości przypadków) znaczące negatywne oddziaływania na. </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 IIaPGW znalazł się tylko zapis, że takie dokumenty istnieją, brak natomiast  opisu wzajemnego przenikania się dokumentów.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Wody Polskie realizują ponadto programy, które nie są nigdzie opisane i nie przechodziły procedur strategicznej oceny oddziaływania, a realizowane w ramach nich przedsięwzięcia pogłębiają presje hydromorfologicznie. Przykładem jest m.in. Program kształtowania zasobów wodnych na terenach rolniczych (PKZW).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r>
          </w:p>
        </w:tc>
        <w:tc>
          <w:tcPr>
            <w:tcW w:w="3377" w:type="dxa"/>
            <w:shd w:val="clear" w:color="auto" w:fill="auto"/>
            <w:hideMark/>
          </w:tcPr>
          <w:p w14:paraId="74E4D3C0"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Umieścić opisy zgodności programów sektorowych gospodarki wodnej, m.in. PPSS, aPZRP, Program Rozwoju Retencji , z celami środowiskowymi i działaniami naprawczymi IIaPGW. Załącznik zestawienia inwestycji kierunkowych tej roli nie spełnia.</w:t>
            </w:r>
          </w:p>
        </w:tc>
        <w:tc>
          <w:tcPr>
            <w:tcW w:w="3401" w:type="dxa"/>
            <w:shd w:val="clear" w:color="auto" w:fill="auto"/>
            <w:hideMark/>
          </w:tcPr>
          <w:p w14:paraId="099C568D" w14:textId="2EB29C15"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Dokumenty sektorowe powinny być spójne  z IIaPGW. Jest to wymóg RDW.</w:t>
            </w:r>
            <w:r w:rsidRPr="005E78BB">
              <w:rPr>
                <w:rFonts w:ascii="Calibri" w:eastAsia="Times New Roman" w:hAnsi="Calibri" w:cs="Calibri"/>
                <w:color w:val="000000"/>
                <w:sz w:val="18"/>
                <w:szCs w:val="18"/>
                <w:lang w:eastAsia="pl-PL"/>
              </w:rPr>
              <w:br w:type="page"/>
            </w:r>
            <w:r w:rsidRPr="005E78BB">
              <w:rPr>
                <w:rFonts w:ascii="Calibri" w:eastAsia="Times New Roman" w:hAnsi="Calibri" w:cs="Calibri"/>
                <w:color w:val="000000"/>
                <w:sz w:val="18"/>
                <w:szCs w:val="18"/>
                <w:lang w:eastAsia="pl-PL"/>
              </w:rPr>
              <w:br w:type="page"/>
              <w:t xml:space="preserve">W projektach krajowych programów w zakresu gospodarki wodnej nie wzięto pod uwagę celów środowiskowych RDW i działań IIaPGW na lata 2021-2027. Działania w nich ujęte nie przeszły procedury wpływu na stan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na etapie tworzenia. </w:t>
            </w:r>
            <w:r w:rsidRPr="005E78BB">
              <w:rPr>
                <w:rFonts w:ascii="Calibri" w:eastAsia="Times New Roman" w:hAnsi="Calibri" w:cs="Calibri"/>
                <w:color w:val="000000"/>
                <w:sz w:val="18"/>
                <w:szCs w:val="18"/>
                <w:lang w:eastAsia="pl-PL"/>
              </w:rPr>
              <w:br w:type="page"/>
            </w:r>
          </w:p>
        </w:tc>
        <w:tc>
          <w:tcPr>
            <w:tcW w:w="1918" w:type="dxa"/>
            <w:shd w:val="clear" w:color="auto" w:fill="auto"/>
            <w:hideMark/>
          </w:tcPr>
          <w:p w14:paraId="4DB124F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FE48F2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E544FBE"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Zagadnienie powiązań pomiędzy dokumentami sektorowymi stanowi element analiz przeprowadzanych na potrzeby opracowywania dokumentów strategicznych i zostało wykonane w ramach IIaPGW. Powiązania dokumentów strategicznych i konieczność wzajemnego uwzględniania ich ustaleń stanowi element zachowywania spójności ustaleń opracowywanych dokumentów strategicznych.</w:t>
            </w:r>
            <w:r w:rsidRPr="005E78BB">
              <w:rPr>
                <w:rFonts w:ascii="Calibri" w:eastAsia="Times New Roman" w:hAnsi="Calibri" w:cs="Calibri"/>
                <w:color w:val="000000"/>
                <w:sz w:val="18"/>
                <w:szCs w:val="18"/>
                <w:lang w:eastAsia="pl-PL"/>
              </w:rPr>
              <w:br w:type="page"/>
              <w:t>Zagadnienie powiązań pomiędzy dokumentami strategicznymi a IIaPGW przedstawione zostało w rozdziale 19 każdego z projektów IIaPGW. Przeprowadzona identyfikacja dokumentów powiązanych miała charakter wielopłaszczyznowy i uwzględniała: aspekt przestrzenny (podział na jednostki planistyczne); sektory gospodarki; problemy (np. susza, powódź, transport wodny itp.); kategorie wód (podział na wody powierzchniowe: rzeki, zbiorniki, jeziora, wody przejściowe, wody przybrzeżne, wody morskie; oraz wody podziemne). Analizy wskazują zastosowany podział na dwie grupy dokumentów: dokumenty powiązane mające wpływ na ustalenia IIaPGW oraz dokumenty, których zakres i zawartość determinowały będą zapisy m.in. IIaPGW. 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 Szczegółowe odniesienie do celów poszczególnych dokumentów strategicznych przedstawione zostało w rozdziale 19 IIaPGW (w tym również wskazanych w uwadze PPSS, aPZRP).</w:t>
            </w:r>
            <w:r w:rsidRPr="005E78BB">
              <w:rPr>
                <w:rFonts w:ascii="Calibri" w:eastAsia="Times New Roman" w:hAnsi="Calibri" w:cs="Calibri"/>
                <w:color w:val="000000"/>
                <w:sz w:val="18"/>
                <w:szCs w:val="18"/>
                <w:lang w:eastAsia="pl-PL"/>
              </w:rPr>
              <w:br w:type="page"/>
              <w:t>Powiązania i wzajemne zależności dokumentów stanowiły również element prac nad zestawami działań IIaPGW. Zgodnie z metodyką opracowania zestawów działań IIaPGW analizowane były inne plany, programy, w tym również PPSS i aPZRP dla zweryfikowania planowanych działań, zapewnienia możliwej synergii pomiędzy nimi oraz wykluczenia sytuacji konfliktów działań pomiędzy programami. Działania IIaPGW projektowane były przy wykorzystaniu wyników zrealizowanej pracy Analiza znaczących oddziaływań antropogenicznych wraz z oceną ich wpływu na stan wód oraz ryzykiem nieosiągnięcia celów środowiskowych wskazującej presje znaczące w każdej jcw. Analizy presji uwzględniały wszystkie zidentyfikowane w Bazach Identyfikacji Presji źródła presji.</w:t>
            </w:r>
            <w:r w:rsidRPr="005E78BB">
              <w:rPr>
                <w:rFonts w:ascii="Calibri" w:eastAsia="Times New Roman" w:hAnsi="Calibri" w:cs="Calibri"/>
                <w:color w:val="000000"/>
                <w:sz w:val="18"/>
                <w:szCs w:val="18"/>
                <w:lang w:eastAsia="pl-PL"/>
              </w:rPr>
              <w:br w:type="page"/>
              <w:t>Zgodnie z ustawą o udostępnianiu informacji o środowisku i ocenach oddziaływania na środowisko dokumenty strategiczne wyznaczające ramy dla późniejszej realizacji przedsięwzięć mogących znacząco oddziaływać na środowisko, wymagają przeprowadzenia strategicznej oceny oddziaływania na środowisko - zarówno PPSS jak i aPZRP poddane były strategicznej ocenie oddziaływania na środowisko, w ramach których analizowany jest również aspekt oddziaływań skumulowanych planów i programów.</w:t>
            </w:r>
            <w:r w:rsidRPr="005E78BB">
              <w:rPr>
                <w:rFonts w:ascii="Calibri" w:eastAsia="Times New Roman" w:hAnsi="Calibri" w:cs="Calibri"/>
                <w:color w:val="000000"/>
                <w:sz w:val="18"/>
                <w:szCs w:val="18"/>
                <w:lang w:eastAsia="pl-PL"/>
              </w:rPr>
              <w:br w:type="page"/>
              <w:t>Przywołane w uwadze zestawienie inwestycji kierunkowych stanowi zestawienie informacji o inwestycjach planowanych w obszarze gospodarki wodnej pełniąc rolę wyłącznie materiału dodatkowego, informacyjnego. Nie jest bezpośrednim elementem IIaPGW zgodnie z zakresem określonym w ustawie Prawo wodne i Rozporządzeniu Rady Ministrów z dnia 4 października 2019 r. w sprawie szczegółowego zakresu opracowywania planów gospodarowania wodami na obszarach dorzeczy. Zestawienie inwestycji kierunkowych jest dokumentem wtórnym przywołującym inwestycje wskazane w Programie Planowanych Inwestycji (PPI) i aPZRP wraz z informacjami zawartymi w tych dokumentach. W związku z powyższym dokonywanie zmian dot. poszczególnych inwestycji przedstawionych w Zestawieniu inwestycji kierunkowych powinno się odbyć poprzez zgłoszenie i wprowadzenie zmian do PPI oraz aPZRP.</w:t>
            </w:r>
          </w:p>
        </w:tc>
      </w:tr>
      <w:tr w:rsidR="0085319C" w:rsidRPr="005E78BB" w14:paraId="112E77BF" w14:textId="77777777" w:rsidTr="00E92AE6">
        <w:trPr>
          <w:trHeight w:val="454"/>
        </w:trPr>
        <w:tc>
          <w:tcPr>
            <w:tcW w:w="562" w:type="dxa"/>
            <w:shd w:val="clear" w:color="auto" w:fill="auto"/>
            <w:hideMark/>
          </w:tcPr>
          <w:p w14:paraId="1597DDDF"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787</w:t>
            </w:r>
          </w:p>
        </w:tc>
        <w:tc>
          <w:tcPr>
            <w:tcW w:w="1021" w:type="dxa"/>
          </w:tcPr>
          <w:p w14:paraId="315E5AAF" w14:textId="020D25F2"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4C15716A"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DACC466" w14:textId="381D4FB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Konkretne zmiany prawne</w:t>
            </w:r>
            <w:r w:rsidRPr="005E78BB">
              <w:rPr>
                <w:rFonts w:ascii="Calibri" w:eastAsia="Times New Roman" w:hAnsi="Calibri" w:cs="Calibri"/>
                <w:color w:val="000000"/>
                <w:sz w:val="18"/>
                <w:szCs w:val="18"/>
                <w:lang w:eastAsia="pl-PL"/>
              </w:rPr>
              <w:br/>
              <w:t>W celu realizacji IIaPGW oprócz głębokich zmian w strukturze priorytetów w zarządzaniu wodami potrzebne są zmiany prawne:</w:t>
            </w:r>
            <w:r w:rsidRPr="005E78BB">
              <w:rPr>
                <w:rFonts w:ascii="Calibri" w:eastAsia="Times New Roman" w:hAnsi="Calibri" w:cs="Calibri"/>
                <w:color w:val="000000"/>
                <w:sz w:val="18"/>
                <w:szCs w:val="18"/>
                <w:lang w:eastAsia="pl-PL"/>
              </w:rPr>
              <w:br/>
              <w:t xml:space="preserve"> </w:t>
            </w:r>
            <w:r w:rsidRPr="005E78BB">
              <w:rPr>
                <w:rFonts w:ascii="Calibri" w:eastAsia="Times New Roman" w:hAnsi="Calibri" w:cs="Calibri"/>
                <w:color w:val="000000"/>
                <w:sz w:val="18"/>
                <w:szCs w:val="18"/>
                <w:lang w:eastAsia="pl-PL"/>
              </w:rPr>
              <w:br/>
              <w:t>- prace utrzymaniowe  – należy ująć w Prawie wodnym konieczność utworzenia i prowadzenia monitoringu prac utrzymaniowych -rejestr każdych prac wraz z obowiązkowym naniesieniem odcinków prac i ich charakteru na warstwy GIS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MPHP, cieki wyróżnione i niewyróżnione);</w:t>
            </w:r>
            <w:r w:rsidRPr="005E78BB">
              <w:rPr>
                <w:rFonts w:ascii="Calibri" w:eastAsia="Times New Roman" w:hAnsi="Calibri" w:cs="Calibri"/>
                <w:color w:val="000000"/>
                <w:sz w:val="18"/>
                <w:szCs w:val="18"/>
                <w:lang w:eastAsia="pl-PL"/>
              </w:rPr>
              <w:br/>
              <w:t>-stosowanie „wytycznych” KDP https://www.gov.pl/web/klimat/katalog-dobrych-praktyk-w-zakresie-robot-hydrotechnicznych  powinno być prawnym obowiązkiem zarządców wód i mieć na celu ograniczanie praktyk szkodliwych (i przeskalowanych) działań typu usuwanie namulisk z całej długości rzeki, przepychanie i pobór żwiru z koryt potoków, wycinka roślinności porastającej brzegi, uniemożliwiająca funkcjonowanie i odtwarzanie stref buforowych;-jasne określenie budowania nowych opasek brzegowych i narzutów kamiennych w formie opasek jako budowli bądź urządzeń wodnych przeciwpowodziowych jako wymagających uzyskania dśu – obecnie interpretacja organów w tym zakresie dowolna (dotyczy to też zasypywania wyrw brzegowych - nie wymaga nawet zgłoszenia);</w:t>
            </w:r>
            <w:r w:rsidRPr="005E78BB">
              <w:rPr>
                <w:rFonts w:ascii="Calibri" w:eastAsia="Times New Roman" w:hAnsi="Calibri" w:cs="Calibri"/>
                <w:color w:val="000000"/>
                <w:sz w:val="18"/>
                <w:szCs w:val="18"/>
                <w:lang w:eastAsia="pl-PL"/>
              </w:rPr>
              <w:br/>
              <w:t>- zmiany w rozporządzeniu ocen wodno prawnych (OW) – obecne limity nie obejmują 99% prac na rzekach (przynajmniej  1 km prac, kumulacja oddziaływań tylko, gdy jedno z działań „łapie się” do oceny) i powinny być znacząco obniżone; należy zaznaczyć, że same Wody Polskie, organ odpowiedzialny za wydawanie OW, nie stosują się do tych przepisów – vide Muszynianka i prace utrzymaniowe z 2021 r.;</w:t>
            </w:r>
            <w:r w:rsidRPr="005E78BB">
              <w:rPr>
                <w:rFonts w:ascii="Calibri" w:eastAsia="Times New Roman" w:hAnsi="Calibri" w:cs="Calibri"/>
                <w:color w:val="000000"/>
                <w:sz w:val="18"/>
                <w:szCs w:val="18"/>
                <w:lang w:eastAsia="pl-PL"/>
              </w:rPr>
              <w:br/>
              <w:t xml:space="preserve">- zmiany w art. 118 – niezbędne jest przywrócenie konieczności uzyskania decyzji na prace utrzymaniowe - instytucja milczącej zgody w tym przypadku nie daje żadnej możliwości kontroli społecznej organu, do którego zgłaszane są działania (RDOŚ). Zdarzają się przypadki braku sprzeciwu (brak ocen, brak badania wpływu na gatunki chronione i obszary chronione); mimo wszelkich przesłanek ku temu. Obecnie  powszechnie stosowana jest procedura: zgłoszenie -&gt; milcząca zgoda -&gt; realizacja, i nawet strona postępowania nie ma żadnego wpływu na rozstrzygnięcie organu, gdyż nie ma od czego się odwołać; </w:t>
            </w:r>
            <w:r w:rsidRPr="005E78BB">
              <w:rPr>
                <w:rFonts w:ascii="Calibri" w:eastAsia="Times New Roman" w:hAnsi="Calibri" w:cs="Calibri"/>
                <w:color w:val="000000"/>
                <w:sz w:val="18"/>
                <w:szCs w:val="18"/>
                <w:lang w:eastAsia="pl-PL"/>
              </w:rPr>
              <w:br/>
              <w:t>- należy uzupełnić art. 416.2 PW o cykliczne przeglądy spełniania wymogów pozwoleń wodnoprawnych na piętrzenie wód.</w:t>
            </w:r>
            <w:r w:rsidRPr="005E78BB">
              <w:rPr>
                <w:rFonts w:ascii="Calibri" w:eastAsia="Times New Roman" w:hAnsi="Calibri" w:cs="Calibri"/>
                <w:color w:val="000000"/>
                <w:sz w:val="18"/>
                <w:szCs w:val="18"/>
                <w:lang w:eastAsia="pl-PL"/>
              </w:rPr>
              <w:br/>
              <w:t>- należy usunąć konieczność umieszczania w PGW  katalogu odcinków ZAGROŻENIA DLA SWOBODNEGO PRZEPŁYWU WÓD ORAZ SPŁYWU LODÓW lub planowane działania przenieść do katalogu, o którym mowa w art. 435 PW;</w:t>
            </w:r>
            <w:r w:rsidRPr="005E78BB">
              <w:rPr>
                <w:rFonts w:ascii="Calibri" w:eastAsia="Times New Roman" w:hAnsi="Calibri" w:cs="Calibri"/>
                <w:color w:val="000000"/>
                <w:sz w:val="18"/>
                <w:szCs w:val="18"/>
                <w:lang w:eastAsia="pl-PL"/>
              </w:rPr>
              <w:br/>
              <w:t>- katalog o którym mowa w art. 435 PW powinien być również publikowany w PGW, a nie tylko te przedsięwzięcia, które zgodnie z art. 436 spełniają wymogi określone w art. 4.7 RDW.</w:t>
            </w:r>
          </w:p>
        </w:tc>
        <w:tc>
          <w:tcPr>
            <w:tcW w:w="3377" w:type="dxa"/>
            <w:shd w:val="clear" w:color="auto" w:fill="auto"/>
            <w:hideMark/>
          </w:tcPr>
          <w:p w14:paraId="17F7758B"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0B650BF9"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1918" w:type="dxa"/>
            <w:shd w:val="clear" w:color="auto" w:fill="auto"/>
            <w:hideMark/>
          </w:tcPr>
          <w:p w14:paraId="3E8904F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298FF90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13507894" w14:textId="01E27D64"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Zgodnie z art. 315 ustawy z dnia 20 lipca 2017 r. Prawo wodne (t.j. Dz. U. z 2021 r. poz. 624, z późn. zm.) plan gospodarowania wodami na obszarze dorzecza stanowi dokument planistyczny będący przedmiotem regulacji Działu VII tej ustawy, zatytułowanego „Zarządzanie wodami”. Struktura i treść tego planu są ustalone w art. 318 ustawy Prawo wodne.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łączności z art. 11 ustawy Prawo wodne, który uznaje planowanie w gospodarowani wodami za instrument zarządzania zasobami wodnymi, oznacza to, że Plan gospodarowania wodami na obszarze dorzecza podporządkowany jest zaspokajaniu potrzeb ludności i gospodarki oraz ochronie wód i środowiska związanego z tymi zasobami.</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orzecznictwie uwypukla się także, że realizacja celów środowiskowych następuje przez podejmowanie działań zawartych w Planie gospodarowania wodami na obszarze dorzecza, jak też że przewidziany w PGW zorganizowany i ciągły system działań, zarówno prawnych jak i faktycznych, służyć ma docelowo realizacji wyznaczonych w PGW celów środowiskowych. (Wyrok WSA we Wrocławiu z 13.10.2020 r., II SA/Wr 13/20, LEX nr 3110384)</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Takie ujęcie Planu gospodarowania wodami na obszarze dorzecza determinuje zarazem charakter prawny tego dokumentu, jako wykonawczego względem regulacji prawnych planu zarządzania wodami. Świadczy o tym m.in. art. 324 ust. 2 pkt 1 Prawa wodnego, który zalicza do działań podstawowych działania umożliwiające wdrożenie przepisów dotyczących ochrony wód, jak też ust.4 pkt 1 tego artykułu, stanowiący, iż działania uzupełniające działania podstawowe mogą wskazywać środki prawne niezbędne do zapewnienia optymalnego wdrożenia przyjętych działań. W obu tych przypadkach treść Planu gospodarowania wodami na obszarze dorzecza odwołuje się do obowiązującego stanu prawnego jako podstawy prawnej określenia lub wdrożenia poszczególnych działań.</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 konstrukcji prawnej Planu gospodarowania wodami na obszarze dorzecza nie mieści się w konsekwencji formułowanie postulatów zmiany prawa, wdrożenie tych postulatów nie warunkuje również przyjęcia planu. Postulaty takie mogą oczywiście stanowić konsekwencję oceny funkcjonowania planu, powinny jednakże znaleźć swój wyraz w procesie legislacyjnym podjętym przez podmioty, którym służy prawo inicjatywy w tej mierze.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Odnośnie poruszonych w uwadze zagadnień prawnych podkreślenia wymaga, że w katalogu działań krajowych w zakresie prac utrzymaniowych przewidziane zostały:</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xml:space="preserve">– Zakaz prac utrzymaniowych negatywnie wpływających na cele środowiskowe na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zlokalizowanych na ciekach znajdujących się na terenach: parków narodowych, rezerwatów przyrody oraz w obszarach Natura 2000, za wyjątkiem działań na terenach zabudowanych;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 Prowadzenie prac utrzymaniowych zgodnie z Katalogiem dobrych praktyk prac utrzymaniowych i robót hydrotechnicznych.</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Aspekt sposobu prowadzenia prac utrzymaniowych stanowi jeden z elementów, które uległy zmianie w obowiązującej ustawie Prawo wodne w stosunku do poprzedniego stanu prawnego.</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Ustawa z 2017 r. nie zmieniła brzmienia przepisów dotyczących celów utrzymania wód oraz kategorii prac utrzymaniowych. Jednakże od dnia 1 stycznia 2018 r. zasadniczej zmianie uległa organizacja jednostek odpowiedzialnych za utrzymanie wód. PGW WP, na podstawie ustawy Prawo wodne weszło w prawa i obowiązki WZMiUW. Artykuł 240 ust. 4 pkt 8 ustawy Prawo wodne stanowi, że zarządy zlewni (ZZ) realizują zadania związane z utrzymaniem wód i pozostałego mienia Skarbu Państwa związanego z gospodarką wodną, w tym obwałowań oraz obszaru międzywala. Tak więc obecnie jednostkami odpowiedzialnymi za utrzymanie wód i wykonywanie prac utrzymaniowych są ZZ, w ramach właściwych regionalnych Zarządów Gospodarki Wodnej (RZGW), które wykonują prawa właścicielskie Skarbu Państwa w stosunku do śródlądowych wód płynących oraz gruntów pokrytych tymi wodami (art. 240, ust. 3 pkt 9 ustawy pr.w.). Zmiana ta miała na celu m.in. zwiększenie koordynacji działań z zakresu gospodarowania wodami oraz zapewnienie spójnego, kompleksowego zarządzania w gospodarce wodnej poprzez skupienie zadań w tym obszarze w jednej instytucji - PGW WP.</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Podstawowym źródłem danych o sposobie prowadzenia działań w ramach prac utrzymaniowych w cyklu planistycznym 2016-2021 są PUW, które zostały opracowane przez poszczególne RZGW dla obszarów przez nie administrowanych i przyjęte w formie aktów prawnych – rozporządzeń.</w:t>
            </w:r>
          </w:p>
        </w:tc>
      </w:tr>
      <w:tr w:rsidR="0085319C" w:rsidRPr="005E78BB" w14:paraId="51D799E1" w14:textId="77777777" w:rsidTr="00E92AE6">
        <w:trPr>
          <w:trHeight w:val="454"/>
        </w:trPr>
        <w:tc>
          <w:tcPr>
            <w:tcW w:w="562" w:type="dxa"/>
            <w:shd w:val="clear" w:color="auto" w:fill="auto"/>
            <w:hideMark/>
          </w:tcPr>
          <w:p w14:paraId="3EB493C8"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788</w:t>
            </w:r>
          </w:p>
        </w:tc>
        <w:tc>
          <w:tcPr>
            <w:tcW w:w="1021" w:type="dxa"/>
          </w:tcPr>
          <w:p w14:paraId="571FFFBF" w14:textId="4D7557D5"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0EF1C5C2"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6C3C68EF" w14:textId="77777777" w:rsidR="0085319C" w:rsidRPr="005E78BB" w:rsidRDefault="0085319C" w:rsidP="0085319C">
            <w:pPr>
              <w:spacing w:after="240"/>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Dotyczy: Zmiany w funkcjonowaniu zarządzania wód</w:t>
            </w:r>
            <w:r w:rsidRPr="005E78BB">
              <w:rPr>
                <w:rFonts w:ascii="Calibri" w:eastAsia="Times New Roman" w:hAnsi="Calibri" w:cs="Calibri"/>
                <w:color w:val="000000"/>
                <w:sz w:val="18"/>
                <w:szCs w:val="18"/>
                <w:lang w:eastAsia="pl-PL"/>
              </w:rPr>
              <w:br/>
              <w:t>Bez modyfikacji podejścia Wód Polskich do tematu prac utrzymaniowych na rzekach i potokach oraz ciągłego monitoringu tego procesu stan wód będzie się pogarszał, przez m.in. zwiększenie presji hydromorfologicznej i pochodzącej z rolnictwa.</w:t>
            </w:r>
            <w:r w:rsidRPr="005E78BB">
              <w:rPr>
                <w:rFonts w:ascii="Calibri" w:eastAsia="Times New Roman" w:hAnsi="Calibri" w:cs="Calibri"/>
                <w:color w:val="000000"/>
                <w:sz w:val="18"/>
                <w:szCs w:val="18"/>
                <w:lang w:eastAsia="pl-PL"/>
              </w:rPr>
              <w:br/>
            </w:r>
          </w:p>
        </w:tc>
        <w:tc>
          <w:tcPr>
            <w:tcW w:w="3377" w:type="dxa"/>
            <w:shd w:val="clear" w:color="auto" w:fill="auto"/>
            <w:hideMark/>
          </w:tcPr>
          <w:p w14:paraId="64928146" w14:textId="031536BD"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Zarządy Zlewni powinny mieć pełne informacje na temat celów środowiskowych i zestawu działań dla </w:t>
            </w:r>
            <w:r w:rsidR="00513278">
              <w:rPr>
                <w:rFonts w:ascii="Calibri" w:eastAsia="Times New Roman" w:hAnsi="Calibri" w:cs="Calibri"/>
                <w:color w:val="000000"/>
                <w:sz w:val="18"/>
                <w:szCs w:val="18"/>
                <w:lang w:eastAsia="pl-PL"/>
              </w:rPr>
              <w:t>JCWP</w:t>
            </w:r>
            <w:r w:rsidRPr="005E78BB">
              <w:rPr>
                <w:rFonts w:ascii="Calibri" w:eastAsia="Times New Roman" w:hAnsi="Calibri" w:cs="Calibri"/>
                <w:color w:val="000000"/>
                <w:sz w:val="18"/>
                <w:szCs w:val="18"/>
                <w:lang w:eastAsia="pl-PL"/>
              </w:rPr>
              <w:t xml:space="preserve"> i je wdrażać, zamiast zajmować się tylko pracami utrzymaniowymi pogarszającymi stan hydromorfologiczny, z powoływaniem się na przepisy Prawa wodnego w tym zakresie.</w:t>
            </w:r>
            <w:r w:rsidRPr="005E78BB">
              <w:rPr>
                <w:rFonts w:ascii="Calibri" w:eastAsia="Times New Roman" w:hAnsi="Calibri" w:cs="Calibri"/>
                <w:color w:val="000000"/>
                <w:sz w:val="18"/>
                <w:szCs w:val="18"/>
                <w:lang w:eastAsia="pl-PL"/>
              </w:rPr>
              <w:br/>
            </w:r>
            <w:r w:rsidRPr="005E78BB">
              <w:rPr>
                <w:rFonts w:ascii="Calibri" w:eastAsia="Times New Roman" w:hAnsi="Calibri" w:cs="Calibri"/>
                <w:color w:val="000000"/>
                <w:sz w:val="18"/>
                <w:szCs w:val="18"/>
                <w:lang w:eastAsia="pl-PL"/>
              </w:rPr>
              <w:br/>
              <w:t>Wody Polskie powinny przewartościować podejście do zasobów wodnych w zakresie retencji (priorytet: odbudowa i ochrona naturalnej retencji), bo obecne podejście tylko oddala nas od osiągnięcia celów RDW.</w:t>
            </w:r>
          </w:p>
        </w:tc>
        <w:tc>
          <w:tcPr>
            <w:tcW w:w="3401" w:type="dxa"/>
            <w:shd w:val="clear" w:color="auto" w:fill="auto"/>
            <w:hideMark/>
          </w:tcPr>
          <w:p w14:paraId="63763C5C"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„Ocena stopnia uwzględnienia Krajowego Programu Renaturyzacji Wód Powierzchniowych w projektach drugiej aktualizacji Planów Gospodarowania Wodami (II aPGW) wraz z rekomendacjami do II aPGW”; „Ocena prac hydrotechnicznych mających na celu usuwanie skutków powodzi z 2018 r. w zlewni rzeki Dunajec, pod kątem oddziaływań na obszary Natura 2000 i stan wód”.</w:t>
            </w:r>
          </w:p>
        </w:tc>
        <w:tc>
          <w:tcPr>
            <w:tcW w:w="1918" w:type="dxa"/>
            <w:shd w:val="clear" w:color="auto" w:fill="auto"/>
            <w:hideMark/>
          </w:tcPr>
          <w:p w14:paraId="49F67EC5"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106A343F"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5562FED8"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Plan gospodarowania wodami prezentuje informacje dotyczące organów właściwych w gospodarowaniu wodami na obszarze dorzecza. Zakres odpowiedzialności poszczególnych organów wynika z przepisów ustawy Prawo wodne. Plany gospodarowania wodami posiadają rangę rozporządzenia, są ogólnodostepne i powszechnie obowiązujące.</w:t>
            </w:r>
          </w:p>
        </w:tc>
      </w:tr>
      <w:tr w:rsidR="0085319C" w:rsidRPr="005E78BB" w14:paraId="4CA30880" w14:textId="77777777" w:rsidTr="00E92AE6">
        <w:trPr>
          <w:trHeight w:val="454"/>
        </w:trPr>
        <w:tc>
          <w:tcPr>
            <w:tcW w:w="562" w:type="dxa"/>
            <w:shd w:val="clear" w:color="auto" w:fill="auto"/>
            <w:hideMark/>
          </w:tcPr>
          <w:p w14:paraId="57373EC7" w14:textId="77777777" w:rsidR="0085319C" w:rsidRPr="005E78BB" w:rsidRDefault="0085319C" w:rsidP="0085319C">
            <w:pPr>
              <w:ind w:firstLine="0"/>
              <w:jc w:val="center"/>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789</w:t>
            </w:r>
          </w:p>
        </w:tc>
        <w:tc>
          <w:tcPr>
            <w:tcW w:w="1021" w:type="dxa"/>
          </w:tcPr>
          <w:p w14:paraId="6C3C0F2F" w14:textId="29B75296" w:rsidR="0085319C" w:rsidRPr="005E78BB" w:rsidRDefault="0085319C" w:rsidP="0085319C">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ClientEarth Prawnicy dla Ziemi</w:t>
            </w:r>
          </w:p>
        </w:tc>
        <w:tc>
          <w:tcPr>
            <w:tcW w:w="1630" w:type="dxa"/>
            <w:shd w:val="clear" w:color="auto" w:fill="auto"/>
            <w:hideMark/>
          </w:tcPr>
          <w:p w14:paraId="56E0B5C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inne/pozostałe</w:t>
            </w:r>
          </w:p>
        </w:tc>
        <w:tc>
          <w:tcPr>
            <w:tcW w:w="5663" w:type="dxa"/>
            <w:shd w:val="clear" w:color="auto" w:fill="auto"/>
            <w:hideMark/>
          </w:tcPr>
          <w:p w14:paraId="05A9CDF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Dotyczy: Zmiany w ocenie postępu działań – co 2 lata </w:t>
            </w:r>
            <w:r w:rsidRPr="005E78BB">
              <w:rPr>
                <w:rFonts w:ascii="Calibri" w:eastAsia="Times New Roman" w:hAnsi="Calibri" w:cs="Calibri"/>
                <w:color w:val="000000"/>
                <w:sz w:val="18"/>
                <w:szCs w:val="18"/>
                <w:lang w:eastAsia="pl-PL"/>
              </w:rPr>
              <w:br/>
              <w:t>W przypadku budowli do udrożnienia, dla których nie sporządzono dokumentacji, powinny być ustalone następujące maksymalne terminy do oceny postępu działań: 2 lata – analiza sposobu udrożnienia/ 2 lata – projekt i decyzje / 2 lata – wykonanie.</w:t>
            </w:r>
          </w:p>
        </w:tc>
        <w:tc>
          <w:tcPr>
            <w:tcW w:w="3377" w:type="dxa"/>
            <w:shd w:val="clear" w:color="auto" w:fill="auto"/>
            <w:hideMark/>
          </w:tcPr>
          <w:p w14:paraId="5E5015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Jak w treści uwagi.</w:t>
            </w:r>
          </w:p>
        </w:tc>
        <w:tc>
          <w:tcPr>
            <w:tcW w:w="3401" w:type="dxa"/>
            <w:shd w:val="clear" w:color="auto" w:fill="auto"/>
            <w:hideMark/>
          </w:tcPr>
          <w:p w14:paraId="415DC6CD"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Tylko taki harmonogram może zapewnić realizację działań naprawczych, co dobitnie pokazał okres planistyczny 2016-2021, w którym zadania niewykonane na półmetku okresu  w większości nie doczekały się realizacji.</w:t>
            </w:r>
          </w:p>
        </w:tc>
        <w:tc>
          <w:tcPr>
            <w:tcW w:w="1918" w:type="dxa"/>
            <w:shd w:val="clear" w:color="auto" w:fill="auto"/>
            <w:hideMark/>
          </w:tcPr>
          <w:p w14:paraId="45A07E97"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 xml:space="preserve"> - </w:t>
            </w:r>
          </w:p>
        </w:tc>
        <w:tc>
          <w:tcPr>
            <w:tcW w:w="1276" w:type="dxa"/>
            <w:shd w:val="clear" w:color="auto" w:fill="auto"/>
            <w:hideMark/>
          </w:tcPr>
          <w:p w14:paraId="392531B6"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wyjaśnienie</w:t>
            </w:r>
          </w:p>
        </w:tc>
        <w:tc>
          <w:tcPr>
            <w:tcW w:w="3513" w:type="dxa"/>
            <w:shd w:val="clear" w:color="auto" w:fill="auto"/>
            <w:hideMark/>
          </w:tcPr>
          <w:p w14:paraId="62F0D833" w14:textId="77777777" w:rsidR="0085319C" w:rsidRPr="005E78BB" w:rsidRDefault="0085319C" w:rsidP="0085319C">
            <w:pPr>
              <w:ind w:firstLine="0"/>
              <w:jc w:val="left"/>
              <w:rPr>
                <w:rFonts w:ascii="Calibri" w:eastAsia="Times New Roman" w:hAnsi="Calibri" w:cs="Calibri"/>
                <w:color w:val="000000"/>
                <w:sz w:val="18"/>
                <w:szCs w:val="18"/>
                <w:lang w:eastAsia="pl-PL"/>
              </w:rPr>
            </w:pPr>
            <w:r w:rsidRPr="005E78BB">
              <w:rPr>
                <w:rFonts w:ascii="Calibri" w:eastAsia="Times New Roman" w:hAnsi="Calibri" w:cs="Calibri"/>
                <w:color w:val="000000"/>
                <w:sz w:val="18"/>
                <w:szCs w:val="18"/>
                <w:lang w:eastAsia="pl-PL"/>
              </w:rPr>
              <w:t>Działania dotyczące ciągłości biologicznej wskazują ogólnie zakres prac, który powinien być zrealizowany w ciągu następnego cyklu planistycznego. Zaprezentowane w zestawach działań harmonogramy wskazują daty oczekiwanego zakończenia prac - nie jest to termin oceny postępu działań. Monitorowanie realizacji działań ujętych w IIaPGW regulują zapisy art. 328 ustawy Prawo wodne, zgodnie z którym Minister właściwy do spraw gospodarki wodnej monitoruje realizację działań zawartych w planach gospodarowania wodami na obszarach dorzeczy. W tym celu: Państwowe Gospodarstwo Wodne Wody Polskie, wojewodowie, marszałkowie województw, wójtowie, burmistrzowie lub prezydenci miast i dyrektorzy urzędów morskich, w zakresie swojej właściwości, sporządzają roczne sprawozdania z realizacji działań zawartych w planach gospodarowania wodami i przekazują ministrowi właściwemu do spraw gospodarki wodnej w terminie do dnia 28 lutego roku następnego. Natomiast sposób sprawozdawania reguluje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w:t>
            </w:r>
            <w:r w:rsidRPr="005E78BB">
              <w:rPr>
                <w:rFonts w:ascii="Calibri" w:eastAsia="Times New Roman" w:hAnsi="Calibri" w:cs="Calibri"/>
                <w:color w:val="000000"/>
                <w:sz w:val="18"/>
                <w:szCs w:val="18"/>
                <w:lang w:eastAsia="pl-PL"/>
              </w:rPr>
              <w:br/>
              <w:t>Coroczne sprawozdania ze stopnia realizacji działań zawartych w PGW stanowią podstawę do zweryfikowania oceny stopnia spełnienia celów środowiskowych.</w:t>
            </w:r>
          </w:p>
        </w:tc>
      </w:tr>
      <w:tr w:rsidR="00E92AE6" w:rsidRPr="005E78BB" w14:paraId="327BFC56" w14:textId="77777777" w:rsidTr="00E92AE6">
        <w:trPr>
          <w:trHeight w:val="454"/>
        </w:trPr>
        <w:tc>
          <w:tcPr>
            <w:tcW w:w="562" w:type="dxa"/>
            <w:shd w:val="clear" w:color="auto" w:fill="auto"/>
          </w:tcPr>
          <w:p w14:paraId="1CED1A16" w14:textId="40A445D8" w:rsidR="00E92AE6" w:rsidRPr="005E78BB"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790</w:t>
            </w:r>
          </w:p>
        </w:tc>
        <w:tc>
          <w:tcPr>
            <w:tcW w:w="1021" w:type="dxa"/>
            <w:tcBorders>
              <w:top w:val="single" w:sz="4" w:space="0" w:color="auto"/>
              <w:left w:val="nil"/>
              <w:bottom w:val="single" w:sz="4" w:space="0" w:color="auto"/>
              <w:right w:val="nil"/>
            </w:tcBorders>
            <w:shd w:val="clear" w:color="auto" w:fill="auto"/>
          </w:tcPr>
          <w:p w14:paraId="6CF495D2" w14:textId="1DE9A4B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Małe Elektrownie Wodne</w:t>
            </w:r>
          </w:p>
        </w:tc>
        <w:tc>
          <w:tcPr>
            <w:tcW w:w="1630" w:type="dxa"/>
            <w:shd w:val="clear" w:color="auto" w:fill="auto"/>
          </w:tcPr>
          <w:p w14:paraId="7771A248" w14:textId="3187448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D6B96DF" w14:textId="2D5DEED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poprzednia aktualizacja z 2016r. ogłoszona w Rozporządzeniu Rady Ministrów z dnia 18.10.2016r. (poz. 1911) w sprawie gospodarowania wodami na obszarze dorzecza Wisły będzie obowiązywać po wprowadzeniu do obiegu prawnego II aPGW?</w:t>
            </w:r>
          </w:p>
        </w:tc>
        <w:tc>
          <w:tcPr>
            <w:tcW w:w="3377" w:type="dxa"/>
            <w:shd w:val="clear" w:color="auto" w:fill="auto"/>
          </w:tcPr>
          <w:p w14:paraId="0387C674" w14:textId="079FFC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AD4F0AA" w14:textId="1FA3D16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62156CB" w14:textId="6BA6006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80B6397" w14:textId="3F1A759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7F87A64" w14:textId="751CFF5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Nie, nie będzie obowiązywała. Z dniem przyjęcia rozporządzeniem planów gospodarowania wodami, tych które właśnie dzisiaj podlegają aktualizacji, staną się one obowiązujące. Natomiast przestają tym samym obowiązywać plany gospodarowania wodami przyjęte w 2016 roku.</w:t>
            </w:r>
          </w:p>
        </w:tc>
      </w:tr>
      <w:tr w:rsidR="00E92AE6" w:rsidRPr="005E78BB" w14:paraId="409D35C1" w14:textId="77777777" w:rsidTr="00E92AE6">
        <w:trPr>
          <w:trHeight w:val="454"/>
        </w:trPr>
        <w:tc>
          <w:tcPr>
            <w:tcW w:w="562" w:type="dxa"/>
            <w:shd w:val="clear" w:color="auto" w:fill="auto"/>
          </w:tcPr>
          <w:p w14:paraId="68F6F12F" w14:textId="211A75EE" w:rsidR="00E92AE6" w:rsidRPr="005E78BB"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791</w:t>
            </w:r>
          </w:p>
        </w:tc>
        <w:tc>
          <w:tcPr>
            <w:tcW w:w="1021" w:type="dxa"/>
            <w:tcBorders>
              <w:top w:val="single" w:sz="4" w:space="0" w:color="auto"/>
              <w:left w:val="nil"/>
              <w:bottom w:val="single" w:sz="4" w:space="0" w:color="auto"/>
              <w:right w:val="nil"/>
            </w:tcBorders>
            <w:shd w:val="clear" w:color="auto" w:fill="auto"/>
          </w:tcPr>
          <w:p w14:paraId="599D9113" w14:textId="2760406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6FACFD2F" w14:textId="4DEB99C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A79E5F7" w14:textId="6277303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wszystkie planowane przez Zarząd w Ciechanowie regulacje rzek: Węgierki, Morawki, Łydyni i innych, celem braku zalewania łąk powinny być opisane w tabelce zał. 6 ze szczegółową analizą inwestycji (spełnianie przesłanek art. 4.7) czy wystarczy załącznik Zestawienie inw. kierunkowych i inne krajowe programy PZRP i PPSS? Czy tabela inwestycji z derogacji art. 4.7 będzie uzupełniona i jeśli ta, to na jakim etapie konsultacji?</w:t>
            </w:r>
          </w:p>
        </w:tc>
        <w:tc>
          <w:tcPr>
            <w:tcW w:w="3377" w:type="dxa"/>
            <w:shd w:val="clear" w:color="auto" w:fill="auto"/>
          </w:tcPr>
          <w:p w14:paraId="1178122B" w14:textId="1180E44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65DC281" w14:textId="18C14F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5FBA243" w14:textId="5A6A04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18C9E2F" w14:textId="747C60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A9D539B" w14:textId="629E760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obecnym stanie prawnym PGW nie ustanawiają odstępstw dla inwestycji, lecz prezentują już ustanowione (w aPGW z 2016 r. lub w decyzjach wydanych po 2017 r.) odstępstwa - jest to zatem forma sprawozdania, a nie forma rozstrzygająca. Szczegółowe analizy dotyczące konkretnych inwestycji będą prowadzone na etapie postępowań administracyjnych, których elementem będzie analiza wpływu na cele środowiskowe oraz analiza konieczności i możliwości zastosowania odstępstw w trybie art. 68 ustawy Prawo wodne (art. 4.7 RDW). Natomiast "Zestawienie Inwestycji Kierunkowych..." zostało przygotowane w oparciu o dane przedstawione przez PGW WP (w ślad za ustaleniami wynikającymi z innych dokumentów strategicznych - nie muszą się w nim znaleźć wszystkie planowane inwestycje, lecz tylko te o znaczeniu strategicznym).</w:t>
            </w:r>
          </w:p>
        </w:tc>
      </w:tr>
      <w:tr w:rsidR="00E92AE6" w:rsidRPr="005E78BB" w14:paraId="3A9E9090" w14:textId="77777777" w:rsidTr="00E92AE6">
        <w:trPr>
          <w:trHeight w:val="454"/>
        </w:trPr>
        <w:tc>
          <w:tcPr>
            <w:tcW w:w="562" w:type="dxa"/>
            <w:shd w:val="clear" w:color="auto" w:fill="auto"/>
          </w:tcPr>
          <w:p w14:paraId="4465496F" w14:textId="7BDE5D6B" w:rsidR="00E92AE6" w:rsidRPr="005E78BB"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792</w:t>
            </w:r>
          </w:p>
        </w:tc>
        <w:tc>
          <w:tcPr>
            <w:tcW w:w="1021" w:type="dxa"/>
            <w:tcBorders>
              <w:top w:val="single" w:sz="4" w:space="0" w:color="auto"/>
              <w:left w:val="nil"/>
              <w:bottom w:val="single" w:sz="4" w:space="0" w:color="auto"/>
              <w:right w:val="nil"/>
            </w:tcBorders>
            <w:shd w:val="clear" w:color="auto" w:fill="auto"/>
          </w:tcPr>
          <w:p w14:paraId="23EA4F40" w14:textId="3294171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47D2EBF6" w14:textId="0A27081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1B32532" w14:textId="166D28A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Mowa była o bazach danych wykorzystanych na potrzeby IIaPGW, czy jest możliwość udostępnienia na wniosek tych baz danych i czy jest możliwość udostępnienia na wniosek geobazy IIapgw lub samych warstw shp? Mapy dołączone do konsultacji są nieczytelne, a jednocześnie wskazują, że powstały na podstawie środowiska gisowego.</w:t>
            </w:r>
            <w:r w:rsidRPr="00825321">
              <w:rPr>
                <w:rFonts w:eastAsia="Times New Roman" w:cstheme="minorHAnsi"/>
                <w:color w:val="000000"/>
                <w:sz w:val="18"/>
                <w:szCs w:val="18"/>
                <w:lang w:eastAsia="pl-PL"/>
              </w:rPr>
              <w:br/>
            </w:r>
          </w:p>
        </w:tc>
        <w:tc>
          <w:tcPr>
            <w:tcW w:w="3377" w:type="dxa"/>
            <w:shd w:val="clear" w:color="auto" w:fill="auto"/>
          </w:tcPr>
          <w:p w14:paraId="50A6A70F" w14:textId="74BC61A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463D7A0" w14:textId="79FB5A9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553D232" w14:textId="3045F0E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BB37D11" w14:textId="7422CAF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FD1B1CB" w14:textId="75D1A9E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trakcie realizacji prac nad drugą aktualizacją planów gospodarowania wodami, wypracowywane były jak najbardziej zarówno bazy danych, geobazy jaki i warstwy GIS. Natomiast docelowo ostateczna geobaza drugiej aktualizacji planów gospodarowania wodami, będzie możliwa do udostępnienia dopiero w końcowej fazie prac nad IIaPGW.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Natomiast wszystkie materiały źródłowe - wyniki zrealizowanych dotychczas prac i projektów, które wykorzystane były do opracowywania IIaPGW mogą być udostępniane zgodnie z zasadami udostępniania informacji.</w:t>
            </w:r>
          </w:p>
        </w:tc>
      </w:tr>
      <w:tr w:rsidR="00E92AE6" w:rsidRPr="005E78BB" w14:paraId="29EE7808" w14:textId="77777777" w:rsidTr="00E92AE6">
        <w:trPr>
          <w:trHeight w:val="454"/>
        </w:trPr>
        <w:tc>
          <w:tcPr>
            <w:tcW w:w="562" w:type="dxa"/>
            <w:shd w:val="clear" w:color="auto" w:fill="auto"/>
          </w:tcPr>
          <w:p w14:paraId="11DD2CEF" w14:textId="12813629" w:rsidR="00E92AE6" w:rsidRPr="005E78BB"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793</w:t>
            </w:r>
          </w:p>
        </w:tc>
        <w:tc>
          <w:tcPr>
            <w:tcW w:w="1021" w:type="dxa"/>
            <w:tcBorders>
              <w:top w:val="single" w:sz="4" w:space="0" w:color="auto"/>
              <w:left w:val="nil"/>
              <w:bottom w:val="single" w:sz="4" w:space="0" w:color="auto"/>
              <w:right w:val="nil"/>
            </w:tcBorders>
            <w:shd w:val="clear" w:color="auto" w:fill="auto"/>
          </w:tcPr>
          <w:p w14:paraId="6320C7E0" w14:textId="7646E5D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55652545" w14:textId="20F68EA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453B17E" w14:textId="18D11A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Jak w projekcie aPGW w odniesieniu do Regionu wodnego Środkowej Wisły zostanie wdrożony „Krajowy program renaturyzacji wód powierzchniowych” (KPRWP) opracowany na zlecenie PGW Wody Polskie? W szczególności: w ilu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w Regionie zostaną wdrożone działania naprawcze przewidziane w KPRWP? Jaki %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w Regionie zostanie objętych działaniami przewidzianymi w KPRWP? Jaki % działań przewidzianych w KPRWP zostanie zrealizowany w ramach tej aktualizacji PGW?</w:t>
            </w:r>
          </w:p>
        </w:tc>
        <w:tc>
          <w:tcPr>
            <w:tcW w:w="3377" w:type="dxa"/>
            <w:shd w:val="clear" w:color="auto" w:fill="auto"/>
          </w:tcPr>
          <w:p w14:paraId="39CCF80E" w14:textId="6F6363D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754FD4B" w14:textId="52FABE0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285CF4E" w14:textId="06389B8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26ED1DB" w14:textId="076F7E5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0759554" w14:textId="5B4EF32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Jeżeli chodzi o Krajowy program renaturyzacji wód powierzchniowych, jest on jednym z ważniejszych programów, na który w pierwszej kolejności zwracaliśmy uwagę przy identyfikacji potrzeb i możliwości wdrożenia działań. Jeżeli chodzi o działania w zestawach, które się pojawiły bezpośrednio przełożone jakby z Krajowego programu, dotyczą one obszarów priorytetowych dla naturalnych, jednolitych części wód ze wzglądu na to, że program był opracowany wcześniej zanim pojawiły się wyniki badań czy dane dotyczące analizy presji. Na poziomie aPGW mieliśmy już szczegółowe informacje jakie presje są przyczyną nieosiągnięcia celów środowiskowych w danych jednolitych częściach wód, w związku z tym mogliśmy celować z propozycją działań konkretnie i w zestawach pojawiają się działania związane z renaturyzacją, co więcej - dla silnie zmienionych części wód również wskazujemy do wdrożenia działania z tzw. testu restytucji, które właśnie mają być realizowane dla tych silnie zmienionych części wód, szereg działań mających na celu przywrócenie ciągłości biologicznej, czyli wszystkie te elementy, które zostały wskazane w Krajowym programie renaturyzacji wód, jako kluczowe do tego, aby ten dobry stan wód osiągnąć są zawarte w katalogu zarówno krajowym w postaci chociaż obligatoryjnego wdrożenia katalogu dobrych praktyk, prac utrzymaniowych i robót hydrotechnicznych we wszystkich jednolitych częściach wód, gdzie jest to wymagane. Chciałabym zwrócić Państwu uwagę na prace utrzymaniowe. One zostały wskazane w Krajowym programie jako tzw. pakiet podstawowy, który w sposób bardzo znaczący redukuje presję na stan hydromorfologiczny. Tu w zestawach działań wskazujemy dla jednolitych części wód, dla których zostały określone cele środowiskowe rzek włośnicznikowych, jako działanie takie uwzględnienie w planach zadań ochrony, czy w PZO dla obszarów chronionych, skutków czy wpływu tych prac utrzymaniowych na przedmioty ochrony i przy wskazaniu, czy jakby określeniu zasadności wprowadzenie w plan zadań ochronnych, takich działań polegających na modyfikacji prac utrzymaniowych. Czyli nie bezpośrednio wskazujemy odcinki, w których te prace, czy definiujemy tak jak było to bardzo ogólnie na poziomie Krajowego programu renaturyzacji przypisane do całej jednolitej części wód, wskazujemy już konkretne obszary, które wymagają ze względu na presje zidentyfikowane podjęcia takich działań. Jeżeli chodzi o kolejny typ, czy kategorię działań dedykowaną przywróceniu ciągłości biologicznej, bo to kluczowe działania dla jednolitych części wód rzecznych, na które również w Krajowym programie renaturyzacji zwracano uwagę i one się pojawiały; w naszych zestawach działań były one identyfikowane ze względu na analizę presji, ale również na cele środowiskowe. Uwzględniano cieki istotne, cele środowiskowe dla gatunków dwuśrodowiskowych oraz wyniki ankietyzacji konkretnych budowli i możliwości ich przebudowy, wskazując działania techniczne tam gdzie była pewność i możliwość wskazania konkretnego zakresu, czy konkretnej budowli do rozbiórki, to takie działania już na poziomie aPGW są zdefiniowane, natomiast w przypadkach gdzie nie było możliwości określenia w tak krótkim czasie wariantu do realizacji, czy to przebudowa czy rozbiórka, wskazywaliśmy działania polegające na weryfikacji sposobów możliwości udrożnienia.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Takich działań w ogóle w regionie w dorzeczu Wisły jest ponad 900, w związku z tym te działania, dotyczące ciągłości i poprawy hydromorfologii to są jedne z kluczowych elementów w zestawie działań. Dodatkowo dodam, że w zestawach działań znalazły się wszystkie działania, które były wpisane w PZO i w PO, które właśnie wskazują również na poprawę warunków hydromorfologicznych celem spełnienia właśnie wymogów dla obszarów chronionych jak i chociażby odtwarzanie stref buforowych, czy poprawę stanu ilościowego. Ponad 4000 działań jest dedykowanych poprawie warunków dla obszarów chronionych. Czyli jest to bardzo szeroki pakiet działań nakierowanych na te presje hydromorfologiczne, bo wracając do pytania, Krajowy program renaturyzacji skupiał się głównie na presjach hydromorfologicznych, natomiast w aPGW, tak jak już mówiliśmy w poprzednich blokach, uwzględnialiśmy presje i skumulowane i fizykochemiczne. W związku z tym mieliśmy obraz całościowego problemu w zlewni i mogliśmy dobierać zakresy działań o wiele bardziej precyzyjnie.</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Plan gospodarowania wodami nie jest programem inwestycyjnym, on nie zapewnia finansowania, w związku z czym z tych informacji nie można wysnuć wniosku, iż to jest dokument, w którym przeznaczono daną kwotę na dane zadanie, albo na cały pakiet zadań, więc oczywiście można robić wszelkie porównania. Może byłoby to nawet ciekawe, natomiast nie można z tego wysnuwać wniosku, że to są zagwarantowane pieniądze. To jest oszacowanie kosztów, przy takim dokumencie musi się pojawić taka informacja, żebyśmy znali skalę problemu i wiedzieli ile wdrożenie planu gospodarowania wodami być może będzie kosztowało. Natomiast nie ma tu żadnego mechanizmu, który by gwarantował te kwoty, ani też przypieczętowywał, że na pewno tyle na dane zadanie musi się pojawić.</w:t>
            </w:r>
          </w:p>
        </w:tc>
      </w:tr>
      <w:tr w:rsidR="00E92AE6" w:rsidRPr="005E78BB" w14:paraId="216CDFFA" w14:textId="77777777" w:rsidTr="00E92AE6">
        <w:trPr>
          <w:trHeight w:val="454"/>
        </w:trPr>
        <w:tc>
          <w:tcPr>
            <w:tcW w:w="562" w:type="dxa"/>
            <w:shd w:val="clear" w:color="auto" w:fill="auto"/>
          </w:tcPr>
          <w:p w14:paraId="2FFFF35A" w14:textId="2984B3D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794</w:t>
            </w:r>
          </w:p>
        </w:tc>
        <w:tc>
          <w:tcPr>
            <w:tcW w:w="1021" w:type="dxa"/>
            <w:tcBorders>
              <w:top w:val="single" w:sz="4" w:space="0" w:color="auto"/>
              <w:left w:val="nil"/>
              <w:bottom w:val="single" w:sz="4" w:space="0" w:color="auto"/>
              <w:right w:val="nil"/>
            </w:tcBorders>
            <w:shd w:val="clear" w:color="auto" w:fill="auto"/>
          </w:tcPr>
          <w:p w14:paraId="63B3FD06" w14:textId="18EC0EB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4D21817B" w14:textId="221BFE9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9711CAF" w14:textId="2703B29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Jakie środki (w mln PL) przewidziano w projekcie aPGW w odniesieniu do Regionu wodnego Środkowej Wisły na realizację działań naprawczych przewidzianych w „Krajowym programie renaturyzacji wód powierzchniowych” (KPRWP)? Dla porównania, jakie środki (w mln PL) przewidziano na działania pogarszających stan ekosystemów wodnych (działania niewymagające i wymagających derogacji na mocy artykułu 4.7 Ramowej Dyrektywy Wodnej)?</w:t>
            </w:r>
          </w:p>
        </w:tc>
        <w:tc>
          <w:tcPr>
            <w:tcW w:w="3377" w:type="dxa"/>
            <w:shd w:val="clear" w:color="auto" w:fill="auto"/>
          </w:tcPr>
          <w:p w14:paraId="2366269D" w14:textId="53E61CD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0E421FD" w14:textId="3DEE79B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AF8AF4A" w14:textId="44B24A7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169958E" w14:textId="7ED3CCD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A9B432D" w14:textId="1E65C5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Jeżeli chodzi o krajowy program renaturyzacji wód powierzchniowych, jest on jednym z ważniejszych programów, na który w pierwszej kolejności zwracaliśmy uwagę przy identyfikacji potrzeb również i możliwości wdrożenia działań. Jeżeli chodzi o działania w zestawach, które się pojawiły bezpośrednio przełożone jakby z krajowego programu, dotyczą one obszarów priorytetowych dla naturalnych, jednolitych części wód ze wzglądu na to, że program był opracowany wcześniej zanim pojawiły się wyniki badań, czy dane dotyczące analizy presji, tak? Na poziomie APGW mieliśmy już szczegółowe informacje jakie presje są przyczyną nieosiągnięcia celów środowiskowych w danych jednolitych częściach wód, w związku z tym mogliśmy celować z propozycją działań konkretnie i w zestawach pojawiają się działania związane z renaturyzacją, co więcej dla silnie zmienionych części wód również wskazujemy do wdrożenia działania z tzw. testu restytucji, które właśnie mają być realizowane dla tych silnie zmienionych części wód, szereg działań mających na celu przywrócenie ciągłości biologicznej, czyli wszystkie te elementy, które zostały wskazane w krajowym programie renaturyzacji wód, jako kluczowe do tego, aby ten dobry stan wód osiągnąć są zawarte w katalogu zarówno krajowym w postaci chociaż obligatoryjnego wdrożenia katalogu dobrych praktyk, prac utrzymaniowych i robót hydrotechnicznych we wszystkich jednolitych częściach wód, gdzie jest to wymagane. Po realizacji działań, czy weryfikacji możliwości udrażniania i przywracania ciągłości dla budowli, o tej części poprosiłabym Panią Ewelinę Szałkiewicz, żeby opowiedziała troszeczkę szerzej, natomiast ja jeszcze chciałabym zwrócić Państwu uwagę na prace utrzymaniowe. One zostały wskazane w krajowym programie jako tzw. pakiet podstawowy, który w sposób bardzo znaczący redukuje presję na stan hydromorfologiczny. Tu w zestawach działań wskazujemy dla jednolitych części wód, dla których zostały określone cele środowiskowe rzek włośnicznikowych, jako działanie takie uwzględnienie w planach zadań ochrony, czy w PZO dla obszarów chronionych właśnie skutków czy wpływu tych prac utrzymaniowych na przedmioty ochrony i przy wskazaniu, czy jakby określeniu zasadności wprowadzenie w plan zadań ochronnych, takich działań powiedzmy polegających na modyfikacji prac utrzymaniowych, tak? Czyli nie bezpośrednio wskazujemy odcinki, w których te prace, czy definiujemy tak jak było to bardzo ogólnie na poziomie krajowego programu renaturyzacji przypisane do całej jednolitej części wód, wskazujemy już konkretne obszary, jakby które wymagają ze względu na presje zidentyfikowane podjęcia takich działań. Jeżeli chodzi o kolejny typ, czy kategorię działań dedykowaną przywróceniu ciągłości biologicznej, bo to kluczowe działania dla jednolitych części wód rzecznych, na które również w krajowym programie renaturyzacji zwracano uwagę i one się pojawiały; w naszych zestawach działań były one identyfikowane ze względu właśnie na jakby analizę presji, ale również na cele środowiskowe. Uwzględniano cieki istotne, cele środowiskowe dla gatunków dwuśrodowiskowych plus wyniki ankietyzacji konkretnych budowli i możliwości ich przebudowy, wskazując działania techniczne tam gdzie była pewność i możliwość wskazania konkretnego zakresu, czy konkretnej budowli do rozbiórki, to takie działania już na poziomie APGW są zdefiniowane, natomiast w przypadkach gdzie nie było możliwości określenia w tak krótkim czasie wariantu do realizacji, czy to przebudowa czy rozbiórka, wskazywaliśmy działania takie dwuetapowe właśnie weryfikację sposobów możliwości udrożnienia. Takich działań w ogóle w regionie w dorzeczu Wisły jest ponad 900, w związku z tym te działania, dotyczące ciągłości a poprawy hydromorfologii to są można powiedzieć taka jedna z kluczowych można powiedzieć w zestawie działań elementów. Dodatkowo dodam, że w zestawach działań znalazły się wszystkie działania, które były wpisane w PZO i w PO, które właśnie wskazują również na poprawę i warunków hydromorfologicznych celem spełnienia właśnie wymogów dla obszarów chronionych jak i chociażby odtwarzanie tych stref buforowych, czy poprawę stanu ilościowego. Tak, że ponad 4000 działań z tego co pamiętam, to są działania dedykowane właśnie poprawie warunków dla obszarów chronionych. Czyli tak naprawdę jest to bardzo szeroki pakiet działań nakierowanych na te presje hydromorfologiczne, bo wracając do pytania, tak? krajowy program renaturyzacji skupiał się głównie na presjach hydromorfologicznych, natomiast w APGW tak jak już mówiliśmy w poprzednich blokach, uwzględnialiśmy te presje i skumulowane i fizykochemiczne. W związku z tym mieliśmy obraz jakby całościowego problemu w zlewni i mogliśmy dobierać zakresy działań o wiele bardziej precyzyjnie.</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Plan gospodarowania wodami nie jest programem inwestycyjnym, on nie zapewnia finansowania, w związku z czym z tych informacji nie można wysnuć wniosku, iż to jest dokument, w którym przeznaczono daną kwotę na dane zadanie, albo na cały pakiet zadań, więc oczywiście wszelkie porównania można robić. Może byłoby to nawet ciekawe, natomiast nie można z tego wysnuwać wniosku, że to są zagwarantowane pieniądze. To jest oszacowanie kosztów, przy takim dokumencie musi się pojawić taka informacja, żebyśmy znali skalę problemu i wiedzieli ile wdrożenie planu gospodarowania wodami być może będzie kosztowało. Natomiast nie ma tu żadnego mechanizmu, który by gwarantował te kwoty, ani też przypieczętowywał, że na pewno tyle na dane zadanie musi się pojawić.</w:t>
            </w:r>
          </w:p>
        </w:tc>
      </w:tr>
      <w:tr w:rsidR="00E92AE6" w:rsidRPr="005E78BB" w14:paraId="0CBBD461" w14:textId="77777777" w:rsidTr="00E92AE6">
        <w:trPr>
          <w:trHeight w:val="454"/>
        </w:trPr>
        <w:tc>
          <w:tcPr>
            <w:tcW w:w="562" w:type="dxa"/>
            <w:shd w:val="clear" w:color="auto" w:fill="auto"/>
          </w:tcPr>
          <w:p w14:paraId="333C014E" w14:textId="261A338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795</w:t>
            </w:r>
          </w:p>
        </w:tc>
        <w:tc>
          <w:tcPr>
            <w:tcW w:w="1021" w:type="dxa"/>
            <w:tcBorders>
              <w:top w:val="single" w:sz="4" w:space="0" w:color="auto"/>
              <w:left w:val="nil"/>
              <w:bottom w:val="single" w:sz="4" w:space="0" w:color="auto"/>
              <w:right w:val="nil"/>
            </w:tcBorders>
            <w:shd w:val="clear" w:color="auto" w:fill="auto"/>
          </w:tcPr>
          <w:p w14:paraId="6A1C4EA7" w14:textId="32FD89E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59F521D1" w14:textId="4876E92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C1F3102" w14:textId="14DAB7C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porównaniu z budową przepławek usuwanie budowli piętrzących jest najbardziej skutecznym sposobem zapewnienia drożności ekologicznej cieków i jest zwykle działaniem najtańszym. Jaką liczbę budowli piętrzących planuje się usunąć w Regionie wodnym Środkowej Wisły?</w:t>
            </w:r>
          </w:p>
        </w:tc>
        <w:tc>
          <w:tcPr>
            <w:tcW w:w="3377" w:type="dxa"/>
            <w:shd w:val="clear" w:color="auto" w:fill="auto"/>
          </w:tcPr>
          <w:p w14:paraId="43A7EAA6" w14:textId="25C977A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BE1C2BD" w14:textId="3D012A0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EF89DBC" w14:textId="240A955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2C7FD4D" w14:textId="4161E26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D4D622B" w14:textId="633835B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RW Środkowej Wisły nie zaplanowano stricte działań polegających na likwidacji obiektów, gdyż działania te były przypisywane do budowli zniszczonych, nie pełniących swoich funkcji. Natomiast przypisano 34 działania polegające na analizie możliwości przebudowy budowli i pietrzących i następnie realizacji działania zgodnie z tą analizą (działanie techniczne). W ramach przeprowadzonej analizy dobierany jest sposób przebudowy budowli, który może uwzględniać również jej liwkiwdację, czy przebudowę na bystrze.</w:t>
            </w:r>
          </w:p>
        </w:tc>
      </w:tr>
      <w:tr w:rsidR="00E92AE6" w:rsidRPr="005E78BB" w14:paraId="5776741D" w14:textId="77777777" w:rsidTr="00E92AE6">
        <w:trPr>
          <w:trHeight w:val="454"/>
        </w:trPr>
        <w:tc>
          <w:tcPr>
            <w:tcW w:w="562" w:type="dxa"/>
            <w:shd w:val="clear" w:color="auto" w:fill="auto"/>
          </w:tcPr>
          <w:p w14:paraId="59330DA6" w14:textId="6DE447B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796</w:t>
            </w:r>
          </w:p>
        </w:tc>
        <w:tc>
          <w:tcPr>
            <w:tcW w:w="1021" w:type="dxa"/>
            <w:tcBorders>
              <w:top w:val="single" w:sz="4" w:space="0" w:color="auto"/>
              <w:left w:val="nil"/>
              <w:bottom w:val="single" w:sz="4" w:space="0" w:color="auto"/>
              <w:right w:val="nil"/>
            </w:tcBorders>
            <w:shd w:val="clear" w:color="auto" w:fill="auto"/>
          </w:tcPr>
          <w:p w14:paraId="0421EF27" w14:textId="439F38D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00B1C5DB" w14:textId="6C28593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F001057" w14:textId="62F4513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działania naprawcze z zakresu renaturyzacji wód (poprawiające stan hydromorfologiczny) będą miały zagwarantowane finansowanie na podobnych zasadach jak zagwarantowane finansowanie mają działania generalnie pogarszające stan ekosystemów wodnych, takie jak prace utrzymaniowe?</w:t>
            </w:r>
          </w:p>
        </w:tc>
        <w:tc>
          <w:tcPr>
            <w:tcW w:w="3377" w:type="dxa"/>
            <w:shd w:val="clear" w:color="auto" w:fill="auto"/>
          </w:tcPr>
          <w:p w14:paraId="007FB2C7" w14:textId="51DBFBD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DFA1AB7" w14:textId="7F59AA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EDFAE95" w14:textId="45108CE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6394FBD" w14:textId="7E72215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FB4D5AE" w14:textId="7B771C9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IIaPGW wskazuje działania, możliwe źródła finansowania na poziomie właśnie programu II aPGW, natomiast to nie jest program finansowy. Wskazane zostają potencjalne źródła finansowania. II aPGW nie jest programem inwestycyjnym. Wskazane są w nim możliwości i zakresy dla działań technicznych oraz szacunkowe koszty, natomiast II aPGW nie gwarantuje ich finansowania.</w:t>
            </w:r>
          </w:p>
        </w:tc>
      </w:tr>
      <w:tr w:rsidR="00E92AE6" w:rsidRPr="005E78BB" w14:paraId="62BDBE5C" w14:textId="77777777" w:rsidTr="00E92AE6">
        <w:trPr>
          <w:trHeight w:val="454"/>
        </w:trPr>
        <w:tc>
          <w:tcPr>
            <w:tcW w:w="562" w:type="dxa"/>
            <w:shd w:val="clear" w:color="auto" w:fill="auto"/>
          </w:tcPr>
          <w:p w14:paraId="4779BA1F" w14:textId="49831916"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797</w:t>
            </w:r>
          </w:p>
        </w:tc>
        <w:tc>
          <w:tcPr>
            <w:tcW w:w="1021" w:type="dxa"/>
            <w:tcBorders>
              <w:top w:val="single" w:sz="4" w:space="0" w:color="auto"/>
              <w:left w:val="nil"/>
              <w:bottom w:val="single" w:sz="4" w:space="0" w:color="auto"/>
              <w:right w:val="nil"/>
            </w:tcBorders>
            <w:shd w:val="clear" w:color="auto" w:fill="auto"/>
          </w:tcPr>
          <w:p w14:paraId="50AC99D1" w14:textId="4E5410C7"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4C3F0336" w14:textId="7B6931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86B1186" w14:textId="0D8E3D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Jakie rozwiązanie w aPGW zostało zaproponowane dla wyeliminowania problemu braku monitoringu bardzo ważnej presji na ekosystemy wodne jaką stanowią prace utrzymaniowe na rzekach?</w:t>
            </w:r>
          </w:p>
        </w:tc>
        <w:tc>
          <w:tcPr>
            <w:tcW w:w="3377" w:type="dxa"/>
            <w:shd w:val="clear" w:color="auto" w:fill="auto"/>
          </w:tcPr>
          <w:p w14:paraId="2E8C1287" w14:textId="24D9CC5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EAF9E82" w14:textId="5280D69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260B66C" w14:textId="26F9CF9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34314DE" w14:textId="238FC59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F845501" w14:textId="1089580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II aPGW w zestawach działań naprawczych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dla których z analizy presji i oceny stanu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wynikało, że istnieje presja prac utrzymaniowych i ryzyko dla obszarów chronionych i celów środowiskowych (jak warunki dla włosieniczników, wylewy Q50) wskazano działanie: RWHM 03.01. Realizacja działań naprawczych dla obszarów chronionych w zakresie utrzymania naturalnego charakteru koryta, opis działania: Rozpoznanie zasadności, a w przypadku jej stwierdzenia wprowadzenie w PZO/PO działań dot. wskazań obejmujących: zakres prac utrzymaniowych (modyfikacja, zaniechanie, prowadzenie prac zgodnie z katalogiem dobrych praktyk prac utrzymaniowych itp.), wprowadzenie modyfikacji renaturyzujących w ramach prac utrzymaniowych wg katalogu KPRWP, poprawę warunków siedliskowych w korycie, odtwarzanie siedlisk w korycie i strefie brzegowej w ramach prac renaturyzacyjnych wg KPRWP (zgodnie z celami środowiskowymi dla obszaru chronionego, adekwatnie do natężenia istniejącej presji) oraz/lub działanie RWHM_04.02 Rozpoznanie zasadności, a w przypadku jej stwierdzenia wprowadzenie w PZO/PO działań ograniczających negatywnie oddziaływanie budowli regulacyjnych i przekształceń hydromorfologicznych na cele środowiskowe wynikające z wymagań dla obszarów chronionych w zakresie stanu hydromorfologii (wg wymogów rzek włosienicznikowych/wylewy).</w:t>
            </w:r>
          </w:p>
        </w:tc>
      </w:tr>
      <w:tr w:rsidR="00E92AE6" w:rsidRPr="005E78BB" w14:paraId="521D241F" w14:textId="77777777" w:rsidTr="00E92AE6">
        <w:trPr>
          <w:trHeight w:val="454"/>
        </w:trPr>
        <w:tc>
          <w:tcPr>
            <w:tcW w:w="562" w:type="dxa"/>
            <w:shd w:val="clear" w:color="auto" w:fill="auto"/>
          </w:tcPr>
          <w:p w14:paraId="44CDF18C" w14:textId="580FA69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798</w:t>
            </w:r>
          </w:p>
        </w:tc>
        <w:tc>
          <w:tcPr>
            <w:tcW w:w="1021" w:type="dxa"/>
            <w:tcBorders>
              <w:top w:val="single" w:sz="4" w:space="0" w:color="auto"/>
              <w:left w:val="nil"/>
              <w:bottom w:val="single" w:sz="4" w:space="0" w:color="auto"/>
              <w:right w:val="nil"/>
            </w:tcBorders>
            <w:shd w:val="clear" w:color="auto" w:fill="auto"/>
          </w:tcPr>
          <w:p w14:paraId="7558A221" w14:textId="0A14947D"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5CF8D125" w14:textId="65DAD8F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07C5B6C" w14:textId="17C28A5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jaki sposób zostanie wprowadzona obligatoryjność stosowania dobrych praktyk zarządzania rzekami? Obecnie dobre praktyki (np. dotyczące prac utrzymaniowych na rzekach) są jedynie zaleceniem, co powoduje, że nie są stosowane.</w:t>
            </w:r>
          </w:p>
        </w:tc>
        <w:tc>
          <w:tcPr>
            <w:tcW w:w="3377" w:type="dxa"/>
            <w:shd w:val="clear" w:color="auto" w:fill="auto"/>
          </w:tcPr>
          <w:p w14:paraId="4DCC160D" w14:textId="1D4138A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976C611" w14:textId="6A27B98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C994FBE" w14:textId="589D6F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095167F" w14:textId="640728F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28CE43F" w14:textId="01BAD5D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Ideą dobrych praktyk jest brak obligatoryjności ich stosowania. Nie ma podstaw prawnych do nałożenia obowiązku stosowania dobrych praktyk, dlatego też działania zaplanowane w ramach IIaPGW dotyczą promowania dobrych praktyk dla zwiększenia świadomości konieczności ich przestrzegania.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Katalog dobrych praktyk prowadzenia prac utrzymanioywch przede wszystkim charakteryzuje wszelkie oddziaływania i pokazuje, że prace utrzymaniowe można prowadzić w taki sposób, że w zasadzie można nimi renaturyzować. Czyli jeżeli są dobrze, przemyślanie prowadzone, stan wód będzie się poprawiać.</w:t>
            </w:r>
          </w:p>
        </w:tc>
      </w:tr>
      <w:tr w:rsidR="00E92AE6" w:rsidRPr="005E78BB" w14:paraId="4B6ACCAE" w14:textId="77777777" w:rsidTr="00E92AE6">
        <w:trPr>
          <w:trHeight w:val="454"/>
        </w:trPr>
        <w:tc>
          <w:tcPr>
            <w:tcW w:w="562" w:type="dxa"/>
            <w:shd w:val="clear" w:color="auto" w:fill="auto"/>
          </w:tcPr>
          <w:p w14:paraId="362AC333" w14:textId="1D2D2F7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799</w:t>
            </w:r>
          </w:p>
        </w:tc>
        <w:tc>
          <w:tcPr>
            <w:tcW w:w="1021" w:type="dxa"/>
            <w:tcBorders>
              <w:top w:val="single" w:sz="4" w:space="0" w:color="auto"/>
              <w:left w:val="nil"/>
              <w:bottom w:val="single" w:sz="4" w:space="0" w:color="auto"/>
              <w:right w:val="nil"/>
            </w:tcBorders>
            <w:shd w:val="clear" w:color="auto" w:fill="auto"/>
          </w:tcPr>
          <w:p w14:paraId="093AD69F" w14:textId="52912BF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131E2513" w14:textId="1BFA2CA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680F883" w14:textId="6790634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Jaka w projekcie aPGW w odniesieniu do Regionu wodnego Środkowej Wisły jest proporcja liczby działań pogarszających stan ekosystemów wodnych i od wód zależnych (działań niewymagających i wymagających derogacji na mocy artykułu 4.7 Ramowej Dyrektywy Wodnej, np. działania z załączników do PPSS ) i liczby działań uzupełniających poprawiających stan wód – działań naprawczych z zakresu renaturyzacji, przewidzianych w „Krajowym programie renaturyzacji wód powierzchniowych”?</w:t>
            </w:r>
          </w:p>
        </w:tc>
        <w:tc>
          <w:tcPr>
            <w:tcW w:w="3377" w:type="dxa"/>
            <w:shd w:val="clear" w:color="auto" w:fill="auto"/>
          </w:tcPr>
          <w:p w14:paraId="1CCA6C52" w14:textId="293E703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CAA3825" w14:textId="5B64CA3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9389951" w14:textId="2AC2E31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B5E82E8" w14:textId="77AB1BC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3D0C6E4" w14:textId="7A54BC3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obecnym stanie prawnym PGW nie ustanawiają odstępstw dla inwestycji, lecz prezentują już ustanowione (w aPGW z 2016 r. lub w decyzjach wydanych po 2017 r.) odstępstwa - jest to zatem forma sprawozdania, a nie forma rozstrzygająca. Projektowane w IIaPGW działania wskazane są w Zestawach działań.</w:t>
            </w:r>
          </w:p>
        </w:tc>
      </w:tr>
      <w:tr w:rsidR="00E92AE6" w:rsidRPr="005E78BB" w14:paraId="2171EEE0" w14:textId="77777777" w:rsidTr="00E92AE6">
        <w:trPr>
          <w:trHeight w:val="454"/>
        </w:trPr>
        <w:tc>
          <w:tcPr>
            <w:tcW w:w="562" w:type="dxa"/>
            <w:shd w:val="clear" w:color="auto" w:fill="auto"/>
          </w:tcPr>
          <w:p w14:paraId="2ED76A9D" w14:textId="49B6B071"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800</w:t>
            </w:r>
          </w:p>
        </w:tc>
        <w:tc>
          <w:tcPr>
            <w:tcW w:w="1021" w:type="dxa"/>
            <w:tcBorders>
              <w:top w:val="single" w:sz="4" w:space="0" w:color="auto"/>
              <w:left w:val="nil"/>
              <w:bottom w:val="single" w:sz="4" w:space="0" w:color="auto"/>
              <w:right w:val="nil"/>
            </w:tcBorders>
            <w:shd w:val="clear" w:color="auto" w:fill="auto"/>
          </w:tcPr>
          <w:p w14:paraId="3E978FAF" w14:textId="26518C0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tcPr>
          <w:p w14:paraId="3F693254" w14:textId="24091BA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1BCA3CC" w14:textId="0C76BE0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istnieją przesłanki dot. wyboru danego rodzaju działań, które mają na celu udrożnienie cieków wodnych dla migracji organizmów wodnych? Jakie okoliczności decydują o wyborze danego działania? Czy ustanowione są kategorie działań o charakterze priorytetowym, które narzucają wybór w pierwszej kolejności najlepszych rozwiązań pro-środowiskowych, np.: rozbiórka barier na ciekach, tworzenie bystrzy, budowa semi-naturalnych kanałów obejścia barier, budowa przepławek, itd.?</w:t>
            </w:r>
            <w:r w:rsidRPr="00825321">
              <w:rPr>
                <w:rFonts w:eastAsia="Times New Roman" w:cstheme="minorHAnsi"/>
                <w:color w:val="000000"/>
                <w:sz w:val="18"/>
                <w:szCs w:val="18"/>
                <w:lang w:eastAsia="pl-PL"/>
              </w:rPr>
              <w:br w:type="page"/>
            </w:r>
          </w:p>
        </w:tc>
        <w:tc>
          <w:tcPr>
            <w:tcW w:w="3377" w:type="dxa"/>
            <w:shd w:val="clear" w:color="auto" w:fill="auto"/>
          </w:tcPr>
          <w:p w14:paraId="7CE4966F" w14:textId="426586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86C0B8B" w14:textId="4BF192B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403D101" w14:textId="118DC8B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175D05A" w14:textId="1FC579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FC7075A" w14:textId="691CB7B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Działania przypisywane były na podstawie informacji na temat budowli poprzecznych: wysokości piętrzenia (od wysokości piętrzenia jest uzależniony wpływ np. na ciągłość biologiczną), występowania urządzeń do migracji ryb, a także braku wystarczających danych na temat obiektów. Szczegółowy opis sposobu przypisywania działań do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został opisany w Katalogu działań. Nie ma kategorii o charakterze priorytetowym dla działań dotyczących przebudowy budowli, natomiast w pierwszej kolejności wykonywana jest szczegółowa analiza dotycząca możliwości udrożnienia budowli, następnie natomiast realizacja działań zgodnie z wykonaną analizą.</w:t>
            </w:r>
          </w:p>
        </w:tc>
      </w:tr>
      <w:tr w:rsidR="00E92AE6" w:rsidRPr="005E78BB" w14:paraId="6A2D50E4" w14:textId="77777777" w:rsidTr="00E92AE6">
        <w:trPr>
          <w:trHeight w:val="454"/>
        </w:trPr>
        <w:tc>
          <w:tcPr>
            <w:tcW w:w="562" w:type="dxa"/>
            <w:shd w:val="clear" w:color="auto" w:fill="auto"/>
          </w:tcPr>
          <w:p w14:paraId="1ED824D6" w14:textId="66AF965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801</w:t>
            </w:r>
          </w:p>
        </w:tc>
        <w:tc>
          <w:tcPr>
            <w:tcW w:w="1021" w:type="dxa"/>
            <w:tcBorders>
              <w:top w:val="single" w:sz="4" w:space="0" w:color="auto"/>
              <w:left w:val="nil"/>
              <w:bottom w:val="single" w:sz="4" w:space="0" w:color="auto"/>
              <w:right w:val="nil"/>
            </w:tcBorders>
            <w:shd w:val="clear" w:color="auto" w:fill="auto"/>
          </w:tcPr>
          <w:p w14:paraId="7E515215" w14:textId="21760A2A"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49BEBE66" w14:textId="74FA1B6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ZAŁĄCZNIKI IIaPGW</w:t>
            </w:r>
          </w:p>
        </w:tc>
        <w:tc>
          <w:tcPr>
            <w:tcW w:w="5663" w:type="dxa"/>
            <w:shd w:val="clear" w:color="auto" w:fill="auto"/>
          </w:tcPr>
          <w:p w14:paraId="359B261F" w14:textId="39FA9C3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Zal_1_Zestaw dzialna_Wykaz działań dla budowli_Wisła znajdują się 2953 pozycje. Tylko w przypadku 97 pozycji planowana jest budowa przepławek, a w 119 przypadków ma zostać zrealizowane wybrane działanie w analizie wariantów udrożnienia. Czy planowane jest rozbiórka istniejących piętrzeń, zamiast budowy przepławek, czy udrożnienia przez najbliższe 6 lat będą polegały wyłącznie na budowie przepławek?</w:t>
            </w:r>
          </w:p>
        </w:tc>
        <w:tc>
          <w:tcPr>
            <w:tcW w:w="3377" w:type="dxa"/>
            <w:shd w:val="clear" w:color="auto" w:fill="auto"/>
          </w:tcPr>
          <w:p w14:paraId="1C124FA7" w14:textId="5E4769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5866BB9" w14:textId="74B6BC2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0DF5893" w14:textId="0759B72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355B400" w14:textId="01F6CAE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9E75178" w14:textId="73D3836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ramach IIaPGW wskazane zostają działania związanie z analizą możliwości udrożnienia. Na podstawie wyników tych analiz realizowane powinno zostać działanie dotyczące udrożnienia budowli. Tym samym sam sposób udrożnienia będzie wskazany na etapie realizacji prac, który na etapie IIaPGW nie jest możliwy do dookreślenia.</w:t>
            </w:r>
          </w:p>
        </w:tc>
      </w:tr>
      <w:tr w:rsidR="00E92AE6" w:rsidRPr="005E78BB" w14:paraId="6F9FA513" w14:textId="77777777" w:rsidTr="00E92AE6">
        <w:trPr>
          <w:trHeight w:val="454"/>
        </w:trPr>
        <w:tc>
          <w:tcPr>
            <w:tcW w:w="562" w:type="dxa"/>
            <w:shd w:val="clear" w:color="auto" w:fill="auto"/>
          </w:tcPr>
          <w:p w14:paraId="0CC01F4D" w14:textId="32314BF1"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802</w:t>
            </w:r>
          </w:p>
        </w:tc>
        <w:tc>
          <w:tcPr>
            <w:tcW w:w="1021" w:type="dxa"/>
            <w:tcBorders>
              <w:top w:val="single" w:sz="4" w:space="0" w:color="auto"/>
              <w:left w:val="nil"/>
              <w:bottom w:val="single" w:sz="4" w:space="0" w:color="auto"/>
              <w:right w:val="nil"/>
            </w:tcBorders>
            <w:shd w:val="clear" w:color="auto" w:fill="auto"/>
          </w:tcPr>
          <w:p w14:paraId="3C13A2E1" w14:textId="4870BF6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tcPr>
          <w:p w14:paraId="08FD1333" w14:textId="06EE2B7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FD645F8" w14:textId="7A06003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 Regionie wodnym Środkowej Wisły przewidziane są (jaki termin?) działania w celu skutecznego udrożnienia dla organizmów wodnych najważniejszych szlaków migracyjnych, które w ogromnej mierze ograniczają/uniemożliwiają możliwość odtworzenia rodzimych i stabilnych populacji ryb dwuśrodowiskowych (jesiotra ostronosego, łososia atlantyckiego, troci wędrownej, certy, czy węgorza), w tym przede wszystkim:</w:t>
            </w:r>
            <w:r w:rsidRPr="00825321">
              <w:rPr>
                <w:rFonts w:eastAsia="Times New Roman" w:cstheme="minorHAnsi"/>
                <w:color w:val="000000"/>
                <w:sz w:val="18"/>
                <w:szCs w:val="18"/>
                <w:lang w:eastAsia="pl-PL"/>
              </w:rPr>
              <w:br/>
              <w:t>- tamy we Włocławku na Wiśle (poprzez budowę semi-naturalnego kanału obejścia zapory we Włocławku oraz samego zbiornika)</w:t>
            </w:r>
            <w:r w:rsidRPr="00825321">
              <w:rPr>
                <w:rFonts w:eastAsia="Times New Roman" w:cstheme="minorHAnsi"/>
                <w:color w:val="000000"/>
                <w:sz w:val="18"/>
                <w:szCs w:val="18"/>
                <w:lang w:eastAsia="pl-PL"/>
              </w:rPr>
              <w:br/>
              <w:t>- tamy w Dębem na Narwi (budowa semi-naturalnego kanału obejścia)</w:t>
            </w:r>
            <w:r w:rsidRPr="00825321">
              <w:rPr>
                <w:rFonts w:eastAsia="Times New Roman" w:cstheme="minorHAnsi"/>
                <w:color w:val="000000"/>
                <w:sz w:val="18"/>
                <w:szCs w:val="18"/>
                <w:lang w:eastAsia="pl-PL"/>
              </w:rPr>
              <w:br/>
              <w:t>- tamy w Lubiczu na Drwęcy (budowa semi-naturalnego kanału obejścia).</w:t>
            </w:r>
            <w:r w:rsidRPr="00825321">
              <w:rPr>
                <w:rFonts w:eastAsia="Times New Roman" w:cstheme="minorHAnsi"/>
                <w:color w:val="000000"/>
                <w:sz w:val="18"/>
                <w:szCs w:val="18"/>
                <w:lang w:eastAsia="pl-PL"/>
              </w:rPr>
              <w:br/>
              <w:t>Czy takie rozwiązania są przewidziane, a jeśli tak to w jakim terminie?</w:t>
            </w:r>
          </w:p>
        </w:tc>
        <w:tc>
          <w:tcPr>
            <w:tcW w:w="3377" w:type="dxa"/>
            <w:shd w:val="clear" w:color="auto" w:fill="auto"/>
          </w:tcPr>
          <w:p w14:paraId="0A472F03" w14:textId="534340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7E33990" w14:textId="56115EA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324415A" w14:textId="17D4F0A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0EBCCB8" w14:textId="1464945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2119A36F" w14:textId="1094DAD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regionie wodnym Środkowej Wisły zaplanowano działania ukierunkowane na przywrócenie drożności cieków dla migracji ryb. Są to działania techniczne obejmujące działania prolongowane z aPWŚK (RWHM_02.03 i RWHM_02.04), jak i działania nowe przypisane w ramach IIaPGW - RWHM_02.01. W wyniku uwag zgłoszonych na etapie konsultacji społecznych rozszerzono także zakres dwóch działań nietechnicznych: RWHM_02.06 (Ocena wpływu budowli poprzecznych na ciągłość biologiczną i cele środowiskowe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przypadku stwierdzenia negatywnego wpływu budowli na ciągłość biologiczną i cele środowiskowe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analiza możliwości wdrożenia działań zapewniających ciągłość biologiczną i spełnienie celów środowiskowych. Realizacja działań zgodnie z przeprowadzoną analizą. Wykaz budowli objętych działaniem zamieszczono w Zał. 1 Wykaz działań dla budowli) i RWHM_02.08 (Monitoring skuteczności istniejących urządzeń do migracji ryb w celu weryfikacji prawidłowego funkcjonowania tych urządzeń. W przypadku stwierdzenia negatywnego wpływu budowli na ciągłość biologiczną i cele środowiskowe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analiza możliwości wdrożenia działań zapewniających ciągłość biologiczną i spełnienie celów środowiskowych. Realizacja działań zgodnie z przeprowadzoną analizą. Monitoring należy wykonać co najmniej raz w ciągu cyklu planistycznego. Wykaz budowli objętych działaniem zamieszczono w Zał. 1 Wykaz działań dla budowli.). W obu przypadkach wskazano możliwość rozszerzenia w zakresie realizacji działań technicznych, po wykonaniu odpowiednio oceny wpływu budowli na ciągłość biologiczną i cele środowiskowe, oraz monitoringu urządzeń do migracji ryb. Działania RWHM_02.06 i RWHM_02.08 są więc obecnie działaniami typu technicznego/nietechnicznego. Działania należy zrealizować do końca 2027 roku. W wyniku zgłoszonej uwagi uzupełniono także działania dla wskazanych obiektów piętrzących Zb. Włocławek, Jez. Zegrzyńskiego oraz jazów na Drwęcy w Lubiczu. Dla Zb. Włocławek prolongowano dwa działania z aPWŚK, natomiast dla Jez. Zegrzyńskiego oraz jazów na Drwęcy przypisano działanie RWHM_02.01 Analiza możliwości przebudowy budowli piętrzących w zakresie zapewniającym ciągłość biologiczną i spełnienie celów środowiskowych. Realizacja działań zgodnie z przeprowadzoną analizą.</w:t>
            </w:r>
          </w:p>
        </w:tc>
      </w:tr>
      <w:tr w:rsidR="00E92AE6" w:rsidRPr="005E78BB" w14:paraId="798A5561" w14:textId="77777777" w:rsidTr="00E92AE6">
        <w:trPr>
          <w:trHeight w:val="454"/>
        </w:trPr>
        <w:tc>
          <w:tcPr>
            <w:tcW w:w="562" w:type="dxa"/>
            <w:shd w:val="clear" w:color="auto" w:fill="auto"/>
          </w:tcPr>
          <w:p w14:paraId="34AEFDD1" w14:textId="3E1E7803"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803</w:t>
            </w:r>
          </w:p>
        </w:tc>
        <w:tc>
          <w:tcPr>
            <w:tcW w:w="1021" w:type="dxa"/>
            <w:tcBorders>
              <w:top w:val="single" w:sz="4" w:space="0" w:color="auto"/>
              <w:left w:val="nil"/>
              <w:bottom w:val="single" w:sz="4" w:space="0" w:color="auto"/>
              <w:right w:val="nil"/>
            </w:tcBorders>
            <w:shd w:val="clear" w:color="auto" w:fill="auto"/>
          </w:tcPr>
          <w:p w14:paraId="6E3E6B6D" w14:textId="286AC91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573BD21A" w14:textId="4B9F9AE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CF8137A" w14:textId="4506382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Cele środowiskowe są złagodzone w Regionie Wodnym Środkowej Wisły nagminnie. Czy dostępna jest na wniosek jakaś dodatowa analiza - ścieżka jak w Wodach Polskich/Min Infrastruktury czy MGMiŻŚ analizowano konkretne przypadki pod kątem braku alternatyw, czy "zbyt drogi"? W dokumentach przedstawionych do konsultacji są lakoniczne odpowiedzi "seryjne" nie odnoszące się do danych przypadków.</w:t>
            </w:r>
          </w:p>
        </w:tc>
        <w:tc>
          <w:tcPr>
            <w:tcW w:w="3377" w:type="dxa"/>
            <w:shd w:val="clear" w:color="auto" w:fill="auto"/>
          </w:tcPr>
          <w:p w14:paraId="440FF59A" w14:textId="1AA51EC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34DFD52" w14:textId="4B99FC9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1FC0D9A" w14:textId="5F20C5B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DA2AC7A" w14:textId="14ABAF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4BFB4DC" w14:textId="197D35D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Nie ma dokumentu z bardziej rozbudowaną analizą. Wykaz odstępstw jest pochodną szeregu innych danych i dokumentów przywoływanych w aPGW: analiz presji, danych z procesu wyznaczania SZCW, danych o stanie wód, prognozy skuteczności zestawów działań itp.</w:t>
            </w:r>
            <w:r w:rsidRPr="00825321">
              <w:rPr>
                <w:rFonts w:eastAsia="Times New Roman" w:cstheme="minorHAnsi"/>
                <w:color w:val="000000"/>
                <w:sz w:val="18"/>
                <w:szCs w:val="18"/>
                <w:lang w:eastAsia="pl-PL"/>
              </w:rPr>
              <w:br/>
              <w:t>Wykaz odstępstw prezentuje szczegółowe dane dotyczące poszczególnych elementów budujących proces uzasadnienia spełniania przesłanek dla wskazania odstępstwa.</w:t>
            </w:r>
          </w:p>
        </w:tc>
      </w:tr>
      <w:tr w:rsidR="00E92AE6" w:rsidRPr="005E78BB" w14:paraId="02D7354F" w14:textId="77777777" w:rsidTr="00E92AE6">
        <w:trPr>
          <w:trHeight w:val="454"/>
        </w:trPr>
        <w:tc>
          <w:tcPr>
            <w:tcW w:w="562" w:type="dxa"/>
            <w:shd w:val="clear" w:color="auto" w:fill="auto"/>
          </w:tcPr>
          <w:p w14:paraId="7E043DAC" w14:textId="3F596EB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804</w:t>
            </w:r>
          </w:p>
        </w:tc>
        <w:tc>
          <w:tcPr>
            <w:tcW w:w="1021" w:type="dxa"/>
            <w:tcBorders>
              <w:top w:val="single" w:sz="4" w:space="0" w:color="auto"/>
              <w:left w:val="nil"/>
              <w:bottom w:val="single" w:sz="4" w:space="0" w:color="auto"/>
              <w:right w:val="nil"/>
            </w:tcBorders>
            <w:shd w:val="clear" w:color="auto" w:fill="auto"/>
          </w:tcPr>
          <w:p w14:paraId="43D5034C" w14:textId="23B0B9C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4B88AC84" w14:textId="3470C5C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54F279B" w14:textId="45CAB7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Według Krajowego Programu Renaturyzacji Wód Powierzchniowych 91%</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wymaga jakichś działań renaturyzacyjnych. Tymczasem w ramach działania RWHM_04.05 Renaturyzacja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 uwzględnieniem celów środowiskowych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tabeli 7.3_Zestaw_dzialan_RW_ODWisła jest tylko 8 pozycji. Z czego wynikają takie mało ambitne podejście do kwestii renaturyzacji?</w:t>
            </w:r>
          </w:p>
        </w:tc>
        <w:tc>
          <w:tcPr>
            <w:tcW w:w="3377" w:type="dxa"/>
            <w:shd w:val="clear" w:color="auto" w:fill="auto"/>
          </w:tcPr>
          <w:p w14:paraId="58AF557A" w14:textId="6184F5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96EFFF0" w14:textId="44D6F7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25D7321" w14:textId="2F3917F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61683C5" w14:textId="7386383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8C9DAAF" w14:textId="02F5E12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ramach IIaPGW zaproponowano szereg działań naprawczych wskazanych do poprawy warunków hydromorfologicznych, w tym przywrócenia ciągłości biologicznej; działania służące poprawie warunków obszarów chronionych wynikające z PO/PZO stanowią duży udział wszystkich działań naprawczych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RW. W obszarze dorzecza Wisły zestawy działań naprawczych dla jcw zagrożonych opracowano łącznie dla 1930 jcw (76 % wszystkich jcw w obszarze dorzecza), w tym dla: 376 jcw w regionie Środkowej Wisły (zestaw działań opracowany dla 84 % wszystkich jcw regionu, dla ww. jcw jak i pozostałych, niezagrożonych obowiązują działania z katalogu krajowego). Wskazano działania związane z poprawą warunków dla obszarów chronionych - 4 482, a także działania ukierunkowane na odtwarzanie ciągłości, ochronę i odtwarzanie naturalnych procesów hydromorfologicznych w korycie – 1 072. Dla SZCW prolongowano działania z projektu SZCW - opis działania: Analiza sposobu prowadzenia działań restytucyjnych z uwzględnieniem zachowania funkcji cieku oraz realizacja działań restytucyjnych na podstawie przeprowadzonej analizy (do 2027 r.). Działania prolongowane z KPRWP do IIaPGW wskazano dla naturalnych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nazwa: Renaturyzacja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 uwzględnieniem celów środowiskowych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opis: Realizacja programu renaturyzacji dla obszaru priorytetowego wyznaczonego w KPRWP (odcinek objęty badaniami pilotażowymi). W obszarze dorzecza Wisły jest łącznie 8 prolongowanych działań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RW.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jeziornych działania związane z poprawą warunków dla obszarów chronionych – 619 działań (DW), dodatkowo wskazano indywidualne programy naprawcze dla jezior obejmujące między innymi działania z zakresu renaturyzacji stref brzegowych (działania z grupy LWHM_01 i 02). Działania renaturyzacyjne stanowią jednocześnie nieodłączny element działań z zakresu rekultywacji jezior (działania z grup LWC_01 oraz LWC_02). Szczegółowy opis poszczególnych działań zawarto w katalogach działań.</w:t>
            </w:r>
          </w:p>
        </w:tc>
      </w:tr>
      <w:tr w:rsidR="00E92AE6" w:rsidRPr="005E78BB" w14:paraId="36240C49" w14:textId="77777777" w:rsidTr="00E92AE6">
        <w:trPr>
          <w:trHeight w:val="454"/>
        </w:trPr>
        <w:tc>
          <w:tcPr>
            <w:tcW w:w="562" w:type="dxa"/>
            <w:shd w:val="clear" w:color="auto" w:fill="auto"/>
          </w:tcPr>
          <w:p w14:paraId="291BAD2F" w14:textId="0C4B3E0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805</w:t>
            </w:r>
          </w:p>
        </w:tc>
        <w:tc>
          <w:tcPr>
            <w:tcW w:w="1021" w:type="dxa"/>
            <w:tcBorders>
              <w:top w:val="single" w:sz="4" w:space="0" w:color="auto"/>
              <w:left w:val="nil"/>
              <w:bottom w:val="single" w:sz="4" w:space="0" w:color="auto"/>
              <w:right w:val="nil"/>
            </w:tcBorders>
            <w:shd w:val="clear" w:color="auto" w:fill="auto"/>
          </w:tcPr>
          <w:p w14:paraId="4F3F8823" w14:textId="4DD3623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2C093EF3" w14:textId="0C1F3D0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9C0C9E3" w14:textId="2575EA4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Obecnie nadal jest lista działań z art. 4.7 (zał. 6 WykazInwDziałan...), oraz lista inwestycji (niepełna) z innych programów PPSS i aPZRP. Czy przeprowadzona była analiza zasadności odstępstw 4.7, tych które już są przyjęte do tabeli i czy odrzucono pewne działania? Jest przykład przedsięwzięcia ze "starego aPGW", które ma odmowę uzgodnienia inwestycji ze względu na znaczący wpływ na obszar Natura 2000, a w nowym II aPGW nadal jest i to z pozytywnym uzasadnieniem realizacji.</w:t>
            </w:r>
            <w:r w:rsidRPr="00825321">
              <w:rPr>
                <w:rFonts w:eastAsia="Times New Roman" w:cstheme="minorHAnsi"/>
                <w:color w:val="000000"/>
                <w:sz w:val="18"/>
                <w:szCs w:val="18"/>
                <w:lang w:eastAsia="pl-PL"/>
              </w:rPr>
              <w:br w:type="page"/>
            </w:r>
          </w:p>
        </w:tc>
        <w:tc>
          <w:tcPr>
            <w:tcW w:w="3377" w:type="dxa"/>
            <w:shd w:val="clear" w:color="auto" w:fill="auto"/>
          </w:tcPr>
          <w:p w14:paraId="740E12F5" w14:textId="37A85A8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AFA26D5" w14:textId="50A5357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9B08D86" w14:textId="3C58EEC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53226D9" w14:textId="4C18B1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0090C27" w14:textId="6A5DBD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Zagadnienie ma podwójny charakter. Po pierwsze pamiętajmy w jakim stanie prawnym dziś się znajdujemy: od 2018 r. analiza spełniania przesłanek z artykułu 4.7 RDW jest przeprowadzana na etapie postępowań administracyjnych, a więc postępowań w sprawie decyzji o środowiskowych uwarunkowaniach, oceny wodnoprawnej, pozwolenia wodnoprawnego zintegrowanego itd. Nie oznacza to, że przy tworzeniu takich dokumentów jak plan przeciwdziałania skutkom suszy czy plan zarządzania ryzykiem powodziowym te zagadnienia nie były dostrzegane. Jak najbardziej były, zwłaszcza gdy sprawdzimy w metodykach powstawania tych dokumentów - wyjaśniony jest tam sposób typowania działań do realizacji i towarzyszące temu analizy. Na spotkaniach konsultacyjnych dotyczących planu zarządzania ryzykiem powodziowym można zobaczyć, że wśród kryteriów, jakie zastosowano do wyboru przedsięwzięć do wpisania ich w PZRP, wzięto pod uwagę między innymi kwestie dotyczące oddziaływania na cele środowiskowe Ramowej Dyrektywy Wodnej, oraz oddziaływania związanego z aspektami stricte przyrodniczymi.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 odniesieniu do przedsięwzięć, które są wpisane w wykazie inwestycji i działań, stanowiącym załącznik do projektu IIaPGW, możemy zobaczyć informacje, które wynikają zarówno z decyzji środowiskowych wydanych w latach 2016-2020 z zastosowaniem art.68 Prawa wodnego. Natomiast znalazły się tutaj także te informacje, dla których analizy spełniania przesłanek 4.7 RDW zostały przeanalizowane w roku 2016 przy poprzednim planie gospodarowania wodami i co do których ich inwestorzy podtrzymali czy też uzupełnili i zweryfikowali analizy dotyczące przesłanek z art.4.7 Ramowej Dyrektywy Wodnej.</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Zgodnie z ustawą Prawo wodne wykaz inwestycji i działań musi przedstawiać stan aktualny na 12 miesięcy przed przyjęciem planu. Zakładamy, że generalnie rzecz biorąc stan aktualny na grudzień 2020 roku. Sprawdzaliśmy wydane decyzje administracyjne pod względem tego czy są one ostateczne, czy nie są ostateczne, czy wpłynęły odwołania, czy nie wpłynęły, czy jest rygor natychmiastowej wykonalności. Bazę danych służącą tej analizie mamy przeprowadzoną.</w:t>
            </w:r>
          </w:p>
        </w:tc>
      </w:tr>
      <w:tr w:rsidR="00E92AE6" w:rsidRPr="005E78BB" w14:paraId="5696DDF9" w14:textId="77777777" w:rsidTr="00E92AE6">
        <w:trPr>
          <w:trHeight w:val="454"/>
        </w:trPr>
        <w:tc>
          <w:tcPr>
            <w:tcW w:w="562" w:type="dxa"/>
            <w:shd w:val="clear" w:color="auto" w:fill="auto"/>
          </w:tcPr>
          <w:p w14:paraId="0AEA50AB" w14:textId="4EC7E3C6"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806</w:t>
            </w:r>
          </w:p>
        </w:tc>
        <w:tc>
          <w:tcPr>
            <w:tcW w:w="1021" w:type="dxa"/>
            <w:tcBorders>
              <w:top w:val="single" w:sz="4" w:space="0" w:color="auto"/>
              <w:left w:val="nil"/>
              <w:bottom w:val="single" w:sz="4" w:space="0" w:color="auto"/>
              <w:right w:val="nil"/>
            </w:tcBorders>
            <w:shd w:val="clear" w:color="auto" w:fill="auto"/>
          </w:tcPr>
          <w:p w14:paraId="3A044872" w14:textId="416B421A"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Obserwatorium Zrównoważonego Rozwoju</w:t>
            </w:r>
          </w:p>
        </w:tc>
        <w:tc>
          <w:tcPr>
            <w:tcW w:w="1630" w:type="dxa"/>
            <w:shd w:val="clear" w:color="auto" w:fill="auto"/>
          </w:tcPr>
          <w:p w14:paraId="650F1169" w14:textId="3C8FB08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E1BD7F8" w14:textId="6F74947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Mam wrażenie, że póki co dużo mówi się na zbyt dużym poziomie ogólności, a za mało o konkretnych najważniejszych przedsięwzięciach na tym obszarze. Co np. z rozwojem systemu dróg wodnych na głównych rzekach Wisła, Narew i co przez lata było zaniedbane żeglowność rzeki Bug ?</w:t>
            </w:r>
          </w:p>
        </w:tc>
        <w:tc>
          <w:tcPr>
            <w:tcW w:w="3377" w:type="dxa"/>
            <w:shd w:val="clear" w:color="auto" w:fill="auto"/>
          </w:tcPr>
          <w:p w14:paraId="5D38EB02" w14:textId="666FABF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B9C821E" w14:textId="6525C2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E38A34B" w14:textId="3ACCAA1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DDD71C1" w14:textId="293182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361B62F" w14:textId="6B741B2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Jeżeli chodzi o plany dotyczące rozwoju żeglugi śródlądowej, nie są one wpisane w tą aktualizację planów gospodarowania wodami, ponieważ plany rozwoju żeglugi śródlądowej dopiero są opracowywane. Także dopiero tutaj są analizowane pod kątem zasadności ekonomicznej i też zasadności gospodarczej różne rozwiązania, różne plany jeżeli chodzi o system dróg wodnych w Polsce. Niebawem do konsultacji społecznych, międzyresortowych zostanie przekazany pierwszy projekt, jeżeli chodzi o rozwój żeglugi śródlądowej na Wiśle, więc tutaj będziemy również zachęcać państwa do udziału w tych konsultacjach. Natomiast podkreślam - te plany dopiero się tworzą, więc o konkretach będziemy mogli mówić, jeżeli będą opracowane, oczywiście będą włączone te działania, które będą z nich wynikać do kolejnych aktualizacji planów gospodarowania wodami.</w:t>
            </w:r>
          </w:p>
        </w:tc>
      </w:tr>
      <w:tr w:rsidR="00E92AE6" w:rsidRPr="005E78BB" w14:paraId="4E1B93F7" w14:textId="77777777" w:rsidTr="00E92AE6">
        <w:trPr>
          <w:trHeight w:val="454"/>
        </w:trPr>
        <w:tc>
          <w:tcPr>
            <w:tcW w:w="562" w:type="dxa"/>
            <w:shd w:val="clear" w:color="auto" w:fill="auto"/>
          </w:tcPr>
          <w:p w14:paraId="3B6AF287" w14:textId="2F2A1517"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807</w:t>
            </w:r>
          </w:p>
        </w:tc>
        <w:tc>
          <w:tcPr>
            <w:tcW w:w="1021" w:type="dxa"/>
            <w:tcBorders>
              <w:top w:val="single" w:sz="4" w:space="0" w:color="auto"/>
              <w:left w:val="nil"/>
              <w:bottom w:val="single" w:sz="4" w:space="0" w:color="auto"/>
              <w:right w:val="nil"/>
            </w:tcBorders>
            <w:shd w:val="clear" w:color="auto" w:fill="auto"/>
          </w:tcPr>
          <w:p w14:paraId="551768BB" w14:textId="4AD3B7C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07B90231" w14:textId="019BF3F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F95D0D0" w14:textId="56EBD37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Bardzo dziwne podejście do listy działań z art. 4.7. Zostają stare inwestycje z APGW bez analizy ich zasadności czy deaktualizacji, ale nowych planowanych nie ma, mimo że są znane i przeznaczone do realizacji w danym wariancie. Jak to wpłynie na prognozę oceny oddziaływania II APGW?</w:t>
            </w:r>
          </w:p>
        </w:tc>
        <w:tc>
          <w:tcPr>
            <w:tcW w:w="3377" w:type="dxa"/>
            <w:shd w:val="clear" w:color="auto" w:fill="auto"/>
          </w:tcPr>
          <w:p w14:paraId="1178B28D" w14:textId="301BD8D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E668FC8" w14:textId="375B85C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FA6CD37" w14:textId="58A6533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D1B7D7D" w14:textId="6041E2A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2A9FB55" w14:textId="5AA22CD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Trzeba wrócić do przełomu roku 2017 i 2018, czyli wejścia w życie reformy gospodarki wodnej i wprowadzenia instytucji oceny wodnoprawnej. Pracując nad drugą aktualizacją planów gospodarowania wodami musieliśmy znaleźć rozwiązanie, które połączy stary system prawny z nowym. I być może, jak państwo pamiętają w poprzedniej edycji planów, ocena zasadności pod kątem spełnienia wymagań dla odstępstwa z art.4.7 ramowej dyrektywy wodnej – artykuł 68 w obecnej ustawie Prawo wodne. Ta analiza odbywała się właśnie w ramach opracowywania aktualizacji planów gospodarowania wodami. Natomiast nowa ustawa Prawo wodne wprowadziła inny mechanizm - procedurę administracyjną, nazwaną oceną wodnoprawną, ona dla określonych w ustawie przypadków zastępowana jest decyzją o środowiskowych uwarunkowaniach, ale sprowadza się do tego, że ocena zasadności przyznania odstępstwa z art. 4.7, odbywa się właśnie w tej procedurze. Plan gospodarowania wodami jest wobec tego dokumentem, który stanowi podsumowanie tych wydanych decyzji. I pojawiło się pytanie: co zrobić z tymi przedsięwzięciami, które miały już derogacje w poprzednich planach gospodarowania wodami, dla których nie będzie przeprowadzana ocena wodnoprawna, bo być może inwestor wiedząc, że derogacje ma, już jakieś działania podjął, poniósł konkretny koszt. Stąd też pierwsze założenie było takie, że te przedsięwzięcia, co do których wiemy, że mają one odstępstwo, to odstępstwo jest uzasadnione, je przenosimy do drugiej aktualizacji planów. Natomiast to nie był jedyny krok w tej procedurze, ponieważ wzięliśmy pod uwagę również konieczność zaktualizowania tych informacji. Mogą być przypadki inwestycji, z których zrezygnowano; takich, które już nie są potrzebne z jakichś powodów; ewentualnie takich, które na tej przestrzeni lat zostały w jakimś stopniu zmodyfikowane. Te wszystkie przypadki staraliśmy się wyłapywać i one oczywiście przeniesione z automatu do drugiej aktualizacji planów gospodarowania wodami być nie mogły. Podobne postępowanie, czyli weryfikacja w oparciu o już toczące się procesy administracyjne, różnego rodzaju pozwolenia, też nastąpiło. Weryfikowaliśmy, staraliśmy się wyłapać te wszystkie przypadki, dla których ta derogacja uzasadnienia już nie ma. Mogło się tak zdarzyć, że jakieś pojedyncze przypadki nam się gdzieś przez to sito wymsknęły albo coś niechcący wypadło; tu gorąca prośba do wszystkich zainteresowanych, albo tych z państwa, którzy są gospodarzami tych inwestycji, albo po prostu z zainteresowania własnego dokonują takiej weryfikacji, sprawdzają, o sygnały wszystkich tych przypadków, gdzie coś jest nie tak, coś opuściliśmy lub wpisaliśmy niepotrzebnie. Być może jest to dziwne podejście, natomiast ono wynika ze zmian prawnych. Musieliśmy pogodzić ze sobą dwa systemy prawne nie do końca spójne, a w każdym razie ten drugi wprowadzający zupełnie nowe rozwiązania, a jednocześnie uszanowując te prawa już nabyte, że tak to określę; czyli to zielone światło środowiskowe dla inwestycji - tu mówię o ocenie pod kątem wpływu na stan wód oczywiście, na cele środowiskowe wodne, które już nabył właściciel inwestycji, który ją planował. Ktoś by to może nazwał złośliwie hybrydą , natomiast wydaje nam się, że jest to najlepsze rozwiązanie, najbardziej kompleksowe, które łączy te dwa światy.</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Uzupełniając bardzo szczegółową wypowiedź pana dyrektora, to chcę tylko przypomnieć, że też po to wprowadzono ocenę wodnoprawną, aby właśnie bardzo szczegółowo oceniać wszystkie inwestycje, które potencjalnie tutaj mogą wpływać negatywnie na stan jednolitych części wód. To był jeden z takich powodów, dla których mechanizm oceny wodnoprawnej został wprowadzony do ustawy Prawo wodne. Ponadto tutaj ocena wodnoprawna, uzyskanie jej, umożliwia rozpoczęcie tych pierwszych prac związanych z inwestycją w trakcie właśnie trwania cyklu planistycznego. Tak więc jest to drugi powód, czy możliwość właśnie realizacji tej inwestycji. Proszę państwa zmiany w Prawie wodnym, które weszły w życie w 2018 roku, spowodowały, że aktualizując ten dokument trzeba było wypracować rozwiązanie, które umożliwiałoby realizacje tych inwestycji, które już zostały ocenione w pierwszej aktualizacji planów gospodarowania wodami i zostały już podjęte w przypadku tych inwestycji działania zmierzające do ich realizacji. Z drugiej strony właśnie tutaj ocena wodnoprawna i te inwestycje, które tą ocenę wodnoprawną przeszły, bądź też uzyskały właśnie decyzję środowiskową. Więc naszym zdaniem ten wypracowany model jest jedynym takim najbardziej optymalnym rozwiązaniem i mam nadzieję, że tutaj to zadziała i oczywiście też apel do państwa, że jeżeli państwo tutaj zauważą jakieś braki, niedociągnięcia, to proszę zgłaszać. Zostanie to oczywiście wszystko przeanalizowane.</w:t>
            </w:r>
          </w:p>
        </w:tc>
      </w:tr>
      <w:tr w:rsidR="00E92AE6" w:rsidRPr="005E78BB" w14:paraId="3A216284" w14:textId="77777777" w:rsidTr="00E92AE6">
        <w:trPr>
          <w:trHeight w:val="454"/>
        </w:trPr>
        <w:tc>
          <w:tcPr>
            <w:tcW w:w="562" w:type="dxa"/>
            <w:shd w:val="clear" w:color="auto" w:fill="auto"/>
          </w:tcPr>
          <w:p w14:paraId="40CE9A88" w14:textId="0EEC28C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808</w:t>
            </w:r>
          </w:p>
        </w:tc>
        <w:tc>
          <w:tcPr>
            <w:tcW w:w="1021" w:type="dxa"/>
            <w:tcBorders>
              <w:top w:val="single" w:sz="4" w:space="0" w:color="auto"/>
              <w:left w:val="nil"/>
              <w:bottom w:val="single" w:sz="4" w:space="0" w:color="auto"/>
              <w:right w:val="nil"/>
            </w:tcBorders>
            <w:shd w:val="clear" w:color="auto" w:fill="auto"/>
          </w:tcPr>
          <w:p w14:paraId="3D4B3A4E" w14:textId="373E79C7"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Wojciech Warczak</w:t>
            </w:r>
          </w:p>
        </w:tc>
        <w:tc>
          <w:tcPr>
            <w:tcW w:w="1630" w:type="dxa"/>
            <w:shd w:val="clear" w:color="auto" w:fill="auto"/>
          </w:tcPr>
          <w:p w14:paraId="3269975D" w14:textId="13C4C06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7E0A7D9" w14:textId="7E15F6D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planowane są działania o charakterze transgranicznym, które mają znaczący wpływ na stan wód w Polsce i szerzej w zlewni Morza Bałtyckiego. Pytanie dotyczy przede wszystkim współpracy ze stroną ukraińską (nt. budowy nowoczesnej oczyszczalni ścieków i innych działań) dot. poprawy stanu rzeki Bug, która niesie często nieoczyszczone ścieki komunalne i rolnicze do Zalewu Zegrzyńskiego, a potem dalej do Wisły i M. Bałtyckiego.</w:t>
            </w:r>
            <w:r w:rsidRPr="00825321">
              <w:rPr>
                <w:rFonts w:eastAsia="Times New Roman" w:cstheme="minorHAnsi"/>
                <w:color w:val="000000"/>
                <w:sz w:val="18"/>
                <w:szCs w:val="18"/>
                <w:lang w:eastAsia="pl-PL"/>
              </w:rPr>
              <w:br w:type="page"/>
            </w:r>
          </w:p>
        </w:tc>
        <w:tc>
          <w:tcPr>
            <w:tcW w:w="3377" w:type="dxa"/>
            <w:shd w:val="clear" w:color="auto" w:fill="auto"/>
          </w:tcPr>
          <w:p w14:paraId="2093FA3D" w14:textId="2BAADA7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7F3B7CC" w14:textId="548BCA9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BDEEB73" w14:textId="7FD2CEB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1FB4232" w14:textId="1A9E0E3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F271A1C" w14:textId="3C9427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Współpraca na wodach granicznych jest jednym z bardzo ważnych zadań, jeżeli chodzi o dział gospodarka wodna. Tutaj mamy podpisane umowy o współpracy na wodach granicznych ze wszystkimi naszymi sąsiadami i ta współpraca odbywa się właśnie w ramach tych umów. Jeżeli chodzi o stronę ukraińską, też również w ramach komisji na wodach granicznych, współpracujemy między innymi właśnie w zakresie ochrony wód, tutaj oczywiście wymiana danych monitoringowych, czy też wspólne podejmowanie działań. Natomiast to, co jest kluczowe w przypadku ochrony wód, w tym między innymi właśnie zanieczyszczeń komunalnych, to są podejmowane działania ze strony polskiej przez między innymi Narodowy Fundusz Środowiska i Gospodarki Wodnej. Te działania polegają na dofinansowaniu inwestycji w zakresie budowy, rozbudowy, modernizacji oczyszczalni ścieków po stronie ukraińskiej. I to jest takie mierzalne działanie, które jest w tym momencie realizowane. Oczywiście tutaj też ta wymiana informacji w zakresie realizacji inwestycji odbywa się w ramach współpracy. Natomiast od 2018 roku przygotowywany jest projekt międzynarodowy, który dotyczyłby właśnie działań podejmowanych w zlewni Bugu i w ramach tego projektu zaangażowana by była strona polska, ukraińska czy też białoruska i nawet litewska. I w ramach tego projektu właśnie między innymi byłyby podejmowane wszelkie działania, które zmierzałyby do poprawy stanu wód. Na razie nie mamy jeszcze tutaj rozstrzygnięć ostatecznych, chociażby w zakresie finansowania tego projektu, nie mniej właśnie takie działania na poziomie międzynarodowym też są podejmowane w tym obszarze.</w:t>
            </w:r>
          </w:p>
        </w:tc>
      </w:tr>
      <w:tr w:rsidR="00E92AE6" w:rsidRPr="005E78BB" w14:paraId="30C10ED5" w14:textId="77777777" w:rsidTr="00E92AE6">
        <w:trPr>
          <w:trHeight w:val="454"/>
        </w:trPr>
        <w:tc>
          <w:tcPr>
            <w:tcW w:w="562" w:type="dxa"/>
            <w:shd w:val="clear" w:color="auto" w:fill="auto"/>
          </w:tcPr>
          <w:p w14:paraId="43C14FA3" w14:textId="5C6A0C8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809</w:t>
            </w:r>
          </w:p>
        </w:tc>
        <w:tc>
          <w:tcPr>
            <w:tcW w:w="1021" w:type="dxa"/>
            <w:tcBorders>
              <w:top w:val="single" w:sz="4" w:space="0" w:color="auto"/>
              <w:left w:val="nil"/>
              <w:bottom w:val="single" w:sz="4" w:space="0" w:color="auto"/>
              <w:right w:val="nil"/>
            </w:tcBorders>
            <w:shd w:val="clear" w:color="auto" w:fill="auto"/>
          </w:tcPr>
          <w:p w14:paraId="04AA5B10" w14:textId="72D2A660"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5BB39774" w14:textId="08BC76D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3C62D63" w14:textId="4376175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Łączny koszt działań renaturyzacjnych przewidzianych w „Krajowym programie renaturyzacji wód powierzchniowych” (dolna granica szacowanych kosztów) to ok. 716 mln. EUR, średnio ok. 257 tys. EUR na jedną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rzeczną wymagającą renaturyzacji. Jaką kwotę w projekcie aPGW przeznaczono na wdrożenie działań naprawczych zidentyfikowanych (i ocenionych pod względem ich kosztów) w „Krajowym programie renaturyzacji wód powierzchniowych”?</w:t>
            </w:r>
          </w:p>
        </w:tc>
        <w:tc>
          <w:tcPr>
            <w:tcW w:w="3377" w:type="dxa"/>
            <w:shd w:val="clear" w:color="auto" w:fill="auto"/>
          </w:tcPr>
          <w:p w14:paraId="34C7E630" w14:textId="04D8E9B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3D69441" w14:textId="108A22B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A027322" w14:textId="555191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B079A06" w14:textId="1ACE6D0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DAC9447" w14:textId="7C3A4D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Przygotowane w ramach IIaPGW zestawy działań prezentują szczegółowe informacje dotyczące każdego z działań, w tym również informację o pochodzeniu danego działania oraz jego szacowanych kosztach. Pochodzenie danego działania to m.in. wskazanie, iż działanie pochodzi z KPRWP. Podkreślenia wymaga, iż IIaPGW nie jest planem inwestycyjnym a prezentowane szacowane koszty działań mają charakter danych szacunkowych. Koszty działań uwzględnionych w IIaPGW a pochodzących z innych planów/programów bazują na wycenach dokonanych w źródłowych dokumentach planistycznych (w przypadku analizowanej uwagi KPRWP) odpowiednio przeliczonych na ostateczny zakres działania uwzględnionego w IIaPGW. Zestawienie (po wskazanym w zestawach działań źródle pochodzenia danego działania) działań z KPRWP wskazuje na szacunkowy koszt działań (pochodzących wprost z KPRWP) wskazanych w IIaPGW na poziomie ok. 36 mln. zł netto. Kwota ta nie uwzględnia kosztów działań uwzględnionych w IIaPGW, ale dla których nie było możliwości wskazania dokładnego kosztu.</w:t>
            </w:r>
          </w:p>
        </w:tc>
      </w:tr>
      <w:tr w:rsidR="00E92AE6" w:rsidRPr="005E78BB" w14:paraId="159BF604" w14:textId="77777777" w:rsidTr="00E92AE6">
        <w:trPr>
          <w:trHeight w:val="454"/>
        </w:trPr>
        <w:tc>
          <w:tcPr>
            <w:tcW w:w="562" w:type="dxa"/>
            <w:shd w:val="clear" w:color="auto" w:fill="auto"/>
          </w:tcPr>
          <w:p w14:paraId="0C7BAEC9" w14:textId="64307573"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810</w:t>
            </w:r>
          </w:p>
        </w:tc>
        <w:tc>
          <w:tcPr>
            <w:tcW w:w="1021" w:type="dxa"/>
            <w:tcBorders>
              <w:top w:val="single" w:sz="4" w:space="0" w:color="auto"/>
              <w:left w:val="nil"/>
              <w:bottom w:val="single" w:sz="4" w:space="0" w:color="auto"/>
              <w:right w:val="nil"/>
            </w:tcBorders>
            <w:shd w:val="clear" w:color="auto" w:fill="auto"/>
          </w:tcPr>
          <w:p w14:paraId="7FE73FD0" w14:textId="16459DF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44E170FF" w14:textId="687F8CF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7B8C161" w14:textId="004F356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 ramach prac nad aPGW przeprowadzono analizę wpływu budowy dróg wodnych o klasie co najmniej IV (standard międzynarodowych dróg wodnych) na cele obszarów chronionych, tj. obszary Natura 2000, parki narodowe i krajobrazowe, rezerwaty przyrody, itp., zlokalizowanych na Wiśle, Bugu, Odrze, Warcie i Noteci?</w:t>
            </w:r>
          </w:p>
        </w:tc>
        <w:tc>
          <w:tcPr>
            <w:tcW w:w="3377" w:type="dxa"/>
            <w:shd w:val="clear" w:color="auto" w:fill="auto"/>
          </w:tcPr>
          <w:p w14:paraId="25DF5871" w14:textId="79C04BD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450B55B" w14:textId="612A636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74A106B" w14:textId="35451D7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F64A0BA" w14:textId="63B3C0E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276E0D4" w14:textId="01FB968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Nie, analiza taka nie była przedmiotem analiz w ramach IIaPGW.</w:t>
            </w:r>
          </w:p>
        </w:tc>
      </w:tr>
      <w:tr w:rsidR="00E92AE6" w:rsidRPr="005E78BB" w14:paraId="4B068F01" w14:textId="77777777" w:rsidTr="00E92AE6">
        <w:trPr>
          <w:trHeight w:val="454"/>
        </w:trPr>
        <w:tc>
          <w:tcPr>
            <w:tcW w:w="562" w:type="dxa"/>
            <w:shd w:val="clear" w:color="auto" w:fill="auto"/>
          </w:tcPr>
          <w:p w14:paraId="624BEFD7" w14:textId="0B16715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811</w:t>
            </w:r>
          </w:p>
        </w:tc>
        <w:tc>
          <w:tcPr>
            <w:tcW w:w="1021" w:type="dxa"/>
            <w:tcBorders>
              <w:top w:val="single" w:sz="4" w:space="0" w:color="auto"/>
              <w:left w:val="nil"/>
              <w:bottom w:val="single" w:sz="4" w:space="0" w:color="auto"/>
              <w:right w:val="nil"/>
            </w:tcBorders>
            <w:shd w:val="clear" w:color="auto" w:fill="auto"/>
          </w:tcPr>
          <w:p w14:paraId="2DBCDD32" w14:textId="07CA1EE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3D04BD19" w14:textId="76334D0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9D74344" w14:textId="2B15B2D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Kiedy będzie udostępniona geobaza na podstawie której powstały materiały konsultacyjne, w tym prezentacja? Choćby na wniosek? Bez dostępu do danych źródłowych nie ma szans porównać poprzedniego etapu PGW i jego realizacji. Zmianie uległa klasyfikacja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część została scalona, część wyodrębniona. Konsultacje bez bazy danych i danych gis są przy tym ogromie danych fikcyjne i nie pozwalają na ocenę przyjętych ocen, działań i derogacji. Nie pozwalają na ocenę jak wykonano poprzedni cykl planistyczny.</w:t>
            </w:r>
          </w:p>
        </w:tc>
        <w:tc>
          <w:tcPr>
            <w:tcW w:w="3377" w:type="dxa"/>
            <w:shd w:val="clear" w:color="auto" w:fill="auto"/>
          </w:tcPr>
          <w:p w14:paraId="523C8A14" w14:textId="1CC92E4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789FD33" w14:textId="6D00261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3C388DD" w14:textId="3788961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F663928" w14:textId="2BC9F57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FABC08D" w14:textId="7DDA69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trakcie realizacji prac nad drugą aktualizacją planów gospodarowania wodami, wypracowywane były jak najbardziej zarówno bazy danych, geobazy jaki i warstwy GIS. Natomiast docelowo ostateczna geobaza drugiej aktualizacji planów gospodarowania wodami, będzie możliwa do udostępnienia dopiero w końcowej fazie prac nad IIaPGW.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Natomiast wszystkie materiały źródłowe - wyniki zrealizowanych dotychczas prac i projektów, które wykorzystane były do opracowywania IIaPGW, mogą być udostępniane zgodnie z zasadami udostępniania informacji.</w:t>
            </w:r>
          </w:p>
        </w:tc>
      </w:tr>
      <w:tr w:rsidR="00E92AE6" w:rsidRPr="005E78BB" w14:paraId="42BA9AFB" w14:textId="77777777" w:rsidTr="00E92AE6">
        <w:trPr>
          <w:trHeight w:val="454"/>
        </w:trPr>
        <w:tc>
          <w:tcPr>
            <w:tcW w:w="562" w:type="dxa"/>
            <w:shd w:val="clear" w:color="auto" w:fill="auto"/>
          </w:tcPr>
          <w:p w14:paraId="7D85C4C9" w14:textId="22E7A9B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812</w:t>
            </w:r>
          </w:p>
        </w:tc>
        <w:tc>
          <w:tcPr>
            <w:tcW w:w="1021" w:type="dxa"/>
            <w:tcBorders>
              <w:top w:val="single" w:sz="4" w:space="0" w:color="auto"/>
              <w:left w:val="nil"/>
              <w:bottom w:val="single" w:sz="4" w:space="0" w:color="auto"/>
              <w:right w:val="nil"/>
            </w:tcBorders>
            <w:shd w:val="clear" w:color="auto" w:fill="auto"/>
          </w:tcPr>
          <w:p w14:paraId="2FEB2C72" w14:textId="7010DF7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6A1D7A02" w14:textId="0B64D8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7DE96C4" w14:textId="36CFC44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aPGW dostrzega konieczność zwiększania retencji obszarów mokradlowych poprzez odtwarzanie torfowisk, nie tylko w celach wodnogospodarczych ale również w innych celach (np. neutralności klimatycznej)?</w:t>
            </w:r>
          </w:p>
        </w:tc>
        <w:tc>
          <w:tcPr>
            <w:tcW w:w="3377" w:type="dxa"/>
            <w:shd w:val="clear" w:color="auto" w:fill="auto"/>
          </w:tcPr>
          <w:p w14:paraId="014A903C" w14:textId="5BA9F39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48BF5A9" w14:textId="21F1F3B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85C2026" w14:textId="0DF359E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14A2948" w14:textId="3F0DC50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51E9EB0" w14:textId="6A42A7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zestawach działań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jeziornych, przejściowych i przybrzeżnych oraz zestawie dla wód podziemnych zaplanowano szereg działań mających na celu odtwarzanie ekosystemów hydrogenicznych. Zaplanowane działania są wynikiem nie tylko potrzeb wodnogospodarczych, ale również potrzeb z zakresu adaptacji do zmian klimatu, będąc efektem stwierdzenia presji skumulowanych.</w:t>
            </w:r>
          </w:p>
        </w:tc>
      </w:tr>
      <w:tr w:rsidR="00E92AE6" w:rsidRPr="005E78BB" w14:paraId="1A14843A" w14:textId="77777777" w:rsidTr="00E92AE6">
        <w:trPr>
          <w:trHeight w:val="454"/>
        </w:trPr>
        <w:tc>
          <w:tcPr>
            <w:tcW w:w="562" w:type="dxa"/>
            <w:shd w:val="clear" w:color="auto" w:fill="auto"/>
          </w:tcPr>
          <w:p w14:paraId="332A7811" w14:textId="3BFC3E4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813</w:t>
            </w:r>
          </w:p>
        </w:tc>
        <w:tc>
          <w:tcPr>
            <w:tcW w:w="1021" w:type="dxa"/>
            <w:tcBorders>
              <w:top w:val="single" w:sz="4" w:space="0" w:color="auto"/>
              <w:left w:val="nil"/>
              <w:bottom w:val="single" w:sz="4" w:space="0" w:color="auto"/>
              <w:right w:val="nil"/>
            </w:tcBorders>
            <w:shd w:val="clear" w:color="auto" w:fill="auto"/>
          </w:tcPr>
          <w:p w14:paraId="764D73EA" w14:textId="52596D4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Stowarzyszenie Producentów Ryb Łososiowatych</w:t>
            </w:r>
          </w:p>
        </w:tc>
        <w:tc>
          <w:tcPr>
            <w:tcW w:w="1630" w:type="dxa"/>
            <w:shd w:val="clear" w:color="auto" w:fill="auto"/>
          </w:tcPr>
          <w:p w14:paraId="44FF308D" w14:textId="0A1DF63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CF66EA9" w14:textId="3A7AD6A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Podstawą do aktualizacji Planów Gospodarowania Wodami są z pewnością dane bazowe określające zasoby wodne kraju.</w:t>
            </w:r>
            <w:r w:rsidRPr="00825321">
              <w:rPr>
                <w:rFonts w:eastAsia="Times New Roman" w:cstheme="minorHAnsi"/>
                <w:color w:val="000000"/>
                <w:sz w:val="18"/>
                <w:szCs w:val="18"/>
                <w:lang w:eastAsia="pl-PL"/>
              </w:rPr>
              <w:br/>
              <w:t>W związku z tym chciałabym zapytać czy w aktualizowanych obecnie Planach Gospodarowania Wodami zostały/ zostaną zaktualizowane dane dotyczące ilości wykorzystywanych na potrzeby akwakultury oraz w jaki sposób zostały oszacowane ilości obiektów akwakultury w Polsce?</w:t>
            </w:r>
          </w:p>
        </w:tc>
        <w:tc>
          <w:tcPr>
            <w:tcW w:w="3377" w:type="dxa"/>
            <w:shd w:val="clear" w:color="auto" w:fill="auto"/>
          </w:tcPr>
          <w:p w14:paraId="65001046" w14:textId="158A5DA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E7D4730" w14:textId="783788F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720DCA5" w14:textId="4BCCF9C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2BD887A" w14:textId="377B794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C295E54" w14:textId="16E765F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Na potrzeby IIaPGW w ramach zrealizowanego projektu "Identyfikacja presji" (2019) przygotowane zostały ogólnopolskie bazy danych dotyczące presji występujących na obszarze Polski. Wśród danych prezentowanych w bazie "Identyfikacji presji" są również dane dotyczące zrzutów ze stawów rybnych. Bazy "Identyfikacji presji" stanowiły podstawę dla przeprowadzanej "Analizy znaczących oddziaływań antropogenicznych (...)" (2020).</w:t>
            </w:r>
          </w:p>
        </w:tc>
      </w:tr>
      <w:tr w:rsidR="00E92AE6" w:rsidRPr="005E78BB" w14:paraId="18D3F2B7" w14:textId="77777777" w:rsidTr="00E92AE6">
        <w:trPr>
          <w:trHeight w:val="454"/>
        </w:trPr>
        <w:tc>
          <w:tcPr>
            <w:tcW w:w="562" w:type="dxa"/>
            <w:shd w:val="clear" w:color="auto" w:fill="auto"/>
          </w:tcPr>
          <w:p w14:paraId="3163A2E3" w14:textId="1C376317"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814</w:t>
            </w:r>
          </w:p>
        </w:tc>
        <w:tc>
          <w:tcPr>
            <w:tcW w:w="1021" w:type="dxa"/>
            <w:tcBorders>
              <w:top w:val="single" w:sz="4" w:space="0" w:color="auto"/>
              <w:left w:val="nil"/>
              <w:bottom w:val="single" w:sz="4" w:space="0" w:color="auto"/>
              <w:right w:val="nil"/>
            </w:tcBorders>
            <w:shd w:val="clear" w:color="auto" w:fill="auto"/>
          </w:tcPr>
          <w:p w14:paraId="7D3750CF" w14:textId="4BC26502"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21AB53BF" w14:textId="604C196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4B887E0" w14:textId="6277232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aPGW jest konsultowany międzyresortowo?</w:t>
            </w:r>
          </w:p>
        </w:tc>
        <w:tc>
          <w:tcPr>
            <w:tcW w:w="3377" w:type="dxa"/>
            <w:shd w:val="clear" w:color="auto" w:fill="auto"/>
          </w:tcPr>
          <w:p w14:paraId="76416CC5" w14:textId="0F8BE1B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6F6BDF3" w14:textId="045DECF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2E1DAD7" w14:textId="1197926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D950921" w14:textId="463E924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98BF21C" w14:textId="73E1B07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xml:space="preserve">Plany gospodarowania wodami (i ich aktualizacje) są przyjmowane w drodze rozporządzenia, tym samym przechodzą cały proces legislacyjny. Tutaj są to rozporządzenia ministra, w związku z tym są przewidziane prawnie </w:t>
            </w:r>
            <w:r>
              <w:rPr>
                <w:rFonts w:eastAsia="Times New Roman" w:cstheme="minorHAnsi"/>
                <w:color w:val="000000"/>
                <w:sz w:val="18"/>
                <w:szCs w:val="18"/>
                <w:lang w:eastAsia="pl-PL"/>
              </w:rPr>
              <w:t>KONSULTACJE SPOŁECZNE</w:t>
            </w:r>
            <w:r w:rsidRPr="00825321">
              <w:rPr>
                <w:rFonts w:eastAsia="Times New Roman" w:cstheme="minorHAnsi"/>
                <w:color w:val="000000"/>
                <w:sz w:val="18"/>
                <w:szCs w:val="18"/>
                <w:lang w:eastAsia="pl-PL"/>
              </w:rPr>
              <w:t>, uzgodnienia międzyresortowe i opiniowanie. Tym samym IIaPGW podlegać będą uzgodnieniom międzyresortowym i opiniowaniu.</w:t>
            </w:r>
          </w:p>
        </w:tc>
      </w:tr>
      <w:tr w:rsidR="00E92AE6" w:rsidRPr="005E78BB" w14:paraId="4780FF48" w14:textId="77777777" w:rsidTr="00E92AE6">
        <w:trPr>
          <w:trHeight w:val="454"/>
        </w:trPr>
        <w:tc>
          <w:tcPr>
            <w:tcW w:w="562" w:type="dxa"/>
            <w:shd w:val="clear" w:color="auto" w:fill="auto"/>
          </w:tcPr>
          <w:p w14:paraId="380CBECC" w14:textId="6D48B6E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815</w:t>
            </w:r>
          </w:p>
        </w:tc>
        <w:tc>
          <w:tcPr>
            <w:tcW w:w="1021" w:type="dxa"/>
            <w:tcBorders>
              <w:top w:val="single" w:sz="4" w:space="0" w:color="auto"/>
              <w:left w:val="nil"/>
              <w:bottom w:val="single" w:sz="4" w:space="0" w:color="auto"/>
              <w:right w:val="nil"/>
            </w:tcBorders>
            <w:shd w:val="clear" w:color="auto" w:fill="auto"/>
          </w:tcPr>
          <w:p w14:paraId="560028A6" w14:textId="7BA9CF3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17F52AE4" w14:textId="363D0A7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37B374F" w14:textId="53192C0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Czyli jeśli tylko 3%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i ZERO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zbiornikowych osiągnęło cel środowiskowy, to należy ustanowić odstępstwa i derogacje na kolejne presje i inwestycje? Czy to nie oznacza, że powinno się realizować przyjęte wcześniej działania ochronne i dodać skuteczniejsze a nie ustalać kolejne odstępstwa? Olbrzymia część działań np. udrożnień cieków, nie jest realizowana.</w:t>
            </w:r>
            <w:r w:rsidRPr="00825321">
              <w:rPr>
                <w:rFonts w:eastAsia="Times New Roman" w:cstheme="minorHAnsi"/>
                <w:color w:val="000000"/>
                <w:sz w:val="18"/>
                <w:szCs w:val="18"/>
                <w:lang w:eastAsia="pl-PL"/>
              </w:rPr>
              <w:br w:type="page"/>
            </w:r>
          </w:p>
        </w:tc>
        <w:tc>
          <w:tcPr>
            <w:tcW w:w="3377" w:type="dxa"/>
            <w:shd w:val="clear" w:color="auto" w:fill="auto"/>
          </w:tcPr>
          <w:p w14:paraId="19059A4F" w14:textId="7F66A2D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6FD7C8E" w14:textId="1F8152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59FFB5F" w14:textId="7ED9237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57B56A9" w14:textId="42D091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7B8617F" w14:textId="567039B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Dokonywana w każdej kolejnej aktualizacji ocena stopnia osiągnięcia celów środowiskowych obejmuje również analizy przyczyn nieosiągnięcia zakładanych celów. Skuteczność realizacji zakładanych działań stanowi kluczowy element monitoringu skutków realizacji postanowień PGW. Proces tworzenia zestawów działań obejmuje etap analizy statusów realizacji działań poprzedniego PGW, dla wyselekcjonowania działań prolongowanych (kontynuowanych) w kolejnym cyklu planistycznym. Odstępstwa od celów środowiskowych wskazywane są wyłącznie po spełnieniu szeregu przesłanek, nie elimininując jednocześnie konieczności realizacji działań wskazanych w zestawach.</w:t>
            </w:r>
          </w:p>
        </w:tc>
      </w:tr>
      <w:tr w:rsidR="00E92AE6" w:rsidRPr="005E78BB" w14:paraId="2A1AFC07" w14:textId="77777777" w:rsidTr="00E92AE6">
        <w:trPr>
          <w:trHeight w:val="454"/>
        </w:trPr>
        <w:tc>
          <w:tcPr>
            <w:tcW w:w="562" w:type="dxa"/>
            <w:shd w:val="clear" w:color="auto" w:fill="auto"/>
          </w:tcPr>
          <w:p w14:paraId="175177EE" w14:textId="6BB34C53"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816</w:t>
            </w:r>
          </w:p>
        </w:tc>
        <w:tc>
          <w:tcPr>
            <w:tcW w:w="1021" w:type="dxa"/>
            <w:tcBorders>
              <w:top w:val="single" w:sz="4" w:space="0" w:color="auto"/>
              <w:left w:val="nil"/>
              <w:bottom w:val="single" w:sz="4" w:space="0" w:color="auto"/>
              <w:right w:val="nil"/>
            </w:tcBorders>
            <w:shd w:val="clear" w:color="auto" w:fill="auto"/>
          </w:tcPr>
          <w:p w14:paraId="0E82E62D" w14:textId="3C8095B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66E91AC7" w14:textId="0E4A37A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7B5422D" w14:textId="5046B1F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przy tworzeniu działań jcw brano pod uwagę presję ze strony innych programów WP - PPSS i aPZRP? Czy WP biorą pod uwagę ograniczenie presji ze strony tych programów na jcw teraz po zapoznaniu się z danymi IIaPGW?</w:t>
            </w:r>
          </w:p>
        </w:tc>
        <w:tc>
          <w:tcPr>
            <w:tcW w:w="3377" w:type="dxa"/>
            <w:shd w:val="clear" w:color="auto" w:fill="auto"/>
          </w:tcPr>
          <w:p w14:paraId="1FB871D2" w14:textId="4325A9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1F344FB" w14:textId="16EEB30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CAA13CB" w14:textId="6B33154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3C63EF2" w14:textId="2A63D67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7699F8E" w14:textId="5328302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Powiązania dokumentów strategicznych i konieczność wzajemnego uwzględniania ich ustaleń stanowi element zachowywania spójności ustaleń opracowywanych dokumentów strategicznych. Zgodnie z metodyką opracowania zestawów działań IIaPGW analizowane były inne plany, programy, w tym również PPSS i aPZRP dla zweryfikowania planowanych działań wpisujących się w cele IIaPGW, zapewnienia możliwej synergii pomiędzy nimi oraz wykluczenia sytuacji konfliktów działań pomiędzy programami. Działania IIaPGW projektowane były przy wykorzystaniu wyników zrealizowanej pracy Analiza znaczących oddziaływań antropogenicznych (...) wskazującej presje znaczące w każdej jcw. Analizy presji uwzględniały wszystkie zidentyfikowane w Bazach Identyfikacji Presji istniejące źródła presji. Ponadto, analizy powiązań pomiędzy dokumentami strategicznymi uwzględniane są również w analizach oddziaływań skumulowanych planów i programów analizowanych w ramach poszczególnych strategicznych ocenach oddziaływania dla tych planów.</w:t>
            </w:r>
          </w:p>
        </w:tc>
      </w:tr>
      <w:tr w:rsidR="00E92AE6" w:rsidRPr="005E78BB" w14:paraId="7624DC37" w14:textId="77777777" w:rsidTr="00E92AE6">
        <w:trPr>
          <w:trHeight w:val="454"/>
        </w:trPr>
        <w:tc>
          <w:tcPr>
            <w:tcW w:w="562" w:type="dxa"/>
            <w:shd w:val="clear" w:color="auto" w:fill="auto"/>
          </w:tcPr>
          <w:p w14:paraId="02386ADD" w14:textId="73D045F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817</w:t>
            </w:r>
          </w:p>
        </w:tc>
        <w:tc>
          <w:tcPr>
            <w:tcW w:w="1021" w:type="dxa"/>
            <w:tcBorders>
              <w:top w:val="single" w:sz="4" w:space="0" w:color="auto"/>
              <w:left w:val="nil"/>
              <w:bottom w:val="single" w:sz="4" w:space="0" w:color="auto"/>
              <w:right w:val="nil"/>
            </w:tcBorders>
            <w:shd w:val="clear" w:color="auto" w:fill="auto"/>
          </w:tcPr>
          <w:p w14:paraId="761B78E2" w14:textId="2BFBF0E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Gminy w Jaktorowie</w:t>
            </w:r>
          </w:p>
        </w:tc>
        <w:tc>
          <w:tcPr>
            <w:tcW w:w="1630" w:type="dxa"/>
            <w:shd w:val="clear" w:color="auto" w:fill="auto"/>
          </w:tcPr>
          <w:p w14:paraId="41AD19A9" w14:textId="401593E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8BE4FDF" w14:textId="16D7A29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Jednym z powodów złego stanu wód,(oprócz omawianych, dużych różnorakich problemów) jest moim zdaniem nienależyte utrzymywanie urządzeń wodnych, co w konsekwencji ma bezpośredni wpływ na gospodarowanie wodami np na terenie gminy. Dotychczasowe rozwiązania prawne w tym zakresie, są uciążliwe w zakresie egzekucji, jak również utrudnione z powodu braku środków. Czy ten wydaje się w skali makro mniejszy problem, ale w skali mikro, zasadniczy, będzie przedmiotem stosownych analiz, ew. zmiany prawa wodnego, utworzenia dedykowanych programów finansowych w dającym się określić czasie?</w:t>
            </w:r>
          </w:p>
        </w:tc>
        <w:tc>
          <w:tcPr>
            <w:tcW w:w="3377" w:type="dxa"/>
            <w:shd w:val="clear" w:color="auto" w:fill="auto"/>
          </w:tcPr>
          <w:p w14:paraId="280AF1EF" w14:textId="698551F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6F02215" w14:textId="3AA786F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5586BAE" w14:textId="21C323E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C27A2D7" w14:textId="47CD4C7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79EE787" w14:textId="25D6AEE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Celem podstawowym IIaPGW jest weryfikacja aktualnego stanu wód i występujących zagrożeń dla zakładanych do osiągnięcia celów środowiskowych. Podstawą dokonanej weryfikacji była posiadana przez PGWWP dokumentacja oraz wszelkie bazy danych zawierające materiały dotyczące stanu wód w Polsce. Na tej podstawie wypracowano katalogi działań kontynuowanych i nowych, które umożliwiły indywidualne dostosowanie zestawu działań do każdej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mających realną szansę na realizację w nadchodzącej perspektywie 2022 - 2027. Zakres opracowania nie obejmuje oceny stanu utrzymania urządzeń wodnych. Dobry stan techniczny urządzeń wodnych jest niewątpliwie podstawowym elementem prawidłowej realizacji działań i w konsekwencji ich skuteczności.</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Zmiany prawa w tym zakresie, jesli będą planowane, podlegać będą odpowiedniemu procesowi legislacyjnemu.</w:t>
            </w:r>
          </w:p>
        </w:tc>
      </w:tr>
      <w:tr w:rsidR="00E92AE6" w:rsidRPr="005E78BB" w14:paraId="3B41F0D9" w14:textId="77777777" w:rsidTr="00E92AE6">
        <w:trPr>
          <w:trHeight w:val="454"/>
        </w:trPr>
        <w:tc>
          <w:tcPr>
            <w:tcW w:w="562" w:type="dxa"/>
            <w:shd w:val="clear" w:color="auto" w:fill="auto"/>
          </w:tcPr>
          <w:p w14:paraId="0533BE22" w14:textId="4534148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818</w:t>
            </w:r>
          </w:p>
        </w:tc>
        <w:tc>
          <w:tcPr>
            <w:tcW w:w="1021" w:type="dxa"/>
            <w:tcBorders>
              <w:top w:val="single" w:sz="4" w:space="0" w:color="auto"/>
              <w:left w:val="nil"/>
              <w:bottom w:val="single" w:sz="4" w:space="0" w:color="auto"/>
              <w:right w:val="nil"/>
            </w:tcBorders>
            <w:shd w:val="clear" w:color="auto" w:fill="auto"/>
          </w:tcPr>
          <w:p w14:paraId="78FA9A26" w14:textId="7B56D2C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1D1C212D" w14:textId="3FEDABC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B318141" w14:textId="1BE3C8B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jaki sposób przeprowadzono w aPGW analizę presji hydromorfologicznej generowanej przez prace utrzymaniowe?</w:t>
            </w:r>
          </w:p>
        </w:tc>
        <w:tc>
          <w:tcPr>
            <w:tcW w:w="3377" w:type="dxa"/>
            <w:shd w:val="clear" w:color="auto" w:fill="auto"/>
          </w:tcPr>
          <w:p w14:paraId="15388683" w14:textId="0C98AD2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48D18A5" w14:textId="5837E81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3F74F9B" w14:textId="5645EF5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1B5A2BB" w14:textId="0D3E3CF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030CD55" w14:textId="79D2512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Presja na stan hydromorfologiczny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wynikająca z prac utrzymaniowych została oceniona w projekcie "Analiza znaczących oddziaływań antropogenicznych (…)" (2020), a wyniki pracy wykorzystano w projekcie IIaPGW. Na potrzeby IIaPGW dodatkowo uwzględniono: raporty z PUW zawierające informacje o zakresie prac utrzymaniowych. Działania przypisywano do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dla których występowała presja znacząca prac utrzymaniowych, zły stan elementów hydromorfologicznych HIR (presja na warunki morfologiczne). Dla tych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określone zostały cele środowiskowe takie jak: warunki dla rzek włosienicznikowych, wylewy Q50. Dodatkowo na poziomie krajowym wpisano działanie obligatoryjne: Prowadzenie prac utrzymaniowych zgodnie z Katalogiem dobrych praktyk prac utrzymaniowych i robót hydrotechnicznych.</w:t>
            </w:r>
          </w:p>
        </w:tc>
      </w:tr>
      <w:tr w:rsidR="00E92AE6" w:rsidRPr="005E78BB" w14:paraId="18543627" w14:textId="77777777" w:rsidTr="00E92AE6">
        <w:trPr>
          <w:trHeight w:val="454"/>
        </w:trPr>
        <w:tc>
          <w:tcPr>
            <w:tcW w:w="562" w:type="dxa"/>
            <w:shd w:val="clear" w:color="auto" w:fill="auto"/>
          </w:tcPr>
          <w:p w14:paraId="6C6893DA" w14:textId="6A86A4A0"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819</w:t>
            </w:r>
          </w:p>
        </w:tc>
        <w:tc>
          <w:tcPr>
            <w:tcW w:w="1021" w:type="dxa"/>
            <w:tcBorders>
              <w:top w:val="single" w:sz="4" w:space="0" w:color="auto"/>
              <w:left w:val="nil"/>
              <w:bottom w:val="single" w:sz="4" w:space="0" w:color="auto"/>
              <w:right w:val="nil"/>
            </w:tcBorders>
            <w:shd w:val="clear" w:color="auto" w:fill="auto"/>
          </w:tcPr>
          <w:p w14:paraId="1D65564D" w14:textId="4CE1AB02"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3D4DF7B4" w14:textId="5D2CE7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3247DAC" w14:textId="1EBF9E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 w aPGW zrealizowano obowiązek opracowania Planu Utrzymania Wód (dla poszczególnych regionów wodnych) i poddania tego planu strategicznej ocenie oddziaływania na środowisko?</w:t>
            </w:r>
          </w:p>
        </w:tc>
        <w:tc>
          <w:tcPr>
            <w:tcW w:w="3377" w:type="dxa"/>
            <w:shd w:val="clear" w:color="auto" w:fill="auto"/>
          </w:tcPr>
          <w:p w14:paraId="59F612B0" w14:textId="3832597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037D6A8" w14:textId="7EA0218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932DA61" w14:textId="53FB0DC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EF06B90" w14:textId="7161B70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85B7995" w14:textId="4CB7E13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Zgłoszona uwaga nie dotyczy konsultowanego dokumentu. Plany utrzymania wód (PUW) są odrębnymi dokumentami planistycznymi, opracowywanymi dla obszarów administrowanych przez poszczególne RZGW (zgodnie z ustawą z dnia 20 lipca 2017 r. - Prawo wodne). Obowiązek ich opracowania nie wynika z PGW, natomiast IIaPGW zawierają informacje o sposobie prowadzenia działań polegających na utrzymywaniu wód, uwzględniających cele środowiskowe określone w art. 56, art. 57, art. 59 oraz w art. 61 ww. ustawy (zgodnie z art. 318 ust. 1 pkt 15 ww. ustawy).</w:t>
            </w:r>
          </w:p>
        </w:tc>
      </w:tr>
      <w:tr w:rsidR="00E92AE6" w:rsidRPr="005E78BB" w14:paraId="3CE65CCA" w14:textId="77777777" w:rsidTr="00E92AE6">
        <w:trPr>
          <w:trHeight w:val="454"/>
        </w:trPr>
        <w:tc>
          <w:tcPr>
            <w:tcW w:w="562" w:type="dxa"/>
            <w:shd w:val="clear" w:color="auto" w:fill="auto"/>
          </w:tcPr>
          <w:p w14:paraId="21F40550" w14:textId="6668600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820</w:t>
            </w:r>
          </w:p>
        </w:tc>
        <w:tc>
          <w:tcPr>
            <w:tcW w:w="1021" w:type="dxa"/>
            <w:tcBorders>
              <w:top w:val="single" w:sz="4" w:space="0" w:color="auto"/>
              <w:left w:val="nil"/>
              <w:bottom w:val="single" w:sz="4" w:space="0" w:color="auto"/>
              <w:right w:val="nil"/>
            </w:tcBorders>
            <w:shd w:val="clear" w:color="auto" w:fill="auto"/>
          </w:tcPr>
          <w:p w14:paraId="1DB7BD8B" w14:textId="086A4FE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2DCF1FC4" w14:textId="3E11FC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E02609D" w14:textId="75FDA65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przypadku działania RW20001054929__RWHM_02.04__BI__00056 na rzece Srebrny Potok zaplanowano budowę przepławki w związku z realizacją działania „Budowa przepławki w ramach działania: Regulacja Srebrnego Potoku km 0+000-12+167 miasto Elbląg, gmina Milejewo”. Mimo że wyznaczona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jest opisana jako Silnie Zmieniona Część Wód, odcinek który ma podlegać regulacji znajduje się w 1 klasie HIR (Hydromorfologiczny Indeks Rzeczny) i jest zdecydowanie naturalną częścią wód, a wpisanie jej do SZCW jest ewidentnym błędem wynikającym z połączenia Srebrnego Potoku z regulowaną od lat 60-tych do 2011 roku Kumielą. Co więcej realizacja inwestycji na Srebrnym Potoku obniży indeks HIR o co najmniej 2 klasy, co uniemożliwi osiągnięcie celów środowiskowych.</w:t>
            </w:r>
            <w:r w:rsidRPr="00825321">
              <w:rPr>
                <w:rFonts w:eastAsia="Times New Roman" w:cstheme="minorHAnsi"/>
                <w:color w:val="000000"/>
                <w:sz w:val="18"/>
                <w:szCs w:val="18"/>
                <w:lang w:eastAsia="pl-PL"/>
              </w:rPr>
              <w:br/>
              <w:t>Zamiast planować budowę przepławki na piętrzeniu której jeszcze nie jest zrealizowane, może warto zaprzestać działań niszczących rzeki, jak np. regulacja Srebrnego Potoku? Za iloma działaniami wpisanymi w aPGW jako „budowa przepławek” stoi budowa nowych piętrzeń?</w:t>
            </w:r>
          </w:p>
        </w:tc>
        <w:tc>
          <w:tcPr>
            <w:tcW w:w="3377" w:type="dxa"/>
            <w:shd w:val="clear" w:color="auto" w:fill="auto"/>
          </w:tcPr>
          <w:p w14:paraId="3C417300" w14:textId="5BCF2B4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5E5AC87" w14:textId="35BBB33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718959A" w14:textId="614C883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53017A1" w14:textId="4547A1B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7107376E" w14:textId="6813E6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Opis działania z aPWŚK nie zawierał informacji dotyczących budowy przepławki na nowobudowanym obiekcie. W związku ze zgłoszoną uwagą działanie RW20001054929__RWHM_02.04__BI__00056 zostanie usunięte z zestawu działań.</w:t>
            </w:r>
          </w:p>
        </w:tc>
      </w:tr>
      <w:tr w:rsidR="00E92AE6" w:rsidRPr="005E78BB" w14:paraId="4A3A716A" w14:textId="77777777" w:rsidTr="00E92AE6">
        <w:trPr>
          <w:trHeight w:val="454"/>
        </w:trPr>
        <w:tc>
          <w:tcPr>
            <w:tcW w:w="562" w:type="dxa"/>
            <w:shd w:val="clear" w:color="auto" w:fill="auto"/>
          </w:tcPr>
          <w:p w14:paraId="3497CD39" w14:textId="2E301E4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821</w:t>
            </w:r>
          </w:p>
        </w:tc>
        <w:tc>
          <w:tcPr>
            <w:tcW w:w="1021" w:type="dxa"/>
            <w:tcBorders>
              <w:top w:val="single" w:sz="4" w:space="0" w:color="auto"/>
              <w:left w:val="nil"/>
              <w:bottom w:val="single" w:sz="4" w:space="0" w:color="auto"/>
              <w:right w:val="nil"/>
            </w:tcBorders>
            <w:shd w:val="clear" w:color="auto" w:fill="auto"/>
          </w:tcPr>
          <w:p w14:paraId="71055D4E" w14:textId="71884B7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6F8D126D" w14:textId="5988A5E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208C92D" w14:textId="6A518D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Jest mowa o konieczności podjęcia działań ochronnych aby chronić gatunki i siedliska od wód zależne, w tym ochrona terenów podmokłych i ochrona przed dopływem biogenów. Tymczasem np. ZZ w Ciechanowie planuje gigantyczne inwestycje regulacyjne i melioracyjne celem poprawy warunków dla rolnictwa - jego intensyfikacji. Czy jest szansa na podstawie tych informacji z aPGW na ograniczenie tych działań (jak np. kontynuacja regulacji rz. Węgierki, Morawki) polegających na pogłębieniu koryt, budowie nowych piętrzeń, likwidacji siedlisk przyrodniczych czy wycinki drzew - stref buforowych? Czy wręcz przeciwnie - ich realizacji przez wpis jako derogacja 4.7 czy ukryte pod derogacjami 4.4 i 4.5 działania z PPSS i aPZRP?</w:t>
            </w:r>
            <w:r w:rsidRPr="00825321">
              <w:rPr>
                <w:rFonts w:eastAsia="Times New Roman" w:cstheme="minorHAnsi"/>
                <w:color w:val="000000"/>
                <w:sz w:val="18"/>
                <w:szCs w:val="18"/>
                <w:lang w:eastAsia="pl-PL"/>
              </w:rPr>
              <w:br w:type="page"/>
            </w:r>
          </w:p>
        </w:tc>
        <w:tc>
          <w:tcPr>
            <w:tcW w:w="3377" w:type="dxa"/>
            <w:shd w:val="clear" w:color="auto" w:fill="auto"/>
          </w:tcPr>
          <w:p w14:paraId="761A7446" w14:textId="55B2EC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FEB92B8" w14:textId="4C28896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B688F43" w14:textId="66366428"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276" w:type="dxa"/>
            <w:shd w:val="clear" w:color="auto" w:fill="auto"/>
          </w:tcPr>
          <w:p w14:paraId="354CBEE7" w14:textId="5E71965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C447B48" w14:textId="0D00D35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Szczegółowe analizy dotyczące konkretnych inwestycji prowadzone są na etapie postępowań administracyjnych, których elementem jest analiza wpływu na cele środowiskowe oraz analiza konieczności i możliwości zastosowania odstępstw w trybie art. 68 ustawy Prawo wodne (art. 4 ust.7 RDW) - IIaPGW nie ustanawia odstępstw w trybie art.4 ust. 7 RDW, a jedynie prezentuje listę inwestycji posiadających wskazanie do odstępstwa w wyniku przeprowadzonych postępowań administracyjnych. Stosowanie odstępstw z art. 4.4 oraz art. 4.5 RDW nie ma bezpośredniego związku z realizacją zaplanowanej inwestycji - przesłanki do ustanowienia odstępstw z art. 4.4 oraz 4.5 RDW wynikają z braku możliwości osiągnięcia celów środowiskowych w związku z występującymi przekroczeniami wartości poszczególnych wskaźników (potwierdzonymi wynikami monitoringu PMŚ) a nie nowymi zmianami fizycznymi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związanymi z realizacją nowych inwestycji.</w:t>
            </w:r>
          </w:p>
        </w:tc>
      </w:tr>
      <w:tr w:rsidR="00E92AE6" w:rsidRPr="005E78BB" w14:paraId="27795916" w14:textId="77777777" w:rsidTr="00E92AE6">
        <w:trPr>
          <w:trHeight w:val="454"/>
        </w:trPr>
        <w:tc>
          <w:tcPr>
            <w:tcW w:w="562" w:type="dxa"/>
            <w:shd w:val="clear" w:color="auto" w:fill="auto"/>
          </w:tcPr>
          <w:p w14:paraId="2C5F2581" w14:textId="75249D3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822</w:t>
            </w:r>
          </w:p>
        </w:tc>
        <w:tc>
          <w:tcPr>
            <w:tcW w:w="1021" w:type="dxa"/>
            <w:tcBorders>
              <w:top w:val="single" w:sz="4" w:space="0" w:color="auto"/>
              <w:left w:val="nil"/>
              <w:bottom w:val="single" w:sz="4" w:space="0" w:color="auto"/>
              <w:right w:val="nil"/>
            </w:tcBorders>
            <w:shd w:val="clear" w:color="auto" w:fill="auto"/>
          </w:tcPr>
          <w:p w14:paraId="31552943" w14:textId="14C54DA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6D2D2880" w14:textId="144ECCA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8779E7F" w14:textId="2E0CFE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Ważną presją jest ograniczenie zdolności retencyjnej zlewni rolniczych, wskutek dominacji koncepcji rolnictwa „odwodnieniowego” (powszechność systemów rowów odwadniających pozbawionych urządzeń piętrzących, systemy drenarskie, itp.). Czy w aPGW przewidziano dedykowane działania nakierowane na odbudowywanie zasobów wód podziemnych kompensujące zmiany klimatu i presję rolnictwa?</w:t>
            </w:r>
          </w:p>
        </w:tc>
        <w:tc>
          <w:tcPr>
            <w:tcW w:w="3377" w:type="dxa"/>
            <w:shd w:val="clear" w:color="auto" w:fill="auto"/>
          </w:tcPr>
          <w:p w14:paraId="200872D6" w14:textId="438F2F2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F2A4997" w14:textId="6711F9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4561B7F" w14:textId="6FADE8F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6699181" w14:textId="215BCA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AFFEECF" w14:textId="7BD7480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IIaPGW przewidziano szereg działań ukierunkowanych na redukcję presji ilościowej. Wśród tych działań wprowadzono następujące działanie: "analiza możliwości odbudowy/przebudowy systemów melioracyjnych - z odwadniających na nawadniająco-odwadniające i budowa nowych systemów melioracyjnych (nawadniająco-odwadniających)". Działanie to zostało zaplanowane do wdrożenia dla 27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w:t>
            </w:r>
          </w:p>
        </w:tc>
      </w:tr>
      <w:tr w:rsidR="00E92AE6" w:rsidRPr="005E78BB" w14:paraId="4453463F" w14:textId="77777777" w:rsidTr="00E92AE6">
        <w:trPr>
          <w:trHeight w:val="454"/>
        </w:trPr>
        <w:tc>
          <w:tcPr>
            <w:tcW w:w="562" w:type="dxa"/>
            <w:shd w:val="clear" w:color="auto" w:fill="auto"/>
          </w:tcPr>
          <w:p w14:paraId="6CF43432" w14:textId="459E837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823</w:t>
            </w:r>
          </w:p>
        </w:tc>
        <w:tc>
          <w:tcPr>
            <w:tcW w:w="1021" w:type="dxa"/>
            <w:tcBorders>
              <w:top w:val="single" w:sz="4" w:space="0" w:color="auto"/>
              <w:left w:val="nil"/>
              <w:bottom w:val="single" w:sz="4" w:space="0" w:color="auto"/>
              <w:right w:val="nil"/>
            </w:tcBorders>
            <w:shd w:val="clear" w:color="auto" w:fill="auto"/>
          </w:tcPr>
          <w:p w14:paraId="05E0EF1E" w14:textId="70401B7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MPWiK w m.st. Warszawie S.A.</w:t>
            </w:r>
          </w:p>
        </w:tc>
        <w:tc>
          <w:tcPr>
            <w:tcW w:w="1630" w:type="dxa"/>
            <w:shd w:val="clear" w:color="auto" w:fill="auto"/>
          </w:tcPr>
          <w:p w14:paraId="19625B86" w14:textId="1C54A54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D5DDD26" w14:textId="7656776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Jakie rozwiązanie PGW proponuje w związku wysokim stężeniem chlorków w Wiśle , których źródłem są zasolone wody odprowadzane do rzeki z zakładów górniczych? Oprócz tego, ze nie są osiągane cele środowiskowe (stężenie chlorków nie powinno być wyższe niż 75,6 mg/l) , ma to również wpływ na jakość wody dostarczanej mieszkańcom, w przypadku gdy źródłem wody jest rzeka Wisła. Woda ujmowana z Wisły ze względu na wysoką jak dla wody powierzchniowej zawartość chlorków, cechuje się stosunkowo dużą korozyjnością, co przyczynia się m.in. do tzw. wtórnego zanieczyszczenie produktami korozji w sieci wodociągowej (wzrost kosztów gospodarczych i społecznych).</w:t>
            </w:r>
            <w:r w:rsidRPr="00825321">
              <w:rPr>
                <w:rFonts w:eastAsia="Times New Roman" w:cstheme="minorHAnsi"/>
                <w:color w:val="000000"/>
                <w:sz w:val="18"/>
                <w:szCs w:val="18"/>
                <w:lang w:eastAsia="pl-PL"/>
              </w:rPr>
              <w:br/>
              <w:t>Zagadnienie nabiera szczególnego znaczenia w kontekście obserwowanych zmian klimatycznych i wydłużających się okresów suszy hydrologicznej, co w dalszej perspektywie będzie pogłębiać problem wysokiego stężenia chlorów w rzece Wiśle, których poziom wzrasta przy niskich stanach wody w rzece.</w:t>
            </w:r>
            <w:r w:rsidRPr="00825321">
              <w:rPr>
                <w:rFonts w:eastAsia="Times New Roman" w:cstheme="minorHAnsi"/>
                <w:color w:val="000000"/>
                <w:sz w:val="18"/>
                <w:szCs w:val="18"/>
                <w:lang w:eastAsia="pl-PL"/>
              </w:rPr>
              <w:br/>
              <w:t>Biorąc pod uwagę nadrzędny interes społeczny, którym jest zaopatrzenie ludności w wodę, czy zostały przewidziane działania mające na celu zaostrzenie przepisów prawnych, dotyczących jakości wód kopalnianych, odprowadzanych do wód powierzchniowych?</w:t>
            </w:r>
          </w:p>
        </w:tc>
        <w:tc>
          <w:tcPr>
            <w:tcW w:w="3377" w:type="dxa"/>
            <w:shd w:val="clear" w:color="auto" w:fill="auto"/>
          </w:tcPr>
          <w:p w14:paraId="44F9E0DB" w14:textId="6E3085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1341AAF" w14:textId="567DCDA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6F07F59" w14:textId="7DCEBFA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3522FA7" w14:textId="5093876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2FB0DF6" w14:textId="46BEC31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Potrzeba zaostrzenia przepisów zawartych w Rozporządzeniu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 z 2019 r. poz. 1311) lub w poszczególnych pozwoleniach wodnoprawnych jest na bieżąco analizowana i aktualizowana. Zaopatrzenie w wodę pitną oraz energię elektryczną są elementami infrastruktury krytycznej i oba aspekty są ważne dla szeroko pojętego interesu społecznego. Ponadto wdrażany plan przeciwdziałania skutkom suszy powinien przyczynić się do zmniejszenia częstotliwości występowania niżówek i zjawiska zatężenia zanieczyszczeń w wodach rzek.</w:t>
            </w:r>
          </w:p>
        </w:tc>
      </w:tr>
      <w:tr w:rsidR="00E92AE6" w:rsidRPr="005E78BB" w14:paraId="393E0FE3" w14:textId="77777777" w:rsidTr="00E92AE6">
        <w:trPr>
          <w:trHeight w:val="454"/>
        </w:trPr>
        <w:tc>
          <w:tcPr>
            <w:tcW w:w="562" w:type="dxa"/>
            <w:shd w:val="clear" w:color="auto" w:fill="auto"/>
          </w:tcPr>
          <w:p w14:paraId="5CD8686B" w14:textId="5B2090F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824</w:t>
            </w:r>
          </w:p>
        </w:tc>
        <w:tc>
          <w:tcPr>
            <w:tcW w:w="1021" w:type="dxa"/>
            <w:tcBorders>
              <w:top w:val="single" w:sz="4" w:space="0" w:color="auto"/>
              <w:left w:val="nil"/>
              <w:bottom w:val="single" w:sz="4" w:space="0" w:color="auto"/>
              <w:right w:val="nil"/>
            </w:tcBorders>
            <w:shd w:val="clear" w:color="auto" w:fill="auto"/>
          </w:tcPr>
          <w:p w14:paraId="7C95C863" w14:textId="666B69D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0070DEF7" w14:textId="7136C8D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526684D" w14:textId="5DC462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Informacje przekazane na tym spotkaniu bezpośrednio wskazują na konieczność powtórzenia analizy działań z programu Stop suszy i aktualizacji planów zarządzania ryzykiem powodziowym. Jednocześnie wskazują, że opóźnienie upublicznienia aPGW w stosunku do konsultacji aPZRP wymusza powtórzenie spotkań konsultacyjnych tych ostatnich. Brak wiedzy na temat stanu wód, celów środowiskowych i działań ochronnych nie pozwalał ani na zaproponowanie zestawu przedsięwzięć oddziałujących negatywnie na stan wód, ani na rzetelne konsultacje społeczne. I tak – konsultacje aPZRP w Warszawie były 14 kwietnia, a dopiero w tym dniu upubliczniono dane IIaPGW – nie było szans się z nimi zapoznać. Czy spotkania konsultacyjne w aPZRP Krakowie, Rzeszowie, Warszawie będą powtórzone, a działania zweryfikowane?</w:t>
            </w:r>
          </w:p>
        </w:tc>
        <w:tc>
          <w:tcPr>
            <w:tcW w:w="3377" w:type="dxa"/>
            <w:shd w:val="clear" w:color="auto" w:fill="auto"/>
          </w:tcPr>
          <w:p w14:paraId="2D7BF8CA" w14:textId="51F9683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8041FCE" w14:textId="681F1C2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144E1CA" w14:textId="7F9BD3A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A96CA33" w14:textId="1F4E9A6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5D7F77C" w14:textId="258532F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Nie będą powtarzane spotkania konsultacyjne, ale nie będą z tego prostego powodu, że właśnie zmiana ustawy Prawo wodne nieco zmieniła okoliczności powstawania tych dokumentów: planów zarządzania ryzykiem powodziowym, planów przeciwdziałania skutkom suszy i planów gospodarowania wodami, ponieważ wprowadziło ocenę wodnoprawną i decyzje o środowiskowych uwarunkowaniach, które jak żeśmy mówili, to nie jest nowością, natomiast ocena wodnoprawna jest w określonych przypadkach zastępowana właśnie tą decyzją. W poprzedniej edycji jednym z ważniejszych wyzwań była ocena wpływu inwestycji na stan wód, tych planowanych inwestycji, przyznanie ewentualnie odstępstwa, zbadanie tej zasadności, możliwości przyznania odstępstwa z art. 4.7 RDW i zapewnienie spójności planu zarządzania ryzykiem powodziowym i planu gospodarowania wodami, ponieważ pamiętaliśmy, że w uproszczony sposób mówiąc: czego nie ma w planach gospodarowania wodami tego nie ma w systemie gospodarki wodnej i nie będzie mogło być realizowane. Reforma i nowa ustawa Prawo wodne wprowadziła mechanizm możliwości realizacji inwestycji w cyklu wodnym, pod warunkiem zdobycia (mówimy tu o inwestycjach mogących zagrozić celom środowiskowym) deklaracji z oceny wodnoprawnej. Wobec czego spotkania konsultacyjne dotyczące planów przeciwdziałania skutkom suszy, czy planów zarządzania ryzykiem powodziowym są ukierunkowane na problem, którego rozwiązaniu mają te plany służyć. Na tych spotkaniach i w tych planach szukamy informacji jaki zestaw działań będzie najskuteczniejszy dla tego właśnie celu, dla ochrony przed powodzią, bądź ochrony przed suszą. Plany gospodarowania wodami natomiast, to jest dokument, który w tym cyklu przy obecnie obowiązującym prawie pokazuje zestawienie tych przedsięwzięć, które spełniają wymagania dotyczące derogacji, przedsięwzięć o potencjalnie negatywnym wpływie na cele środowiskowe. Natomiast my tutaj już nie oceniamy ich zasadności, to się dzieje tam w tamtych dokumentach. Z drugiej strony w planach zarządzania ryzykiem powodziowym jest w prawdzie ten element środowiskowy, on jest zrobiony z powodów dokładności - chcieliśmy wiedzieć również jak będzie wyglądał wpływ danych inwestycji na środowisko. Natomiast to nie PZRP rozstrzyga o tym czy deklaracja zgodności jest czy nie. Czyli nie ma konieczności zapewnienia tej spójności między trzema dokumentami, ponieważ inne jest ich miejsce i inna rola, zwłaszcza planów gospodarowania wodami przy tym mechanizmie oceny wodnoprawnej. Tym się różni nasza obecna rzeczywistość od tego do czego się przyzwyczailiśmy. Czyli tego co myśmy nazywali takim wodnym googlem. Jak coś nie ma w googlu to nie istnieje w internecie, podobnie mieliśmy tutaj przeświadczenie w planach gospodarowania wodami: jak inwestycji w planach nie ma, to znaczy, że jej nie ma. Nie, w tym systemie obecnie wygląda to nieco inaczej.</w:t>
            </w:r>
          </w:p>
        </w:tc>
      </w:tr>
      <w:tr w:rsidR="00E92AE6" w:rsidRPr="005E78BB" w14:paraId="38A83010" w14:textId="77777777" w:rsidTr="00E92AE6">
        <w:trPr>
          <w:trHeight w:val="454"/>
        </w:trPr>
        <w:tc>
          <w:tcPr>
            <w:tcW w:w="562" w:type="dxa"/>
            <w:shd w:val="clear" w:color="auto" w:fill="auto"/>
          </w:tcPr>
          <w:p w14:paraId="60ABED37" w14:textId="5DFE4723"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825</w:t>
            </w:r>
          </w:p>
        </w:tc>
        <w:tc>
          <w:tcPr>
            <w:tcW w:w="1021" w:type="dxa"/>
            <w:tcBorders>
              <w:top w:val="single" w:sz="4" w:space="0" w:color="auto"/>
              <w:left w:val="nil"/>
              <w:bottom w:val="single" w:sz="4" w:space="0" w:color="auto"/>
              <w:right w:val="nil"/>
            </w:tcBorders>
            <w:shd w:val="clear" w:color="auto" w:fill="auto"/>
          </w:tcPr>
          <w:p w14:paraId="363B7217" w14:textId="41C9535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3D74A019" w14:textId="7E9D52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E2EA5E4" w14:textId="7468A9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Informacje przekazane na tym spotkaniu bezpośrednio wskazują na konieczność powtórzenia analizy działań z programu Stop suszy i aktualizacji planów zarządzania ryzykiem powodziowym. Jednocześnie wskazują, że opóźnienie upublicznienia aPGW w stosunku do konsultacji aPZRP wymusza powtórzenie spotkań konsultacyjnych tych ostatnich. Brak wiedzy na temat stanu wód, celów środowiskowych i działań ochronnych nie pozwalał ani na zaproponowanie zestawu przedsięwzięć oddziałujących negatywnie na stan wód, ani na rzetelne konsultacje społeczne. I tak – konsultacje aPZRP w Warszawie były 14 kwietnia, a dopiero w tym dniu upubliczniono dane IIaPGW – nie było szans się z nimi zapoznać. Czy spotkania konsultacyjne w aPZRP Krakowie, Rzeszowie, Warszawie będą powtórzone, a działania zweryfikowane?</w:t>
            </w:r>
            <w:r w:rsidRPr="00825321">
              <w:rPr>
                <w:rFonts w:eastAsia="Times New Roman" w:cstheme="minorHAnsi"/>
                <w:color w:val="000000"/>
                <w:sz w:val="18"/>
                <w:szCs w:val="18"/>
                <w:lang w:eastAsia="pl-PL"/>
              </w:rPr>
              <w:br w:type="page"/>
            </w:r>
          </w:p>
        </w:tc>
        <w:tc>
          <w:tcPr>
            <w:tcW w:w="3377" w:type="dxa"/>
            <w:shd w:val="clear" w:color="auto" w:fill="auto"/>
          </w:tcPr>
          <w:p w14:paraId="1E9EE842" w14:textId="6E32EE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140E9F1" w14:textId="32FEDDA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25BA4B5" w14:textId="18142B2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0CA8BA5" w14:textId="0201CCC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55C1542" w14:textId="1A19E95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Nie będą powtarzane spotkania konsultacyjne, ale nie będą z tego prostego powodu, że właśnie zmiana ustawy Prawo wodne nieco zmieniła okoliczności powstawania tych dokumentów: planów zarządzania ryzykiem powodziowym, planów przeciwdziałania skutkom suszy i planów gospodarowania wodami, ponieważ wprowadziło ocenę wodnoprawną i decyzje o środowiskowych uwarunkowaniach, które jak żeśmy mówili, to nie jest nowością, natomiast ocena wodnoprawna jest w określonych przypadkach zastępowana właśnie tą decyzją. W poprzedniej edycji jednym z ważniejszych wyzwań była ocena wpływu inwestycji na stan wód, tych planowanych inwestycji, przyznanie ewentualnie odstępstwa, zbadanie tej zasadności, możliwości przyznania odstępstwa z art. 4.7 RDW i zapewnienie spójności planu zarządzania ryzykiem powodziowym i planu gospodarowania wodami, ponieważ pamiętaliśmy, że w uproszczony sposób mówiąc: czego nie ma w planach gospodarowania wodami tego nie ma w systemie gospodarki wodnej i nie będzie mogło być realizowane. Reforma i nowa ustawa Prawo wodne wprowadziła mechanizm możliwości realizacji inwestycji w cyklu wodnym, pod warunkiem zdobycia (mówimy tu o inwestycjach mogących zagrozić celom środowiskowym) deklaracji z oceny wodnoprawnej. Wobec czego spotkania konsultacyjne dotyczące planów przeciwdziałania skutkom suszy, czy planów zarządzania ryzykiem powodziowym są ukierunkowane na problem, którego rozwiązaniu mają te plany służyć. Na tych spotkaniach i w tych planach szukamy informacji jaki zestaw działań będzie najskuteczniejszy dla tego właśnie celu, dla ochrony przed powodzią, bądź ochrony przed suszą. Plany gospodarowania wodami natomiast, to jest dokument, który w tym cyklu przy obecnie obowiązującym prawie pokazuje zestawienie tych przedsięwzięć, które spełniają wymagania dotyczące derogacji, przedsięwzięć o potencjalnie negatywnym wpływie na cele środowiskowe. Natomiast my tutaj już nie oceniamy ich zasadności, to się dzieje tam w tamtych dokumentach. Z drugiej strony w planach zarządzania ryzykiem powodziowym jest w prawdzie ten element środowiskowy, on jest zrobiony z powodów dokładności - chcieliśmy wiedzieć również jak będzie wyglądał wpływ danych inwestycji na środowisko. Natomiast to nie PZRP rozstrzyga o tym czy deklaracja zgodności jest czy nie. Czyli nie ma konieczności zapewnienia tej spójności między trzema dokumentami, ponieważ inne jest ich miejsce i inna rola, zwłaszcza planów gospodarowania wodami przy tym mechanizmie oceny wodnoprawnej. Tym się różni nasza obecna rzeczywistość od tego do czego się przyzwyczailiśmy. Czyli tego co myśmy nazywali takim wodnym googlem. Jak coś nie ma w googlu to nie istnieje w internecie, podobnie mieliśmy tutaj przeświadczenie w planach gospodarowania wodami: jak inwestycji w planach nie ma, to znaczy, że jej nie ma. Nie, w tym systemie obecnie wygląda to nieco inaczej.</w:t>
            </w:r>
          </w:p>
        </w:tc>
      </w:tr>
      <w:tr w:rsidR="00E92AE6" w:rsidRPr="005E78BB" w14:paraId="1128D63B" w14:textId="77777777" w:rsidTr="00E92AE6">
        <w:trPr>
          <w:trHeight w:val="454"/>
        </w:trPr>
        <w:tc>
          <w:tcPr>
            <w:tcW w:w="562" w:type="dxa"/>
            <w:shd w:val="clear" w:color="auto" w:fill="auto"/>
          </w:tcPr>
          <w:p w14:paraId="79B6E6FF" w14:textId="5C4C304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826</w:t>
            </w:r>
          </w:p>
        </w:tc>
        <w:tc>
          <w:tcPr>
            <w:tcW w:w="1021" w:type="dxa"/>
            <w:tcBorders>
              <w:top w:val="single" w:sz="4" w:space="0" w:color="auto"/>
              <w:left w:val="nil"/>
              <w:bottom w:val="single" w:sz="4" w:space="0" w:color="auto"/>
              <w:right w:val="nil"/>
            </w:tcBorders>
            <w:shd w:val="clear" w:color="auto" w:fill="auto"/>
          </w:tcPr>
          <w:p w14:paraId="602A18D4" w14:textId="639048AA"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4A1193D2" w14:textId="2654436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F60AE57" w14:textId="09A986D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Szanowni Państwo, mam pytanie techniczne odnośnie rejestracji na konsultacje. Najpierw można było zarejestrować się do 14 maja, potem poinformowano na stronie spotkania, że można rejestrować się do ostatniego dnia roboczego poprzedzającego spotkanie (czyli do poniedziałku), a w poniedziałek okazało się, że można było tylko do przedostatniego dnia roboczego... Ja zapisałem się w niedzielę, a wielu ludzi chciało zapisać się w poniedziałek. Takie zmiany są bardzo nie w porządku. Jaki jest docelowy model rejestracji?</w:t>
            </w:r>
          </w:p>
        </w:tc>
        <w:tc>
          <w:tcPr>
            <w:tcW w:w="3377" w:type="dxa"/>
            <w:shd w:val="clear" w:color="auto" w:fill="auto"/>
          </w:tcPr>
          <w:p w14:paraId="5B0D0B48" w14:textId="47A63B6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E76B488" w14:textId="4F417D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AF8840C" w14:textId="58C83D8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AEE9481" w14:textId="6F18F8B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DC3F207" w14:textId="2C0B1E2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Zgłoszona uwaga dotyczy technicznych kwestii rejestracji na spotkania, a nie treści konsultowanych dokumentów. Odpowiedź udzielona została podczas spotkania konsultacyjnego, na którym pytanie zostało zadane.</w:t>
            </w:r>
          </w:p>
        </w:tc>
      </w:tr>
      <w:tr w:rsidR="00E92AE6" w:rsidRPr="005E78BB" w14:paraId="583884C7" w14:textId="77777777" w:rsidTr="00E92AE6">
        <w:trPr>
          <w:trHeight w:val="454"/>
        </w:trPr>
        <w:tc>
          <w:tcPr>
            <w:tcW w:w="562" w:type="dxa"/>
            <w:shd w:val="clear" w:color="auto" w:fill="auto"/>
          </w:tcPr>
          <w:p w14:paraId="7CF37423" w14:textId="742C849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827</w:t>
            </w:r>
          </w:p>
        </w:tc>
        <w:tc>
          <w:tcPr>
            <w:tcW w:w="1021" w:type="dxa"/>
            <w:tcBorders>
              <w:top w:val="single" w:sz="4" w:space="0" w:color="auto"/>
              <w:left w:val="nil"/>
              <w:bottom w:val="single" w:sz="4" w:space="0" w:color="auto"/>
              <w:right w:val="nil"/>
            </w:tcBorders>
            <w:shd w:val="clear" w:color="auto" w:fill="auto"/>
          </w:tcPr>
          <w:p w14:paraId="174B3958" w14:textId="314083D7"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09FF80D9" w14:textId="4483D4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9FEBE87" w14:textId="108125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Wody Polskie udostępniają kompletny wykaz danych źródłowych, które znalazły się dane aPGW? Dyrektor Gruszecki mówił w Warszawie, że nie ma geobazy, ale są dane GIS. Te dane są niezbędne do konsultacji - załączone mapy są nieczytelne - dane zbyt szczegółowe. Część dokumentów źródłowych jest na slajdzie, ale nie wiadomo co zawierają i czy jakieś zmiany wprowadzono w samych Wodach Polskich.</w:t>
            </w:r>
          </w:p>
        </w:tc>
        <w:tc>
          <w:tcPr>
            <w:tcW w:w="3377" w:type="dxa"/>
            <w:shd w:val="clear" w:color="auto" w:fill="auto"/>
          </w:tcPr>
          <w:p w14:paraId="2CE015A3" w14:textId="45890A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BAAEAD4" w14:textId="356695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6FF8DF9" w14:textId="1484EBE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276" w:type="dxa"/>
            <w:shd w:val="clear" w:color="auto" w:fill="auto"/>
          </w:tcPr>
          <w:p w14:paraId="24F663D3" w14:textId="418FF67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B604B61" w14:textId="4AEEED3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Część kompozycji mapowych, które państwo widzą w dokumencie, była generowana specjalnie do poszczególnych rozdziałów czy załączników planów gospodarowania wodami. Myśmy celowo nie udostępniali danych źródłowych, żeby uniknąć pokus ze strony opiniujących do zgłaszania uwag do dokumentów źródłowych, do metodyk, do wyników prac, które realizowaliśmy przez ostatnie lata. One były również konsultowane, organizowane były konferencje dotyczące poszczególnych prac nad dokumentacjami planistycznymi. W tej chwili prosimy państwa o opinie dotyczące stricte planów gospodarowania wodami, z tego powodu dokumentów źródłowych nie udostępniamy razem z planami gospodarowania wodami. Natomiast wszystkim zainteresowanym, którzy zgłoszą się drogą mailową do nas, bądź korzystając z formularza na stronie internetowej Wód Polskich będziemy dane udostępniali.</w:t>
            </w:r>
          </w:p>
        </w:tc>
      </w:tr>
      <w:tr w:rsidR="00E92AE6" w:rsidRPr="005E78BB" w14:paraId="779C8401" w14:textId="77777777" w:rsidTr="00E92AE6">
        <w:trPr>
          <w:trHeight w:val="454"/>
        </w:trPr>
        <w:tc>
          <w:tcPr>
            <w:tcW w:w="562" w:type="dxa"/>
            <w:shd w:val="clear" w:color="auto" w:fill="auto"/>
          </w:tcPr>
          <w:p w14:paraId="59577ACA" w14:textId="060944C0"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828</w:t>
            </w:r>
          </w:p>
        </w:tc>
        <w:tc>
          <w:tcPr>
            <w:tcW w:w="1021" w:type="dxa"/>
            <w:tcBorders>
              <w:top w:val="single" w:sz="4" w:space="0" w:color="auto"/>
              <w:left w:val="nil"/>
              <w:bottom w:val="single" w:sz="4" w:space="0" w:color="auto"/>
              <w:right w:val="nil"/>
            </w:tcBorders>
            <w:shd w:val="clear" w:color="auto" w:fill="auto"/>
          </w:tcPr>
          <w:p w14:paraId="27DD223F" w14:textId="130EA008"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20655187" w14:textId="5F0FBB4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9F57884" w14:textId="798FC8D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Prolongacji działań z aPGW (aPWŚK) w ramach udrożnienia budowli nie dostało wiele obiektów. W tym na Wiernej Rzece, Czarnej Nidzie i innych dopływach Nidy. Zastosowano wybitnie niejasną metodykę wyłączającą działania udrożnieniowe. Proszę wytłumaczyć dlaczego zrezygnowano z udrożnień barier migracyjnych i czy mają związek z inwestycjami aPGW/PZRP/aPZRP/PPSS np. budowa zbiornika Wierna Rzeka?</w:t>
            </w:r>
          </w:p>
        </w:tc>
        <w:tc>
          <w:tcPr>
            <w:tcW w:w="3377" w:type="dxa"/>
            <w:shd w:val="clear" w:color="auto" w:fill="auto"/>
          </w:tcPr>
          <w:p w14:paraId="091D3CF1" w14:textId="1C18AF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1B7ACFD" w14:textId="7A073D1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E742BAB" w14:textId="06FF49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9BC1D16" w14:textId="4B0F942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10B47FEE" w14:textId="638CD69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podczas spotkania konsultacyjnego.</w:t>
            </w:r>
            <w:r w:rsidRPr="00825321">
              <w:rPr>
                <w:rFonts w:eastAsia="Times New Roman" w:cstheme="minorHAnsi"/>
                <w:color w:val="000000"/>
                <w:sz w:val="18"/>
                <w:szCs w:val="18"/>
                <w:lang w:eastAsia="pl-PL"/>
              </w:rPr>
              <w:br/>
              <w:t xml:space="preserve">Jeżeli chodzi o działania udrożnieniowe, tak jak już wspominałam w wcześniejszych wystąpieniach, analizowaliśmy dokumenty, które były wskazywane w tym cyklu planistycznym, czyli między innymi aPWŚK, w których zawartych było szereg działań, o które jest pytanie, czyli działań udrożnieniowych skierowanych na likwidację budowli piętrzących. Większość tych działań częściowo została zrealizowana, częściowo nie została zrealizowana. Na potrzeby budowy zestawów działań IIaPGW, korzystaliśmy ze statusów realizacji tych działań, które były efektem pracy, podsumowania stopnia realizacji całego projektu aPWŚK. I w oparciu o te informacje, dla działań, które miały w swoim statusie wskazane, że są działaniami zakończonymi, nie rozważaliśmy już w kolejnych etapach prolongacji tego działania. Natomiast nie znaczy to, że działania udrożnieniowe dla tych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nie znalazły się w zestawach działań. W uwadze mowa jest o ciekach, dla których tak naprawdę, dla wszystkich z wymienionych w pytaniach, działania z zakresu udrożnienia są uwzględnione w zestawach działań włącznie z działaniami technicznymi. IIaPGW zawiera ponad 2800 działań ukeirunkowanych na zapewnienie drożności cieków z czego 11% stanowią działania prolongowane z aPWŚK. Więc mam taką prośbę, żeby zapoznać się z załącznikiem dotyczącym zestawu działań, gdzie dodatkowo wskazane są działania dedykowane stricte budowlom i ciągłości biologicznej, czyli działania HM 01.05; czy 02. 01. To są działania, które w pierwszej części mają weryfikację sposobu możliwości udrożnienia danej budowli i przystosowania jej do wymogów budowli pro ekologicznych z realizacją tego działania. Kolejnym elementem jest również załacznik do zestawu działań tzw. wykaz budowli. Tam znalazło się ponad 5000 budowli, dla których są wskazane konkretne działania. W przypadku, kiedy identyfikowaliśmy, że dana budowla ma przepławkę, a nie było informacji jak ona funkcjonuje, przypisywano działanie, które ma na celu wskazanie skuteczności tej przepławki. Jeżeli państwo - i tutaj apeluję do wszystkich uczestników dzisiejszego spotkania i generalnie konsultacji społecznych, jeżeli państwo zapoznacie się z tym wykazem i okaże się, że jakiejś budowli tam nie ma, albo macie państwo wiedzę, że przepławka, która jest w tej budowli nie funkcjonuje, to jest to dla nas bardzo cenna informacja stanowiąca uzupełnienie zgromadzonych informacji. Tak jak powiedziałam, wykonywaliśmy na potrzeby akurat tego działania ankietyzację, natomiast zwrot ankiet i informacje, które otrzymaliśmy też były w jakiś sposób niepełne w 100%, nie dotyczyły wszystkich budowli. Zespół dodatkowo weryfikował bazy danych dotyczące budowli piętrzących na ortofotomapach, czyli tutaj cała praca również została wykonana w oparciu o materiały kartograficzne, natomiast państwo jesteście posiadaczami również tych informacji, które nam są potrzebne. I właśnie konsultacje społeczne służą między innymi temu, żeby właśnie wskazywać między innymi budowle, które zostały w jakiś sposób pominięte, bo tak naprawdę dla tych jednolitych części wód, o których mowa, cele środowiskowe wskazują, że konieczne jest przywrócenie ciągłości biologicznej i te działania zawarte są w tych zestawach działań. Co więcej wskazane są tak, jak już wspomniałam w wykazie tych budowli, konkretne budowle, ich lokalizacja, przypisane działanie. Jeżeli państwo nie znajdziecie tam działań, chociażby wskazywanych we wcześniejszych projektach między innymi aPWŚK, a macie wiedzę na temat danej budowli i tego, że powiedzmy ona stanowi obiekt uciążliwy, my oczywiście na poziomie eksperckim zweryfikujemy te informacje i jak najbardziej we wszystkich zasadnych przypadkach, te działania zostaną włączone. Podkreślam jeszcze raz, że dla wspomnianych cieków działania techniczne, które polegają zarówno na rozbiórce, przebudowie tych budowli piętrzących, zawarły się. One się już nie nazywają tak, jak wcześniej aPWŚK, mają troszeczkę szerszą nazwę, ale to wynika z tego, że tak jak powiedziałam na poziomie tworzenia zestawów działań nie byliśmy w stanie zejść do pojedynczych budowli, by wskazać od razu możliwość techniczną przebudowy; czy to ma być przepławka, czy to ma być rozbiórka, przebudowa na bystrze. Tutaj potrzebny jest pierwszy element: analiza możliwości, weryfikacja całej zasadności plus ten drugi, czyli wdrożenie tego działania technicznego. Tu oczywiście też były wskazywane podmioty, które są odpowiedzialne za realizację, które gospodarują daną budowlą. Więc jeżeli państwo macie takie dane, że jakiś obiekt nie znalazł się w tym wykazie, bądź znalazł się, ale jego działanie powiedzmy nie do końca odpowiada temu, co rzeczywiście powinno się znaleźć, to dla nas będzie bardzo cenna informacja, bo jesteśmy w stanie sprecyzować to działanie i już bardzo uszczegółowić. Tak, że bardzo bym prosiła o takie informacje na formularzach zgłoszeniowych i zespół ekspertów, który tutaj budował te zestawy dla ciągłości, jak najbardziej będzie te działania analizował.</w:t>
            </w:r>
          </w:p>
        </w:tc>
      </w:tr>
      <w:tr w:rsidR="00E92AE6" w:rsidRPr="005E78BB" w14:paraId="5BA187CA" w14:textId="77777777" w:rsidTr="00E92AE6">
        <w:trPr>
          <w:trHeight w:val="454"/>
        </w:trPr>
        <w:tc>
          <w:tcPr>
            <w:tcW w:w="562" w:type="dxa"/>
            <w:shd w:val="clear" w:color="auto" w:fill="auto"/>
          </w:tcPr>
          <w:p w14:paraId="2EFAD146" w14:textId="085938A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829</w:t>
            </w:r>
          </w:p>
        </w:tc>
        <w:tc>
          <w:tcPr>
            <w:tcW w:w="1021" w:type="dxa"/>
            <w:tcBorders>
              <w:top w:val="single" w:sz="4" w:space="0" w:color="auto"/>
              <w:left w:val="nil"/>
              <w:bottom w:val="single" w:sz="4" w:space="0" w:color="auto"/>
              <w:right w:val="nil"/>
            </w:tcBorders>
            <w:shd w:val="clear" w:color="auto" w:fill="auto"/>
          </w:tcPr>
          <w:p w14:paraId="2E28230C" w14:textId="331E0CFA"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63922C75" w14:textId="76C3207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9C07664" w14:textId="36C1ED3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Odstępstwa można przyjąć, jeśli nie można za pomocą innych środków (działań), sprawić aby ten cel był osiągnięty. Nie można sobie tak na wszelki wypadek założyć odstępstwa z art. 4.4 czy 4.5. </w:t>
            </w:r>
            <w:r w:rsidRPr="00825321">
              <w:rPr>
                <w:rFonts w:eastAsia="Times New Roman" w:cstheme="minorHAnsi"/>
                <w:color w:val="000000"/>
                <w:sz w:val="18"/>
                <w:szCs w:val="18"/>
                <w:lang w:eastAsia="pl-PL"/>
              </w:rPr>
              <w:br w:type="page"/>
              <w:t>Może ambitniej z działaniami, w tym w zlewni, a nie przyjmować z góry że nie da się &amp;#34;opanować&amp;#34; danej presji - np. hydromorfologicznej?</w:t>
            </w:r>
          </w:p>
        </w:tc>
        <w:tc>
          <w:tcPr>
            <w:tcW w:w="3377" w:type="dxa"/>
            <w:shd w:val="clear" w:color="auto" w:fill="auto"/>
          </w:tcPr>
          <w:p w14:paraId="678ADE20" w14:textId="48B75D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5785EF2" w14:textId="3D8273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5DF4448" w14:textId="0AB664F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14B33E1" w14:textId="333366C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D1221A5" w14:textId="55FAAC9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Dla możliwości przypisania odstępstwa od osiągnięcia celów środowiskowych jcw konieczne jest spełnienie przesłanek (zgodnie z RDW) dla jego wskazania oraz przedstawienia uzasadnienia wykazującego przeprowadzenie wymaganych analiz i spełnianie przesłanek dla odstępstwa. Przesłanki dla przypisania odstępstwa wynikają z RDW, ale sposób jego przypisania został metodycznie opracowany dla każdej grupy przypadków. W ramach IIaPGW każde odstępstwo zostało uzasadnione w oparciu o ustalenia przeprowadzonych prac w zakresie analizy znaczących oddziaływań antropogenicznych, danych o stanie wód i danych z procesu wyznaczania sztucznych oraz silnie zmienionych części wód. Nie ma zatem możliwości przypisania odstępstw dla jcw w przypadku możliwości osiągnięcia celów środowiskowych przy zastosowaniu działań naprawczych (odpowiadających zidentyfikowanym presjom, efektywnych, realnych do realizacji w zakładanym czasie - zarówno pod względem technicznym, jak i ekonomicznym).</w:t>
            </w:r>
          </w:p>
        </w:tc>
      </w:tr>
      <w:tr w:rsidR="00E92AE6" w:rsidRPr="005E78BB" w14:paraId="194A9A0B" w14:textId="77777777" w:rsidTr="00E92AE6">
        <w:trPr>
          <w:trHeight w:val="454"/>
        </w:trPr>
        <w:tc>
          <w:tcPr>
            <w:tcW w:w="562" w:type="dxa"/>
            <w:shd w:val="clear" w:color="auto" w:fill="auto"/>
          </w:tcPr>
          <w:p w14:paraId="02F22093" w14:textId="77E4C82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830</w:t>
            </w:r>
          </w:p>
        </w:tc>
        <w:tc>
          <w:tcPr>
            <w:tcW w:w="1021" w:type="dxa"/>
            <w:tcBorders>
              <w:top w:val="single" w:sz="4" w:space="0" w:color="auto"/>
              <w:left w:val="nil"/>
              <w:bottom w:val="single" w:sz="4" w:space="0" w:color="auto"/>
              <w:right w:val="nil"/>
            </w:tcBorders>
            <w:shd w:val="clear" w:color="auto" w:fill="auto"/>
          </w:tcPr>
          <w:p w14:paraId="139416AF" w14:textId="22E4A3E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0FA7A0FA" w14:textId="56568CC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CD7523D" w14:textId="516435D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Pan Okrasiński mówi o wytycznych Komisji Europejskiej dotyczący ustalania odstępstw. Wody Polskie w serwisie www.apgw.gov.pl nie pomagają jednak w dotarciu do konkretnych wytycznych. Czy Wody Polskie zamierzają ułatwić obywatelom dotarcie do tych wytycznych, jeśli nie omawia ich na spotkaniach konsultacyjnych?</w:t>
            </w:r>
          </w:p>
        </w:tc>
        <w:tc>
          <w:tcPr>
            <w:tcW w:w="3377" w:type="dxa"/>
            <w:shd w:val="clear" w:color="auto" w:fill="auto"/>
          </w:tcPr>
          <w:p w14:paraId="5B7AC992" w14:textId="0C71664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093D6F6" w14:textId="756C582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2AA4495" w14:textId="124C4C6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915B7DC" w14:textId="0CBB33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13B4172" w14:textId="04B0ED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Tych wytycznych jest, o ile dobrze pamiętam, kilkadziesiąt.</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38 podręczników plus dokumenty dodatkowe, gdzie rozumiem, że to jest pytanie trochę przewrotne, bo dla obywateli w takim potocznym ujęciu, te wytyczne będą zupełnie niezrozumiałe. Natomiast mówimy o dokumentach, które są wytycznymi – to jest pewna wizja zespołów roboczych, działających przy Komisji Europejskiej, czyli wizja państw, dotycząca tego, jak rozumieć poszczególne artykuły Ramowej Dyrektywy Wodnej. Nie mają one charakteru aktu prawnego, nie są prawnie obowiązujące, natomiast dają pewną wskazówkę, listę wskazówek. Czasem mnożą pytania bardziej niż pomagają, nie mniej jednak są swego rodzaju pomocą w interpretacji tego, co się kryje za sformułowaniami w Dyrektywie. Dlaczego Wody Polskie ich nie udostępniają? Po pierwsze: nie jesteśmy dysponentem tych dokumentów – one są tylko w języku angielskim, istnieją tłumaczenia niektórych z nich na język polski, ale nie jest to oficjalne tłumaczenie (takim nie dysponujemy), oficjalnym, które by miało zatwierdzenie czy aprobatę ze strony Komisji Europejskiej. Udostępnianie dokumentów w języku angielskim uznaliśmy za krok bardziej być może wywołujący późniejsze kpiny, czy negatywne komentarze, niż zachwyty. Dokumenty te są wszystkie dostępne w internecie – publicznie dostępne na serwisach Komisji Europejskiej, na stronie internetowej o dość dziwacznej nazwie – jest to akronim – CIRCABC, więc można wpisać ten skrót w wyszukiwarkę i powinien się pokazać jako pierwszy link do strony Komisji, później trzeba metodą kolejnych kroków znaleźć Ramową Dyrektywę Wodną – najpierw środowisko, później wody, Ramowa Dyrektywa Wodna i już jesteśmy w bibliotece, albo poprzez sformułowanie po angielsku: „opublikowane wytyczne do Ramowej Dyrektywy Wodnej” i wówczas powinno się udać. Gdyby Państwu ta ścieżka się nie udała z jakichś powodów, bo mam świadomość, że dla tych, którzy nie korzystają z tych dokumentów czy zasobów ze strony internetowej, to dotarcie może nie być wcale tak instynktowne jakby się wydawało dla nas – to prośba o mail i podzielimy się z przyjemnością adresem tego zasobu Komisji.</w:t>
            </w:r>
          </w:p>
        </w:tc>
      </w:tr>
      <w:tr w:rsidR="00E92AE6" w:rsidRPr="005E78BB" w14:paraId="77256C78" w14:textId="77777777" w:rsidTr="00E92AE6">
        <w:trPr>
          <w:trHeight w:val="454"/>
        </w:trPr>
        <w:tc>
          <w:tcPr>
            <w:tcW w:w="562" w:type="dxa"/>
            <w:shd w:val="clear" w:color="auto" w:fill="auto"/>
          </w:tcPr>
          <w:p w14:paraId="69DB5D7F" w14:textId="6BA1666B"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831</w:t>
            </w:r>
          </w:p>
        </w:tc>
        <w:tc>
          <w:tcPr>
            <w:tcW w:w="1021" w:type="dxa"/>
            <w:tcBorders>
              <w:top w:val="single" w:sz="4" w:space="0" w:color="auto"/>
              <w:left w:val="nil"/>
              <w:bottom w:val="single" w:sz="4" w:space="0" w:color="auto"/>
              <w:right w:val="nil"/>
            </w:tcBorders>
            <w:shd w:val="clear" w:color="auto" w:fill="auto"/>
          </w:tcPr>
          <w:p w14:paraId="5D4E7E9C" w14:textId="3870503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Główny Inspektorat Ochrony Środowiska</w:t>
            </w:r>
          </w:p>
        </w:tc>
        <w:tc>
          <w:tcPr>
            <w:tcW w:w="1630" w:type="dxa"/>
            <w:shd w:val="clear" w:color="auto" w:fill="auto"/>
          </w:tcPr>
          <w:p w14:paraId="270633FE" w14:textId="67FA39E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4055624" w14:textId="3A92A6B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II aPGW wyznaczone są do monitorowania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suche, okresowe, starorzecza z wodą stojącą. Czy takie cieki muszą być planowane do badań monitoringowych? Jak wykluczać je z badań 2022-2027? Czy powstanie wykaz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które ze względu na ww. warunki nie będą planowane do monitorowania i badania.</w:t>
            </w:r>
          </w:p>
        </w:tc>
        <w:tc>
          <w:tcPr>
            <w:tcW w:w="3377" w:type="dxa"/>
            <w:shd w:val="clear" w:color="auto" w:fill="auto"/>
          </w:tcPr>
          <w:p w14:paraId="4BC665C4" w14:textId="2141AD6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53ADD02" w14:textId="6FA53A5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E3D502D" w14:textId="141B916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1397589" w14:textId="128EB99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45EE288" w14:textId="0871ACA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W planach gospodarowania wodami prezentujemy program monitoringu, który posłużył do danych, które następnie były wykorzystywane na potrzeby dokumentacji planistycznych (zrealizowany program monitoringu obowiązujący w poprzednim cyklu planistycznym) oraz plan monitoringu na przyszłość (program założony i planowany na 2022-2027).</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Mówimy o Państwowym Monitoringu Środowiska, który ma swój własny kalendarz, ma rozporządzenie w detalach regulujące zasady wyboru jednolitych części wód do monitorowania, zasady lokalizacji punktów, tworzenia kolejnych kombinacji programów monitoringów w zależności od kategorii i typu jednolitej części wód. To co jest w planach gospodarowania wodami bazuje na założeniach z Głównego Inspektoratu Ochrony Środowiska i własnej wiedzy. Natomiast Państwowy Monitoring Środowiska i szczegóły dotyczące tego, co monitorować i gdzie, musi być zatwierdzany zgodnie ze sztuką i myślę, że do tematu jak w praktyce się ten monitoring zmaterializuje, to ta dyskusja przed nami i będziemy dopiero układać Państwowy Monitoring Środowiska w zakresie monitoringu wód powierzchniowych do nowego układu jednolitych części wód. Musimy też pamiętać, że istniejąca sieć i ewentualne nasze sugestie zawarte w planach nie są oparte na eksperckiej wizji monitoringu w nowym układzie jednolitych części wód i w nowej typologii. Tutaj nie rościmy sobie kompetencji do tego, z pewnością będziemy współpracować z Głównym Inspektoratem, żeby monitoring był jak najlepszy no i też logiczny.</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Odpowiedź uzupełniająca.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Zgodnie z wymaganym zakresem dla aktualizacji planu gospodarowania wodami IIaPGW prezentuje m.in. informacje dotyczące obowiązującej sieci monitoringu - obowiązującej w okresie poprzedniegp cyklu planistycznego podsumowywanego w IIaPGW. Monitoring, w tym ustalenia sieci monitoirngu, to obszary odpowiedzialności GIOŚ, IIaPGW nie jest dokumentem ustalającym sieć monioringu. W ramach IIaPGW przedstawione zostają również informacje o planowanej sieci na lata 2022-2027, która ostatecznie ustalana jest przez GIOŚ przy wykorzystaniu informacji pozyskanych ze zrealizowanych projektów, w tym Analiza znaczących oddziaływań antropogenicznych. Informacje dotyczące jcw ze zidentyfikowanym zanikiem przepływu są również gromadzone przez GIOŚ.</w:t>
            </w:r>
          </w:p>
        </w:tc>
      </w:tr>
      <w:tr w:rsidR="00E92AE6" w:rsidRPr="005E78BB" w14:paraId="306BACED" w14:textId="77777777" w:rsidTr="00E92AE6">
        <w:trPr>
          <w:trHeight w:val="454"/>
        </w:trPr>
        <w:tc>
          <w:tcPr>
            <w:tcW w:w="562" w:type="dxa"/>
            <w:shd w:val="clear" w:color="auto" w:fill="auto"/>
          </w:tcPr>
          <w:p w14:paraId="3F029FAB" w14:textId="6FBF016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832</w:t>
            </w:r>
          </w:p>
        </w:tc>
        <w:tc>
          <w:tcPr>
            <w:tcW w:w="1021" w:type="dxa"/>
            <w:tcBorders>
              <w:top w:val="single" w:sz="4" w:space="0" w:color="auto"/>
              <w:left w:val="nil"/>
              <w:bottom w:val="single" w:sz="4" w:space="0" w:color="auto"/>
              <w:right w:val="nil"/>
            </w:tcBorders>
            <w:shd w:val="clear" w:color="auto" w:fill="auto"/>
          </w:tcPr>
          <w:p w14:paraId="0FA0925C" w14:textId="47C17D5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3696866C" w14:textId="4A83F92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7AFA1A5" w14:textId="43FAB33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Jeśli jest tak, że obecna lista działań z art. 4.7. obejmuje działania z poprzedniej aktualizacji pgw, które uzyskały prawomocne, ostateczne decyzje, to dlaczego dalej znajduje się tu inwestycja Budowa zbiornika wodnego Wierna Rzeka na Łososinie? GDOŚ uchylił decyzję środowiskową dla tego przedsięwzięcia, m.in. ze względu na podważalny cel przeciwpowodziowy i możliwy znaczący wpływ na stan/potencjał wód oraz cele dla obszarów chronionych oraz nieudowodnienie braku wariantów.</w:t>
            </w:r>
            <w:r w:rsidRPr="00825321">
              <w:rPr>
                <w:rFonts w:eastAsia="Times New Roman" w:cstheme="minorHAnsi"/>
                <w:color w:val="000000"/>
                <w:sz w:val="18"/>
                <w:szCs w:val="18"/>
                <w:lang w:eastAsia="pl-PL"/>
              </w:rPr>
              <w:br w:type="page"/>
            </w:r>
          </w:p>
        </w:tc>
        <w:tc>
          <w:tcPr>
            <w:tcW w:w="3377" w:type="dxa"/>
            <w:shd w:val="clear" w:color="auto" w:fill="auto"/>
          </w:tcPr>
          <w:p w14:paraId="37D90A90" w14:textId="03B977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C770511" w14:textId="7D2790D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D0A0CFC" w14:textId="00A6575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5A0CEAE" w14:textId="0BF9F06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525A65B" w14:textId="0E88F99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Proszę państwa, to znów dowód na to, że tego typu konsultacje społeczne są potrzebne. Potrzebujemy tego typu informacji, bo być może jest tak, że któreś z zagadnień nie zostało wyłapane. Ankietyzowaliśmy inwestorów pod kątem tego, czy inwestycje, co do których w 2016 r. uznano, że spełniają przesłanki artykułu 4.7 RDW, to czy nadal inwestycja jest planowana i czy przesłanki, które wtedy były wskazywane, są aktualne, czy coś się zmieniło wśród powodów, celów itd. Jeżeli podmioty odpowiedzialne za realizację tych przedsięwzięć potwierdzały, że inwestycja jest aktualna i że aktualne są przesłanki z 4.7 RDW, to było uznawane wówczas, że taka inwestycja znów powinna się znaleźć w aktualizacji Planów gospodarowania wodami. Natomiast wydaje się, że być może ponownie trzeba się pochylić nad tego typu sytuacją - Plan gospodarowania wodami sprzed kilku lat mówił, że przesłanki istnieją, a następnie w ramach pogłębionej analizy na etapie postępowania administracyjnego zostało to zweryfikowane i w wyniku tej analizy podejście zostało w jakiś sposób zweryfikowane i nie zostały powtórzone ustalenia tamtego Planu gospodarowania wodami - to wydaje się, że ponownie warto by było przeanalizować to zagadnienie. Proszę o zgłoszenie takiej uwagi w ramach formalnego procesu składania uwag i wniosków. Moim zdaniem jest to jedno z takich zagadnień, które wymagają ponownej weryfikacji.</w:t>
            </w:r>
          </w:p>
        </w:tc>
      </w:tr>
      <w:tr w:rsidR="00E92AE6" w:rsidRPr="005E78BB" w14:paraId="0EBA2E03" w14:textId="77777777" w:rsidTr="00E92AE6">
        <w:trPr>
          <w:trHeight w:val="454"/>
        </w:trPr>
        <w:tc>
          <w:tcPr>
            <w:tcW w:w="562" w:type="dxa"/>
            <w:shd w:val="clear" w:color="auto" w:fill="auto"/>
          </w:tcPr>
          <w:p w14:paraId="4FEBD227" w14:textId="38925A4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833</w:t>
            </w:r>
          </w:p>
        </w:tc>
        <w:tc>
          <w:tcPr>
            <w:tcW w:w="1021" w:type="dxa"/>
            <w:tcBorders>
              <w:top w:val="single" w:sz="4" w:space="0" w:color="auto"/>
              <w:left w:val="nil"/>
              <w:bottom w:val="single" w:sz="4" w:space="0" w:color="auto"/>
              <w:right w:val="nil"/>
            </w:tcBorders>
            <w:shd w:val="clear" w:color="auto" w:fill="auto"/>
          </w:tcPr>
          <w:p w14:paraId="226EC795" w14:textId="64F2FB2D"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 Związek Producentów Kruszyw</w:t>
            </w:r>
          </w:p>
        </w:tc>
        <w:tc>
          <w:tcPr>
            <w:tcW w:w="1630" w:type="dxa"/>
            <w:shd w:val="clear" w:color="auto" w:fill="auto"/>
          </w:tcPr>
          <w:p w14:paraId="4197D1D4" w14:textId="480600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8597BAB" w14:textId="07D1E9E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Proszę o wyjaśnienie zmiany podejścia do oceny stanu ilościowego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nr 101, o której mowa w załączniku 5.2 w kolumnie K. Czy ta zmiana wpłynie na funkcjonujące kopalnie surowców skalnych w rejonie tej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które stanowią bardzo ważne zaplecze surowcowe (kruszywa, przemysł cementowy, przemysł wapienniczy)? W aktualnym PGW stan ten określony jest jako słaby, wprowadzono cel mniej rygorystyczny (osiągnięcie celu w 2021 r. z zakazem pogarszania wód), który wyjaśniono brakiem możliwości technicznych ze względu na presje występujące w perspektywie czasowej do 2027 r. ). W IIaPGW nie odniesiono się w żaden sposób do funkcjonujących zakładów górniczych, które prowadzą odwadnianie, poza wskazaniem ilości pobieranych wód (błędne określenie: odwadnianie zakładów górniczych jest usługą wodną ale nie nie jest to pobór wód).</w:t>
            </w:r>
          </w:p>
        </w:tc>
        <w:tc>
          <w:tcPr>
            <w:tcW w:w="3377" w:type="dxa"/>
            <w:shd w:val="clear" w:color="auto" w:fill="auto"/>
          </w:tcPr>
          <w:p w14:paraId="1BEA3E2B" w14:textId="65EE223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45FB298" w14:textId="7BA28BC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65322D2" w14:textId="08726C0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E6BB592" w14:textId="37DCAD1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5216F5E" w14:textId="1DFA412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Realizacja oceny stanu wód nie jest elementem przygotowania IIaPGW, a jest to zadanie odrębne, realizowane przez PMŚ a IIaPGW jedynie czerpie z rezultatów tego zadania. W ocenie stanu dokonanej w 2012 r. stan ilościowy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101 został oceniony – zgodnie ze zastosowaną wówczas metodyką i w oparciu o dostępne wówczas dane - jako słaby ze względu na objęcie zasięgiem leja depresji ujęcia wód podziemnych w Białogonie ekosystemu doliny Bobrzy w obszarze Natura 2000. Wynik tej oceny nie był związany z funkcjonowaniem kopalń surowców skalnych w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101. W roku 2016 i 2019 stan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101 został oceniony jako dobry pod względem chemicznym i ilościowym na podstawie badań ekosystemu doliny Bobrzy, wykonanych przez PIG-PIB w ramach zadania „Ocena antropogenicznych zmian dynamiki i chemizmu wód podziemnych w obszarach wybranych ekosystemów o chronionych stosunkach wodnych”. W analizie ryzyka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zakwalifikowano jako zagrożoną nieosiągnięciem stanu dobrego ze względów metodologicznych, które wyłączenie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101 z grupy zagrożonych dopuszczają dopiero w sytuacji utrzymania się stanu dobrego w trzech kolejnych ocenach stanu.</w:t>
            </w:r>
            <w:r w:rsidRPr="00825321">
              <w:rPr>
                <w:rFonts w:eastAsia="Times New Roman" w:cstheme="minorHAnsi"/>
                <w:color w:val="000000"/>
                <w:sz w:val="18"/>
                <w:szCs w:val="18"/>
                <w:lang w:eastAsia="pl-PL"/>
              </w:rPr>
              <w:br/>
              <w:t>Badania wykonane w obszarze „Wzgórz Chęcińsko-Kieleckich” i w ich strefie buforowej wykazały, że antropogeniczne (wskutek odwodnień górniczych oraz intensywnego poboru wód z ujęcia komunalnego w Kielcach-Białogonie) i naturalne (sezonowe) zmiany w położeniu zwierciadła wód pierwszego i głównego poziomu wodonośnego nie mają istotnego negatywnego wpływu na występujące tu siedliska i grupy zbiorowisk roślin hydrogenicznych. Siedliska te w dolinie Bobrzy są związane z wodami zawieszonymi w torfach, namułach i piaskach na wkładkach ilastych, zasilanymi infiltracją opadów, co kształtuje zawodnienie odpowiednie dla prawidłowego funkcjonowania siedlisk. Na omawianym terenie, w obrębie leja depresji odwodnień górniczych, nie zaobserwowano zaniku występowania siedlisk roślin hydrogenicznych. Do doliny Bobrzy odprowadzane są czyste wody kopalniane z odwadnianych kopalń surowców skalnych, co wpływa pozytywnie na jej ekosystemy, m.in. utrzymując w okresach suszy stały przepływ rzeki. Zrzut czystych wód kopalnianych wpływa również na poprawę jakości wód Bobrzy, obciążonych ściekami z aglomeracji kieleckiej.</w:t>
            </w:r>
            <w:r w:rsidRPr="00825321">
              <w:rPr>
                <w:rFonts w:eastAsia="Times New Roman" w:cstheme="minorHAnsi"/>
                <w:color w:val="000000"/>
                <w:sz w:val="18"/>
                <w:szCs w:val="18"/>
                <w:lang w:eastAsia="pl-PL"/>
              </w:rPr>
              <w:br/>
              <w:t xml:space="preserve">Konkretne przykłady dotyczące zagospodarowania wód odwodnieniowych z obszaru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101:</w:t>
            </w:r>
            <w:r w:rsidRPr="00825321">
              <w:rPr>
                <w:rFonts w:eastAsia="Times New Roman" w:cstheme="minorHAnsi"/>
                <w:color w:val="000000"/>
                <w:sz w:val="18"/>
                <w:szCs w:val="18"/>
                <w:lang w:eastAsia="pl-PL"/>
              </w:rPr>
              <w:br/>
              <w:t>• Odwodnienie wyrobiska „Ostrówka” kopalni „Miedzianka” spowodowało okresowe osuszenie odcinka górnego biegu rzeki Hutki na wysokości wyrobiska. Woda z odwodnienia kopalni jest w ilości 1500 m3/h zrzucana do rzeki poniżej wyrobiska. Powoduje to duży wzrost przepływu rzeki w stosunku do stanu naturalnego i zapobiega występowaniu głębokich niżówek w rzece Hutka oraz w jej odbiorniku- rzece Biała Nida.</w:t>
            </w:r>
            <w:r w:rsidRPr="00825321">
              <w:rPr>
                <w:rFonts w:eastAsia="Times New Roman" w:cstheme="minorHAnsi"/>
                <w:color w:val="000000"/>
                <w:sz w:val="18"/>
                <w:szCs w:val="18"/>
                <w:lang w:eastAsia="pl-PL"/>
              </w:rPr>
              <w:br/>
              <w:t>• Odwodnienie wyrobisk kopalń: Miedzianka (wyrobisko Ostrówka), Jaźwica, Radkowice, Kowala i Trzuskawica spowodowało trwające od końca lat 70-tych XX w całkowite i trwałe osuszenie doliny rzeki Bobrzyczki. Stan ten należy uznać za nieodwracalny ze względu na powstałe wówczas rolnicze wykorzystanie terenu doliny, w tym zaoranie koryta. Wody kopalniane, zrzucane są niemal w całości do rzeki Bobrzy, zwiększając objętość jej przepływu i zapobiegając występowanie w niej głębokich niżówek. Podobna sytuacja występuje w rejonie kopalni Laskowa, położonej na północ od Kielc, gdzie wody kopalniane zrzucane są do rzeki Bobrzy.</w:t>
            </w:r>
            <w:r w:rsidRPr="00825321">
              <w:rPr>
                <w:rFonts w:eastAsia="Times New Roman" w:cstheme="minorHAnsi"/>
                <w:color w:val="000000"/>
                <w:sz w:val="18"/>
                <w:szCs w:val="18"/>
                <w:lang w:eastAsia="pl-PL"/>
              </w:rPr>
              <w:br/>
              <w:t xml:space="preserve">Wszystkie miejscowości w rejonie oddziaływania odwodnieniowych lejów depresji w obrębie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101 są objęte siecią wodociągową, co zapewnia dostawę wody na potrzeby gospodarcze i bytowe ludności. Odprowadzane do rzek wody kopalniane są dobrej jakości i mogą być wykorzystane na potrzeby komunalne, rolnicze i przemysłowe, jeżeli takowe zostaną zgłoszone przez nowych odbiorców. Zasoby wód podziemnych tego rejonu są dodatkowo wzbogacone o infiltrację wód powierzchniowych w obrębie lejów depresji. Prowadzone odwodnienia górnicze nie powodują zagrożenia deficytem zasobów dyspozycyjnych wód podziemnych w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101 oraz w GZWP 417 i GZWP 418.</w:t>
            </w:r>
            <w:r w:rsidRPr="00825321">
              <w:rPr>
                <w:rFonts w:eastAsia="Times New Roman" w:cstheme="minorHAnsi"/>
                <w:color w:val="000000"/>
                <w:sz w:val="18"/>
                <w:szCs w:val="18"/>
                <w:lang w:eastAsia="pl-PL"/>
              </w:rPr>
              <w:br/>
              <w:t xml:space="preserve">Kwalifikacja odwodnienia zakładów górniczych jako usługi wodnej nie ma wpływu na wynik oceny stanu ilościowego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d 101, gdyż w teście bilansowym oceny stanu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odwodnienie musi być uwzględniane jako pobór wód.</w:t>
            </w:r>
          </w:p>
        </w:tc>
      </w:tr>
      <w:tr w:rsidR="00E92AE6" w:rsidRPr="005E78BB" w14:paraId="70AB4A9A" w14:textId="77777777" w:rsidTr="00E92AE6">
        <w:trPr>
          <w:trHeight w:val="454"/>
        </w:trPr>
        <w:tc>
          <w:tcPr>
            <w:tcW w:w="562" w:type="dxa"/>
            <w:shd w:val="clear" w:color="auto" w:fill="auto"/>
          </w:tcPr>
          <w:p w14:paraId="131CBAAA" w14:textId="1398509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834</w:t>
            </w:r>
          </w:p>
        </w:tc>
        <w:tc>
          <w:tcPr>
            <w:tcW w:w="1021" w:type="dxa"/>
            <w:tcBorders>
              <w:top w:val="single" w:sz="4" w:space="0" w:color="auto"/>
              <w:left w:val="nil"/>
              <w:bottom w:val="single" w:sz="4" w:space="0" w:color="auto"/>
              <w:right w:val="nil"/>
            </w:tcBorders>
            <w:shd w:val="clear" w:color="auto" w:fill="auto"/>
          </w:tcPr>
          <w:p w14:paraId="74BE76A0" w14:textId="589AD57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Institute of Nature Conservation</w:t>
            </w:r>
          </w:p>
        </w:tc>
        <w:tc>
          <w:tcPr>
            <w:tcW w:w="1630" w:type="dxa"/>
            <w:shd w:val="clear" w:color="auto" w:fill="auto"/>
          </w:tcPr>
          <w:p w14:paraId="20512929" w14:textId="2975186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4A4C71C" w14:textId="0C36B63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planując ochronę wód bierze się również pod uwagę dane faunistyczne i florystyczne rozproszone w różnych publikacjach, ale i w bazach danych NGOsów? Zwykle udostępnianych na wniosek.</w:t>
            </w:r>
          </w:p>
        </w:tc>
        <w:tc>
          <w:tcPr>
            <w:tcW w:w="3377" w:type="dxa"/>
            <w:shd w:val="clear" w:color="auto" w:fill="auto"/>
          </w:tcPr>
          <w:p w14:paraId="20776660" w14:textId="29F8FA5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F9F2541" w14:textId="4FA831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764E0D1" w14:textId="28A7B2F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411803A" w14:textId="589DD53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E7103CB" w14:textId="3A09FAA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ramach prac nad katalogami i zestawami działań w IIaPGW nie poddawano analizie danych pochodzących z publikacji i innych baz danych. Przedmiotem analizy były opracowania, które wykorzystywały takie dane, w tym bazy danych udostępnione przed RDOŚ oraz dostępne publikacje, jak np. plany ochrony, plany zadań ochronnych, wyniki projektu "Analiza znaczących oddziaływań antropogenicznych wraz z oceną ich wpływu na stan wód powierzchniowych oraz oceną ryzyka nieosiągnięcia celów środowiskowych" czy "Ustalenie celów środowiskowych dla jednolitych części wód wraz z opracowaniem rejestru wykazów obszarów chronionych". Szczegółowe dane faunistyczne i florystyczne, w tym dane literaturowe oraz bazy danych udostępnione przez RDOŚ, wykorzystane zostały na etapie SOOŚ do określenia ryzyka wystąpienia potencjalnych negatywnych oddziaływań.</w:t>
            </w:r>
          </w:p>
        </w:tc>
      </w:tr>
      <w:tr w:rsidR="00E92AE6" w:rsidRPr="005E78BB" w14:paraId="10251A37" w14:textId="77777777" w:rsidTr="00E92AE6">
        <w:trPr>
          <w:trHeight w:val="454"/>
        </w:trPr>
        <w:tc>
          <w:tcPr>
            <w:tcW w:w="562" w:type="dxa"/>
            <w:shd w:val="clear" w:color="auto" w:fill="auto"/>
          </w:tcPr>
          <w:p w14:paraId="25996D90" w14:textId="0423895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835</w:t>
            </w:r>
          </w:p>
        </w:tc>
        <w:tc>
          <w:tcPr>
            <w:tcW w:w="1021" w:type="dxa"/>
            <w:tcBorders>
              <w:top w:val="single" w:sz="4" w:space="0" w:color="auto"/>
              <w:left w:val="nil"/>
              <w:bottom w:val="single" w:sz="4" w:space="0" w:color="auto"/>
              <w:right w:val="nil"/>
            </w:tcBorders>
            <w:shd w:val="clear" w:color="auto" w:fill="auto"/>
          </w:tcPr>
          <w:p w14:paraId="42925F9D" w14:textId="46FD5568"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Institute of Nature Conservation</w:t>
            </w:r>
          </w:p>
        </w:tc>
        <w:tc>
          <w:tcPr>
            <w:tcW w:w="1630" w:type="dxa"/>
            <w:shd w:val="clear" w:color="auto" w:fill="auto"/>
          </w:tcPr>
          <w:p w14:paraId="2BF8ACF8" w14:textId="537C97B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E1070F2" w14:textId="6DD4C2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Zespół Świętokrzyskich i Nadnidziańskich PK m.in. wraz IOP PAN realizują projekt LIVE „Renaturyzacja śródlądowej delty rzeki Nidy”. Jednym z działań wspomagających efekt ekologiczny tego projektu, wpisanych do aPGW i aPWŚK było udrożnienie przez RZGW jazu na Strudze Podłęskiej. Z tego działania WP zrezygnowały w nowym IIaPGW, podobnie jak udrożnienia dopływów Nidy, w tym bardzo istotnej dla zachowania ichtiofauny Nidy – Mierzawy, czy Czarnej Nidy, a także Łososiny. Dlaczego tak się stało? Udrożnienia nie zostały wykonane w obecnym aPGW.</w:t>
            </w:r>
            <w:r w:rsidRPr="00825321">
              <w:rPr>
                <w:rFonts w:eastAsia="Times New Roman" w:cstheme="minorHAnsi"/>
                <w:color w:val="000000"/>
                <w:sz w:val="18"/>
                <w:szCs w:val="18"/>
                <w:lang w:eastAsia="pl-PL"/>
              </w:rPr>
              <w:br w:type="page"/>
            </w:r>
          </w:p>
        </w:tc>
        <w:tc>
          <w:tcPr>
            <w:tcW w:w="3377" w:type="dxa"/>
            <w:shd w:val="clear" w:color="auto" w:fill="auto"/>
          </w:tcPr>
          <w:p w14:paraId="57C9DF5C" w14:textId="162993B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68AB88A" w14:textId="541467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2D68A75" w14:textId="448AAD2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B8A7BF4" w14:textId="2BE261D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4AC20420" w14:textId="26D048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To jest nawiązanie do mojej wcześniejszej odpowiedzi na jedno z pierwszych pytań, które zadałeś podczas dyskusji. I ponownie odsyłam do załącznika, który stanowi integralną część dopiętą do działań z zakresu przywracania ciągłości biologicznej cieków. Dotyczy to wykazu budowli. Tutaj, jeżeli takie działanie nie zostało wprost przepisane z poprzedniego cyklu planistycznego, czyli nie brzmi dokładnie tak, jak było zapisane np. w APWŚK, a my analizując statusy realizacji mieliśmy informacje, że takie działanie albo nie zostało wykonane, bądź zostało zakończone, ale nie było szczegółowych danych dotyczących dlaczego; weryfikowaliśmy presje, czyli wszystkie budowle na cieku istotnym, dla którego wskazano cele środowiskowe właśnie w zakresie ciągłości dla gatunków chronionych, wynikające właśnie z tych nowych celów środowiskowych; to te budowle mają państwo zawarte i tak jak powiedziałam już wcześniej - dla wszystkich cieków wymienionych w pytaniach, takie działania techniczne, związane z udrażnianiem budowli pojawiły się. Prośba do państwa, żeby konkretne budowle, tak jak tu jest wspomniane odszukać w tym wykazie i sprawdzić jakie działanie zostało przypisane. Rzeczywiście nie mieliśmy do każdej budowli, a wiecie państwo, że jest ich sporo, zwłaszcza tutaj w waszym regionie wodnym, nie mieliśmy informacji na poziomie takiej szczegółowości, żeby od razu wskazywać działanie typu rozbiórka. Dlatego często brzmienie działania, to są jakby nowe działania wskazane i wielka prośba- jeśli wyłapiecie państwo takie sytuacje, że jakiegoś obiektu nie ma w wykazie tych budowli przewidzianych na tych ciekach istotnych, dla których te cele środowiskowe są konieczne, to bardzo byśmy prosili, żeby takie informacje do nas przekazywać na formularzach. Chciałam jeszcze tylko podkreślić, że w tym cyklu planistycznym zostały włączone również do zestawów działań, działania wpisane w plan zadań ochronnych. Proszę się bardzo wczytać w zestawy działań dla poszczególnych jednolitych części wód, bo właśnie presjom skumulowanym są dedykowane zestawy działań dla poprawy, czy ochrony warunków obszarów chronionych- przyrodniczych i tam również znajdują się działania z przywracania ciągłości. Natomiast to są działania ogólne. W przypadku tych budowli, o których powiedziałam jest wykaz, który stanowi załącznik do zestawów działań konkretnych budowli, informacja, że jeśli jest przepławka, ale nie mamy wiedzy, czy ona jest skuteczna, to wpisywano działania analizy skuteczności. Jeżeli mamy informacje, że budowla jest w złym stanie i potwierdzono to w procesie ankietyzacji – wskazywano taką budowlę do rozbiórki. I tu gwarantuję państwu osobiście, przed chwileczką sprawdziłam bazę danych, na tych ciekach, które państwo wymieniacie, działania techniczne z udrażniania budowli znalazły się, co wynika z tych elementów, o których wspomniałam wcześniej, chociażby celów środowiskowych dla obszarów chronionych, gatunków chronionych. Prośba o zapoznanie, jeśli jakiejś budowli nie będzie, bo mieliśmy informacje po analizie dokumentów związanych ze statusem realizacji działań wpisanych w APWŚK, że dane działanie zostało zrealizowane, bądź zakończone, to w tym momencie już nie wskazywaliśmy tej budowli do udrożnienia, bo w procesie ankietyzacji gdzieś zabrakło tej informacji zwrotnej. Dlatego tutaj prośba do państwa żebyście byli czujni i zweryfikowali, bo chodzi o to, żeby rzeczywiście przywracając ciągłość dla tych cieków, gdzie te cele środowiskowe są szczególnie ważne, jeżeli chodzi o zachowanie czy przywrócenie ciągłości; no żeby to było całościowe, kompleksowe, bo nawet jedna budowla może spowodować, że ten cel nie zostanie osiągnięty, a chcielibyśmy, żeby w przypadku tych cieków istotnych dla ryb dwuśrodowiskowych, dla gatunków chronionych, jak najbardziej w tym cyklu planistycznym realizować te działania. Poza tym te działania w przypadku drożności są najbardziej efektywne, ponieważ skuteczność ich jest od razu. Udrażniamy i zakładamy, że tutaj ta ciągłość jest. No, a pytanie czy oczywiście będą siedliska odpowiednie i odpowiednia jakość wody, żeby te ryby dla których chcemy tę rzekę udrażniać, się tam pojawiły. Temu mają służyć pozostałe działania, dlatego kompleksowo należy wdrażać całe zestawy.</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To jest bardzo ważny kontekst w ogóle, w jakim zostało zadane to pytanie. Kontekst, wynikający z tego, że autor pytania wyraźnie podkreślił, że rezultaty projektu, o którym dziś mówimy, w zasadzie rezultaty dotyczące osiągania celów środowiskowych stanowiły uzasadnienia efektu ekologicznego, którego osiągnięciu miał służyć projekt – w tym przypadku projekt LIVE, który był przed chwilką tutaj wymieniony z nazwy. Popatrzmy też na to, konsultując dokument, o którym rozmawiamy właśnie z tej perspektywy. Czyli, czy ustalenia projektu planu gospodarowania wodami, mają w sobie takie zapisy, które mogłyby nam pomóc w realizacji projektów inwestycyjnych, nie inwestycyjnych, innych, które mogłyby uzasadniać realizację rozpatrywowanego przez nas projektu np. związanego z ochroną ekosystemów. Myślę, że to także jedna z wielu ważnych perspektyw, które mogłyby być brane pod uwagę przy składaniu uwag i wniosków do projektu. Może wyprzedzająco odniosę się do pytania nr.14, które się pojawiło, dotyczącego właśnie tego typu zagadnień. W tym pytaniu nr.14 autor pisał, że wprawdzie w planie gospodarowania wodami nie znajduje zapisów dotyczących udrożnienia niektórych odcinków rzek; co jak rozumiem, zostało już przed chwilką odczarowane przez Sylwię Horską SZ. Natomiast autor pytania stwierdza: że zamiast tego złagodzono cele środowiskowe, a przykładowo w projekcie aktualizacji planu zarządzania ryzykiem powodziowym wskazano inwestycje, które jeszcze bardziej oddalą nas od celów środowiskowych. Więc, proszę państwa odczarujmy trochę ten temat. Pamiętajmy, że te odstępstwa mają zastosowanie bardzo wąskie i tylko tam, gdzie szacowana efektywność zestawów działań nie pozwoli na zakładane, na pożądane osiągnięcie celów środowiskowych. Dodatkowo odnosząc się też do powiązania jednego z drugim- z planami zarządzania ryzykiem powodziowym, do czego może jeszcze wrócimy w miarę rezerw czasowych; myślę, że fakt, iż PZRP przewiduje realizację jakichś projektów inwestycyjnych, nie oznacza, ze te projekty bezwarunkowo zostaną zrealizowane. Te projekty, jeśli mają być zrealizowane, to muszą być zrealizowane z poszanowaniem prawa, a więc poszanowaniem między innymi planu gospodarowania wodami.)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Uzupełnienie odpowiedzi po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Na podstawie weryfikacji statusu realizacji działań z aPWŚK prolongowano wybrane działania. RZGW Kraków wystąpiło z wnioskiem o prolongowanie 10 działań wynikających z projektu „Zrównoważony rozwój gospodarczy zlewni rzeki Nidy w związku z obszarami Natura 2000 – etap I” oraz o wprowadzenie do IIaPGW jednego nowego zadania z projektu „Zrównoważony rozwój gospodarczy zlewni rzeki Nidy w związku z obszarami Natura 2000 – etap I” jak również dodane projektu pn. „Przywrócenie ciągłości morfologicznej rzek: Czarna Nida, Belnianka, Lubrzanka i Warkocz, woj. świętokrzyskie”.</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Zadanie pn.: „Przywrócenie ciągłości morfologicznej rzek: Czarna Nida, Belnianka, Lubrzanka i Warkocz, woj. świętokrzyskie” polegać będzie na udrożnieniu koryt rzecznych ww. rzek poprzecinanych różnego rodzaju przegrodami hydrotechnicznymi, co umożliwi dwukierunkową migrację organizmów wodnych przez istniejące obiekty hydrotechniczne. Przywrócenie ekologicznej ciągłości morfologicznej ekosystemów rzecznych pozwoli na ochronę oraz zachowanie biologicznej różnorodności organizmów wodnych, w tym ryb dwuśrodowiskowych. Przywrócenie drożności koryt rzek objętych projektem przyczyni się do wzrostu bioróżnorodności, natomiast budowa przepławek znacząco poprawi warunki siedliskowe dla ryb i organizmów wodnych.</w:t>
            </w:r>
            <w:r w:rsidRPr="00825321">
              <w:rPr>
                <w:rFonts w:eastAsia="Times New Roman" w:cstheme="minorHAnsi"/>
                <w:color w:val="000000"/>
                <w:sz w:val="18"/>
                <w:szCs w:val="18"/>
                <w:lang w:eastAsia="pl-PL"/>
              </w:rPr>
              <w:br w:type="page"/>
              <w:t>W ramach przygotowania do realizacji przedsięwzięcia pn.: „Zrównoważony rozwój gospodarczy zlewni rzeki Nidy w związku z obszarami Natura 2000 – etap I” zrealizowanych zostanie 11 zadań w ramach których planowana jest m. in. budowa polderów przeciwpowodziowych, odcinkowa rozbiórka istniejących wałów przeciwpowodziowych, przebudowa istniejących przepustów i rowów melioracyjnych, przywrócenie drożności korytarza ekologicznego rzeki Nidy i Mierzawy poprzez udrożnienie barier migracyjnych dla organizmów wodnych, umożliwiając tym samym dwukierunkową migrację organizmów wodnych przez istniejące obiekty hydrotechniczne, przy zastosowaniu rozwiązań „bliskich naturze”, rewitalizacja starorzecza rzeki Nidy w miejscowości Brzeźno poprzez wykonanie wlotów z głównego koryta rzeki.</w:t>
            </w:r>
          </w:p>
        </w:tc>
      </w:tr>
      <w:tr w:rsidR="00E92AE6" w:rsidRPr="005E78BB" w14:paraId="2F2664A4" w14:textId="77777777" w:rsidTr="00E92AE6">
        <w:trPr>
          <w:trHeight w:val="454"/>
        </w:trPr>
        <w:tc>
          <w:tcPr>
            <w:tcW w:w="562" w:type="dxa"/>
            <w:shd w:val="clear" w:color="auto" w:fill="auto"/>
          </w:tcPr>
          <w:p w14:paraId="35BFD8A1" w14:textId="3980538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836</w:t>
            </w:r>
          </w:p>
        </w:tc>
        <w:tc>
          <w:tcPr>
            <w:tcW w:w="1021" w:type="dxa"/>
            <w:tcBorders>
              <w:top w:val="single" w:sz="4" w:space="0" w:color="auto"/>
              <w:left w:val="nil"/>
              <w:bottom w:val="single" w:sz="4" w:space="0" w:color="auto"/>
              <w:right w:val="nil"/>
            </w:tcBorders>
            <w:shd w:val="clear" w:color="auto" w:fill="auto"/>
          </w:tcPr>
          <w:p w14:paraId="143BF3F9" w14:textId="7FC262AD"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Polski Związek Producentów Kruszyw</w:t>
            </w:r>
          </w:p>
        </w:tc>
        <w:tc>
          <w:tcPr>
            <w:tcW w:w="1630" w:type="dxa"/>
            <w:shd w:val="clear" w:color="auto" w:fill="auto"/>
          </w:tcPr>
          <w:p w14:paraId="73D0C5C5" w14:textId="0FDAAA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B400A55" w14:textId="52BEB13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Doliczyłem się łącznie ok. 9 tys. działań, z których większość ma być zakończona do końca 2027 r. Wynika z tego, że średnio na dzień roboczy przypadnie ok. 5-6 działań. Czy to jest realne do wykonania, pomijając kwestie finansowania?</w:t>
            </w:r>
          </w:p>
        </w:tc>
        <w:tc>
          <w:tcPr>
            <w:tcW w:w="3377" w:type="dxa"/>
            <w:shd w:val="clear" w:color="auto" w:fill="auto"/>
          </w:tcPr>
          <w:p w14:paraId="52D92AC8" w14:textId="78A1B8B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04B1491" w14:textId="6F390D1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B60FDAF" w14:textId="6C1D29F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2F0D18E" w14:textId="1F71971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BA40A28" w14:textId="63BE629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To są działania rozłożone pomiędzy różne instytucje. Duża część tych zadań jest związana z wdrażaniem programu oczyszczania ścieków komunalnych, a więc są to działania samorządów. Mamy w tym całym pakiecie tysięcy działań działania inwestycyjne, działania tzw. miękkie - dotyczące szkoleń dla osób prowadzących działalność rolniczą. Czy one są realne? Wierzymy, że tak, natomiast znajdujemy się w specyficznej sytuacji, ponieważ rok 2027 to już jest graniczny. Po roku 2027 możliwość stosowania odstępstw od celów środowiskowych będzie mocno ograniczona. Nie zapowiada się zmiana tekstu Dyrektywy, więc trzeba się liczyć z tym, że obecne jej zapisy będą obowiązywały. Przygotowując program działań staliśmy przed wyborem: czy ambitnie czy realistycznie? - pamiętając jednocześnie, że po roku 2027 Komisja Europejska powie „sprawdzam”. Rok graniczny 12 lat po pierwotnym terminie osiągnięcia celów środowiskowych, i zgodnie z Ramową Dyrektywą Wodną w zasadzie dalej odstępstw stosować nie można; z wyjątkami oczywiście - upraszczam, ale generalnie rzecz biorąc to stosowanie odstępstw już nie jest łatwe, ale nie będzie nawet tak łatwe jak w tej chwili. Po 3 latach stosowania programu działań czeka nas raport do komisji w tym zakresie, będziemy patrzyli na jakim etapie jest wdrażanie tego programu, jakie są jego efekty.</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Był dokonywany przegląd RDW i pojawił się cały szereg zagadnień zgłaszanych przez państwa członkowskie dotyczących dyrektywy. Państwa wskazywały na to, że czasem cele w niej zapisane są zbyt naiwne, a czasem zbyt ambitne. Nie mówię o niedomówieniach w samej dyrektywie i kwestiach, które możnaby dość łatwo doprecyzować, ale głównym tym punktem zapalnym był rok 2027 i odstępstwa czasowe czyli art. 4.4 RDW. Każdy sygnał ze strony państw członkowskich o tym, że należałoby coś zmienić, przedłużyć przynajmniej możliwość stosowania tych odstępstw, chociażby dlatego, że mechanizm dwukrotnej sześciolatki, w której można stosować odstępstwo – on był wprowadzony przy założeniu, że nie zmieniają się warunki wstępne tzn. mamy te same parametry już zinterkalibrowane, nie zmienia się podstawa do oceny stanu wód. Tymczasem wszyscy ci, którzy w gospodarce wodnej działają, są świadomi, że nie tylko zmieniają nam się substancje priorytetowe, wprowadzane są: nowy sposób monitorowania, kolejne matryce, tkanki miękkie organizmów. Interkalibracja zamiast 3 lat trwała 12 w zakresie elementów biologicznych. Innymi słowy, ta osnowa do oceny stanu wód i do sprawdzania celów cały czas się zmienia. Natomiast każdy taki sygnał był od razu oprotestowywany przez organizacje ekologiczne mówiące, że to jest próba rozmontowania celów dyrektywy, czy rozmontowania ochrony wód. Ostatecznie w podsumowaniu tego procesu przeglądu dyrektywy KE zapisała, że dyrektywa jest doskonale dostosowana do potrzeb i jest to dobre narzędzie, które się sprawdza i zmian nie wymaga.</w:t>
            </w:r>
          </w:p>
        </w:tc>
      </w:tr>
      <w:tr w:rsidR="00E92AE6" w:rsidRPr="005E78BB" w14:paraId="57BA6AE2" w14:textId="77777777" w:rsidTr="00E92AE6">
        <w:trPr>
          <w:trHeight w:val="454"/>
        </w:trPr>
        <w:tc>
          <w:tcPr>
            <w:tcW w:w="562" w:type="dxa"/>
            <w:shd w:val="clear" w:color="auto" w:fill="auto"/>
          </w:tcPr>
          <w:p w14:paraId="39834C8A" w14:textId="7E7C4D4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837</w:t>
            </w:r>
          </w:p>
        </w:tc>
        <w:tc>
          <w:tcPr>
            <w:tcW w:w="1021" w:type="dxa"/>
            <w:tcBorders>
              <w:top w:val="single" w:sz="4" w:space="0" w:color="auto"/>
              <w:left w:val="nil"/>
              <w:bottom w:val="single" w:sz="4" w:space="0" w:color="auto"/>
              <w:right w:val="nil"/>
            </w:tcBorders>
            <w:shd w:val="clear" w:color="auto" w:fill="auto"/>
          </w:tcPr>
          <w:p w14:paraId="5AED6881" w14:textId="5F50764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3D20E7AC" w14:textId="2712E69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26477B1" w14:textId="26FF644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Bardzo słaby wynik - tylko 1%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osiągnął cel środowiskowych, więc czemu w nowej aktualizacji zrezygnowano z wielu działań udrażniających bariery migracyjne - na Nidzie, Czarnej Nidzie, Wiernej Rzece, Mierzawie... nie zaplanowano żadnych działań udrożnieniowych na Czarnej Staszowskiej? Zamiast tego złagodzono cele środowiskowe, a w aPZRP wskazano inwestycje które jeszcze bardziej oddalą nas od celów środowiskowych, jak wąskie dwustronne wały na obszarze niezabudowanym. Jest za to do realizacji, pominięty w IIaPGW, Krajowy Program Renaturyzacji.</w:t>
            </w:r>
          </w:p>
        </w:tc>
        <w:tc>
          <w:tcPr>
            <w:tcW w:w="3377" w:type="dxa"/>
            <w:shd w:val="clear" w:color="auto" w:fill="auto"/>
          </w:tcPr>
          <w:p w14:paraId="5350A2B5" w14:textId="1DD324C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77ED8B0" w14:textId="483796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84BB719" w14:textId="35E0C94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BBC07C8" w14:textId="19D9F4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07836B5C" w14:textId="597D406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Na podstawie weryfikacji statusu realizacji działań z aPWŚK prolongowano wskazane działania. W ramach przedsięwzięcia pn.: „Zrównoważony rozwój gospodarczy zlewni rzeki Nidy w związku z obszarami Natura 2000 – etap I” zrealizowane zostanie zadanie nr 7 „Przywrócenie drożności korytarza ekologicznego rzeki Mierzawa - udrożnienie barier migracyjnych dla organizmów wodnych na rzece Mierzawa”. Przedmiotowa inwestycja polegać będzie na przywróceniu drożności korytarza ekologicznego rzeki Mierzawy poprzez udrożnienie barier migracyjnych dla organizmów wodnych na rzece Mierzawie, umożliwiając dwukierunkową migrację organizmów wodnych przez istniejące obiekty hydrotechniczne, przy zastosowaniu rozwiązań „bliskich naturze”. Ponadto RZGW Kraków wystąpi z wnioskiem o wprowadzenie do IIaPGW zadania pn.: „Przywrócenie ciągłości morfologicznej rzek: Czarna Nida, Belnianka, Lubrzanka i Warkocz, woj. świętokrzyskie”. Zadanie polegać będzie na udrożnieniu koryt rzecznych poprzecinanych różnego rodzaju przegrodami hydrotechnicznymi, co umożliwi dwukierunkową migrację organizmów wodnych przez istniejące obiekty hydrotechniczne.</w:t>
            </w:r>
          </w:p>
        </w:tc>
      </w:tr>
      <w:tr w:rsidR="00E92AE6" w:rsidRPr="005E78BB" w14:paraId="460A62A7" w14:textId="77777777" w:rsidTr="00E92AE6">
        <w:trPr>
          <w:trHeight w:val="454"/>
        </w:trPr>
        <w:tc>
          <w:tcPr>
            <w:tcW w:w="562" w:type="dxa"/>
            <w:shd w:val="clear" w:color="auto" w:fill="auto"/>
          </w:tcPr>
          <w:p w14:paraId="2A9E13AE" w14:textId="5811311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838</w:t>
            </w:r>
          </w:p>
        </w:tc>
        <w:tc>
          <w:tcPr>
            <w:tcW w:w="1021" w:type="dxa"/>
            <w:tcBorders>
              <w:top w:val="single" w:sz="4" w:space="0" w:color="auto"/>
              <w:left w:val="nil"/>
              <w:bottom w:val="single" w:sz="4" w:space="0" w:color="auto"/>
              <w:right w:val="nil"/>
            </w:tcBorders>
            <w:shd w:val="clear" w:color="auto" w:fill="auto"/>
          </w:tcPr>
          <w:p w14:paraId="00AFB3FD" w14:textId="2CD5EC7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Institute of Nature Conservation</w:t>
            </w:r>
          </w:p>
        </w:tc>
        <w:tc>
          <w:tcPr>
            <w:tcW w:w="1630" w:type="dxa"/>
            <w:shd w:val="clear" w:color="auto" w:fill="auto"/>
          </w:tcPr>
          <w:p w14:paraId="142EE34C" w14:textId="4F3C54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5D29AD2" w14:textId="5888309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związku z tym co pisałem wcześniej, co dotyczyło działań w wodach w skali lokalnej, wydaje się, że zmiana celów środowiskowych dla wód powinna poczekać, do czasu podporządkowania lokalnych działań administratorów terenów i wód w polityce ochrony wód. Wydaje się, że w dużej mierze, to nie tylko uwarunkowania przyrodnicze są przeszkodą w osiągnięciu celów, ale podejście lokalnych instytucji. Wydaje się, że ten element da się zmienić.</w:t>
            </w:r>
            <w:r w:rsidRPr="00825321">
              <w:rPr>
                <w:rFonts w:eastAsia="Times New Roman" w:cstheme="minorHAnsi"/>
                <w:color w:val="000000"/>
                <w:sz w:val="18"/>
                <w:szCs w:val="18"/>
                <w:lang w:eastAsia="pl-PL"/>
              </w:rPr>
              <w:br w:type="page"/>
            </w:r>
          </w:p>
        </w:tc>
        <w:tc>
          <w:tcPr>
            <w:tcW w:w="3377" w:type="dxa"/>
            <w:shd w:val="clear" w:color="auto" w:fill="auto"/>
          </w:tcPr>
          <w:p w14:paraId="5B8A5DAD" w14:textId="7BBC9A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638AB8F" w14:textId="0D80CAB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71A7481" w14:textId="0B963E4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CF42D63" w14:textId="351D80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E7E1577" w14:textId="47D2902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Ja się z tezą zawartą w pytaniu nie mogę zgodzić. Trudno mi się zgodzić, że należałoby najpierw instytucjonalnie podporządkować cokolwiek, czy poczekać z celami środowiskowymi. Po pierwsze mechanizm określania celów środowiskowych jest wpisany w plany gospodarowania wodami. Musi tam być, inaczej planowanie można podważyć, nie wiemy jakie działania wdrażać skoro nie wiemy do czego mamy dążyć. Natomiast tak jak powiedziałem - rok 2027 to będzie rok kluczowy do dyskusji w ramach porządków krajowych władzy wodnej, ale również do dyskusji z KE, czy szykujemy się na postępowanie karne przeciwko Polsce za nie wdrożenie dyrektywy, czy też nie. Taka jest perspektywa kolejnych paru lat. To w jaki sposób przygotujemy plany gospodarowania wodami, jak te cele są wyznaczone i na ile realne wpiszemy działania (bo to nie sztuka wpisać dużo, tylko ważny jest ten efekt), bardzo dużo zależy i nie wolno w żadnym wypadku czekać z celami środowiskowymi.</w:t>
            </w:r>
          </w:p>
        </w:tc>
      </w:tr>
      <w:tr w:rsidR="00E92AE6" w:rsidRPr="005E78BB" w14:paraId="69F9D7BD" w14:textId="77777777" w:rsidTr="00E92AE6">
        <w:trPr>
          <w:trHeight w:val="454"/>
        </w:trPr>
        <w:tc>
          <w:tcPr>
            <w:tcW w:w="562" w:type="dxa"/>
            <w:shd w:val="clear" w:color="auto" w:fill="auto"/>
          </w:tcPr>
          <w:p w14:paraId="6DC1DE9F" w14:textId="2C9DC01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839</w:t>
            </w:r>
          </w:p>
        </w:tc>
        <w:tc>
          <w:tcPr>
            <w:tcW w:w="1021" w:type="dxa"/>
            <w:tcBorders>
              <w:top w:val="single" w:sz="4" w:space="0" w:color="auto"/>
              <w:left w:val="nil"/>
              <w:bottom w:val="single" w:sz="4" w:space="0" w:color="auto"/>
              <w:right w:val="nil"/>
            </w:tcBorders>
            <w:shd w:val="clear" w:color="auto" w:fill="auto"/>
          </w:tcPr>
          <w:p w14:paraId="4AE7BE2B" w14:textId="25DC6772"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Institute of Nature Conservation</w:t>
            </w:r>
          </w:p>
        </w:tc>
        <w:tc>
          <w:tcPr>
            <w:tcW w:w="1630" w:type="dxa"/>
            <w:shd w:val="clear" w:color="auto" w:fill="auto"/>
          </w:tcPr>
          <w:p w14:paraId="5CABE560" w14:textId="57F7A8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98B816B" w14:textId="52F95B3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funkcjonująca nadal kopalnia siarki w Osieku nie ma negatywnego wpływu na wody podziemne i powierzchniowe?</w:t>
            </w:r>
          </w:p>
        </w:tc>
        <w:tc>
          <w:tcPr>
            <w:tcW w:w="3377" w:type="dxa"/>
            <w:shd w:val="clear" w:color="auto" w:fill="auto"/>
          </w:tcPr>
          <w:p w14:paraId="07F0D525" w14:textId="432C4D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D2D95CD" w14:textId="15B56E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8D8BD81" w14:textId="1DE0C87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DEAC425" w14:textId="73F0371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273A7D1" w14:textId="0C67BD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RW2000122319 Wisła od Wisłoki do Sanny nie odnotowano przekroczeń wskaźników fizykochemicznych w tej jednolitej części wód. W ramach realizacji zadań państwowej służby hydrogeologicznej, w ramach monitoringu diagnostycznego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d oraz monitoringu badawczego, prowadzone są badania monitoringowe w rejonie kopalni w Osieku. Wyniki badań i pozyskane informacje wskazują, że jakość wód podziemnych: użytkowych poziomów wodonośnych i przypowierzchniowych poziomów wodonośnych, jest stosunkowo stała i zmienia się w zakresie naturalnych wieloletnich cyklów zmian tła hydrogeochemicznego. Wyniki badań potwierdzają, że działanie kopalni w Osieku nie ma wpływu na wody podziemne. Wartym podkreślenia jest, że sam proces pozyskiwania siarki odbywa się metodą otworową (podziemnego wytopu), gdzie horyzont złożowy, z którego pozyskuje się siarkę, jest oddzielony od wód podziemnych (od użytkowych poziomów wodonośnych) miąższym kompleksem neogeńskich iłów krakowieckich. W związku z tym dotychczas nie doszło do zanieczyszczenia wód podziemnych i powierzchniowych spowodowanego przebiciem się wód złożowych na powierzchnię terenu. Niemniej zagrożenie takie istnieje i rejon stożka represji kopalni powinien być objęty monitorowaniem.</w:t>
            </w:r>
          </w:p>
        </w:tc>
      </w:tr>
      <w:tr w:rsidR="00E92AE6" w:rsidRPr="005E78BB" w14:paraId="5418E3D1" w14:textId="77777777" w:rsidTr="00E92AE6">
        <w:trPr>
          <w:trHeight w:val="454"/>
        </w:trPr>
        <w:tc>
          <w:tcPr>
            <w:tcW w:w="562" w:type="dxa"/>
            <w:shd w:val="clear" w:color="auto" w:fill="auto"/>
          </w:tcPr>
          <w:p w14:paraId="18F3F24F" w14:textId="75E0A9F7"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840</w:t>
            </w:r>
          </w:p>
        </w:tc>
        <w:tc>
          <w:tcPr>
            <w:tcW w:w="1021" w:type="dxa"/>
            <w:tcBorders>
              <w:top w:val="single" w:sz="4" w:space="0" w:color="auto"/>
              <w:left w:val="nil"/>
              <w:bottom w:val="single" w:sz="4" w:space="0" w:color="auto"/>
              <w:right w:val="nil"/>
            </w:tcBorders>
            <w:shd w:val="clear" w:color="auto" w:fill="auto"/>
          </w:tcPr>
          <w:p w14:paraId="7754AF59" w14:textId="1379435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5A10CCF6" w14:textId="777A12B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193E82F" w14:textId="212BF8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Wczoraj w Łodzi odbyło się wspólne spotkanie konsultacyjne IIaPGW i aPZRP. W Kielcach nie było spotkania aPZRP, a są tu zaplanowane działania z tego programu. Spotkanie w Krakowie z 9 lutego nie brało pod uwagę istnienia danych z IIapgw. Dyrektor Gruszecki na spotkaniu IIapgw w Warszawie mówił, że nie ma potrzeby powtórzenia konsultacji aPZRP po upublicznieniu dokumentacji IIapgw, bo inwestycje z aPZRP nie muszą być wpisane do IIaPGW (derogacje art. 4.7). Problem polega jednak na tym, że aby zapewnić prawidłowe konsultacje aPZRP, powinny być jednocześnie rozpatrywane z danymi dotyczącymi celów środowiskowych, działań ochronnych i proponowanych odstępstw. Festiwal inwestycji wpisanych do aPZRP, szczególnie w zlewniach administrowanych przez Nowy Sącz i Kraków, ale także w tych przez Sandomierz i Kielce (wąskie wały, poldery, regulacje rzek), okazuje się sprzeczny z celami środowiskowymi. Synchronizacji konsultacji PGW i PZRP wymaga dyrektywa powodziowa i wytyczne Komisji Europejskiej. Jak Wody Polskie zamierzają rozwiązać ten problem rozminięcia się spotkań konsultacyjnych?</w:t>
            </w:r>
          </w:p>
        </w:tc>
        <w:tc>
          <w:tcPr>
            <w:tcW w:w="3377" w:type="dxa"/>
            <w:shd w:val="clear" w:color="auto" w:fill="auto"/>
          </w:tcPr>
          <w:p w14:paraId="323F45B7" w14:textId="2EFB5F3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06253E0" w14:textId="7C80BD5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7387C6A" w14:textId="53777BC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D099F49" w14:textId="55307AA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53096E0" w14:textId="3FDF304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Dziękuję za to pytanie. To jest wątek, do którego warto wracać i wyjaśniać. Jeżeli by wskazać największy sukces gospodarki wodnej ostatnich lat, to udało nam się jeden osiągnąć i to niezamierzenie. To znaczy skutecznie przekonać wszystkich, że w planach gospodarowania wodami muszą znaleźć się wszystkie inwestycje i jest absolutnie bezwzględna konieczność zapewnienia spójności w inwestycjach z planów zarządzania ryzykiem powodziowym i z planów gospodarowania wodami. Tak było w poprzednim cyklu - część z państwa być może pamięta jeszcze Masterplany, aktualizacje planów gospodarowania wodami i tę konieczność oceny wszystkiego, żeby się znalazło w planach. Do tej pory o tym pamiętamy i trochę to pokutuje, dlatego mówię, że niezamierzony cel był osiągnięty. On się zdezaktualizował, bo zmieniło się prawo. Spotkania konsultacyjne, w których państwo biorą udział, na które zapraszamy my i zespół z pionu ochrony przed powodzią i suszą - są prowadzone równolegle, natomiast ta ich lokalizacja: w Kielcach, w Łodzi, Warszawie jest dość symboliczna, z powodu pandemii spotykamy się online. Natomiast to nie znaczy, że w Kielcach możemy rozmawiać tylko o problemach tylko tego regionu, a w Łodzi tylko o łódzkich, czy w Szczecinie tylko o zachodniopomorskich. Tak symbolicznie przyjęliśmy my i koleżanki i koledzy z tamtego zespołu. Natomiast nie ma tej bezwzględnej konieczności spięcia jednego z drugim, ponieważ inny jest charakter tych dokumentów i ich łączność w postaci list inwestycji już nie jest tak niezbędna jak była poprzednio. Plany zarządzania ryzykiem powodziowym mają ocenić, przekazać pakiet przedsięwzięć najbardziej skutecznych w celu zapewnienia skutecznej ochrony przed powodzią - zarządzania powodzią. Nie rozstrzygają, ani nie mogą rozstrzygać o tym, czy dane przedsięwzięcie będzie miało negatywny wpływ na stan wód, czy też nie będzie miało. Ten element środowiskowy tam jest, ponieważ niezbędna będzie prognoza oddziaływania na środowisko i procedura strategicznej oceny dla całego programu. Poza tym jest to element sprawdzenia i wariantowania, co lepiej przyjąć i które z działań jest skuteczniejsze i mniej negatywne dla środowiska. Ale plan zarządzania ryzykiem powodziowym niczego w tym zakresie nie rozstrzyga i każde z przedsięwzięć musi przejść swoją oficjalną ścieżkę administracyjną, to organ do spraw ocen wodnoprawnych, bądź przy ocenie wodnoprawnej bądź w opiniowaniu decyzji o środowiskowych uwarunkowaniach, musi każdą sprawę indywidualnie przeanalizować. Gdyby było inaczej, to doprowadzilibyśmy do dwóch niepożądanych sytuacji. Po pierwsze nie byłoby wiadomo na ile zapisami PZRP organ jest związany, a jeżeli by był, to powstałoby pytanie: a dlaczego zespół ekspercki bardziej czy mniej anonimowy rozstrzyga o byciu czy nie byciu inwestycji? Czyli zastępuje organ wskazany w ustawie. To miałoby swoje daleko idące konsekwencje, roszczenia, odszkodowania, podważalność decyzji administracyjnych. Z tym nowym porządkiem i z tym, że niezależnie co w planach zarządzania ryzykiem powodziowym się pojawi, to istotna tam jest ocena celu i skuteczności danego pakietu przedsięwzięć, natomiast PZRP nie rozstrzyga niczego w zakresie ocen oddziaływania na środowisko.</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Plany gospodarowania wodami, podobnie jak plany zarządzania ryzykiem powodziowym, nie wyłączają stosowania innych przepisów, a pamiętajmy, że w tej chwili kluczowe ustalenia, dotyczące wpływu na cele środowiskowe, odbywają się na poziomie postępowań administracyjnych. Natomiast to, co możemy wyciągnąć z planów gospodarowania wodami, to informacje, które muszą być uwzględnione na etapie postępowań administracyjnych. A więc: cele środowiskowe, wartości dla wskaźników, odstępstwa dla wskaźników, ewentualna kolizja z zestawami działań. Wytyczne co do tego wynikają z treści planów gospodarowania wodami.</w:t>
            </w:r>
          </w:p>
        </w:tc>
      </w:tr>
      <w:tr w:rsidR="00E92AE6" w:rsidRPr="005E78BB" w14:paraId="623F5721" w14:textId="77777777" w:rsidTr="00E92AE6">
        <w:trPr>
          <w:trHeight w:val="454"/>
        </w:trPr>
        <w:tc>
          <w:tcPr>
            <w:tcW w:w="562" w:type="dxa"/>
            <w:shd w:val="clear" w:color="auto" w:fill="auto"/>
          </w:tcPr>
          <w:p w14:paraId="43711EF4" w14:textId="545EB4C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841</w:t>
            </w:r>
          </w:p>
        </w:tc>
        <w:tc>
          <w:tcPr>
            <w:tcW w:w="1021" w:type="dxa"/>
            <w:tcBorders>
              <w:top w:val="single" w:sz="4" w:space="0" w:color="auto"/>
              <w:left w:val="nil"/>
              <w:bottom w:val="single" w:sz="4" w:space="0" w:color="auto"/>
              <w:right w:val="nil"/>
            </w:tcBorders>
            <w:shd w:val="clear" w:color="auto" w:fill="auto"/>
          </w:tcPr>
          <w:p w14:paraId="213BA025" w14:textId="2E18A8D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Wojewódzki Małopolski Urząd Wojewódzki w Krakowie</w:t>
            </w:r>
          </w:p>
        </w:tc>
        <w:tc>
          <w:tcPr>
            <w:tcW w:w="1630" w:type="dxa"/>
            <w:shd w:val="clear" w:color="auto" w:fill="auto"/>
          </w:tcPr>
          <w:p w14:paraId="2A77B3D9" w14:textId="3A95D5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D3B6166" w14:textId="4BAA611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Pan Okrasiński, właśnie referuje odstępstwa planowane dla regionu wodnego Górnej-Zachodniej Wisły, uwzględniając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LW - dla 17 wskazując odroczenie i dla 10 złagodzenie celu środowiskowego. Na obszarze tego regionu brak jest przecież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LW. Proszę wyjaśnić te nieścisłości.</w:t>
            </w:r>
          </w:p>
        </w:tc>
        <w:tc>
          <w:tcPr>
            <w:tcW w:w="3377" w:type="dxa"/>
            <w:shd w:val="clear" w:color="auto" w:fill="auto"/>
          </w:tcPr>
          <w:p w14:paraId="7A147086" w14:textId="54CA510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D2DC926" w14:textId="7092B76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08ABC66" w14:textId="29D49FD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56A9029" w14:textId="704C60D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4295F72" w14:textId="3D2D2A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Zweryfikowano prezentację, usunięto błąd redakcyjny. Uwaga nie dotyczy IIaPGW lecz prezentacji przedstawianej na spotkaniu konsultacyjnym. Zgodnie z informacją przedstawioną podczas spotkania skorygowana odpowiednio prezentacja zamieszczona została na www.apgw.gov.pl</w:t>
            </w:r>
          </w:p>
        </w:tc>
      </w:tr>
      <w:tr w:rsidR="00E92AE6" w:rsidRPr="005E78BB" w14:paraId="4B687F3D" w14:textId="77777777" w:rsidTr="00E92AE6">
        <w:trPr>
          <w:trHeight w:val="454"/>
        </w:trPr>
        <w:tc>
          <w:tcPr>
            <w:tcW w:w="562" w:type="dxa"/>
            <w:shd w:val="clear" w:color="auto" w:fill="auto"/>
          </w:tcPr>
          <w:p w14:paraId="7AE5A36E" w14:textId="1DAE5C6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842</w:t>
            </w:r>
          </w:p>
        </w:tc>
        <w:tc>
          <w:tcPr>
            <w:tcW w:w="1021" w:type="dxa"/>
            <w:tcBorders>
              <w:top w:val="single" w:sz="4" w:space="0" w:color="auto"/>
              <w:left w:val="nil"/>
              <w:bottom w:val="single" w:sz="4" w:space="0" w:color="auto"/>
              <w:right w:val="nil"/>
            </w:tcBorders>
            <w:shd w:val="clear" w:color="auto" w:fill="auto"/>
          </w:tcPr>
          <w:p w14:paraId="2387C873" w14:textId="0312D45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77628032" w14:textId="45852E7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8DCEE8F" w14:textId="0BB0513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Jakie były przyczyny weryfikacji - głębokich zmian w klasyfikacji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Dlaczego nie udostępniono w konsultacjach map z nowymi i starymi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 choćby na wzór geoportalu apzpr? Ciężko się w tym połapać i porównać &amp;#34;stare&amp;#34; cele i działania z tymi zaproponowanymi na III cykl. Takie geobazy akurat są w posiadaniu WP, zostały wykonane bodajże w 2019 r.</w:t>
            </w:r>
            <w:r w:rsidRPr="00825321">
              <w:rPr>
                <w:rFonts w:eastAsia="Times New Roman" w:cstheme="minorHAnsi"/>
                <w:color w:val="000000"/>
                <w:sz w:val="18"/>
                <w:szCs w:val="18"/>
                <w:lang w:eastAsia="pl-PL"/>
              </w:rPr>
              <w:br w:type="page"/>
            </w:r>
          </w:p>
        </w:tc>
        <w:tc>
          <w:tcPr>
            <w:tcW w:w="3377" w:type="dxa"/>
            <w:shd w:val="clear" w:color="auto" w:fill="auto"/>
          </w:tcPr>
          <w:p w14:paraId="6EB8A91B" w14:textId="3450417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D3C63C0" w14:textId="05EBFB8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0CB88CD" w14:textId="5D04E2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B4C0853" w14:textId="08C8E6E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EE8288E" w14:textId="1E4F47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Z wiedzy i krytycznej oceny poprzedniego podziału wyznaczenia jednolitych części wód powierzchniowych, być może państwo pamiętają - najstarszy wykaz był daleki od ideału, próbowano uczynić zarządzalnym te jednolite części wód poprzez wprowadzenie instytucji scalonych części wód. Podział był nierównomierny w skali kraju – tu trzeba by było przypominać cały szereg uwarunkowań merytorycznych i pozamerytorycznych, które spowodowały, że ten podział był taki a nie inny. Chodziło o to, żeby wyeliminować błędy i niedoskonałości bazując również na wiedzy. Wiedzieliśmy już jak w praktyce zarządzanie taką liczbą części wód wygląda. Był problem ze zbiornikami zaporowymi, które były taką kategorią trochę wirtualną. Podział na jednolite części wód i ich typologia przekładała się na zasady monitoringu, sposób wyznaczania punktów pomiarowo-kontrolnych, ocenę stanu. Na przestrzeni lat jako kraj dorobiliśmy się metodyk do oceny poszczególnych elementów biologicznych. To była decyzja trochę wymuszona i nie wymuszona – ten podział budził duże wątpliwości merytoryczne i jego niedostatki wychodziły prawie na każdym kroku. Należało jednocześnie wdrożyć to, co w międzyczasie powstało, czyli na przykład powiązanie elementów biologicznych z fizykochemią i ustawienie administracji wodnej (mam na myśli podział jcw, podział jednostek do gospodarowania wodami). Czy ten moment był dobry, czy należało poczekać jeszcze 6 lat - trudno powiedzieć. Nie jesteśmy pierwszym krajem, który dokonał takiej zmiany, natomiast jedynym, który w tej chwili to zrobił przy tych planach gospodarowania wodami i chyba jedynym, który aż na taką skalę. Bo myśmy i typologię i wyznaczenie wykonali od początku, ale tu trzeba pamiętać pierwsze wyznaczenie jcw nie było powiązane ze wskaźnikami biologicznymi, nie było danych, które to umożliwiały. Czemu do konsultacji nie przedstawiliśmy państwu obydwu wykazów i zestawów celów środowiskowych? Po pierwsze dlatego, że konsultujemy projekt II aktualizacji planów, więc uznaliśmy, że przedstawianie dokumentów z poprzednich planów nie jest przedmiotem konsultacji, powodowałoby to pewien bałagan, bo nie wiadomo by było do czego się odnosić. Mamy informacje, że materiał przedstawiony do konsultacji jest trudny w odbiorze, trudno się w tej liczbie danych i w załącznikach poruszać. Więc jeszcze dołożenie dodatkowych materoiałów nie ułatwiłoby sprawy. Natomiast te wszystkie materiały z poprzednich planów gospodarowania wodami, wykazy jcw, dostępne zresztą w tym starym układzie na hydroportalu, czy też cele środowiskowe w starym układzie i wszystko to, co służyło do poprzednich planów gospodarowania wodami jest dostępne i na wniosek przekazujemy. Jeżeli ktoś z państwa byłby zainteresowany i chciałby porównać, to oczywiście wystarczy do nas napisać, my dane, którymi dysponujemy, będziemy udostępniali.</w:t>
            </w:r>
          </w:p>
        </w:tc>
      </w:tr>
      <w:tr w:rsidR="00E92AE6" w:rsidRPr="005E78BB" w14:paraId="205B4A9F" w14:textId="77777777" w:rsidTr="00E92AE6">
        <w:trPr>
          <w:trHeight w:val="454"/>
        </w:trPr>
        <w:tc>
          <w:tcPr>
            <w:tcW w:w="562" w:type="dxa"/>
            <w:shd w:val="clear" w:color="auto" w:fill="auto"/>
          </w:tcPr>
          <w:p w14:paraId="1DA5D20F" w14:textId="2922084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843</w:t>
            </w:r>
          </w:p>
        </w:tc>
        <w:tc>
          <w:tcPr>
            <w:tcW w:w="1021" w:type="dxa"/>
            <w:tcBorders>
              <w:top w:val="single" w:sz="4" w:space="0" w:color="auto"/>
              <w:left w:val="nil"/>
              <w:bottom w:val="single" w:sz="4" w:space="0" w:color="auto"/>
              <w:right w:val="nil"/>
            </w:tcBorders>
            <w:shd w:val="clear" w:color="auto" w:fill="auto"/>
          </w:tcPr>
          <w:p w14:paraId="45A2A888" w14:textId="0469E8D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Ciech Soda Polska S.A.</w:t>
            </w:r>
          </w:p>
        </w:tc>
        <w:tc>
          <w:tcPr>
            <w:tcW w:w="1630" w:type="dxa"/>
            <w:shd w:val="clear" w:color="auto" w:fill="auto"/>
          </w:tcPr>
          <w:p w14:paraId="08D48120" w14:textId="7A44E88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B6A6D7C" w14:textId="4099FD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Prosimy o informacje o sposobie rozpatrzenia wniosku zgłoszonego pismem znak DOŚ/AG/4379/2021 w dniu 07.09.2020 do Prezesa PGW WP dotyczącego derogacji w projektach rozporządzeń dotyczących II aktualizacji planów gospodarowania wodami dla obszaru dorzecza Wisły dla jcw: „Wisła od dopł. z Sierzchowa do Wdy” PLRW2000212939. Do pisma załączona została ankieta opracowana zgodnie z wytycznymi wykonawcy II aktualizacji planów gospodarowania wodami. Do dziś zakład nie otrzymał odpowiedzi na wniosek o utrzymanie derogacji w rozporządzeniu dotyczącym II aktualizacji planów gospodarowania wodami na obszarze dorzecza Wisły dla jcw: „Wisła od dopł. z Sierzchowa do Wdy”. Wykonawca II aPGW nie zamieścił również przedmiotowej inwestycji w załączniku nr 6 do projektu planu.</w:t>
            </w:r>
            <w:r w:rsidRPr="00825321">
              <w:rPr>
                <w:rFonts w:eastAsia="Times New Roman" w:cstheme="minorHAnsi"/>
                <w:color w:val="000000"/>
                <w:sz w:val="18"/>
                <w:szCs w:val="18"/>
                <w:lang w:eastAsia="pl-PL"/>
              </w:rPr>
              <w:br/>
              <w:t>Prosimy o informacje o sposobie rozpatrzenia wniosku z dnia 07.09.2020r.</w:t>
            </w:r>
            <w:r w:rsidRPr="00825321">
              <w:rPr>
                <w:rFonts w:eastAsia="Times New Roman" w:cstheme="minorHAnsi"/>
                <w:color w:val="000000"/>
                <w:sz w:val="18"/>
                <w:szCs w:val="18"/>
                <w:lang w:eastAsia="pl-PL"/>
              </w:rPr>
              <w:br/>
              <w:t>Prosimy o udzielenie odpowiedzi również w formie mailowej na adres Anna.Gorna@ciechgroup.com, lub csp@ciechgroup.com</w:t>
            </w:r>
          </w:p>
        </w:tc>
        <w:tc>
          <w:tcPr>
            <w:tcW w:w="3377" w:type="dxa"/>
            <w:shd w:val="clear" w:color="auto" w:fill="auto"/>
          </w:tcPr>
          <w:p w14:paraId="1CF7051E" w14:textId="6EB145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B8C05EC" w14:textId="21CF85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5CC0726" w14:textId="1F6F824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F3B2389" w14:textId="627B637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ACEF35E" w14:textId="32A3E21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Zakłady/inwestycje, dla których potwierdzono warunki spełniania odstępstwa w trybie art. 4.7 RDW w I aPGW (z 2016 r.) i nadal prowadzące działalność, która nie zmienia dotychczasowego stanu wód, nie muszą być wpisane do Wykazu inwestycji i działań stanowiącego załącznik do IIaPGW. Istniejące korzystanie z wód i/lub usług wodnych nie podlega pod system odstępstwa w trybie art. 4.7 RDW (art. 66-68 ustawy z dnia 20 lipca 2017 r. – Prawo wodne). Takiemu odstępstwu mogą podlegać wyłącznie nowe działania i przedsięwzięcia, o ile stanowią one nowe zmiany właściwości fizycznych jednolitych części wód powierzchniowych, nowe zmiany poziomu zwierciadła wód podziemnych oraz nowe działania człowieka zgodne z zasadą zrównoważonego rozwoju i niezbędne dla rozwoju społeczeństwa. Dlatego też istniejące obiekty (oraz prowadzona przez nie działalność) nie mogą być ujęte w Wykazie inwestycji i działań, który – według art. 318 ust. 1 pkt 22 i art. 323 (w związku z art. 435-436) ww. ustawy – może przedstawiać wyłącznie informacje o działaniach i inwestycje, które podlegają pod system odstępstw w trybie art. 4.7 RDW. Ponadto analiza konieczności zastosowania odstępstw w trybie art. 4.4 i art. 4.5 RDW została przeprowadzona w oparciu o ustalenia zrealizowanych prac dotyczących analizy znaczących oddziaływań antropogenicznych, identyfikacji celów środowiskowych, dane o stanie wód oraz prognozę skuteczności działań naprawczych. Zestawienie tych informacji pozwoliło na identyfikację wskaźników, dla których niezbędne jest odroczenie lub złagodzenie celów środowiskowych dla konkretnych wskaźników stanu wód.</w:t>
            </w:r>
          </w:p>
        </w:tc>
      </w:tr>
      <w:tr w:rsidR="00E92AE6" w:rsidRPr="005E78BB" w14:paraId="0A1DBB61" w14:textId="77777777" w:rsidTr="00E92AE6">
        <w:trPr>
          <w:trHeight w:val="454"/>
        </w:trPr>
        <w:tc>
          <w:tcPr>
            <w:tcW w:w="562" w:type="dxa"/>
            <w:shd w:val="clear" w:color="auto" w:fill="auto"/>
          </w:tcPr>
          <w:p w14:paraId="0E07CCB7" w14:textId="2077B88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844</w:t>
            </w:r>
          </w:p>
        </w:tc>
        <w:tc>
          <w:tcPr>
            <w:tcW w:w="1021" w:type="dxa"/>
            <w:tcBorders>
              <w:top w:val="single" w:sz="4" w:space="0" w:color="auto"/>
              <w:left w:val="nil"/>
              <w:bottom w:val="single" w:sz="4" w:space="0" w:color="auto"/>
              <w:right w:val="nil"/>
            </w:tcBorders>
            <w:shd w:val="clear" w:color="auto" w:fill="auto"/>
          </w:tcPr>
          <w:p w14:paraId="7F60BCCA" w14:textId="6E15B5DA"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Ciech Soda Polska S.A.</w:t>
            </w:r>
          </w:p>
        </w:tc>
        <w:tc>
          <w:tcPr>
            <w:tcW w:w="1630" w:type="dxa"/>
            <w:shd w:val="clear" w:color="auto" w:fill="auto"/>
          </w:tcPr>
          <w:p w14:paraId="6989BB9C" w14:textId="7D4524B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3EF4382" w14:textId="609FAA7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Zakład Ciech SODA Polska S.A. pismem znak NOŚ/AG/2224/2021 z dnia 25.05.2021. dokonał ponownego zgłoszenia inwestycji zakładów Ciech SODA Polska S.A. - Zakład Produkcyjny w Inowrocławiu i CIECH Soda Polska Zakład Produkcyjny w Janikowie do załącznika nr 6 wykaz inwestycji oraz działań, które mogą spowodować nieosiągnięcie dobrego stanu wód lub pogorszenie dobrego stanu wód w celu uzyskania odstępstwa z art. 4.7 RDW. Prosimy o informacje o informację o sposobie rozpatrzenia wniosku.</w:t>
            </w:r>
            <w:r w:rsidRPr="00825321">
              <w:rPr>
                <w:rFonts w:eastAsia="Times New Roman" w:cstheme="minorHAnsi"/>
                <w:color w:val="000000"/>
                <w:sz w:val="18"/>
                <w:szCs w:val="18"/>
                <w:lang w:eastAsia="pl-PL"/>
              </w:rPr>
              <w:br/>
              <w:t>Prosimy o udzielenie odpowiedzi również w formie mailowej na adres Anna.Gorna@ciechgroup.com lub csp@ciechgroup.com</w:t>
            </w:r>
          </w:p>
        </w:tc>
        <w:tc>
          <w:tcPr>
            <w:tcW w:w="3377" w:type="dxa"/>
            <w:shd w:val="clear" w:color="auto" w:fill="auto"/>
          </w:tcPr>
          <w:p w14:paraId="6CFDCB62" w14:textId="685AC96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F7063CA" w14:textId="7DEC72A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5B11984" w14:textId="55C1480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62CD4B1" w14:textId="54254A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0E847F8" w14:textId="35AC8D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Zakłady/inwestycje dla których potwierdzono warunki spełniania odstępstwa w trybie art. 4.7 RDW w I aPGW (z 2016 r.) i nadal prowadzące działalność, która nie zmienia dotychczasowego stanu wód, nie muszą być wpisane do Wykazu inwestycji i działań stanowiącego załącznik do IIaPGW. Istniejące korzystanie z wód i/lub usług wodnych nie podlega pod system odstępstwa w trybie art. 4.7 RDW (art. 66-68 ustawy z dnia 20 lipca 2017 r. – Prawo wodne). Takiemu odstępstwu mogą podlegać wyłącznie nowe działania i przedsięwzięcia, o ile stanowią one nowe zmiany właściwości fizycznych jednolitych części wód powierzchniowych, nowe zmiany poziomu zwierciadła wód podziemnych oraz nowe działania człowieka zgodne z zasadą zrównoważonego rozwoju i niezbędne dla rozwoju społeczeństwa. Dlatego też istniejące obiekty (oraz prowadzona przez nie działalność) nie mogą być ujęte w Wykazie inwestycji i działań, który – według art. 318 ust. 1 pkt 22 i art. 323 (w związku z art. 435-436) ww. ustawy – może przedstawiać wyłącznie informacje o działaniach i inwestycje, które podlegają pod system odstępstw w trybie art. 4.7 RDW. Ponadto analiza konieczności zastosowania odstępstw w trybie art. 4.4 i art. 4.5 RDW została przeprowadzona w oparciu o ustalenia zrealizowanych prac dotyczących analizy znaczących oddziaływań antropogenicznych, identyfikacji celów środowiskowych, dane o stanie wód oraz prognozę skuteczności działań naprawczych. Zestawienie tych informacji pozwoliło na identyfikację wskaźników, dla których niezbędne jest odroczenie lub złagodzenie celów środowiskowych dla konkretnych wskaźników stanu wód.</w:t>
            </w:r>
          </w:p>
        </w:tc>
      </w:tr>
      <w:tr w:rsidR="00E92AE6" w:rsidRPr="005E78BB" w14:paraId="1B995468" w14:textId="77777777" w:rsidTr="00E92AE6">
        <w:trPr>
          <w:trHeight w:val="454"/>
        </w:trPr>
        <w:tc>
          <w:tcPr>
            <w:tcW w:w="562" w:type="dxa"/>
            <w:shd w:val="clear" w:color="auto" w:fill="auto"/>
          </w:tcPr>
          <w:p w14:paraId="0DD84957" w14:textId="19070BE2"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845</w:t>
            </w:r>
          </w:p>
        </w:tc>
        <w:tc>
          <w:tcPr>
            <w:tcW w:w="1021" w:type="dxa"/>
            <w:tcBorders>
              <w:top w:val="single" w:sz="4" w:space="0" w:color="auto"/>
              <w:left w:val="nil"/>
              <w:bottom w:val="single" w:sz="4" w:space="0" w:color="auto"/>
              <w:right w:val="nil"/>
            </w:tcBorders>
            <w:shd w:val="clear" w:color="auto" w:fill="auto"/>
          </w:tcPr>
          <w:p w14:paraId="15F8EEC4" w14:textId="51EE5CCD"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Ciech Soda Polska S.A.</w:t>
            </w:r>
          </w:p>
        </w:tc>
        <w:tc>
          <w:tcPr>
            <w:tcW w:w="1630" w:type="dxa"/>
            <w:shd w:val="clear" w:color="auto" w:fill="auto"/>
          </w:tcPr>
          <w:p w14:paraId="4902D33E" w14:textId="04FD5B3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C6EBC01" w14:textId="06A1F08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II aPGW zapisano (rozdział 16. Wykaz inwestycji i działań, które mogą spowodować nieosiągnięcie dobrego stanu wód lub pogorszenie dobrego stanu wód; strona 407 projektu IIAPGW), że wykaz inwestycji oraz działań, które mogą spowodować nieosiągnięcie dobrego stanu wód lub pogorszenie dobrego stanu wód, obok inwestycji nowych uwzględnia informacje o planowanych i realizowanych inwestycjach i działaniach, dla których w aPGW z 2016 r. potwierdzono warunki spełniania odstępstwa w trybie art. 4 ust. 7 RDW. W związku powyższym prosimy o potwierdzenie, że zakłady/inwestycje dla których potwierdzono warunki spełniania odstępstwa w trybie art. 4 ust. 7 RDW w I aPGW, i które nadal prowadzą działalność, która nie zmienia dotychczasowego stanu wód, powinny zostać również wpisane do załącznika nr 6 II aPGW.</w:t>
            </w:r>
            <w:r w:rsidRPr="00825321">
              <w:rPr>
                <w:rFonts w:eastAsia="Times New Roman" w:cstheme="minorHAnsi"/>
                <w:color w:val="000000"/>
                <w:sz w:val="18"/>
                <w:szCs w:val="18"/>
                <w:lang w:eastAsia="pl-PL"/>
              </w:rPr>
              <w:br w:type="page"/>
              <w:t>Prosimy o udzielenie odpowiedzi również w formie mailowej na adres Anna.Gorna@ciechgroup.com lub csp@ciechgroup.com</w:t>
            </w:r>
            <w:r w:rsidRPr="00825321">
              <w:rPr>
                <w:rFonts w:eastAsia="Times New Roman" w:cstheme="minorHAnsi"/>
                <w:color w:val="000000"/>
                <w:sz w:val="18"/>
                <w:szCs w:val="18"/>
                <w:lang w:eastAsia="pl-PL"/>
              </w:rPr>
              <w:br w:type="page"/>
            </w:r>
          </w:p>
        </w:tc>
        <w:tc>
          <w:tcPr>
            <w:tcW w:w="3377" w:type="dxa"/>
            <w:shd w:val="clear" w:color="auto" w:fill="auto"/>
          </w:tcPr>
          <w:p w14:paraId="0F2F3AF9" w14:textId="0D953BD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1F6164F" w14:textId="3124936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8C2A2D9" w14:textId="72F464E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DEE49FA" w14:textId="37BA7C5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998F26F" w14:textId="0841FFF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Zakłady/inwestycje dla których potwierdzono warunki spełniania odstępstwa w trybie art. 4.7 RDW w I aPGW (z 2016 r.) i nadal prowadzące działalność, która nie zmienia dotychczasowego stanu wód, nie muszą być wpisane do Wykazu inwestycji i działań stanowiącego załącznik do IIaPGW. Istniejące korzystanie z wód i/lub usług wodnych nie podlega pod system odstępstwa w trybie art. 4.7 RDW (art. 66-68 ustawy z dnia 20 lipca 2017 r. – Prawo wodne). Takiemu odstępstwu mogą podlegać wyłącznie nowe działania i przedsięwzięcia, o ile stanowią one nowe zmiany właściwości fizycznych jednolitych części wód powierzchniowych, nowe zmiany poziomu zwierciadła wód podziemnych oraz nowe działania człowieka zgodne z zasadą zrównoważonego rozwoju i niezbędne dla rozwoju społeczeństwa. Dlatego też istniejące obiekty (oraz prowadzona przez nie działalność) nie mogą być ujęte w Wykazie inwestycji i działań, który – według art. 318 ust. 1 pkt 22 i art. 323 (w związku z art. 435-436) ww. ustawy – może przedstawiać wyłącznie informacje o działaniach i inwestycje, które podlegają pod system odstępstw w trybie art. 4.7 RDW. Ponadto, analiza konieczności zastosowania odstępstw w trybie art. 4.4 i art. 4.5 RDW została przeprowadzona w oparciu o ustalenia zrealizowanych prac dotyczących analizy znaczących oddziaływań antropogenicznych, identyfikacji celów środowiskowych, dane o stanie wód oraz prognozę skuteczności działań naprawczych. Zestawienie tych informacji pozwoliło na identyfikację wskaźników, dla których niezbędne jest odroczenie lub złagodzenie celów środowiskowych dla konkretnych wskaźników stanu wód</w:t>
            </w:r>
          </w:p>
        </w:tc>
      </w:tr>
      <w:tr w:rsidR="00E92AE6" w:rsidRPr="005E78BB" w14:paraId="65BF43F0" w14:textId="77777777" w:rsidTr="00E92AE6">
        <w:trPr>
          <w:trHeight w:val="454"/>
        </w:trPr>
        <w:tc>
          <w:tcPr>
            <w:tcW w:w="562" w:type="dxa"/>
            <w:shd w:val="clear" w:color="auto" w:fill="auto"/>
          </w:tcPr>
          <w:p w14:paraId="2EEEA99C" w14:textId="04B845D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846</w:t>
            </w:r>
          </w:p>
        </w:tc>
        <w:tc>
          <w:tcPr>
            <w:tcW w:w="1021" w:type="dxa"/>
            <w:tcBorders>
              <w:top w:val="single" w:sz="4" w:space="0" w:color="auto"/>
              <w:left w:val="nil"/>
              <w:bottom w:val="single" w:sz="4" w:space="0" w:color="auto"/>
              <w:right w:val="nil"/>
            </w:tcBorders>
            <w:shd w:val="clear" w:color="auto" w:fill="auto"/>
          </w:tcPr>
          <w:p w14:paraId="51D9F1AB" w14:textId="406B15B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784FD5D0" w14:textId="071C3B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9CA9469" w14:textId="18C6136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Odnośnie działań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 migracji. Ponownie nie wpisano do działań na przegrodach udrożnienia piętrzeń na Drwęcy w Lubiczu. Zgodnie z PZO obszaru Natura 2000 &amp;#34;Dolina Drwęcy&amp;#34; PLH280001, oba piętrzenia (jaz &amp;#34;przy młynie&amp;#34; oraz jaz wodociągów) zgodnie z tym dokumentem są niedrożne dla ryb, w tym dla łososia. W działaniach dla obszaru: &amp;#34;Opracowanie i wdrożenie rozwiązań zapewniających udrożnienie rzeki w zakresie migracji [minóg rzeczny, łosoś atlantycki, boleń, koza głowacz białopłetwy, różanka], w szczególności na istniejących przegrodach na Drwęcy, w tym na piętrzeniach w Lubiczu (jazie młyńskim i jazie komunalnym). (Obszar Natura 2000 Dolina Drwęcy)&amp;#34;. Tak było w też w poprzednim apgw (nie wykonano) i niestety teraz w pliku Zal_1_Zestaw dzialna_Wykaz działań dla budowli_Wisła znów nie ma udrożnienia budowli tyko: Kontrola funkcjonowania urządzeń do migracji ryb. Monitoring skuteczności istniejących urządzeń do migracji ryb. // Ocena wpływu budowli poprzecznych na ciągłość biologiczną i cele środowiskowe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r w:rsidRPr="00825321">
              <w:rPr>
                <w:rFonts w:eastAsia="Times New Roman" w:cstheme="minorHAnsi"/>
                <w:color w:val="000000"/>
                <w:sz w:val="18"/>
                <w:szCs w:val="18"/>
                <w:lang w:eastAsia="pl-PL"/>
              </w:rPr>
              <w:br/>
              <w:t>Od dawna wiadomo, że obie przepławki nie działają i wymagają przebudowy - tymczasem na kolejne 6 lat kluczowa rzeka łososiowa ma być niedrożna.</w:t>
            </w:r>
            <w:r w:rsidRPr="00825321">
              <w:rPr>
                <w:rFonts w:eastAsia="Times New Roman" w:cstheme="minorHAnsi"/>
                <w:color w:val="000000"/>
                <w:sz w:val="18"/>
                <w:szCs w:val="18"/>
                <w:lang w:eastAsia="pl-PL"/>
              </w:rPr>
              <w:br/>
              <w:t>Wnosimy o pilną realizację zapisów PZO i uwzględnieniu ich w IIapgw.</w:t>
            </w:r>
          </w:p>
        </w:tc>
        <w:tc>
          <w:tcPr>
            <w:tcW w:w="3377" w:type="dxa"/>
            <w:shd w:val="clear" w:color="auto" w:fill="auto"/>
          </w:tcPr>
          <w:p w14:paraId="5BAC3FC2" w14:textId="0A69128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A16D77B" w14:textId="7BF98FA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9557A00" w14:textId="24CF7B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F3636A1" w14:textId="670543B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uwzględniono</w:t>
            </w:r>
          </w:p>
        </w:tc>
        <w:tc>
          <w:tcPr>
            <w:tcW w:w="3513" w:type="dxa"/>
            <w:shd w:val="clear" w:color="auto" w:fill="auto"/>
          </w:tcPr>
          <w:p w14:paraId="1DDA9628" w14:textId="50041BB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Bardzo mnie cieszy czujność naszych gości. Konsultacje społeczne służą weryfikacji zestawu działań, które zostały zaproponowane m.in. w aspekcie ciągłości. Doprecyzowanie zarówno zakresu jak i charakteru działań dla budowli piętrzących w obrębie tych jcw, gdzie stwierdzone zostało ryzyko nieosiągnięcia celów środowiskowych, było zadaniem trudnym. Jako eksperci korzystaliśmy z dostępnych baz danych, informacji, posiłkowaliśmy się również ankietyzacją. Natomiast w tym konkretnym przypadku uwaga zostanie uwzględniona dlatego, że brakowało nam informacji o skuteczności istniejących przepławek. Proszę o zgłoszenie tej informacji w formularzu dostępnym do konsultacji, aby te dwa obiekty zostały wskazane do udrożnienia. Daliśmy działanie, które polegało na weryfikacji skuteczności przepławki z tego względu, że nie sposób jest, aby każdy jaz, obiekt piętrzący zweryfikować aż tak szczegółowo. W przypadku obszarów chronionych działań, które zostały wpisane w PZO i PO, te działania zostały włączone w zestawy działań naprawczych. Czyli: jeżeli w planie zadań ochronnych pojawia się działanie, które wskazuje na konieczność udrożniania konkretnych obiektów, to takie działanie zostało wpisane w plan gospodarowania wodami. Bardzo bym prosiła, żeby sprawdzić cały zestaw działań dla tej jcw, ponieważ działania wynikające z planów zadań ochronnych czy planów ochrony, są zawarte w działaniach do presji skumulowanych. My daliśmy działanie wskazujące na weryfikację skuteczności. Jeżeli mamy wiedzę, że ta skuteczność nie jest osiągnięta to jesteśmy w stanie zaproponować na poziomie tego zestawu działań już bardziej konkretne działanie techniczne. Bardzo proszę o zgłaszanie, jeśli państwo macie więcej tego typu informacji - będziemy zobowiązani za te informacje. Mówię to w imieniu ekspertów zajmujących się budowlami, ciągłością biologiczną. Sposób udrożnienia będzie wynikał zarówno z funkcji tych obiektów jak i możliwości przebudowy czy to na bystrze, czy przebudowy samej przepławki - musi być cała procedura, dokumentacja. Oczywiście zachęcam także do podjęcia współpracy, ponieważ realizacja działań i ich finansowanie to są przede wszystkim projekty i jednostki odpowiedzialne za realizację, w tym wypadku zarządzające obszarem. Natomiast na pewno przyda się współpraca wielu podmiotów - może przy okazji uda się zrenaturyzować fragment rzeki. My wskazujemy takie minimum w zestawach działań, żeby te presje znaczące zminimalizować do poziomu, przy którym środowisko czy ekosystem jest już w stanie zacząć powoli się odbudowywać. Natomiast to nie jest coś, na czym należałoby skończyć. To jest dopiero początek drogi, uruchomienie procesów tak, aby te ekosystemy powoli, z czasem, także po roku 2027, odbudowywały się we właściwym kierunku w ramach naturalnych procesów. Jeszcze raz apeluję o to, żeby zgłosić ją dodatkowo. My ją uwzględnimy, natomiast jeżeli państwo macie informacje o innych budowlach, to będziemy zobowiązani za zgłoszenie ich w formualrzach. Temu właśnie służą konsultacje społeczne. My na poziomie opracowania w skali dorzecza, czy nawet regionu wodnego, nie jesteśmy czasem w stanie uzyskać tak szczegółowych informacji. Zachęcam do weryfikacji i lektury wykazu przede wszystkim budowli, bo tak jak zaznacza autor pytania - jest to istotne z punktu widzenia obszarów chronionych i gatunków chronionych, czyli tych gatunków ryb, dla których nowe cele środowiskowe zostały bardzo uszczegółowione i my oczywiście jak najbardziej w zestawach działań je uwzględniamy.</w:t>
            </w:r>
          </w:p>
        </w:tc>
      </w:tr>
      <w:tr w:rsidR="00E92AE6" w:rsidRPr="005E78BB" w14:paraId="26A131D8" w14:textId="77777777" w:rsidTr="00E92AE6">
        <w:trPr>
          <w:trHeight w:val="454"/>
        </w:trPr>
        <w:tc>
          <w:tcPr>
            <w:tcW w:w="562" w:type="dxa"/>
            <w:shd w:val="clear" w:color="auto" w:fill="auto"/>
          </w:tcPr>
          <w:p w14:paraId="083A0A38" w14:textId="1DBED98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847</w:t>
            </w:r>
          </w:p>
        </w:tc>
        <w:tc>
          <w:tcPr>
            <w:tcW w:w="1021" w:type="dxa"/>
            <w:tcBorders>
              <w:top w:val="single" w:sz="4" w:space="0" w:color="auto"/>
              <w:left w:val="nil"/>
              <w:bottom w:val="single" w:sz="4" w:space="0" w:color="auto"/>
              <w:right w:val="nil"/>
            </w:tcBorders>
            <w:shd w:val="clear" w:color="auto" w:fill="auto"/>
          </w:tcPr>
          <w:p w14:paraId="27F63F7F" w14:textId="672BEC62"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566793A7" w14:textId="37B3291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E984E40" w14:textId="6F3C61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Niektóre inwestycje z prolongacją 4.7. nie miały nigdy wydanej decyzji środowiskowej (np. MEW na Dunajcu w Łukanowicach), niektórych decyzje zostały uchylone (ZW Wierna Rzeka), a nadal są w IIapgw. Po sprawie Turowa i postanowieniu TSUE widać, że warto aby były to decyzje ostateczne, a nawet prawomocne. W takim razie SW Siarzewo też powinien być wykreślony z IIapgw, decyzja jest w odwołaniu (od ponad 3 lat), czy WP wezmą to pod uwagę?</w:t>
            </w:r>
          </w:p>
        </w:tc>
        <w:tc>
          <w:tcPr>
            <w:tcW w:w="3377" w:type="dxa"/>
            <w:shd w:val="clear" w:color="auto" w:fill="auto"/>
          </w:tcPr>
          <w:p w14:paraId="13FECC43" w14:textId="7A7069A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0EEE61B" w14:textId="45930E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7FE6363" w14:textId="46CD8D2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537B50A" w14:textId="48A86A4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52925EF" w14:textId="020A394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odniesieniu do przywołanych przedsięwzięć (MEW na Dunajcu w Łukanowicach oraz zbiornik wodny Wierna Rzeka) trzeba zauważyć, że odstępstwo od celów środowiskowych zostało przypisane tym inwestycjom w ramach aPGW z 2016 r. Dla potrzeb IIaPGW (i wykonania Wykazów Inwestycji i Działań) przyjęto, że przedsięwzięcia nieposiadające decyzji wydanej z zastosowaniem art. 68 ustawy Prawo wodne, co do których stwierdzono (w aPGW z 2016 r.) ryzyko pogorszenia stanu wód (lub uniemożliwienia osiągnięcia celów środowiskowych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 Z tego powodu przedmiotowe inwestycje pozostają zapisane w Wykazie Inwestycji i Działań.</w:t>
            </w:r>
          </w:p>
        </w:tc>
      </w:tr>
      <w:tr w:rsidR="00E92AE6" w:rsidRPr="005E78BB" w14:paraId="78D53ECC" w14:textId="77777777" w:rsidTr="00E92AE6">
        <w:trPr>
          <w:trHeight w:val="454"/>
        </w:trPr>
        <w:tc>
          <w:tcPr>
            <w:tcW w:w="562" w:type="dxa"/>
            <w:shd w:val="clear" w:color="auto" w:fill="auto"/>
          </w:tcPr>
          <w:p w14:paraId="6848EB61" w14:textId="5976EAF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848</w:t>
            </w:r>
          </w:p>
        </w:tc>
        <w:tc>
          <w:tcPr>
            <w:tcW w:w="1021" w:type="dxa"/>
            <w:tcBorders>
              <w:top w:val="single" w:sz="4" w:space="0" w:color="auto"/>
              <w:left w:val="nil"/>
              <w:bottom w:val="single" w:sz="4" w:space="0" w:color="auto"/>
              <w:right w:val="nil"/>
            </w:tcBorders>
            <w:shd w:val="clear" w:color="auto" w:fill="auto"/>
          </w:tcPr>
          <w:p w14:paraId="5F329A8D" w14:textId="1B18579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139366FD" w14:textId="2BC9D28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8E2B02F" w14:textId="4667351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Dzięki wspólnemu spotkaniu IIaPGW i aPZRP dopiero widać, jak program przeciwpowodziowy jest sprzeczny z celami środowiskowymi i działaniami mającymi na celu ich osiągnięcie. Na spotkaniach „tylko IIapgw” jest sielanka i trud osiągnięcia celów, najlepiej do 2027 r. po później to już zgodnie z RDW chyba tylko powinno być „dobrze”. Zaś na spotkaniach „apzrp” mamy wachlarz inwestycji hydrotechnicznych, które „wskazuje się”, „mają priorytet”, „na pewno powstaną” etc. – w zasadzie nic o analizie pod kątem oddziaływań środowiskowych. Dopiero po prezentacjach danych z IIaPGW widać, że pod względem środowiskowych gros tych inwestycji powstać nie może, albo przynajmniej nie powinno. Nieznane przy tym są kryteria kwalifikacji do aPZRP i czy w ogóle brano pod uwagę dane przygotowane na potrzeby IIaPGW. Jeśli tak, to czemu w wykazie inwestycji aPZRP nie ma nawet wypisanych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nie mówiąc już o prostym połączeniu z przypisanych im celom i działaniom. To wszystko wskazuje, że dotychczasowe spotkania aPZRP z lutego, marca, kwietnia były pod tym względem kompletnie bezwartościowe.</w:t>
            </w:r>
            <w:r w:rsidRPr="00825321">
              <w:rPr>
                <w:rFonts w:eastAsia="Times New Roman" w:cstheme="minorHAnsi"/>
                <w:color w:val="000000"/>
                <w:sz w:val="18"/>
                <w:szCs w:val="18"/>
                <w:lang w:eastAsia="pl-PL"/>
              </w:rPr>
              <w:br w:type="page"/>
            </w:r>
          </w:p>
        </w:tc>
        <w:tc>
          <w:tcPr>
            <w:tcW w:w="3377" w:type="dxa"/>
            <w:shd w:val="clear" w:color="auto" w:fill="auto"/>
          </w:tcPr>
          <w:p w14:paraId="4B8DBE5C" w14:textId="06B2410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7CCAD9C" w14:textId="7F7514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22CF983" w14:textId="56AC68D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26CE724" w14:textId="77A1E44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6EC0DAC" w14:textId="18BEFC2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 uproszczony sposób było to wzięte pod uwagę w analizach wielokryterialnych, jednak przypomnę, że przed nami jest również przeprowadzenie oceny oddziaływania na środowisko dla projektów PZRP i w ramach tego opracowania będzie również przeprowadzenie opiniowania i konsultacji społecznych projektów aPZRP wraz z prognozami oddziaływania na środowisko tych dokumentów. Już teraz zapraszam państwa na te dodatkowe 21 dniowe konsultacje społeczne, które odbędą się we wrześniu i będą trwały między 7 a 27 września. Planowane są 3 spotkania: w Warszawie, Krakowie oraz we Wrocławiu, czyli w miejscach, które koncentrują działania najbardziej newralgiczne środowiskowo. Zachęcam państwa do śledzenia strony projektu stoppowodzi, bo tam znajdzują się wszystkie szczegółowe informacje odnośnie tych spotkań, czy też trybu tych spotkań, które będą dotyczyć tych aspektów środowiskowych. Współpraca i wymiana informacji między oboma zespołami funkcjonuje i zostało to uwzględnione.</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To pytanie wraca i warto o tym mówić, bo to jest ta główna różnica pomiędzy poprzednim cyklem planistycznym zarówno PZRP jak i planów gospodarowania wodami. Ten wątek środowiskowy w aPZRP jest znacznie mniejszy niż poprzednio, przy pierwszych planach zarządzania ryzykiem powodziowym, bo w międzyczasie zmieniła się ustawa. PZRP dokonują analizy pod kątem inwestycji i przedsięwzięć pod kątem celu zagrożenia powodzią - celem opracowania PZRP jest znalezienie rozwiązań, które pozwolą nam zarządzać falą powodziową. To nie zawsze oznacza budowę wałów, i im bliżej morza coraz wyższych wałów. Mówimy o zarządzaniu ryzykiem powodziowym. Natomiast to, czy dane przedsięwzięcie w takim kształcie jak jest określone w PZRP trafi do realizacji, to jest kwestia kolejnych analiz środowiskowych w ramach decyzji o środowiskowych uwarunkowaniach i tam będziemy sprawdzali, czy odpowiednio zostały rozważone warianty, czy ten nadrzędny interes społeczny jest rzeczywiście odpowiednio ujęty i wykazany. Czyli PZRP to jest recepta na zarządzanie ryzykiem powodziowym z pewnym pakietem przedsięwzięć, które razem, tak jak są ujęte, powinny zabezpieczyć nam ryzyko powodziowe, albo ograniczyć zagrożenie powodzią do akceptowalnego minimum. Natomiast to nie jest lista inwestycji gotowych do realizacji. Zamieszczenie przedsięwzięcia w PZRP nie pozwala na pominięcie tej dalszej procedury, która już dotyczy oceny wodnoprawnej. Pozwolę sobie na jeszcze jeden komentarz o sielance. Może takie wrażenie sprawia, że my przedstawiając IIaPGW patrząc na rok 2027- to na te 6 lat już mamy święty spokój, zapanuje sielanka, radość i komfort w pracy. My zaczynamy od razu od stycznia nowy cykl planistyczny i nie ukrywam, że rok 2027, ta perspektywa 6 lat, aczkolwiek wydaje się daleka, to nie jest coś, co by nam pozwalało spać spokojnie, ponieważ jest to szczególny rok w gospodarowaniu wodami. Zmieniają się uwarunkowania, dotyczące stosowania odstępstw, ale co więcej to jest 12 lat po dacie granicznej na osiągnięcie celów środowiskowych. Czyli kończy się okres, w którym możemy tłumaczyć się, że myśmy jeszcze nie mieli kompletu metodyk, że jeszcze nie wszystko rozumieliśmy, nie wszystkie dane, system się tworzył itd. Tej korespondencji o systemie tworzącym się z Komisją Europejską Polska miała (podobnie jak inne kraje) całą masę i to jest bardzo bogata korespondencja. I będzie moment kiedy KE powie: sprawdzam. Musimy pamiętać, że plany gospodarowania wodami, przedsięwzięcia tam wpisane w działania prośrodowiskowe są finansowane po części ze środków unijnych i to jest drugi moment, kiedy KE ma prawo powiedzieć: sprawdzam, chociażby europejski trybunał obrachunkowy, po to, żeby zobaczyć jak pieniądze europejskiego podatnika przekładają się na osiągnięcie celów środowiskowych. Więc ta sielanka jest pozorna. Cieszymy się z tego, że IIaPGW jest na stole, że możemy konsultować. Jest to uwieńczenie 6 letniej pracy, ale w tym momencie nie kończy się nasze spojrzenie w przyszłość, wręcz przeciwnie - roku 2027 z powodów środowiskowych, uwarunkowań organizacyjnych czy prawnych trochę się obawiamy.</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Problemy z osiąganiem celów środowiskowych są problemem paneuropejskim, który wynika z kilku kwestii, ale główną jest system oceny stanu wód, tak jak on funkcjonuje, czyli w oparciu o zasadę – najgorszy element decyduje o wszystkim. Możemy mówić o całości tej oceny i tych stu kilkudziesięciu wskaźnikach, ale żeby zostać tylko przy biogenach – nie chcę z nazw wymieniać żadnych państw, natomiast są takie przypadki, gdzie w dyskusjach z KE państwo X czy Y podnosi ten aspekt, że jeżeli nic się nie zmieni - ten rok 2027 jako graniczny do stosowania odstępstwa z art. 4.4 RDW (czyli tego terminowego na dojście do celów środowiskowych) nie zostanie zmieniony, to nie pozostanie nic innego jak obniżenie celów środowiskowych, co jest w kontrze do założeń, do celów dyrektywy, gdyż w innym przypadku należałoby rolnictwo zlikwidować w tym kraju. Mamy przypadki państw, które pokazują, że ten system oceny wód, taki jaki jest, nie pozwala na wykazanie postępu. Czyli zarzut ze strony polityków, parlamentu danego kraju, czy też zainteresowanych różnych środowisk czy organizacji jest taki: wydaliśmy, wydajemy miliony, miliardy euro, zł itp., a postępu nie widać. Cały czas jak spojrzymy na mapę stanu wód jest czerwono, wobec czego jaki sens jest wydawać? Może żeśmy wszystko źle zrobili, źle zaplanowali, źle wydali - a plany gospodarowania wodami bazują na wiedzy eksperckiej, to może w takim razie już przestańmy wydawać skoro i tak efektu nie przynosi. W ocenie stanu wód zasada „najgorszy decyduje” nie jest zapisana w dyrektywie wprost, natomiast pojawia się ona w wytycznych do Ramowej Dyrektywy Wodnej - do biologii tak, natomiast do fizykochemii nie. Jest to problem ogólnoeuropejski. Ta zasada oceny stanu być może jest dobrym narzędziem do prezentowania wiedzy o ekosystemach wodnych, o powiązaniach pomiędzy wskaźnikami, ale - to jest moja prywatna opinia - absolutnie się nie sprawdza w gospodarowaniu wodami, w tym do czego ten system został stworzony.</w:t>
            </w:r>
          </w:p>
        </w:tc>
      </w:tr>
      <w:tr w:rsidR="00E92AE6" w:rsidRPr="005E78BB" w14:paraId="196861D3" w14:textId="77777777" w:rsidTr="00E92AE6">
        <w:trPr>
          <w:trHeight w:val="454"/>
        </w:trPr>
        <w:tc>
          <w:tcPr>
            <w:tcW w:w="562" w:type="dxa"/>
            <w:shd w:val="clear" w:color="auto" w:fill="auto"/>
          </w:tcPr>
          <w:p w14:paraId="0F5F2304" w14:textId="5C4F83D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849</w:t>
            </w:r>
          </w:p>
        </w:tc>
        <w:tc>
          <w:tcPr>
            <w:tcW w:w="1021" w:type="dxa"/>
            <w:tcBorders>
              <w:top w:val="single" w:sz="4" w:space="0" w:color="auto"/>
              <w:left w:val="nil"/>
              <w:bottom w:val="single" w:sz="4" w:space="0" w:color="auto"/>
              <w:right w:val="nil"/>
            </w:tcBorders>
            <w:shd w:val="clear" w:color="auto" w:fill="auto"/>
          </w:tcPr>
          <w:p w14:paraId="04411787" w14:textId="0FE4726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Ogólnopolskie Towarzystwo Ochrony Ptaków</w:t>
            </w:r>
          </w:p>
        </w:tc>
        <w:tc>
          <w:tcPr>
            <w:tcW w:w="1630" w:type="dxa"/>
            <w:shd w:val="clear" w:color="auto" w:fill="auto"/>
          </w:tcPr>
          <w:p w14:paraId="5793C811" w14:textId="1421E0C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B6F1655" w14:textId="72B970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 Szczególnie w kontekście wspomnianego w pierwszej części spotkania braku ciągłości, równocześnie z działaniami naprawczymi są prowadzone przygotowania do przeprowadzenia inwestycji charakteryzujących się wysoką presją na środowisko, czyli  budowy stopni wodnych na Wiśle: Chełmno, Gniew, Grudziądz, Solec Kujawski oraz przede wszystkim stopnia wodnego w Siarzewie (poniżej Włocławka). Jak oceniają Państwo w związku z tym ryzyko nieosiągnięcia celów środowiskowych?</w:t>
            </w:r>
          </w:p>
        </w:tc>
        <w:tc>
          <w:tcPr>
            <w:tcW w:w="3377" w:type="dxa"/>
            <w:shd w:val="clear" w:color="auto" w:fill="auto"/>
          </w:tcPr>
          <w:p w14:paraId="4FB892C5" w14:textId="4F10B9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6E36BE0" w14:textId="4FA461A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DAE6830" w14:textId="2F3F7E0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6DFBDFE" w14:textId="71DBC70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088C133" w14:textId="176EF1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Ocena ryzyka nieosiągnięcia celów środowiskowych stanowi efekt wykonywanej analizy znaczących oddziaływań antropogenicznych poprzedzającej opracowanie projektów IIaPGW. Szczegółowe analizy dotyczące konkretnych inwestycji będą prowadzone na etapie postępowań administracyjnych, których elementem będzie analiza wpływu na cele środowiskowe oraz analiza konieczności i możliwości zastosowania odstępstw w trybie art. 68 ustawy Prawo wodne (art. 4.7 RDW).</w:t>
            </w:r>
          </w:p>
        </w:tc>
      </w:tr>
      <w:tr w:rsidR="00E92AE6" w:rsidRPr="005E78BB" w14:paraId="5C112795" w14:textId="77777777" w:rsidTr="00E92AE6">
        <w:trPr>
          <w:trHeight w:val="454"/>
        </w:trPr>
        <w:tc>
          <w:tcPr>
            <w:tcW w:w="562" w:type="dxa"/>
            <w:shd w:val="clear" w:color="auto" w:fill="auto"/>
          </w:tcPr>
          <w:p w14:paraId="5562613B" w14:textId="5403683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850</w:t>
            </w:r>
          </w:p>
        </w:tc>
        <w:tc>
          <w:tcPr>
            <w:tcW w:w="1021" w:type="dxa"/>
            <w:tcBorders>
              <w:top w:val="single" w:sz="4" w:space="0" w:color="auto"/>
              <w:left w:val="nil"/>
              <w:bottom w:val="single" w:sz="4" w:space="0" w:color="auto"/>
              <w:right w:val="nil"/>
            </w:tcBorders>
            <w:shd w:val="clear" w:color="auto" w:fill="auto"/>
          </w:tcPr>
          <w:p w14:paraId="68F9D40B" w14:textId="4A06992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Lubelski Węgiel Bogdanka  S.A.</w:t>
            </w:r>
          </w:p>
        </w:tc>
        <w:tc>
          <w:tcPr>
            <w:tcW w:w="1630" w:type="dxa"/>
            <w:shd w:val="clear" w:color="auto" w:fill="auto"/>
          </w:tcPr>
          <w:p w14:paraId="3755CB5E" w14:textId="01926BF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167A013" w14:textId="694460D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 należy postąpić, w przypadku gdy w wykazie inwestycji i działań nie została ujęta inwestycja, na którą przedsiębiorca uzyskał decyzję środowiskową w 2019 roku? Czy przedsiębiorca może zgłosić nową inwestycję poprzez ankietę?</w:t>
            </w:r>
          </w:p>
        </w:tc>
        <w:tc>
          <w:tcPr>
            <w:tcW w:w="3377" w:type="dxa"/>
            <w:shd w:val="clear" w:color="auto" w:fill="auto"/>
          </w:tcPr>
          <w:p w14:paraId="2F74EB52" w14:textId="7F449D0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3746A5A" w14:textId="064826C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420D611" w14:textId="31D30F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AC0F5B5" w14:textId="163DDC3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79F0F0C" w14:textId="5E363F6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To jest bardzo ważne zagadnienie - zgodność inwestycji z ustaleniami planów gospodarowania wodami. W planach gospodarowania wodami przedstawiono informacje o decyzjach wydanych z zastosowaniem art. 68 ustawy Prawo wodne. Chodzi o takie decyzje, gdzie w ramach postępowania stwierdzono, że będzie pogorszenie stanu wód lub w wyniku realizacji przedsięwzięcia nie uda się osiągnąć celów środowiskowych, ale mimo wszystko wydajemy zgodę na taką inwestycję ponieważ jest spełnione kilka przesłanek: nadrzędny interes publiczny, zrobiono wszystko co możliwe by zmniejszyć negatywne oddziaływanie na stan wód oraz brak lepszego, nie powodującego kolizji z celem środowiskowym wariantu alternatywnego. Jeżeli te przesłanki są spełnione, można wydać decyzję. Pozostało pytanie do autora, czy ta decyzja, o której mowa na czacie, została wydana z zastosowaniem art. 68 ustawy Prawo wodne, czyli czy to przedsięwzięcie, dla którego wydano decyzję środowiskową pogorszy stan wód. Wedle naszych ustaleń, a te ustalenia wynikają z ankietyzacji organów ochrony środowiska, między innymi z kontaktów z Regionalnymi Dyrekcjami Ochrony Środowiska, uzyskaliśmy decyzje środowiskowe dla wszystkich przedsięwzięć, które posiadają decyzję z zastosowaniem art. 68 ustawy Prawo wodne. Jeżeli w wykazie inwestycji działań okazałoby się, że nie ma inwestycji, i nie ma decyzji, informacji o tym przedsięwzięciu oraz o decyzji środowiskowej dla takiego przedsięwzięcia (uwaga! Przedsięwzięcia pogarszającego stan wód), co do którego wydano decyzje z zastosowaniem art. 68 ustawy Prawo wodne, to oznaczałoby, że być może któryś z ankietowanych organów odpowiedział nam w sposób niekompletny. W takim przypadku prosimy o zgłoszenie takiej uwagi, takiego wniosku do planu gospodarowania wodami. Oczywiście uwzględnimy wówczas te informacje.</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Jako osoba pracująca przy tym wykazie inwestycji, domyślam się o którą decyzję chodzi, z 2019 roku. Wedle mojej wiedzy, proszę wybaczyć mogę wszystkiego na ten moment nie pamiętać, obiecuję, że to zostanie zweryfikowane w ramach procesu konsultacji. Wedle mojej wiedzy, to ta decyzja nie została wydana w trybie art. 68 ustawy Prawo wodne, co by oznaczało, że ta inwestycja i wynikające z niej informacje o decyzji środowiskowej, nie muszą, wręcz nie powinny się znaleźć w załączniku. W tym załączniku mają się znaleźć wyłącznie inwestycje, co do których potwierdzono, że pogorszają one stan wód oraz że to pogorszenie jest akceptowalne z punktu widzenia ustawy Prawo wodne.</w:t>
            </w:r>
          </w:p>
        </w:tc>
      </w:tr>
      <w:tr w:rsidR="00E92AE6" w:rsidRPr="005E78BB" w14:paraId="2CEF1A9B" w14:textId="77777777" w:rsidTr="00E92AE6">
        <w:trPr>
          <w:trHeight w:val="454"/>
        </w:trPr>
        <w:tc>
          <w:tcPr>
            <w:tcW w:w="562" w:type="dxa"/>
            <w:shd w:val="clear" w:color="auto" w:fill="auto"/>
          </w:tcPr>
          <w:p w14:paraId="70522A61" w14:textId="0692250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851</w:t>
            </w:r>
          </w:p>
        </w:tc>
        <w:tc>
          <w:tcPr>
            <w:tcW w:w="1021" w:type="dxa"/>
            <w:tcBorders>
              <w:top w:val="single" w:sz="4" w:space="0" w:color="auto"/>
              <w:left w:val="nil"/>
              <w:bottom w:val="single" w:sz="4" w:space="0" w:color="auto"/>
              <w:right w:val="nil"/>
            </w:tcBorders>
            <w:shd w:val="clear" w:color="auto" w:fill="auto"/>
          </w:tcPr>
          <w:p w14:paraId="253A9DC3" w14:textId="7A2DAFE0"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Instytut Działań Miejskich</w:t>
            </w:r>
          </w:p>
        </w:tc>
        <w:tc>
          <w:tcPr>
            <w:tcW w:w="1630" w:type="dxa"/>
            <w:shd w:val="clear" w:color="auto" w:fill="auto"/>
          </w:tcPr>
          <w:p w14:paraId="365EC963" w14:textId="7BA64D4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D60AE6F" w14:textId="35EE9D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 do II apgw ma się opracowanie Krajowego programu renaturyzacji? Gdzie znaleźć rzeki przeznaczone do renaturyzacji?</w:t>
            </w:r>
          </w:p>
        </w:tc>
        <w:tc>
          <w:tcPr>
            <w:tcW w:w="3377" w:type="dxa"/>
            <w:shd w:val="clear" w:color="auto" w:fill="auto"/>
          </w:tcPr>
          <w:p w14:paraId="3110BF80" w14:textId="1E1CAD6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A8F6FFB" w14:textId="4D3474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BC7F243" w14:textId="0901327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0A5B467" w14:textId="622A9A2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006B8DF" w14:textId="17686DD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Jeżeli chodzi o Krajowy Program Renaturyzacji był to bardzo ważny program, który również uwzględniony został przy tworzeniu działań naprawczych na potrzeby IIaPGW. Był on opracowany, oddany zimą 2020 roku, przy którym również miałam zaszczyt pracować. Program ten został uwzględniony w kilku elementach. Po pierwsze w katalogach, o których Państwu opowiadałam, zostały zawarte działania, nakierowane czy raczej wpisujące się właśnie w te działania, które znajdą Państwo w Krajowym Programie Renaturyzacji Wód Powierzchniowych, skierowane do rzecznych, zbiornikowych, jeziornych wód czy przybrzeżnych i przejściowych. W tym katalogu zebrano działania nakierowane na prace utrzymaniowe, przywrócenie ciągłości między innymi biologicznej i morfologicznej cieków. Krajowy Program Renaturyzacji był opracowywany i skupiał się głównie na przekształceniach hydromorfologicznych. Do tego musieliśmy dołożyć cały pakiet danych dot. analizy presji, zarówno ilościowych jak i jakościowych, w kontekście fizyko-chemii; uwzględnić dodatkowo szereg działań, między innymi wynikających z planów ochrony. W związku z tym Krajowy Program został skonsumowany w IIaPGW z jednej strony w katalogu krajowym, gdzie mamy wpisane jako obligatoryjnie, w zakresie prac utrzymaniowych, stosowanie katalogu dobrych praktyk w zakresie prac utrzymaniowych i robót hydrotechnicznych do wszystkich jednolitych części wód, których to dotyczy. W Krajowym Programie Renaturyzacji mieliśmy tzw. Podstawowy pakiet renaturyzacji, czyli modyfikacja, zaniechanie prac utrzymaniowych. W tym wypadku wskazujemy ten katalog dobrych praktyk jako obligatoryjny. Z drugiej strony, już w zestawach działań w katalogu skierowanym do redukcji presji dla jednolitych części wód rzecznych, pojawia się działanie związane z pracami utrzymaniowymi, ponieważ ten element presji hydromorfologicznej również został uwzględniony w ocenie i analizie ryzyka, zwłaszcza w kontekście celów środowiskowych dla wymogów rzek (… ???...), dla wylewów ich obszarów chronionych. W tym wypadku wskazano takie działania jak rozpoznanie możliwości potrzeb, wpisania w PZO takich modyfikacji, jeżeli taka zasadność zostanie potwierdzona. Tam, gdzie rzeczywiście zidentyfikowano te presje a nie ma opracowanych planów zadań ochronnych, te działania były wskazywane. Dodatkowo cały pakiet działań, które znalazły się w Krajowym Programie Renaturyzacji, dotyczyły ciągłości biologicznej. Tutaj macie Państwo wskazane działania w zakresie przywracania ciągłości biologicznej i morfologicznej i to o czym mówiłam zidentyfikowane już konkretne budowle. Na poziomie Krajowego Programu Renaturyzacji mieliśmy wskazaną ilość budowli, konieczną do poprawy wskaźników hydromorfologicznych, którą należy udrożnić. Natomiast w przypadku IIaPGW uwzględniono również konkretne budowle, co więcej zweryfikowano i zaktualizowano bazę HYMO, czyli taką bazę, w której mieściły się informacje dotyczące budowli piętrzących. Eksperci weryfikowali te budowle, również w oparciu o ortofotomapy, czyli tak naprawdę z tych wszystkich budowli piętrzących, tam gdzie te cele środowiskowe określono jako ryzyko dla nich, tam zostały wskazane te działania zdrożności, w oparciu o te przesłanki, czyli w oparciu o konkretną wiedzę którą dysponowali eksperci, dotyczącą zarówno samego stanu technicznego budowli jak i ewentualnie czy jest przepławka i czy jest skuteczna. Dlatego te działanie zostało już rozdzielone, nie mieści się ono w definicji Opracowanie Programu Renaturyzacji ale jest działaniem stricte dedykowanym konkretnej presji. W zestawach działań IIaPGW macie Państwo kilka, kilkanaście działań kierowanych do konkretnych presji znaczących, co nie znaczy, że niektóre działania nie powinny się jeszcze w IIaPGW znaleźć. Daliśmy to minimum, czyli taką receptę na to żeby te presje znaczące złagodzić, zlikwidować. Oczywiście im więcej tym lepiej, więc jeżeli mają Państwo wiedzę, że działania są niezbędne, potrzebne, lub planujecie projekty, prosiłabym o informację na formularzu zgłoszeniowym i zgłaszanie tego. Eksperci uwzględnią to w pierwszej kolejności. Podsumowując Krajowy Program Renaturyzacji to bardzo ważny program opracowywany przez Państwowe Gospodarstwo Wodne Wody Polskie został uwzględniony zarówno na poziomie metodyki skonsumowany w katalogu krajowych działań, także w katalogu działań do konkretnych presji.</w:t>
            </w:r>
          </w:p>
        </w:tc>
      </w:tr>
      <w:tr w:rsidR="00E92AE6" w:rsidRPr="005E78BB" w14:paraId="64216004" w14:textId="77777777" w:rsidTr="00E92AE6">
        <w:trPr>
          <w:trHeight w:val="454"/>
        </w:trPr>
        <w:tc>
          <w:tcPr>
            <w:tcW w:w="562" w:type="dxa"/>
            <w:shd w:val="clear" w:color="auto" w:fill="auto"/>
          </w:tcPr>
          <w:p w14:paraId="4382D978" w14:textId="049D7906"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852</w:t>
            </w:r>
          </w:p>
        </w:tc>
        <w:tc>
          <w:tcPr>
            <w:tcW w:w="1021" w:type="dxa"/>
            <w:tcBorders>
              <w:top w:val="single" w:sz="4" w:space="0" w:color="auto"/>
              <w:left w:val="nil"/>
              <w:bottom w:val="single" w:sz="4" w:space="0" w:color="auto"/>
              <w:right w:val="nil"/>
            </w:tcBorders>
            <w:shd w:val="clear" w:color="auto" w:fill="auto"/>
          </w:tcPr>
          <w:p w14:paraId="59C7EDE0" w14:textId="45C10E40"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Instytut Działań Miejskich</w:t>
            </w:r>
          </w:p>
        </w:tc>
        <w:tc>
          <w:tcPr>
            <w:tcW w:w="1630" w:type="dxa"/>
            <w:shd w:val="clear" w:color="auto" w:fill="auto"/>
          </w:tcPr>
          <w:p w14:paraId="0CFFA911" w14:textId="51559B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ZAŁĄCZNIKI IIaPGW</w:t>
            </w:r>
          </w:p>
        </w:tc>
        <w:tc>
          <w:tcPr>
            <w:tcW w:w="5663" w:type="dxa"/>
            <w:shd w:val="clear" w:color="auto" w:fill="auto"/>
          </w:tcPr>
          <w:p w14:paraId="4705AE18" w14:textId="3DD06C2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załączniku nr 10 (raport zbiorczy, badania pilotażowe) do projektu KPRWP jako obszar pilotażowy wskazana została m.in. rzeka Biała w Białymstoku (Kod_a</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PLRW2000102616899). Kiedy i jakich działań możemy się spodziewać względem tej rzeki?</w:t>
            </w:r>
          </w:p>
        </w:tc>
        <w:tc>
          <w:tcPr>
            <w:tcW w:w="3377" w:type="dxa"/>
            <w:shd w:val="clear" w:color="auto" w:fill="auto"/>
          </w:tcPr>
          <w:p w14:paraId="3FF49C0C" w14:textId="3248011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6133D38" w14:textId="0F5EEF7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B206469" w14:textId="486D8FD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4B8EC88" w14:textId="1C4A6F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556F5D3" w14:textId="6EB3BD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przypadku jednolitej, o którą pyta autor pytania, ma ona status silnie zmienioną część wód. Zostały zaproponowane działania w zakresie realizacji poprawy warunków obszarów chronionych, które wynikają z zadań ochronnych obszaru chronionego, zostało wskazane działanie nie bezpośrednio z Krajowego Programu Renaturyzacji, ale z projektu Przegląd i weryfikacja metodyk wyznaczania silnie zmienionych części wód, w ramach którego wskazano statusy jednolitych części wód. W tym projekcie weryfikowano możliwość wdrożenia działań naprawczych z uwzględnieniem funkcji cieku i poszczególnych obiektów. W teście restytucji przedstawiono działania, które należałoby wdrożyć z zachowaniem funkcji cieków. W tym wypadku mamy silnie zmienioną część wód i dla niej zaproponowano w teście restytucji działania naprawcze. W ramach IIaPGW zaproponowano działania jako analiza prowadzenia takich działań wpisanych w test restytucji i wdrożenie. Działania z testu restytucji dotyczą zarówno morfologii jak i zadrzewień, przywracania krętości, są one indywidualnie dobierane dla każdej jednolitej części wód. Uwzględniliśmy tę wiedzę, natomiast w przypadku naturalnych części wód wpisywaliśmy działania dla obszarów pilotażowych bezpośrednio z Krajowego Programu Renaturyzacji.</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Podsumowując, w przypadku tej konkretnej jednolitej, która posiada status silnie zmienionej części wód, co wymusza, że pewne obiekty muszą zachować swoją funkcję, wprowadzaliśmy działania z testu restytucji plus działania wpisane w PZO w PO, w zakresie obszarów chronionych. Jest sporo działań w zakresie poprawy redukcji presji fizykochemicznych. Nie jest to renaturyzacja według Krajowego Programu Renaturyzacji, tylko po prostu jest to podzielone na kilka konkretnych działań, z których będzie rozliczanie na koniec roku 2027.</w:t>
            </w:r>
          </w:p>
        </w:tc>
      </w:tr>
      <w:tr w:rsidR="00E92AE6" w:rsidRPr="005E78BB" w14:paraId="3A475129" w14:textId="77777777" w:rsidTr="00E92AE6">
        <w:trPr>
          <w:trHeight w:val="454"/>
        </w:trPr>
        <w:tc>
          <w:tcPr>
            <w:tcW w:w="562" w:type="dxa"/>
            <w:shd w:val="clear" w:color="auto" w:fill="auto"/>
          </w:tcPr>
          <w:p w14:paraId="2AF6D0C2" w14:textId="0E14705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853</w:t>
            </w:r>
          </w:p>
        </w:tc>
        <w:tc>
          <w:tcPr>
            <w:tcW w:w="1021" w:type="dxa"/>
            <w:tcBorders>
              <w:top w:val="single" w:sz="4" w:space="0" w:color="auto"/>
              <w:left w:val="nil"/>
              <w:bottom w:val="single" w:sz="4" w:space="0" w:color="auto"/>
              <w:right w:val="nil"/>
            </w:tcBorders>
            <w:shd w:val="clear" w:color="auto" w:fill="auto"/>
          </w:tcPr>
          <w:p w14:paraId="4D1BBD3E" w14:textId="1A4C7A0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Regionalna Dyrekcja Lasów Państwowych w Białymstoku</w:t>
            </w:r>
          </w:p>
        </w:tc>
        <w:tc>
          <w:tcPr>
            <w:tcW w:w="1630" w:type="dxa"/>
            <w:shd w:val="clear" w:color="auto" w:fill="auto"/>
          </w:tcPr>
          <w:p w14:paraId="540B943D" w14:textId="0E5F4C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B42BDA7" w14:textId="790977C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mamy przejrzeć wykaz budowli by ocenić zasadność działań? czy jeśli w PGW nie ma ujętej planowanej przez PGL LP inwestycji to czy będzie można ją dodać?</w:t>
            </w:r>
          </w:p>
        </w:tc>
        <w:tc>
          <w:tcPr>
            <w:tcW w:w="3377" w:type="dxa"/>
            <w:shd w:val="clear" w:color="auto" w:fill="auto"/>
          </w:tcPr>
          <w:p w14:paraId="2A72932D" w14:textId="7B44AE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884E138" w14:textId="14EC769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CC0D9D6" w14:textId="2E3427D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D71E54C" w14:textId="00797D0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5766681" w14:textId="4FBEC29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 przypadku działań skierowanych przede wszystkim na budowle, których proces był podzielony na wiele etapów, wzmocniony procesem ankietyzacji, ale uzyskane dane były czasem wystarczające a czasem nie. Jeżeli Państwo dysponujecie informacjami w zakresie budowli i zapoznacie się z wykazem budowli wskazanych dla Państwa regionu wodnego, dla konkretnych jednolitych części wód i brakuje budowli, która Państwa zdaniem powinna znaleźć się w wykazie, to prosilibyśmy o zgłoszenie. Eksperci uwzględnią ja i wykażą również działania dla tej budowli. Z drugiej strony jeżeli Państwo planujecie działania właśnie takie pozytywne, czyli tu zakładam choćby udrożnienie jakiejś budowli piętrzącej, przywrócenie ciągłości biologicznej czy morfologicznej, jak przebudowa na bystrze, to jest najlepszy czas, żeby takie działanie zgłosić. Będzie to miało wiele korzyści, jedną z nich będzie to, że na koniec zamknięcia cyklu w roku 2027, jeżeli to działanie będzie zrealizowane to będzie można uwzględnić je w ocenie skuteczności. Będziemy mogli zweryfikować wszystkie wskaźniki i ewentualnie wziąć też pod uwagę, że takie działanie zostało wdrożone, zaplanowane i w związku z tym przekłada się na to ocena skuteczności.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Nawiązując też do wcześniejszego pytania, jeżeli chodzi o Krajowy Program Renaturyzacji, zakładał on też wdrażanie działań przez jednostki jak Lasy Państwowe. W PGW jest podobnie. Duża część działań jest przypisana Lasom Państwowym i ona skupia zarówno te działania dotyczące ciągłości biologicznej i morfologicznej. Z drugiej strony dużo działań dotyczy poprawy naturalnej retencji, między innymi w lasach. Takie działania dotyczące presji, likwidacji czy redukcji presji skumulowanych dla zlewni, szczególnie narażonych na suszę, są zawarte w planach gospodarowania wodami, z uwzględnieniem opracowań najnowszych danych dotyczących identyfikacji tych zlewni.</w:t>
            </w:r>
          </w:p>
        </w:tc>
      </w:tr>
      <w:tr w:rsidR="00E92AE6" w:rsidRPr="005E78BB" w14:paraId="4D3533AB" w14:textId="77777777" w:rsidTr="00E92AE6">
        <w:trPr>
          <w:trHeight w:val="454"/>
        </w:trPr>
        <w:tc>
          <w:tcPr>
            <w:tcW w:w="562" w:type="dxa"/>
            <w:shd w:val="clear" w:color="auto" w:fill="auto"/>
          </w:tcPr>
          <w:p w14:paraId="12C267C9" w14:textId="41B5F7B1"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854</w:t>
            </w:r>
          </w:p>
        </w:tc>
        <w:tc>
          <w:tcPr>
            <w:tcW w:w="1021" w:type="dxa"/>
            <w:tcBorders>
              <w:top w:val="single" w:sz="4" w:space="0" w:color="auto"/>
              <w:left w:val="nil"/>
              <w:bottom w:val="single" w:sz="4" w:space="0" w:color="auto"/>
              <w:right w:val="nil"/>
            </w:tcBorders>
            <w:shd w:val="clear" w:color="auto" w:fill="auto"/>
          </w:tcPr>
          <w:p w14:paraId="4449D4E5" w14:textId="02F3258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71AFBE77" w14:textId="63A3602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E2AD3DD" w14:textId="4902C9C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Zlewnia rzeki Wolbórki - Po wielu latach doczekaliśmy się modernizacji oczyszczalni ścieków w Piotrkowie Trybunalskim dzięki czemu była nadzieja, że Moszczanka stanie się rzeką, do której naturalnie powrócą ryby, dla których barierą był napływ niedostatecznie oczyszczonych ścieków w jej ujściowym odcinku. O poprawie stanu wody w ostatnim okresie świadczy poprawa stanu ekologicznego wód na przełomie ostatnich lat Budowa zbiornika zaporowego na rzece przekreśla całkowicie naturalny powrót ryb na tę rzekę. Jednocześnie działanie takie stoi w sprzeczności aktualną wiedzą i w sprzeczności z celami środowiskowymi jakie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Moszczanka ma osiągnąć. Jakie są przyczyny podejmowania decyzji o realizacji takich inwestycji ?</w:t>
            </w:r>
          </w:p>
        </w:tc>
        <w:tc>
          <w:tcPr>
            <w:tcW w:w="3377" w:type="dxa"/>
            <w:shd w:val="clear" w:color="auto" w:fill="auto"/>
          </w:tcPr>
          <w:p w14:paraId="4C0EB035" w14:textId="1DBAFF9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A8AC2E2" w14:textId="29EC606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8634BF0" w14:textId="21EA0D5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4652F59" w14:textId="643D2D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8D63827" w14:textId="1A02722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Inwestycja będąca przedmiotem uwagi nie stanowi działania IIaPGW, a tym samym sama uwaga nie dotyczy bezpośrednio konsultowanego dokumentu. W ramach IIaPGW nie analizuje się zasadności podejmowania inwestycji ukierunkowanych na kwestie powodzi/suszy/niedobory wody.</w:t>
            </w:r>
          </w:p>
        </w:tc>
      </w:tr>
      <w:tr w:rsidR="00E92AE6" w:rsidRPr="005E78BB" w14:paraId="5C541AD1" w14:textId="77777777" w:rsidTr="00E92AE6">
        <w:trPr>
          <w:trHeight w:val="454"/>
        </w:trPr>
        <w:tc>
          <w:tcPr>
            <w:tcW w:w="562" w:type="dxa"/>
            <w:shd w:val="clear" w:color="auto" w:fill="auto"/>
          </w:tcPr>
          <w:p w14:paraId="7C790C1A" w14:textId="7807C9D2"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855</w:t>
            </w:r>
          </w:p>
        </w:tc>
        <w:tc>
          <w:tcPr>
            <w:tcW w:w="1021" w:type="dxa"/>
            <w:tcBorders>
              <w:top w:val="single" w:sz="4" w:space="0" w:color="auto"/>
              <w:left w:val="nil"/>
              <w:bottom w:val="single" w:sz="4" w:space="0" w:color="auto"/>
              <w:right w:val="nil"/>
            </w:tcBorders>
            <w:shd w:val="clear" w:color="auto" w:fill="auto"/>
          </w:tcPr>
          <w:p w14:paraId="492D5F23" w14:textId="44F39FF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7CBAAB3E" w14:textId="14BE6A5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04859EB" w14:textId="0741AC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Zlewnia rzeki Wolbórki - czy dokonano analizy możliwości przeprojektowania koryt rzecznych wraz z funkcjonalnie powiązanymi z nimi urządzeniami melioracyjnymi, w szczególności w dolinach rzecznyh, w sposób, który ograniczałby ryzyko powodzi z uwzględnieniem zasad zrównoważonego rozwoju tj. zastosowania najbardziej przyjaznych dla środowiska technologii, które będą zmierzały do poprawy stanu ekologicznego wód, w tym poprawy stanu hydromorfolgicznych elementów jakości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z uwzględnieniem interesów najbardziej zainteresowanych beneficjentów tj. rolników, wędkarzy</w:t>
            </w:r>
          </w:p>
        </w:tc>
        <w:tc>
          <w:tcPr>
            <w:tcW w:w="3377" w:type="dxa"/>
            <w:shd w:val="clear" w:color="auto" w:fill="auto"/>
          </w:tcPr>
          <w:p w14:paraId="12AE5188" w14:textId="247AC94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47A9AFC" w14:textId="15892F6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E988173" w14:textId="2B0DD9E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BAAF2B1" w14:textId="6AE0FC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82D48F1" w14:textId="23BD38D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zlewni rzeki Wolbórki znajdują się 4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RW200010254669 Dopływ ze Świńska; RW200010254649 Moszczanka Właściwa; RW200010254635 Wolbórka do Dopływu spod Będzelina; RW20001125469 Wolbórka od Dopływu spod Będzelina do ujścia.</w:t>
            </w:r>
            <w:r w:rsidRPr="00825321">
              <w:rPr>
                <w:rFonts w:eastAsia="Times New Roman" w:cstheme="minorHAnsi"/>
                <w:color w:val="000000"/>
                <w:sz w:val="18"/>
                <w:szCs w:val="18"/>
                <w:lang w:eastAsia="pl-PL"/>
              </w:rPr>
              <w:br/>
              <w:t xml:space="preserve">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RW200010254635 Wolbórka do Dopływu spod Będzelina głównym źródłem zanieczyszczeń, powodującym zły stan wód są zrzuty ścieków komunalnych – działaniami mającymi poprawić tą sytuację są działania wynikające z VI aKPOŚK, które powinny być zrealizowane w nadchodzącym cyklu aPGW tj, 2022-2027. Wskazano realizację działań z VI aKPOŚK: Budowa sieci kanalizacyjnej w Gminie Tuszyn, Budowa kanalizacji sanitarnej w miejscowości Bedoń Przykościelny; Uporządkowanie gospodarki wodno-ściekowej na terenie Gminy Andrespol. Modernizacja oczyszczalni ścieków w aglomeracji Tuszyn w celu poprawy jakości odprowadzanych ścieków (ID oczyszczalni: PLLO0360), Rozbudowa oczyszczalni ścieków w aglomeracji CZARNOCIN w celu poprawy jakości odprowadzanych ścieków (ID oczyszczalni: PLLO0450), Rozbudowa i modernizacja oczyszczalni ścieków w aglomeracji Andrespol w celu poprawy jakości odprowadzanych ścieków (ID oczyszczalni: PLLO0220), Rozbudowa i modernizacja oczyszczalni ścieków w aglomeracji Rokiciny w celu poprawy jakości odprowadzanych ścieków (ID oczyszczalni: PLLO0880Na),oraz Działania kontrolne przestrzegania przez rolników rozporządzenia z dnia 12 lutego 2020 r w sprawie przyjęcia „Programu działań mających na celu zmniejszenie zanieczyszczenia wód azotanami pochodzącymi ze źródeł rolniczych oraz zapobieganie dalszemu zanieczyszczeniu” zgodnie z art. 108 pr. w., tj.: 1) stosowania programu działań, 2) spełnienia obowiązku posiadania planu nawożenia azotem, 3) stosowania nawozów zgodnie z planem nawożenia azotem, ponadto obligatoryjna jest realizacja działań wskazanych w katalogu krajowym w tym Wdrażanie katalogu dobrych praktyk rolniczych. Ponadto wskazano działania: Realizacja działań wynikających z planów ochrony i planów zadań ochronnych dla obszarów chronionych wynikające z PZO lub PO, w tym w zestawie znalazły się takie działania jak: Eliminacja trwałych i okresowych źródeł zanieczyszczeń wody. (Park Krajobrazowy Wzniesień Łódzkich), Zaleca się, w miarę możliwości, zasypywanie rowów odwadniających teren w celu odtworzenia torfowisk. (Park Krajobrazowy Wzniesień Łódzkich). W oparciu o realizację tych działań oraz niewielkie przekroczenia wskaźników fizykochemicznych powodujących zły stan wód cel środowiskowy dla dobrego stanu wód powinien zostać osiągnięty dla wskaźników fizykochemicznych.</w:t>
            </w:r>
            <w:r w:rsidRPr="00825321">
              <w:rPr>
                <w:rFonts w:eastAsia="Times New Roman" w:cstheme="minorHAnsi"/>
                <w:color w:val="000000"/>
                <w:sz w:val="18"/>
                <w:szCs w:val="18"/>
                <w:lang w:eastAsia="pl-PL"/>
              </w:rPr>
              <w:br/>
              <w:t xml:space="preserve">Ponadto wszystkie cztery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zlewni rzeki Wolbórki położone są w obszarach intensywnie użytkowanych rolniczo. W przypadku tego źródła presji działaniem naprawczym jest działanie ogólnokrajowe dotyczące wdrażania i przestrzegania rozporządzenia Rady Ministrów z dnia 12 lutego 2020 r. w sprawie przyjęcia "Programu działań mających na celu zmniejszenie zanieczyszczenia wód azotanami pochodzącymi ze źródeł rolniczych oraz zapobieganie dalszemu zanieczyszczeniu". W przypadku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których zły stan wód był skutkiem przekroczenia wskaźników fizykochemicznych, a źródłem presji wskazanym w opracowaniu „Analiza presji znaczących…” było rolnictwo, to w tych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wskazano działania kontrolne (kontrola przestrzegania wspomnianego rozporządzenia) i edukacyjne (m.in. dobre praktyki rolnicze dotyczące ograniczenia wymywania biogenów z obszarów rolniczych) mające ograniczyć to źródło presji i osiągnięcie dobrego stanu wskaźników fizykochemicznych do 2027 roku. W zlewni rzeki Wolbórki takie działania zaplanowano we wszystkich czterech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p>
        </w:tc>
      </w:tr>
      <w:tr w:rsidR="00E92AE6" w:rsidRPr="005E78BB" w14:paraId="6909E43A" w14:textId="77777777" w:rsidTr="00E92AE6">
        <w:trPr>
          <w:trHeight w:val="454"/>
        </w:trPr>
        <w:tc>
          <w:tcPr>
            <w:tcW w:w="562" w:type="dxa"/>
            <w:shd w:val="clear" w:color="auto" w:fill="auto"/>
          </w:tcPr>
          <w:p w14:paraId="0675678D" w14:textId="2C7535A0"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856</w:t>
            </w:r>
          </w:p>
        </w:tc>
        <w:tc>
          <w:tcPr>
            <w:tcW w:w="1021" w:type="dxa"/>
            <w:tcBorders>
              <w:top w:val="single" w:sz="4" w:space="0" w:color="auto"/>
              <w:left w:val="nil"/>
              <w:bottom w:val="single" w:sz="4" w:space="0" w:color="auto"/>
              <w:right w:val="nil"/>
            </w:tcBorders>
            <w:shd w:val="clear" w:color="auto" w:fill="auto"/>
          </w:tcPr>
          <w:p w14:paraId="73389D14" w14:textId="514C53C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14564560" w14:textId="7D988FE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CB02973" w14:textId="60D6CC5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Zlewnia rzeki Wolbórki - w związku z dużym wpływem jakości wód odpływających z systemów melioracyjnych do rzek, które prowadzi do ich eutrofizacji, czego skutkiem jest nadmierne zarastanie rzek, zamulanie, i wypłycanie a co za tym idzie okresowe lokalne wezbrania i konieczność prowadzenia częstych działań utrzymaniowych czy dokonano w jakimkolwiek zakresie analizy możliwości zastosowania urządzeń oczyszczających tj. urządzeń, stawów oczyszczających na rowach, zabudowy osadników na systemach drenarskich itp. ?</w:t>
            </w:r>
          </w:p>
        </w:tc>
        <w:tc>
          <w:tcPr>
            <w:tcW w:w="3377" w:type="dxa"/>
            <w:shd w:val="clear" w:color="auto" w:fill="auto"/>
          </w:tcPr>
          <w:p w14:paraId="1D32F5C0" w14:textId="2B6A240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70A797A" w14:textId="21F44A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7E31608" w14:textId="4D6E62D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DD13381" w14:textId="386D500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DB1CCC8" w14:textId="54A34D9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ramach aktualizacji IIaPGW nie prowadzono na poziomie zlewni analizy możliwości zastosowania urządzeń oczyszczających tj. urządzeń, stawów oczyszczających na rowach, zabudowy osadników na systemach drenarskich, możliwość wdrożenia takich działań jest warunkowana często koniecznością uzyskania odpowiednich pozwoleń i decyzji środowiskowych oraz przeprowadzeniem ocen oddziaływania na środowisko, w tym ocen wpływu na cele środowiskowe, także cele obszarów przyrodniczo chronionych.</w:t>
            </w:r>
          </w:p>
        </w:tc>
      </w:tr>
      <w:tr w:rsidR="00E92AE6" w:rsidRPr="005E78BB" w14:paraId="13097BCF" w14:textId="77777777" w:rsidTr="00E92AE6">
        <w:trPr>
          <w:trHeight w:val="454"/>
        </w:trPr>
        <w:tc>
          <w:tcPr>
            <w:tcW w:w="562" w:type="dxa"/>
            <w:shd w:val="clear" w:color="auto" w:fill="auto"/>
          </w:tcPr>
          <w:p w14:paraId="311E313A" w14:textId="580D56E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857</w:t>
            </w:r>
          </w:p>
        </w:tc>
        <w:tc>
          <w:tcPr>
            <w:tcW w:w="1021" w:type="dxa"/>
            <w:tcBorders>
              <w:top w:val="single" w:sz="4" w:space="0" w:color="auto"/>
              <w:left w:val="nil"/>
              <w:bottom w:val="single" w:sz="4" w:space="0" w:color="auto"/>
              <w:right w:val="nil"/>
            </w:tcBorders>
            <w:shd w:val="clear" w:color="auto" w:fill="auto"/>
          </w:tcPr>
          <w:p w14:paraId="3208A4AD" w14:textId="78368E4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0F298E44" w14:textId="2B3F2BC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8438C29" w14:textId="317F44D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Zlewnia rzeki Wolbórki - czy planowane są realne działania zmierzające do poprawy stanu ekologicznego wód w zlewni rzeki Wolbórki w szczególności związane z poprawą jakości wód. Jeśli tak to jakie to są działania, w jakim horyzoncie czasowym będą zrealizowane, w jakim wymiarze i czy mają mierzalne rezultaty?</w:t>
            </w:r>
          </w:p>
        </w:tc>
        <w:tc>
          <w:tcPr>
            <w:tcW w:w="3377" w:type="dxa"/>
            <w:shd w:val="clear" w:color="auto" w:fill="auto"/>
          </w:tcPr>
          <w:p w14:paraId="6264E958" w14:textId="7A80B3E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458B6C0" w14:textId="3681E5C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A67BF29" w14:textId="1ED1C03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91D78D0" w14:textId="17E3A2A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AB09322" w14:textId="234195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W zlewni rzeki Wolbórki znajdują się 4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RW200010254669 Dopływ ze Świńska; RW200010254649 Moszczanka Właściwa; RW200010254635 Wolbórka do Dopływu spod Będzelina; RW20001125469 Wolbórka od Dopływu spod Będzelina do ujścia.</w:t>
            </w:r>
            <w:r w:rsidRPr="00825321">
              <w:rPr>
                <w:rFonts w:eastAsia="Times New Roman" w:cstheme="minorHAnsi"/>
                <w:color w:val="000000"/>
                <w:sz w:val="18"/>
                <w:szCs w:val="18"/>
                <w:lang w:eastAsia="pl-PL"/>
              </w:rPr>
              <w:br w:type="page"/>
              <w:t xml:space="preserve">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RW200010254635 Wolbórka do Dopływu spod Będzelina głównym źródłem zanieczyszczeń, powodującym zły stan wód są zrzuty ścieków komunalnych – działaniami mającymi poprawić tą sytuację są działania wynikające z VI aKPOŚK, które powinny być zrealizowane w nadchodzącym cyklu aPGW tj, 2022-2027. Wskazano realizację działań z VI aKPOŚK: Budowa sieci kanalizacyjnej w Gminie Tuszyn, Budowa kanalizacji sanitarnej w miejscowości Bedoń Przykościelny; Uporządkowanie gospodarki wodno-ściekowej na terenie Gminy Andrespol. Modernizacja oczyszczalni ścieków w aglomeracji Tuszyn w celu poprawy jakości odprowadzanych ścieków (ID oczyszczalni: PLLO0360), Rozbudowa oczyszczalni ścieków w aglomeracji CZARNOCIN w celu poprawy jakości odprowadzanych ścieków (ID oczyszczalni: PLLO0450), Rozbudowa i modernizacja oczyszczalni ścieków w aglomeracji Andrespol w celu poprawy jakości odprowadzanych ścieków (ID oczyszczalni: PLLO0220), Rozbudowa i modernizacja oczyszczalni ścieków w aglomeracji Rokiciny w celu poprawy jakości odprowadzanych ścieków (ID oczyszczalni: PLLO0880Na),oraz Działania kontrolne przestrzegania przez rolników rozporządzenia z dnia 12 lutego 2020 r w sprawie przyjęcia „Programu działań mających na celu zmniejszenie zanieczyszczenia wód azotanami pochodzącymi ze źródeł rolniczych oraz zapobieganie dalszemu zanieczyszczeniu” zgodnie z art. 108 pr. w., tj.: 1) stosowania programu działań, 2) spełnienia obowiązku posiadania planu nawożenia azotem, 3) stosowania nawozów zgodnie z planem nawożenia azotem, ponadto obligatoryjna jest realizacja działań wskazanych w katalogu krajowym w tym Wdrażanie katalogu dobrych praktyk rolniczych. Ponadto wskazano działania: Realizacja działań wynikających z planów ochrony i planów zadań ochronnych dla obszarów chronionych wynikające z PZO lub PO, w tym w zestawie znalazły się takie działania jak: Eliminacja trwałych i okresowych źródeł zanieczyszczeń wody. (Park Krajobrazowy Wzniesień Łódzkich), Zaleca się, w miarę możliwości, zasypywanie rowów odwadniających teren w celu odtworzenia torfowisk. (Park Krajobrazowy Wzniesień Łódzkich). W oparciu o realizację tych działań oraz niewielkie przekroczenia wskaźników fizykochemicznych powodujących zły stan wód cel środowiskowy dla dobrego stanu wód powinien zostać osiągnięty dla wskaźników fizykochemicznych.</w:t>
            </w:r>
            <w:r w:rsidRPr="00825321">
              <w:rPr>
                <w:rFonts w:eastAsia="Times New Roman" w:cstheme="minorHAnsi"/>
                <w:color w:val="000000"/>
                <w:sz w:val="18"/>
                <w:szCs w:val="18"/>
                <w:lang w:eastAsia="pl-PL"/>
              </w:rPr>
              <w:br w:type="page"/>
              <w:t xml:space="preserve">Ponadto wszystkie cztery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zlewni rzeki Wolbórki położone są w obszarach intensywnie użytkowanych rolniczo. W przypadku tego źródła presji działaniem naprawczym jest działanie ogólnokrajowe dotyczące wdrażania i przestrzegania rozporządzenia Rady Ministrów z dnia 12 lutego 2020 r. w sprawie przyjęcia "Programu działań mających na celu zmniejszenie zanieczyszczenia wód azotanami pochodzącymi ze źródeł rolniczych oraz zapobieganie dalszemu zanieczyszczeniu". W przypadku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 których zły stan wód był skutkiem przekroczenia wskaźników fizykochemicznych, a źródłem presji wskazanym w opracowaniu „Analiza presji znaczących…” było rolnictwo, to w tych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wskazano działania kontrolne (kontrola przestrzegania wspomnianego rozporządzenia) i edukacyjne (m.in. dobre praktyki rolnicze dotyczące ograniczenia wymywania biogenów z obszarów rolniczych) mające ograniczyć to źródło presji i osiągnięcie dobrego stanu wskaźników fizykochemicznych do 2027 roku. W zlewni rzeki Wolbórki takie działania zaplanowano we wszystkich czterech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p>
        </w:tc>
      </w:tr>
      <w:tr w:rsidR="00E92AE6" w:rsidRPr="005E78BB" w14:paraId="60108BC4" w14:textId="77777777" w:rsidTr="00E92AE6">
        <w:trPr>
          <w:trHeight w:val="454"/>
        </w:trPr>
        <w:tc>
          <w:tcPr>
            <w:tcW w:w="562" w:type="dxa"/>
            <w:shd w:val="clear" w:color="auto" w:fill="auto"/>
          </w:tcPr>
          <w:p w14:paraId="302BBEFA" w14:textId="34403C8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858</w:t>
            </w:r>
          </w:p>
        </w:tc>
        <w:tc>
          <w:tcPr>
            <w:tcW w:w="1021" w:type="dxa"/>
            <w:tcBorders>
              <w:top w:val="single" w:sz="4" w:space="0" w:color="auto"/>
              <w:left w:val="nil"/>
              <w:bottom w:val="single" w:sz="4" w:space="0" w:color="auto"/>
              <w:right w:val="nil"/>
            </w:tcBorders>
            <w:shd w:val="clear" w:color="auto" w:fill="auto"/>
          </w:tcPr>
          <w:p w14:paraId="3C89E59F" w14:textId="5FFCE7D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535E8967" w14:textId="38F7885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CCA17EC" w14:textId="0B35F13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Zlewnia rzeki Pilicy - wg. naszego rozeznania większość urządzeń hydrotechnicznych - zaporowych zabudowanych na rzekach w zlewni rzeki Pilicy jest od dawna niewykorzystywana, nieeksploatowana lub od momentu oddania do użytkowania nie spełnia oczekiwań użytkowników będących w zasięgu ich oddziaływania. Sterowanie tymi urządzeniami odbywa się bardzo często w sposób będący poza kontrolą zarządców tych urządzeń. Czy przewiduje się przegląd tych urządzeń i likwidację zbędnych, które mają negatywny wpływ na ciągłość biologiczną rzek/migrację ryb? W jakim zakresie przewiduje się likwidację tych urządzeń?</w:t>
            </w:r>
          </w:p>
        </w:tc>
        <w:tc>
          <w:tcPr>
            <w:tcW w:w="3377" w:type="dxa"/>
            <w:shd w:val="clear" w:color="auto" w:fill="auto"/>
          </w:tcPr>
          <w:p w14:paraId="20049AF8" w14:textId="2F7441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BB9D4AA" w14:textId="1A0CEF0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3205CEA" w14:textId="6FC80B7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B997139" w14:textId="3A05C2A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89966FB" w14:textId="3EA0D7F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Dla rzeki Pilicy zaplanowano działania z zakresu przywrócenia ciągłości biologicznej. Są to nowe działania (np. RWHM_02.01 Analiza możliwości przebudowy budowli piętrzących w zakresie zapewniającym ciągłość biologiczną i spełnienie celów środowiskowych z uwzględnieniem wykazu budowli przedstawionym w Zał. 1 Wykaz działań dla budowli. Realizacja działań zgodnie z przeprowadzoną analizą; RWHM_02.06 Ocena wpływu budowli poprzecznych na ciągłość biologiczną i cele środowiskowe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jak i działania prolongowane z aPWŚK (np. RW200005254179__RWHM_02.04__BI__00147 - Budowa przepławki, przywrócenie drożności odcinków rzek w ramach zadania "Odbudowa węzła wodnego z jazem piętrzącym na rzece Pilicy w km 264+728 wraz z udrożnieniem koryta poniżej jazu na odcinku ok. 2 km).</w:t>
            </w:r>
          </w:p>
        </w:tc>
      </w:tr>
      <w:tr w:rsidR="00E92AE6" w:rsidRPr="005E78BB" w14:paraId="0932FA77" w14:textId="77777777" w:rsidTr="00E92AE6">
        <w:trPr>
          <w:trHeight w:val="454"/>
        </w:trPr>
        <w:tc>
          <w:tcPr>
            <w:tcW w:w="562" w:type="dxa"/>
            <w:shd w:val="clear" w:color="auto" w:fill="auto"/>
          </w:tcPr>
          <w:p w14:paraId="4A5B83C6" w14:textId="3017958B"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859</w:t>
            </w:r>
          </w:p>
        </w:tc>
        <w:tc>
          <w:tcPr>
            <w:tcW w:w="1021" w:type="dxa"/>
            <w:tcBorders>
              <w:top w:val="single" w:sz="4" w:space="0" w:color="auto"/>
              <w:left w:val="nil"/>
              <w:bottom w:val="single" w:sz="4" w:space="0" w:color="auto"/>
              <w:right w:val="nil"/>
            </w:tcBorders>
            <w:shd w:val="clear" w:color="auto" w:fill="auto"/>
          </w:tcPr>
          <w:p w14:paraId="1BDC1BB6" w14:textId="04584B2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77BD854E" w14:textId="4ACDDC7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CAFF64D" w14:textId="1CF6976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Zlewnia rzeki Wolbórki - Prosimy o odpowiedź jaka jest logika działań inwestycyjnych i utrzymaniowych prowadzonych w latach poprzednich i jaka jest logika działań planowanych w zlewni Moszczanki. Z dotychczasowych i planowanych działań nie wynika jednoznacznie czy prowadzone działania mają potęgować suszę czy jej przeciwdziałać, czy mają prowadzić do powodzi czy im zapobiegać i czy mają prowadzić do polepszenia czy pogorszenia stanu ekologicznego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Prosimy o odpowiedź na te pytania wraz z uzasadnieniem.</w:t>
            </w:r>
          </w:p>
        </w:tc>
        <w:tc>
          <w:tcPr>
            <w:tcW w:w="3377" w:type="dxa"/>
            <w:shd w:val="clear" w:color="auto" w:fill="auto"/>
          </w:tcPr>
          <w:p w14:paraId="4588B047" w14:textId="0E122C4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7DF7880" w14:textId="6A39AE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31E7EC5" w14:textId="686BEBD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03F23538" w14:textId="4EB831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DF05D29" w14:textId="4B20A6B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Zgodnie z art. 227 ust. 3 ustawy z dnia 20 lipca 2017 r. Prawo wodne (Dz. U. z 2021r poz. 624 ze zm.) utrzymywanie publicznych śródlądowych wód powierzchniowych jest realizowane przez:</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wykaszanie roślin z dna oraz brzegów</w:t>
            </w:r>
            <w:r w:rsidRPr="00825321">
              <w:rPr>
                <w:rFonts w:eastAsia="Times New Roman" w:cstheme="minorHAnsi"/>
                <w:color w:val="000000"/>
                <w:sz w:val="18"/>
                <w:szCs w:val="18"/>
                <w:lang w:eastAsia="pl-PL"/>
              </w:rPr>
              <w:br/>
              <w:t>- usuwanie roślin pływających i korzeniących się w dnie</w:t>
            </w:r>
            <w:r w:rsidRPr="00825321">
              <w:rPr>
                <w:rFonts w:eastAsia="Times New Roman" w:cstheme="minorHAnsi"/>
                <w:color w:val="000000"/>
                <w:sz w:val="18"/>
                <w:szCs w:val="18"/>
                <w:lang w:eastAsia="pl-PL"/>
              </w:rPr>
              <w:br/>
              <w:t>- usuwanie drzew i krzewów porastających dno oraz brzegi</w:t>
            </w:r>
            <w:r w:rsidRPr="00825321">
              <w:rPr>
                <w:rFonts w:eastAsia="Times New Roman" w:cstheme="minorHAnsi"/>
                <w:color w:val="000000"/>
                <w:sz w:val="18"/>
                <w:szCs w:val="18"/>
                <w:lang w:eastAsia="pl-PL"/>
              </w:rPr>
              <w:br/>
              <w:t>- zasypywanie wyrw w brzegach i dnie</w:t>
            </w:r>
            <w:r w:rsidRPr="00825321">
              <w:rPr>
                <w:rFonts w:eastAsia="Times New Roman" w:cstheme="minorHAnsi"/>
                <w:color w:val="000000"/>
                <w:sz w:val="18"/>
                <w:szCs w:val="18"/>
                <w:lang w:eastAsia="pl-PL"/>
              </w:rPr>
              <w:br/>
              <w:t>- udrażnianie poprzez usuwanie zatorów utrudniających swobodny przepływ wód oraz usuwanie namułów i rumoszu;</w:t>
            </w:r>
            <w:r w:rsidRPr="00825321">
              <w:rPr>
                <w:rFonts w:eastAsia="Times New Roman" w:cstheme="minorHAnsi"/>
                <w:color w:val="000000"/>
                <w:sz w:val="18"/>
                <w:szCs w:val="18"/>
                <w:lang w:eastAsia="pl-PL"/>
              </w:rPr>
              <w:br/>
              <w:t>- remont lub konserwację stanowiących własność właściciela wód budowli regulacyjnych oraz ubezpieczeń w obrębie urządzeń wodnych,</w:t>
            </w:r>
            <w:r w:rsidRPr="00825321">
              <w:rPr>
                <w:rFonts w:eastAsia="Times New Roman" w:cstheme="minorHAnsi"/>
                <w:color w:val="000000"/>
                <w:sz w:val="18"/>
                <w:szCs w:val="18"/>
                <w:lang w:eastAsia="pl-PL"/>
              </w:rPr>
              <w:br/>
              <w:t>- rozbiórkę lub modyfikację tam bobrowych oraz zasypywanie nor bobrów lub nor innych zwierząt w brzegach</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W/w działania mają na celu zapewnienie zgodnie z art. 227 ust.2:</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ochrony przed powodzią lub usuwania skutków powodzi</w:t>
            </w:r>
            <w:r w:rsidRPr="00825321">
              <w:rPr>
                <w:rFonts w:eastAsia="Times New Roman" w:cstheme="minorHAnsi"/>
                <w:color w:val="000000"/>
                <w:sz w:val="18"/>
                <w:szCs w:val="18"/>
                <w:lang w:eastAsia="pl-PL"/>
              </w:rPr>
              <w:br/>
              <w:t>-  spływu lodu oraz przeciwdziałania powstawaniu niekorzystnych zjawisk lodowych</w:t>
            </w:r>
            <w:r w:rsidRPr="00825321">
              <w:rPr>
                <w:rFonts w:eastAsia="Times New Roman" w:cstheme="minorHAnsi"/>
                <w:color w:val="000000"/>
                <w:sz w:val="18"/>
                <w:szCs w:val="18"/>
                <w:lang w:eastAsia="pl-PL"/>
              </w:rPr>
              <w:br/>
              <w:t>- warunków umożliwiających korzystanie z wód, w tym utrzymywania zwierciadła wody na poziomie umożliwiającym funkcjonowanie urządzeń wodnych, obiektów mostowych, rurociągów, linii energetycznych, linii telekomunikacyjnych oraz innych urządzeń</w:t>
            </w:r>
            <w:r w:rsidRPr="00825321">
              <w:rPr>
                <w:rFonts w:eastAsia="Times New Roman" w:cstheme="minorHAnsi"/>
                <w:color w:val="000000"/>
                <w:sz w:val="18"/>
                <w:szCs w:val="18"/>
                <w:lang w:eastAsia="pl-PL"/>
              </w:rPr>
              <w:br/>
              <w:t>- Działania urządzeń wodnych w szczególności ich odpowiedniego stanu technicznego i funkcjonalnego.</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Dnia 3 września 2021 roku, Minister właściwy ds. gospodarki wodnej opublikował rozporządzenie w sprawie przyjęcia Planu przeciwdziałania skutkom suszy. Głównymi celami PPSS są:</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skuteczne zarządzanie zasobami wodnymi dla zwiększenia dostępnych zasobów wodnych,</w:t>
            </w:r>
            <w:r w:rsidRPr="00825321">
              <w:rPr>
                <w:rFonts w:eastAsia="Times New Roman" w:cstheme="minorHAnsi"/>
                <w:color w:val="000000"/>
                <w:sz w:val="18"/>
                <w:szCs w:val="18"/>
                <w:lang w:eastAsia="pl-PL"/>
              </w:rPr>
              <w:br/>
              <w:t>- zwiększanie retencjonowania (magazynowania) wód,</w:t>
            </w:r>
            <w:r w:rsidRPr="00825321">
              <w:rPr>
                <w:rFonts w:eastAsia="Times New Roman" w:cstheme="minorHAnsi"/>
                <w:color w:val="000000"/>
                <w:sz w:val="18"/>
                <w:szCs w:val="18"/>
                <w:lang w:eastAsia="pl-PL"/>
              </w:rPr>
              <w:br/>
              <w:t>- edukacja w zakresie suszy i koordynacja działań powiązanych z suszą,</w:t>
            </w:r>
            <w:r w:rsidRPr="00825321">
              <w:rPr>
                <w:rFonts w:eastAsia="Times New Roman" w:cstheme="minorHAnsi"/>
                <w:color w:val="000000"/>
                <w:sz w:val="18"/>
                <w:szCs w:val="18"/>
                <w:lang w:eastAsia="pl-PL"/>
              </w:rPr>
              <w:br/>
              <w:t>- stworzenie mechanizmów realizacji i finansowania działań służących przeciwdziałaniu skutkom suszy.</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 ramach programu Stop suszy! Wody Polskie realizują działania związane ze zwiększaniem retencji na wsi i w mieście, w lasach, na polach i na nieużytkach. Obecnie w 2021 r. na terenie działania całego Zarządu Zlewni w Piotrkowie Trybunalskim w celu przeciwdziałania skutkom suszy realizowana jest retencja korytowa tj. wykonywane są piętrzenia na wszystkich budowlach piętrzących będących w utrzymaniu zarządu zlewni.</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Zgodnie z zapisami ustawy Prawo wodne oraz Planem przeciwdziałania skutkom suszy, wszelkie podejmowane działania w zlewni rzeki Moszczanki mają na celu jednocześnie ochronę przed powodzią i przeciwdziałanie skutkom suszy. W zlewni rzeki Moszczanki retencja korytowa, w ramach której realizowany jest PPSS, odbywa się poprzez piętrzenie wody na jazach:</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rzeki Moszczanki Właściwej 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km 0+370 – m. Godaszewice, gm. Tomaszów Mazowiecki</w:t>
            </w:r>
            <w:r w:rsidRPr="00825321">
              <w:rPr>
                <w:rFonts w:eastAsia="Times New Roman" w:cstheme="minorHAnsi"/>
                <w:color w:val="000000"/>
                <w:sz w:val="18"/>
                <w:szCs w:val="18"/>
                <w:lang w:eastAsia="pl-PL"/>
              </w:rPr>
              <w:br/>
              <w:t>- km 3+980 – jaz główny PGR Bogusławice, gm. Wolbórz</w:t>
            </w:r>
            <w:r w:rsidRPr="00825321">
              <w:rPr>
                <w:rFonts w:eastAsia="Times New Roman" w:cstheme="minorHAnsi"/>
                <w:color w:val="000000"/>
                <w:sz w:val="18"/>
                <w:szCs w:val="18"/>
                <w:lang w:eastAsia="pl-PL"/>
              </w:rPr>
              <w:br/>
              <w:t>- km 3+985 - jaz boczny PGR Bogusławice, gm. Wolbórz</w:t>
            </w:r>
            <w:r w:rsidRPr="00825321">
              <w:rPr>
                <w:rFonts w:eastAsia="Times New Roman" w:cstheme="minorHAnsi"/>
                <w:color w:val="000000"/>
                <w:sz w:val="18"/>
                <w:szCs w:val="18"/>
                <w:lang w:eastAsia="pl-PL"/>
              </w:rPr>
              <w:br/>
              <w:t>- km 5+642, km 8+109 – m. Wolbórz, gm. Wolbórz</w:t>
            </w:r>
            <w:r w:rsidRPr="00825321">
              <w:rPr>
                <w:rFonts w:eastAsia="Times New Roman" w:cstheme="minorHAnsi"/>
                <w:color w:val="000000"/>
                <w:sz w:val="18"/>
                <w:szCs w:val="18"/>
                <w:lang w:eastAsia="pl-PL"/>
              </w:rPr>
              <w:br/>
              <w:t>- km 9+841, km 10+794, km 11+426 – m. Psary, gm. Wolbórz</w:t>
            </w:r>
            <w:r w:rsidRPr="00825321">
              <w:rPr>
                <w:rFonts w:eastAsia="Times New Roman" w:cstheme="minorHAnsi"/>
                <w:color w:val="000000"/>
                <w:sz w:val="18"/>
                <w:szCs w:val="18"/>
                <w:lang w:eastAsia="pl-PL"/>
              </w:rPr>
              <w:br/>
              <w:t>- km 15+886 – m. Moszczenica, gm. Moszczenica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rzeki Moszczanki Lewej 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km 0+305, km 0+627 – m. Gościmowice I, gm. Moszczenica</w:t>
            </w:r>
            <w:r w:rsidRPr="00825321">
              <w:rPr>
                <w:rFonts w:eastAsia="Times New Roman" w:cstheme="minorHAnsi"/>
                <w:color w:val="000000"/>
                <w:sz w:val="18"/>
                <w:szCs w:val="18"/>
                <w:lang w:eastAsia="pl-PL"/>
              </w:rPr>
              <w:br/>
              <w:t>- km 2+759 – m. Podolin, gm. Moszczenica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rzeki Goleszanki 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km 0+670, 1+806 – gm. Wolbórz</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Prowadzone piętrzenia wraz z utrzymaniem budowli piętrzących oraz odcinków rzek w zasięgu oddziaływania cofki, mają na celu zapewnienie możliwości piętrzenia wody w okresie wegetacyjnym roślin a w okresach niżówkowych poprawę lokalnego mikroklimatu (przeciwdziałanie suszy) oraz możliwość swobodnego przepuszczenia wód wezbraniowych lub powodziowych przez zdemontowane lub otwarte piętrzenia (ochrona przed powodzią).</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Dodatkowo w ramach robót utrzymaniowych w roku 2021 wykonane zostały roboty konserwacyjne polegające na wykoszeniu porostów ze skarp, wyhakowaniu i wykoszeniu porostów z dna rzeki Moszczanki – Młynówki (rok 2020), Moszczanki Lewej (rok 2021). Roboty te również mają na celu ochronę przed powodzią poprzez niezakłócony spływ wód wezbraniowych lub powodziowych oraz przeciwdziałanie skutkom suszy poprzez umożliwienie wykorzystania rolniczego rzek do nawodnień.</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xml:space="preserve">Od roku 2021 w całej zlewni rzeki Pilicy, obejmującym również zlewnię rzeki Moszczanki, realizowany jest Projekt zintegrowany LIFE „Wdrażanie Planu gospodarowania wodami w dorzeczu Wisły na przykładzie zlewni Pilicy (LIFE Pilica)”. Beneficjentami projektu są Państwowe Gospodarstwo Wodne Wody Polskie Regionalny Zarząd Gospodarki Wodnej w Warszawie (pełniący rolę Beneficjenta Koordynującego), Europejskie Regionalne Centrum ekohydrologii Polskiej Akademii Nauk, Fundacja na rzecz Rozwoju Polskiego Rolnictwa oraz FPP Enviro. Zakładanym efektem końcowym jest poprawa jakości i bioróżnorodności wód powierzchniowych ze szczególnym uwzględnieniem Zbiornika wodnego Sulejów, co będzie prowadziło do polepszenia stanu ekologicznego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 xml:space="preserve">Podsumowując: wszelkie podejmowane działania utrzymaniowe lub inwestycyjne miały za zadanie oraz będą miały za zadanie przeciwdziałanie skutkom suszy, ochrony przed powodzią i polepszenia stanu ekologicznego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p>
        </w:tc>
      </w:tr>
      <w:tr w:rsidR="00E92AE6" w:rsidRPr="005E78BB" w14:paraId="144B546C" w14:textId="77777777" w:rsidTr="00E92AE6">
        <w:trPr>
          <w:trHeight w:val="454"/>
        </w:trPr>
        <w:tc>
          <w:tcPr>
            <w:tcW w:w="562" w:type="dxa"/>
            <w:shd w:val="clear" w:color="auto" w:fill="auto"/>
          </w:tcPr>
          <w:p w14:paraId="5D13E17A" w14:textId="7D14C1A7"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860</w:t>
            </w:r>
          </w:p>
        </w:tc>
        <w:tc>
          <w:tcPr>
            <w:tcW w:w="1021" w:type="dxa"/>
            <w:tcBorders>
              <w:top w:val="single" w:sz="4" w:space="0" w:color="auto"/>
              <w:left w:val="nil"/>
              <w:bottom w:val="single" w:sz="4" w:space="0" w:color="auto"/>
              <w:right w:val="nil"/>
            </w:tcBorders>
            <w:shd w:val="clear" w:color="auto" w:fill="auto"/>
          </w:tcPr>
          <w:p w14:paraId="70D46D8C" w14:textId="4A46E0C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368B6988" w14:textId="7AB6065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D5C5383" w14:textId="4599212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Zlewnia rzeki Wolbórki - Ponieważ stan ekologiczny wód Moszczanki jest determinowany w szczególności przez substancje biogenne oraz warunki tlenowe budowa zbiornika retencyjnego oznacza jednoznaczne pogorszenie tych właśnie wskaźników determinujących stan wód, a tym samym zagrożenie nieosiągnięcia wyznaczonego celu środowiskowego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rzecznej RW200017254649. Jak się mają zatem plany inwestycyjne budowy zbiornika na rzece do spełnienia wymogów Ramowej Dyrektywy Wodnej ? Czy dokonano analizy wpływu tej inwestycji dla osiągnięcia celów środowiskowych tj. dobrego stanu ekologicznego i dobrego stanu chemicznego ? Budowa zbiornika retencyjnego oddala możliwość osiągnięcia wyznaczonych celów środowiskowych, pogorszy w sposób drastyczny warunki hydromorfologiczne cieku, przerwie naturalny korytarz ekologiczny jakim jest rzeka.</w:t>
            </w:r>
          </w:p>
        </w:tc>
        <w:tc>
          <w:tcPr>
            <w:tcW w:w="3377" w:type="dxa"/>
            <w:shd w:val="clear" w:color="auto" w:fill="auto"/>
          </w:tcPr>
          <w:p w14:paraId="79FC788A" w14:textId="5B7F5F2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5A94FED" w14:textId="4071C00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B6C1270" w14:textId="7B8B6B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C0C1645" w14:textId="2E76C5B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6BF4F20" w14:textId="1D8B01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Tych analiz nie robimy na etapie planów gospodarowania wodami. Warto zwrócić uwagę na tą subtelną różnicę pomiędzy poprzednim cyklem planistycznym, a obecnym i przypomnieć na czym polega spójność między planami PZRP a planami gospodarowania wodami. W Planach zarządzania ryzykiem, czy też w Planie przeciwdziałania skutkom suszy, analizowane są inwestycje pod kątem ich zasadności na rzecz osiągnięcia celu, jakim jest ochrona przed powodzią, bądź ograniczenie skutków suszy. W Planach gospodarowania wodami natomiast zamieszczamy te przedsięwzięcia, które otrzymały deklaracje zgodności, czyli które już zostały ocenione pod kątem celów środowiskowych. I ta ocena nie odbywa się na etapie Planów gospodarowania wodami z dość prostej przyczyny – wprowadzony został mechanizm już wspomnianej oceny wodnoprawnej, który ma zagwarantować, że każde z przedsięwzięć, które może mieć potencjalnie negatywny wpływ na stan wód, będzie ocenione przez niezależny organ i w drodze decyzji administracyjnej nastąpi ocena i stwierdzenie, czy dane przedsięwzięcie rzeczywiście zagraża celom środowiskowym, czy nie. I jeżeli zagraża, to czy spełnione są przesłanki umożliwiające zastosowanie odstępstwa. Ten cel, który już jest oceniony na etapie PZRP, jest jedną z 4 przesłanek, a spełnione muszą być wszystkie. Wobec czego, ani nic co jest w PZRP nie jest przesądzone – to nie musi być później realizowane 1:1 w taki sam sposób, wszystkie nowe przedsięwzięcia, które planowane będą do realizacji, muszą przejść tą oficjalną procedurę, opisaną w ustawie Prawo wodne. Nie znaleźliśmy inwestycji na częściach wód wskazanych w pytaniu, więc to oznacza, że nie ma jeszcze decyzji administracyjnej dotyczącej stwierdzenia, czy to przedsięwzięcie, o którym autor pytania wspomina, ma negatywny wpływ czy nie, a jeżeli ma – czy spełnia wymagania dotyczące zastosowania odstępstwa od celów środowiskowych. To dopiero będzie oceniane w odpowiednim momencie, kiedy wniosek zostanie złożony do Wód Polskich. A jeżeli to jest przedsięwzięcie przez Wody Polskie planowane, to tym organem oceniającym jest Minister właściwy do spraw gospodarki wodnej.</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Proszę sprawdzić czy w katalogu, w Wykazie inwestycji i działań jest inwestycja, która państwa niepokoi, lub czy jest tam inwestycja, co do której wiemy, że została wydana dla niej decyzja z tzw. odstępstwem w trybie art. 4.7 RDW, czy art.68 ustawy Prawo wodne. Jeżeli takie rozstrzygnięcie zostało już dokonane, to w tym załączniku do Planów znajdą państwo uzasadnienie informacji, które być może powinno podlegać dyskusji w ramach np. konsultacji społecznych.</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 pytaniu, być może nie tym, ale w jednym z pytań, pojawił się wątek silnie zmienionej części wód w kontekście też nowych inwestycji. Chciałbym podkreślić, że status silnie zmienionej części wód nie oznacza, że na takiej części wód już można planować i realizować wszystkie przedsięwzięcia. Za każdym razem niezbędne jest przejście tej procedury oceny wodnoprawnej, bądź decyzji o środowiskowych uwarunkowaniach. Status silnie zmienionej części wód jest związany z już istniejącymi presjami, jest to swego rodzaju zgoda, odstępstwo na ich dalsze funkcjonowanie. Natomiast to nie jest absolutnie żadna furtka do nowych inwestycji, które jeszcze dodatkowo mogą oddalić nas od celu środowiskowego, jakim w tym wypadku jest dobry potencjał ekologiczny.</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Do tej pory podstawową barierą potencjalnie ograniczającą skuteczność PGW było to, że program wodno-środowiskowy kraju nie miał charakteru rozporządzenia, czyli nie był aktem obowiązującym. Był to zbiór pomysłów, projektów, przedsięwzięć, natomiast nie niósł za sobą zobowiązania. Aczkolwiek Polska, tak jak pozostałe państwa UE, muszą po 3 latach od wejścia w życie Planów sprawozdać się do KE z realizacji przewidzianych działań. Natomiast wśród głównych zagrożeń dla realizacji, ja bym podał trzy. Pierwsze to świadomość, bądź nieświadomość organów, które są wskazane - teraz będą w planie gospodarowania wodami jako odpowiedzialne za realizację celów. I to jest myślę pierwszy powód, który może utrudnić realizację celów. Drugi to oczywiście aspekty finansowe, proceduralne, czyli od pomysłu do realizacji i kwestia zarówno montażu finansowego jak i załatwienia wszystkich niezbędnych pozwoleń, procedur. A trzeci – szeroko rozumiana świadomość społeczna, czyli presja również od państwa, od naszych sąsiadów, znajomych na władze, które za te działania odpowiadają. Presja żebyśmy wszyscy mieli świadomość, że mówimy o wodzie, żebyśmy mieli wodę pitną, żebyśmy mogli z wody korzystać, żeby wody nie zabrakło na cele przemysłowe, rolnicze, gospodarcze. I tu musi być woda w odpowiedniej ilości, odpowiedniej jakości. O tym są plany gospodarowania wodami.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Myślę, że waga tych planów gospodarowania wodami w odniesieniu do wód powierzchniowych jest łatwiej dostrzegana i łatwiej jest im nadawana wysoka waga, ponieważ te wody widzimy. Z wodami podziemnymi może być nieco inaczej, bo ich nie widzimy. Tymczasem wśród planowanych działań m.in. jest mowa o ustanowieniu obszarów ochronnych głównych zbiorników wód podziemnych. To jest bardzo ważne działanie, które również było dedykowane w poprzedniej aktualizacji Planów gospodarowania wodami i jest kontynuowane. Również są zaplanowane nowe zbiorniki, dla których planuje się ustanowienie takich obszarów. To jest bardzo ważne działanie, aby ochronić jakość tych wód, dla ludzi, dla przemysłu.</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Ustanowienie obszaru ochronnego wiąże z różnymi rodzajami nakazów i zakazów, które właściwie będą obowiązywać w ramach tej strefy, co się również wiąże z ograniczeniem działalności, chociażby przemysłowej, bądź ewentualnie jakiejś innej gospodarczej. Ale do każdego zbiornika jest wykonana dokumentacja hydrogeologiczna, gdzie są brane pod uwagę różne uwarunkowania zarówno hydrogeologiczne, geologiczne, jak ewentualnie ten zbiornik jest również izolowany od powierzchni terenu. I w związku z tym w tej dokumentacji są wszystkie te nakazy, zakazy, które powinny obowiązywać w danej strefie ochronnej.</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Wiąże się to z aspektami ekonomicznymi. To jest taki element, z którym musimy się zderzyć i w tym momencie ocenić jakie będą również konsekwencje finansowe wdrożenia takich działań. Na dzień dzisiejszy jest to trudno ocenić. Wiem, że w poprzednim APGW była taka próba wycenienia z jakimi to kosztami może się wiązać, jeśli chodzi o konsekwencje wdrożenia obszarów głównych zbiorników wód podziemnych. Natomiast tutaj ewentualnie trzeba się liczyć z bardzo dużymi kosztami. Rzeczywiście jest to bardzo duże przedsięwzięcie, bardzo ważne i konieczne. Wydaje mi się, że zyski dla użytkowników obecnych, czy dla użytkowników, którzy użytkują teraz te tereny rolnicze, bądź przemysłowe. Tutaj to się na pewno wiąże z dużymi odszkodowaniami, więc to są ogromne koszty dla budżetu państwa, żeby takie działanie teraz realizować.</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Jeżeli chodzi o Analizę presji w ocenie ryzyka nieosiągnięcia celów uwzględniono zakres prowadzonych prac utrzymaniowych pod kątem wpływu na hydromorfologię, na cele środowiskowe, ze szczególnym uwzględnieniem celów środowiskowych obszarów chronionych i gatunków chronionych. W tym kontekście były również proponowane zestawy działań. W katalogu krajowym znalazło się działanie przypisane wszystkim jednolitym częściom wód, których dotyczy dane działanie, aby w zakresie prac utrzymaniowych wdrażać katalog dobrych praktyk prac utrzymaniowych i robót hydrotechnicznych. Ten katalog jest dostępny na stronach i zawiera szereg informacji w jakim zakresie należy prowadzić te prace w danym terenie. Oczywiście tutaj braliśmy pod uwagę cele środowiskowe, w których zarówno chodzi o dobry stan hydromorfologiczny, ale też aspekt jakości wody. W związku z tym dla obszarów chronionych także były wskazywane takie działania – w przypadku cieków, w których zidentyfikowano duży zakres prowadzonych robót w zakresie prac utrzymaniowych, aby rozważyć ich wpływ na cele środowiskowe. Czyli na poziomie APGW nie udało nam się sprecyzować czy określić odcinków, gdzie należałoby te prace zmodyfikować – co było wskazywane w krajowym programie renaturyzacji. Dlatego zaproponowaliśmy takie działanie, żeby w przypadku stwierdzenia negatywnego wpływu i uznania zasadności, wprowadzić takie działania w plany zadań ochronnych dla obszarów chronionych, czyli troszeczkę uszczegółowić, umiejscowić i zweryfikować. Plany gospodarowania wodami są dokumentem strategicznym, w związku z tym ciężko czasami proponować zakresy działań nie mając informacji gdzie dane działanie należy wdrożyć bezpośrednio, zwłaszcza jeżeli chodzi o utrzymanie wód, które tak jak tutaj mowa jest o PZRP, często wynikają chociażby z potrzeb wynikających z minimalizacji negatywnych skutków powodzi, likwidacji tych szkód. Więc tutaj są dwa aspekty i ten temat został włączony i na poziomie działań krajowych i na poziomie obszarów chronionych, czyli tam gdzie jednolite części wód mają przypisane cele środowiskowe np. dla rzek włośnicznikowych, dla których ta hydromorfologia w korycie bezpośrednio jest kluczowa i istotna, to tam oczywiście te działania są bardziej szczegółowe. Natomiast tutaj już wdrażający działanie będzie musiał sprecyzować zakres i sposób ich realizacji.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Konsultacje społeczne kończymy w październiku. Do 14.10.21 zbieramy Państwa opinie, uwagi, propozycje, wszystkie wytknięcia naszych pomyłek, błędów. Na jesieni rozpoczynamy proces przekształcania Planów gospodarowania wodami w rozporządzenia. Jest to chyba równie trudne zadanie jak samo sporządzenie projektu planów gospodarowania wodami, ponieważ musimy przełożyć język ekspercki na język prawniczy i z doświadczenia wiemy, że jest to bardzo żmudne i ciężkie zadanie. Pamiętać musimy, że to będą rozporządzenia dotyczące planów gospodarowania wodami. One muszą być zgodne co do technik legislacyjnych, zawartości, układu z rozporządzeniem, które określa ramy i zakres informacji zawartych w planach. Następnie procedura legislacyjna, czyli znowu konsultacje społeczne, uzgodnienia międzyresortowe już projektów rozporządzeń. Wreszcie w grudniu, jeżeli tylko terminy ustawowe będą dotrzymane, a cały czas wierzymy, że się uda - przyjęcie rozporządzeń dotyczących planów gospodarowania wodami i w marcu przyszłego roku przedłożenie raportu do KE.</w:t>
            </w:r>
          </w:p>
        </w:tc>
      </w:tr>
      <w:tr w:rsidR="00E92AE6" w:rsidRPr="005E78BB" w14:paraId="30B062E8" w14:textId="77777777" w:rsidTr="00E92AE6">
        <w:trPr>
          <w:trHeight w:val="454"/>
        </w:trPr>
        <w:tc>
          <w:tcPr>
            <w:tcW w:w="562" w:type="dxa"/>
            <w:shd w:val="clear" w:color="auto" w:fill="auto"/>
          </w:tcPr>
          <w:p w14:paraId="7D80429E" w14:textId="15B04A1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861</w:t>
            </w:r>
          </w:p>
        </w:tc>
        <w:tc>
          <w:tcPr>
            <w:tcW w:w="1021" w:type="dxa"/>
            <w:tcBorders>
              <w:top w:val="single" w:sz="4" w:space="0" w:color="auto"/>
              <w:left w:val="nil"/>
              <w:bottom w:val="single" w:sz="4" w:space="0" w:color="auto"/>
              <w:right w:val="nil"/>
            </w:tcBorders>
            <w:shd w:val="clear" w:color="auto" w:fill="auto"/>
          </w:tcPr>
          <w:p w14:paraId="3C234738" w14:textId="1C2AA13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637B3AB4" w14:textId="6BC4F6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9880813" w14:textId="7E22C8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Zlewnia rzeki Wolbórki - czy rozważano wariant rozebrania urządzeń piętrzących i przebudowy koryt rzecznych w sposób, który zapewniałby ciągłość biologiczną cieków i przywrócenie naturalnych korytarzy migracyjnych ryb a jednocześnie zapewniałby warunki dla prowadzenia oczekiwanego przez rolników użytkowania gruntów w dolinach rzek?</w:t>
            </w:r>
          </w:p>
        </w:tc>
        <w:tc>
          <w:tcPr>
            <w:tcW w:w="3377" w:type="dxa"/>
            <w:shd w:val="clear" w:color="auto" w:fill="auto"/>
          </w:tcPr>
          <w:p w14:paraId="42AA7DF8" w14:textId="1764246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1AF6E5C" w14:textId="77D566D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2297C09" w14:textId="2EB77E5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C886372" w14:textId="78C7476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75C081F" w14:textId="100C0C3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Metodyka przypisywania działań z zakresu przywracania ciągłości biologicznzej i morfologicznej cieku stanowi element opracowania pn.: "Metodyka opracowania zestawów działań przygotowanej na potrzeby IIaPGW". Ze względu na konieczność udrożnienia w pierwszej kolejność cieków głównych (kluczowych dla migracji ryb dwuśrodowiskowych) oraz cieków istonych dla migracji gatunków chronionych, dla rzeki Wolbórki i jej dopływów nie zaplanowano działań z zakresu przywrócenia ciągłąści biologicznej.</w:t>
            </w:r>
          </w:p>
        </w:tc>
      </w:tr>
      <w:tr w:rsidR="00E92AE6" w:rsidRPr="005E78BB" w14:paraId="26414A24" w14:textId="77777777" w:rsidTr="00E92AE6">
        <w:trPr>
          <w:trHeight w:val="454"/>
        </w:trPr>
        <w:tc>
          <w:tcPr>
            <w:tcW w:w="562" w:type="dxa"/>
            <w:shd w:val="clear" w:color="auto" w:fill="auto"/>
          </w:tcPr>
          <w:p w14:paraId="4C1F7714" w14:textId="343AA8A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862</w:t>
            </w:r>
          </w:p>
        </w:tc>
        <w:tc>
          <w:tcPr>
            <w:tcW w:w="1021" w:type="dxa"/>
            <w:tcBorders>
              <w:top w:val="single" w:sz="4" w:space="0" w:color="auto"/>
              <w:left w:val="nil"/>
              <w:bottom w:val="single" w:sz="4" w:space="0" w:color="auto"/>
              <w:right w:val="nil"/>
            </w:tcBorders>
            <w:shd w:val="clear" w:color="auto" w:fill="auto"/>
          </w:tcPr>
          <w:p w14:paraId="528ADF5C" w14:textId="2A7884A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Piotrkowskie Towarzystwo Przyrodnicze</w:t>
            </w:r>
          </w:p>
        </w:tc>
        <w:tc>
          <w:tcPr>
            <w:tcW w:w="1630" w:type="dxa"/>
            <w:shd w:val="clear" w:color="auto" w:fill="auto"/>
          </w:tcPr>
          <w:p w14:paraId="14FF45CF" w14:textId="73A771D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025C9AD" w14:textId="79C7779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Zlewnia rzeki Wolbórki - Dokładnie 10 lat temu zrealizowano projekt dewastacji rzeki Moszczanki w jej górnym biegu na odcinku ok. 2,5 km pomiędzy Rękorajem a Gościmowicami. Głównym celem tego projektu było ułatwienie i przyspieszenie odpływu wody z obszaru zalewowego, którym był łęg jesionowo-olszowy. Kilka lat wcześniej WZMiUW wydał pozytywną opinię dotyczącą ochrony tego obszaru w postaci użytku ekologicznego. Za 2,1 mln zł przy wsparciu środków unijnych dokonano całkowitej dewastacji koryta rzeki i łęgu. Czy w związku z tą sytuacją planowane jest odtworzenie retencji dolinowej tego zdewastowanego fragmentu rzeki i przywrócenia naturalnego reżimu wodnego charakterystycznego dla łęgów? Jeśli nie, to dlaczego? Teren idealnie nadaje się do spowolnienia odpływu wody ze zlewni i przeprowadzenia działań renaturyzacyjnych. Dziś w czasie wezbrań zalewane są tereny bezpośrednio przyległe do tej inwestycji w dolnym biegu rzeki.</w:t>
            </w:r>
          </w:p>
        </w:tc>
        <w:tc>
          <w:tcPr>
            <w:tcW w:w="3377" w:type="dxa"/>
            <w:shd w:val="clear" w:color="auto" w:fill="auto"/>
          </w:tcPr>
          <w:p w14:paraId="64B6C385" w14:textId="744382B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2779EB4" w14:textId="5CFB975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21053FA" w14:textId="5075DDF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7728FEF" w14:textId="393CADB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108B62A" w14:textId="67E0E6E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Jeżeli chodzi o zestawy działań, były budowane w oparciu o zidentyfikowane presje i były dobierane bardzo precyzyjnie. W związku z tym zachęcam autora pytania i wszystkich państwa do zapoznania się z załącznikami. W przypadku tej zlewni, w załączniku 7.3 znajdą państwo informacje o wszystkich działaniach, które zostały zaplanowane. Jeżeli chodzi o jednolitą część wód na rzece Wolbórka, to tutaj mamy dwie jednolite części; zaplanowano aż 26 działań i co należy podkreślić - te działania odpowiadają zarówno na presje, o które było pytanie, ale również dotyczą obszarów chronionych. Szereg działań wynika wprost z działań naprawczych wpisanych w plany ochronne. Są to działania, które zarówno skupiają się na poprawie retencji, zarówno tej korytowej jak i w utrzymaniu retencji w obrębie obszarów chronionych, w tym przypadku Parku Krajobrazowego chociażby Wzniesień łódzkich. Działania są szczegółowe, skierowane również na sam ciek, tutaj wskazano jako naprawcze - analiza sposobu prowadzenia działań restytucyjnych tj. z projektu silnie zmienionych części wód, gdzie do 2027 r. należy przeanalizować możliwości wdrożenia działań naprawczych, bo na poziomie całego dokumentu nie byliśmy w stanie identyfikować do poziomu szczegółowości np. kilkuset metrów, wskazywania konkretnych miejsc, gdzie należy odtworzyć zadrzewienia, czy konkretnych rowów, które należy poprawić pod kątem retencji. W tym wypadku działania wynikają bezpośrednio z zadań ochronnych obszarów chronionych, działania renaturyzacyjne oraz szereg działań, które skupiają się w zakresie poprawy fizykochemii, czy likwidacji presji fizyko-chemicznych. One również zawierają w sobie działania nakierowane na odtwarzanie naturalnej retencji i zatrzymanie dopływu tych zlewni. Takich pytań bardzo szczegółowych pojawiło się kilka, między innymi były pytania dotyczące też zlewni Pilicy. Szczegółowe zestawy działań znajdą państwo w załączniku, bardzo łatwo je przefiltrować po nazwie jednolitej części wód. Tam są kody, ale te działania są wszystkie opisane, zcharakteryzowane, również są podane jednostki odpowiedzialne za ich realizację, co ułatwia też poruszanie się w tych zestawach. Dodatkowo nawiązując do Pilicy, jest szereg działań wskazywanych w planach zadań ochronnych. To są działania dedykowane obszarom chronionym, celom i ochronie obszarów chronionych. One są ukierunkowane zarówno na poprawę naturalnej retencji jak i odtwarzanie mokradeł, wskazywane są konkretne starorzecza, czy rowy, które należałoby zasypać, zatrzymać wodę. Nawiązując do tego, że aPGW łączymy z aPZRP, to tak jeszcze w nawiązaniu do wpływu na zahamowanie negatywnych skutków szybkich opadów i powodzi błyskawicznych, to są te wszystkie działania, które zrobimy w zlewni, czyli naturalna retencja, o których mowa w zadaniach naprawczych aPGW jak najbardziej wpisuje się w zadanie drugie, czy te instrumenty wspierające aPZRP. Chciałam podkreślić, że te dwa projekty są ze sobą jak najbardziej spójne. Realizując czy wskazując zestawy działań również uwzględnialiśmy presje w całej zlewni. Chociażby żeby spowolnić odpływ wód opadowych, wskazując retencje na terenach zurbanizowanych, leśnych, gruntach rolnych. W całokształcie mamy bardzo szerokie zestawy działań, składające się niekiedy z kilkudziesięciu działań dla danej jednolitej części wód. Prosiłabym państwa o zapoznanie się bardzo szczegółowo z tymi zestawami.</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Wśród pytań pojawia się temat ciągłości ekologicznej, ze szczególnym uwzględnieniem ryb, minogów. Oczywiście to jest jedno z kluczowych działań, kierowanych na presje hydromorfologiczne - przywrócenie ciągłości biologicznej, ze szczególnym uwzględnieniem celów środowiskowych gatunków chronionych. Mamy szereg działań, chociażby we wspomnianych jednolitych częściach wód, które wynikają bądź bezpośrednio z zapisów planów zadań ochronnych, gdzie wskazywane jest przywrócenie tej ciągłości, czy odtwarzanie. My w działaniach, nie mając często informacji o każdej jednej istniejącej i funkcjonującej budowli, pomimo przeprowadzonego procesu ankietyzacji, wskazywaliśmy działania polegające na weryfikacji możliwości udrożnienia takich budowli i to między innymi zostało wskazane dla zlewni Pilicy. Po ustaleniu możliwości technicznych do konkretnych budowli – wykaz tych budowli jest również w spisie zestawów działań. Jest określony termin, do kiedy należy dane działanie zrealizować, oczywiście w przypadku przywracania ciągłości biologicznej tutaj kluczem były cele środowiskowe, cieki szczególnie istotne dla ryb dwuśrodowiskowych. Weryfikacja poszczególnych możliwości udrożnienia, sposobu, czy to ma być przepławka, czy rozbiórka, jest warunkowana zarówno stanem technicznym, funkcją danego obiektu. Dla jednolitych części wód wyznaczonych jako silnie zmienione, dla których te obiekty pełnią funkcje gospodarcze, społeczne, to tutaj całkowita likwidacja nie wchodzi w grę, ale możliwa jest np. przebudowa na bystrze, aby podtrzymać funkcje pod kątem nawodnień rolniczych itd. Zatem, te działania zostały wskazane na poziomie etapu pierwszego: możliwości sposobu udrożnienia, weryfikacja tego, a w etapie drugim - realizacja danego wariantu już konkretnie na przykładzie danej budowli. aPGW nie jest programem, który daje państwu gotowy materiał do tego, że mamy cały rysunek techniczny, ocenę zrobioną, wszystkie decyzje, tylko jest to zestaw działań koniecznych do wykonania. Cały proces pozyskiwania tych decyzji, które idą za technicznymi działaniami, jak przebudowa np. jakichś obiektów piętrzących, to jest wiadomo jakiś czas. Przewidziane są te działania do realizacji do końca 2027 r. dla rzek, dla których zapisane zostały właśnie dla obszarów chronionych, że są to warunki istotne dla celów ochrony obszarów, to takie działania na pewno się znalazły.</w:t>
            </w:r>
          </w:p>
        </w:tc>
      </w:tr>
      <w:tr w:rsidR="00E92AE6" w:rsidRPr="005E78BB" w14:paraId="3CDF5E87" w14:textId="77777777" w:rsidTr="00E92AE6">
        <w:trPr>
          <w:trHeight w:val="454"/>
        </w:trPr>
        <w:tc>
          <w:tcPr>
            <w:tcW w:w="562" w:type="dxa"/>
            <w:shd w:val="clear" w:color="auto" w:fill="auto"/>
          </w:tcPr>
          <w:p w14:paraId="234961BF" w14:textId="7368ADB8" w:rsidR="00E92AE6" w:rsidRPr="00CD6FBC" w:rsidRDefault="00E92AE6" w:rsidP="00E92AE6">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863</w:t>
            </w:r>
          </w:p>
        </w:tc>
        <w:tc>
          <w:tcPr>
            <w:tcW w:w="1021" w:type="dxa"/>
            <w:tcBorders>
              <w:top w:val="single" w:sz="4" w:space="0" w:color="auto"/>
              <w:left w:val="nil"/>
              <w:bottom w:val="single" w:sz="4" w:space="0" w:color="auto"/>
              <w:right w:val="nil"/>
            </w:tcBorders>
            <w:shd w:val="clear" w:color="auto" w:fill="auto"/>
          </w:tcPr>
          <w:p w14:paraId="22036316" w14:textId="6C864FFD"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PCC Rokita SA</w:t>
            </w:r>
          </w:p>
        </w:tc>
        <w:tc>
          <w:tcPr>
            <w:tcW w:w="1630" w:type="dxa"/>
            <w:shd w:val="clear" w:color="auto" w:fill="auto"/>
          </w:tcPr>
          <w:p w14:paraId="5F233A17" w14:textId="46BD17F5"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inne/pozostałe</w:t>
            </w:r>
          </w:p>
        </w:tc>
        <w:tc>
          <w:tcPr>
            <w:tcW w:w="5663" w:type="dxa"/>
            <w:shd w:val="clear" w:color="auto" w:fill="auto"/>
          </w:tcPr>
          <w:p w14:paraId="65785FD7" w14:textId="5F4CEA31"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Na powtarzające się na wielu spotkaniach konsultacyjnych pytanie o wartości graniczne elementów fizykochemicznych dla SZCW pada odpowiedź, że są one zamieszczone w zał. 3.1. Można tam tymczasem znaleźć odesłanie do wartości źródłowych tylko dla sztucznych części (zbiorników) wód. Być może niemożność znalezienia tych wartości dla SZCW rzecznych wynika z moich ograniczeń mentalnych a one tam jednak są, proszę więc wyświetlenie odpowiedniego fragmentu tego załącznika w czasie sesji odpowiedzi.</w:t>
            </w:r>
            <w:r w:rsidRPr="00CD6FBC">
              <w:rPr>
                <w:rFonts w:eastAsia="Times New Roman" w:cstheme="minorHAnsi"/>
                <w:color w:val="000000"/>
                <w:sz w:val="18"/>
                <w:szCs w:val="18"/>
                <w:lang w:eastAsia="pl-PL"/>
              </w:rPr>
              <w:br w:type="page"/>
            </w:r>
          </w:p>
        </w:tc>
        <w:tc>
          <w:tcPr>
            <w:tcW w:w="3377" w:type="dxa"/>
            <w:shd w:val="clear" w:color="auto" w:fill="auto"/>
          </w:tcPr>
          <w:p w14:paraId="5601B2FD" w14:textId="24C151FD"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3401" w:type="dxa"/>
            <w:shd w:val="clear" w:color="auto" w:fill="auto"/>
          </w:tcPr>
          <w:p w14:paraId="1A3C85BB" w14:textId="277317E0"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918" w:type="dxa"/>
            <w:shd w:val="clear" w:color="auto" w:fill="auto"/>
          </w:tcPr>
          <w:p w14:paraId="1EE3070A" w14:textId="54D02B56"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276" w:type="dxa"/>
            <w:shd w:val="clear" w:color="auto" w:fill="auto"/>
          </w:tcPr>
          <w:p w14:paraId="0691D5A4" w14:textId="3A06DFD8"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uwzględniono</w:t>
            </w:r>
          </w:p>
        </w:tc>
        <w:tc>
          <w:tcPr>
            <w:tcW w:w="3513" w:type="dxa"/>
            <w:shd w:val="clear" w:color="auto" w:fill="auto"/>
          </w:tcPr>
          <w:p w14:paraId="51A26E58" w14:textId="16335D1C" w:rsidR="001C3C71" w:rsidRPr="00CD6FBC" w:rsidRDefault="00E92AE6" w:rsidP="00E92AE6">
            <w:pPr>
              <w:ind w:firstLine="0"/>
              <w:jc w:val="left"/>
              <w:rPr>
                <w:rFonts w:eastAsia="Times New Roman" w:cstheme="minorHAnsi"/>
                <w:color w:val="000000"/>
                <w:sz w:val="18"/>
                <w:szCs w:val="18"/>
                <w:lang w:eastAsia="pl-PL"/>
              </w:rPr>
            </w:pPr>
            <w:r w:rsidRPr="00CD6FBC">
              <w:rPr>
                <w:rFonts w:eastAsia="Times New Roman" w:cstheme="minorHAnsi"/>
                <w:color w:val="000000"/>
                <w:sz w:val="18"/>
                <w:szCs w:val="18"/>
                <w:lang w:eastAsia="pl-PL"/>
              </w:rPr>
              <w:t>Odpowiedzi udzielono na spotkaniu konsultacyjnym.</w:t>
            </w:r>
            <w:r w:rsidRPr="00CD6FBC">
              <w:rPr>
                <w:rFonts w:eastAsia="Times New Roman" w:cstheme="minorHAnsi"/>
                <w:color w:val="000000"/>
                <w:sz w:val="18"/>
                <w:szCs w:val="18"/>
                <w:lang w:eastAsia="pl-PL"/>
              </w:rPr>
              <w:br w:type="page"/>
              <w:t xml:space="preserve">Tak rzeczywiście przywołujemy, przedstawiamy i wskazujemy załącznik </w:t>
            </w:r>
            <w:r w:rsidR="001C3C71" w:rsidRPr="001C3C71">
              <w:rPr>
                <w:rFonts w:ascii="Calibri" w:eastAsia="Times New Roman" w:hAnsi="Calibri" w:cs="Calibri"/>
                <w:color w:val="000000"/>
                <w:sz w:val="18"/>
                <w:szCs w:val="18"/>
                <w:lang w:eastAsia="pl-PL"/>
              </w:rPr>
              <w:t>Wartości graniczne SCW i SZCW</w:t>
            </w:r>
            <w:r w:rsidR="001C3C71" w:rsidRPr="00CD6FBC" w:rsidDel="001C3C71">
              <w:rPr>
                <w:rFonts w:eastAsia="Times New Roman" w:cstheme="minorHAnsi"/>
                <w:color w:val="000000"/>
                <w:sz w:val="18"/>
                <w:szCs w:val="18"/>
                <w:lang w:eastAsia="pl-PL"/>
              </w:rPr>
              <w:t xml:space="preserve"> </w:t>
            </w:r>
            <w:r w:rsidR="001C3C71" w:rsidRPr="00CD6FBC">
              <w:rPr>
                <w:rFonts w:eastAsia="Times New Roman" w:cstheme="minorHAnsi"/>
                <w:color w:val="000000"/>
                <w:sz w:val="18"/>
                <w:szCs w:val="18"/>
                <w:lang w:eastAsia="pl-PL"/>
              </w:rPr>
              <w:t xml:space="preserve"> </w:t>
            </w:r>
            <w:r w:rsidRPr="00CD6FBC">
              <w:rPr>
                <w:rFonts w:eastAsia="Times New Roman" w:cstheme="minorHAnsi"/>
                <w:color w:val="000000"/>
                <w:sz w:val="18"/>
                <w:szCs w:val="18"/>
                <w:lang w:eastAsia="pl-PL"/>
              </w:rPr>
              <w:t xml:space="preserve">do planów w którym są wskazane wartości graniczne dla potencjału ekologicznego. Jeżeli chodzi o samo wskazywanie to głównym dokumentem wskazującym sposoby klasyfikacji potencjału ekologicznego jest rozporządzenie klasyfikacyjne. To ono odnosi, jeżeli chodzi o silnie zmienione i sztuczne części wód i wartości graniczne do tego, że są one wskazywane w Planie gospodarowania wodami. Poszczególne zakładki załącznika są dedykowane kategoriom wód: rzecznym, zbiornikowym i jeziornym oddzielnie, wskazane są w nich, w poszczególnych kolumnach, konkretne wartości, jeżeli chodzi o elementy biologiczne i hydromorfologiczne. Dziękujemy za takie pytania i uwagi bo właśnie one pozwalają nam na to, żeby jeszcze weryfikować i pochylać się nad dopracowywaniem IIaPGW, aby były maksymalnie czytelne i użyteczne dla odbiorcy. Generalnie załącznik </w:t>
            </w:r>
            <w:r w:rsidR="001C3C71" w:rsidRPr="001C3C71">
              <w:rPr>
                <w:rFonts w:ascii="Calibri" w:eastAsia="Times New Roman" w:hAnsi="Calibri" w:cs="Calibri"/>
                <w:color w:val="000000"/>
                <w:sz w:val="18"/>
                <w:szCs w:val="18"/>
                <w:lang w:eastAsia="pl-PL"/>
              </w:rPr>
              <w:t>Wartości graniczne SCW i SZCW</w:t>
            </w:r>
            <w:r w:rsidR="001C3C71" w:rsidRPr="00CD6FBC" w:rsidDel="001C3C71">
              <w:rPr>
                <w:rFonts w:eastAsia="Times New Roman" w:cstheme="minorHAnsi"/>
                <w:color w:val="000000"/>
                <w:sz w:val="18"/>
                <w:szCs w:val="18"/>
                <w:lang w:eastAsia="pl-PL"/>
              </w:rPr>
              <w:t xml:space="preserve"> </w:t>
            </w:r>
            <w:r w:rsidRPr="00CD6FBC">
              <w:rPr>
                <w:rFonts w:eastAsia="Times New Roman" w:cstheme="minorHAnsi"/>
                <w:color w:val="000000"/>
                <w:sz w:val="18"/>
                <w:szCs w:val="18"/>
                <w:lang w:eastAsia="pl-PL"/>
              </w:rPr>
              <w:t>to jest załącznik, w którym wskazywane są ustalone wartości graniczne dla elementów, które stanowią element dla oceny potencjału ekologicznego jednolitych wód sztucznych i silnie zmienionych. To ich dotyczy potencjał ekologiczny, naturalne części wód mają określany stan ekologiczny i w ich przypadku rozporządzenie klasyfikacyjne wskazuje wartości graniczne.</w:t>
            </w:r>
            <w:r w:rsidRPr="00CD6FBC">
              <w:rPr>
                <w:rFonts w:eastAsia="Times New Roman" w:cstheme="minorHAnsi"/>
                <w:color w:val="000000"/>
                <w:sz w:val="18"/>
                <w:szCs w:val="18"/>
                <w:lang w:eastAsia="pl-PL"/>
              </w:rPr>
              <w:br w:type="page"/>
            </w:r>
          </w:p>
          <w:p w14:paraId="7D4AE4D7" w14:textId="77777777" w:rsidR="001C3C71" w:rsidRPr="001C3C71" w:rsidRDefault="00E92AE6" w:rsidP="001C3C71">
            <w:pPr>
              <w:ind w:firstLine="0"/>
              <w:jc w:val="left"/>
              <w:rPr>
                <w:rFonts w:ascii="Calibri" w:eastAsia="Times New Roman" w:hAnsi="Calibri" w:cs="Calibri"/>
                <w:sz w:val="18"/>
                <w:szCs w:val="18"/>
                <w:lang w:eastAsia="pl-PL"/>
              </w:rPr>
            </w:pPr>
            <w:r w:rsidRPr="00CD6FBC">
              <w:rPr>
                <w:rFonts w:eastAsia="Times New Roman" w:cstheme="minorHAnsi"/>
                <w:color w:val="000000"/>
                <w:sz w:val="18"/>
                <w:szCs w:val="18"/>
                <w:lang w:eastAsia="pl-PL"/>
              </w:rPr>
              <w:t>Uzupełnienie odpowiedzi po spotkaniu konsultacyjnym:</w:t>
            </w:r>
            <w:r w:rsidRPr="00CD6FBC">
              <w:rPr>
                <w:rFonts w:eastAsia="Times New Roman" w:cstheme="minorHAnsi"/>
                <w:color w:val="000000"/>
                <w:sz w:val="18"/>
                <w:szCs w:val="18"/>
                <w:lang w:eastAsia="pl-PL"/>
              </w:rPr>
              <w:br w:type="page"/>
            </w:r>
            <w:r w:rsidR="001C3C71" w:rsidRPr="001C3C71">
              <w:rPr>
                <w:rFonts w:ascii="Calibri" w:eastAsia="Times New Roman" w:hAnsi="Calibri" w:cs="Calibri"/>
                <w:sz w:val="18"/>
                <w:szCs w:val="18"/>
                <w:lang w:eastAsia="pl-PL"/>
              </w:rPr>
              <w:t>W przypadku wartości granicznych dot. wskaźników fizykochemicznych zastosowano dwa rodzaje podejścia:</w:t>
            </w:r>
          </w:p>
          <w:p w14:paraId="3D3A0C62" w14:textId="1EA156A3" w:rsidR="001C3C71" w:rsidRPr="001C3C71" w:rsidRDefault="001C3C71" w:rsidP="001C3C71">
            <w:pPr>
              <w:pStyle w:val="Akapitzlist"/>
              <w:numPr>
                <w:ilvl w:val="0"/>
                <w:numId w:val="1"/>
              </w:numPr>
              <w:ind w:left="354" w:hanging="283"/>
              <w:jc w:val="left"/>
              <w:rPr>
                <w:rFonts w:eastAsia="Times New Roman" w:cstheme="minorHAnsi"/>
                <w:sz w:val="18"/>
                <w:szCs w:val="18"/>
                <w:lang w:eastAsia="pl-PL"/>
              </w:rPr>
            </w:pPr>
            <w:r w:rsidRPr="001C3C71">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1C3C71">
              <w:rPr>
                <w:rFonts w:cstheme="minorHAnsi"/>
                <w:sz w:val="18"/>
                <w:szCs w:val="18"/>
                <w:shd w:val="clear" w:color="auto" w:fill="FFFFFF"/>
              </w:rPr>
              <w:t xml:space="preserve"> RW określonego typu”</w:t>
            </w:r>
          </w:p>
          <w:p w14:paraId="76F9E43D" w14:textId="5190AFCD" w:rsidR="001C3C71" w:rsidRPr="001C3C71" w:rsidRDefault="001C3C71" w:rsidP="001C3C71">
            <w:pPr>
              <w:pStyle w:val="Akapitzlist"/>
              <w:numPr>
                <w:ilvl w:val="0"/>
                <w:numId w:val="1"/>
              </w:numPr>
              <w:ind w:left="354" w:hanging="283"/>
              <w:jc w:val="left"/>
              <w:rPr>
                <w:rFonts w:ascii="Calibri" w:eastAsia="Times New Roman" w:hAnsi="Calibri" w:cs="Calibri"/>
                <w:sz w:val="18"/>
                <w:szCs w:val="18"/>
                <w:lang w:eastAsia="pl-PL"/>
              </w:rPr>
            </w:pPr>
            <w:r w:rsidRPr="001C3C71">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1C3C71">
              <w:rPr>
                <w:rFonts w:eastAsia="Times New Roman" w:cstheme="minorHAnsi"/>
                <w:sz w:val="18"/>
                <w:szCs w:val="18"/>
                <w:lang w:eastAsia="pl-PL"/>
              </w:rPr>
              <w:t xml:space="preserve"> RW</w:t>
            </w:r>
            <w:r w:rsidRPr="001C3C71">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23BDA13D" w14:textId="0AEC1C2F" w:rsidR="00E92AE6" w:rsidRPr="005E78BB" w:rsidRDefault="001C3C71" w:rsidP="001C3C71">
            <w:pPr>
              <w:ind w:firstLine="0"/>
              <w:jc w:val="left"/>
              <w:rPr>
                <w:rFonts w:ascii="Calibri" w:eastAsia="Times New Roman" w:hAnsi="Calibri" w:cs="Calibri"/>
                <w:color w:val="000000"/>
                <w:sz w:val="18"/>
                <w:szCs w:val="18"/>
                <w:lang w:eastAsia="pl-PL"/>
              </w:rPr>
            </w:pPr>
            <w:r w:rsidRPr="001C3C71">
              <w:rPr>
                <w:rFonts w:ascii="Calibri" w:eastAsia="Times New Roman" w:hAnsi="Calibri" w:cs="Calibri"/>
                <w:sz w:val="18"/>
                <w:szCs w:val="18"/>
                <w:lang w:eastAsia="pl-PL"/>
              </w:rPr>
              <w:t>IIaPGW został odpowiednio uzupełniony w tym zakresie dla wyeliminowania wątpliwości czytelnika.</w:t>
            </w:r>
          </w:p>
        </w:tc>
      </w:tr>
      <w:tr w:rsidR="00E92AE6" w:rsidRPr="005E78BB" w14:paraId="60BE0892" w14:textId="77777777" w:rsidTr="00E92AE6">
        <w:trPr>
          <w:trHeight w:val="454"/>
        </w:trPr>
        <w:tc>
          <w:tcPr>
            <w:tcW w:w="562" w:type="dxa"/>
            <w:shd w:val="clear" w:color="auto" w:fill="auto"/>
          </w:tcPr>
          <w:p w14:paraId="5121EFB4" w14:textId="760B253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864</w:t>
            </w:r>
          </w:p>
        </w:tc>
        <w:tc>
          <w:tcPr>
            <w:tcW w:w="1021" w:type="dxa"/>
            <w:tcBorders>
              <w:top w:val="single" w:sz="4" w:space="0" w:color="auto"/>
              <w:left w:val="nil"/>
              <w:bottom w:val="single" w:sz="4" w:space="0" w:color="auto"/>
              <w:right w:val="nil"/>
            </w:tcBorders>
            <w:shd w:val="clear" w:color="auto" w:fill="auto"/>
          </w:tcPr>
          <w:p w14:paraId="654B1FF1" w14:textId="77B77BC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GiEK S.A.</w:t>
            </w:r>
          </w:p>
        </w:tc>
        <w:tc>
          <w:tcPr>
            <w:tcW w:w="1630" w:type="dxa"/>
            <w:shd w:val="clear" w:color="auto" w:fill="auto"/>
          </w:tcPr>
          <w:p w14:paraId="77668F87" w14:textId="76323FE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49D32BE" w14:textId="2447E87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Czy prawidłowo rozumuję: aby ocenić swój wpływ na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to powinnam odnieść się do celów skumulowanych jeżeli takie znajdę w planie? Czy mogę pominąć wówczas cele dla mojej bezpośredniej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w:t>
            </w:r>
          </w:p>
        </w:tc>
        <w:tc>
          <w:tcPr>
            <w:tcW w:w="3377" w:type="dxa"/>
            <w:shd w:val="clear" w:color="auto" w:fill="auto"/>
          </w:tcPr>
          <w:p w14:paraId="0DB070E1" w14:textId="0D650CF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4E710A6" w14:textId="78AE51D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F7690E2" w14:textId="511B525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2A1337A" w14:textId="3328FF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D408F15" w14:textId="46DF61C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Plan gospodarowania wodami wskazuje cele środowiskowe właśnie dla konkretnych jednolitych części wód powierzchniowych. Pamiętajmy, że ochrona wód to nie tylko cele środowiskowe dla jednolitych części wód, ale także ogólnie rozumiane cele w zakresie ochrony wód, które są podane w ustawie Prawo wodne. Natomiast w przypadku analizy wpływu konkretnego przedsięwzięcia na cele środowiskowe w zakresie jednolitych części wód to należy zidentyfikować jednolitą część wód, która będzie pod wpływem oddziaływania. Należy sprawdzić wartości celów środowiskowych a następnie różnymi metodykami, różnymi narzędziami badawczymi trzeba zbadać wpływ analizowanego przedsięwzięcia na stan wód.</w:t>
            </w:r>
          </w:p>
        </w:tc>
      </w:tr>
      <w:tr w:rsidR="00E92AE6" w:rsidRPr="005E78BB" w14:paraId="1D55D1B0" w14:textId="77777777" w:rsidTr="00E92AE6">
        <w:trPr>
          <w:trHeight w:val="454"/>
        </w:trPr>
        <w:tc>
          <w:tcPr>
            <w:tcW w:w="562" w:type="dxa"/>
            <w:shd w:val="clear" w:color="auto" w:fill="auto"/>
          </w:tcPr>
          <w:p w14:paraId="1ACB39AC" w14:textId="06C31117"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865</w:t>
            </w:r>
          </w:p>
        </w:tc>
        <w:tc>
          <w:tcPr>
            <w:tcW w:w="1021" w:type="dxa"/>
            <w:tcBorders>
              <w:top w:val="single" w:sz="4" w:space="0" w:color="auto"/>
              <w:left w:val="nil"/>
              <w:bottom w:val="single" w:sz="4" w:space="0" w:color="auto"/>
              <w:right w:val="nil"/>
            </w:tcBorders>
            <w:shd w:val="clear" w:color="auto" w:fill="auto"/>
          </w:tcPr>
          <w:p w14:paraId="5F739FBD" w14:textId="55140CE8"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PCC Rokita SA</w:t>
            </w:r>
          </w:p>
        </w:tc>
        <w:tc>
          <w:tcPr>
            <w:tcW w:w="1630" w:type="dxa"/>
            <w:shd w:val="clear" w:color="auto" w:fill="auto"/>
          </w:tcPr>
          <w:p w14:paraId="477308CA" w14:textId="6BD366F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3250B32" w14:textId="2821365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Czym powinien się kierować organ wydając pozwolenie wodnoprawne na odprowadzanie ścieków zawierających ładunek soli, w sytuacji kiedy nie będzie ustalonych wartości granicznych dla chlorków i siarczanów (czy to w rozp. klasyf. czy to w aPGW)? W rozporządzeniu &amp;#34;ściekowym&amp;#34; nie ma wartości granicznych dla przewodności elektrolitycznej, jednocześnie nie można ściśle związać ilości chlorków i siarczanów z wartością przewodności a trzeba będzie ocenić wpływ ścieków na możliwość osiągnięcia celu środowiskowego w zakresie przewodności. </w:t>
            </w:r>
          </w:p>
        </w:tc>
        <w:tc>
          <w:tcPr>
            <w:tcW w:w="3377" w:type="dxa"/>
            <w:shd w:val="clear" w:color="auto" w:fill="auto"/>
          </w:tcPr>
          <w:p w14:paraId="5F2B4BFD" w14:textId="1D2DAA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B0F060C" w14:textId="7BF4B6F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A67CBBC" w14:textId="2032B41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AFFA8D0" w14:textId="02B75F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CFC1245" w14:textId="4FD282F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Każda sprawa, która przychodzi do RZGW, jest rozpatrywana indywidualnie. W oparciu po pierwsze: o obowiązujące przepisy prawne, a po drugie: o indywidualnie zebrany materiał dowodowy. Odnośnie parametrów chlorków i siarczanów należy wskazać, iż zostały one określone w rozporządzeniu Ministra Gospodarki Morskiej i Żeglugi Śródlądowej z dnia 12 lipca 2019 roku w sprawie substancji szczególnie szkodliwych dla środowiska wodnego oraz warunków, jakie należy spełnić przy wprowadzaniu do wód lub do ziemi ścieków, a także przy odprowadzaniu wód opadowych lub roztopowych do wód lub do urządzeń wodnych. Tam zostały wskazane wyraźnie parametry wartości chlorków i siarczanów w szczególnych przypadkach, kiedy mówimy w pewnym sensie o odstępstwie. Zostało to określone w paragrafie 12.</w:t>
            </w:r>
          </w:p>
        </w:tc>
      </w:tr>
      <w:tr w:rsidR="00E92AE6" w:rsidRPr="005E78BB" w14:paraId="1B9AE0A0" w14:textId="77777777" w:rsidTr="00E92AE6">
        <w:trPr>
          <w:trHeight w:val="454"/>
        </w:trPr>
        <w:tc>
          <w:tcPr>
            <w:tcW w:w="562" w:type="dxa"/>
            <w:shd w:val="clear" w:color="auto" w:fill="auto"/>
          </w:tcPr>
          <w:p w14:paraId="6195E58A" w14:textId="32F5D70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866</w:t>
            </w:r>
          </w:p>
        </w:tc>
        <w:tc>
          <w:tcPr>
            <w:tcW w:w="1021" w:type="dxa"/>
            <w:tcBorders>
              <w:top w:val="single" w:sz="4" w:space="0" w:color="auto"/>
              <w:left w:val="nil"/>
              <w:bottom w:val="single" w:sz="4" w:space="0" w:color="auto"/>
              <w:right w:val="nil"/>
            </w:tcBorders>
            <w:shd w:val="clear" w:color="auto" w:fill="auto"/>
          </w:tcPr>
          <w:p w14:paraId="093A1FF6" w14:textId="7D40001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GiEK S.A.</w:t>
            </w:r>
          </w:p>
        </w:tc>
        <w:tc>
          <w:tcPr>
            <w:tcW w:w="1630" w:type="dxa"/>
            <w:shd w:val="clear" w:color="auto" w:fill="auto"/>
          </w:tcPr>
          <w:p w14:paraId="15318E5D" w14:textId="533A4D5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92F416E" w14:textId="7EB6EC6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Jeżeli mówimy o adaptacji do zmian klimatu, to czy ujęto w planie możliwą zmienność biologiczną, jak to oceniać, wg jakich organizmów?</w:t>
            </w:r>
          </w:p>
        </w:tc>
        <w:tc>
          <w:tcPr>
            <w:tcW w:w="3377" w:type="dxa"/>
            <w:shd w:val="clear" w:color="auto" w:fill="auto"/>
          </w:tcPr>
          <w:p w14:paraId="14EDE2EB" w14:textId="4A993D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5270F91" w14:textId="73DE4B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68CD803" w14:textId="5434949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447B69F" w14:textId="59F66A0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E35A8D5" w14:textId="5D4ED0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podczas spotkania konsultacyjnego.</w:t>
            </w:r>
            <w:r w:rsidRPr="00825321">
              <w:rPr>
                <w:rFonts w:eastAsia="Times New Roman" w:cstheme="minorHAnsi"/>
                <w:color w:val="000000"/>
                <w:sz w:val="18"/>
                <w:szCs w:val="18"/>
                <w:lang w:eastAsia="pl-PL"/>
              </w:rPr>
              <w:br/>
              <w:t>Oczywiście, temat można powiedzieć szeroki jak rzeka, natomiast autor pyta tutaj konkretnie o element biologiczny. Ja mogę odnieść się do tego, co uwzględniliśmy budując zestawy działań jako zespół ekspertów, który dysponował danymi dotyczącymi presji. Przede wszystkim uwzględniliśmy w zestawach działań, zagadnienia związane z ryzykiem suszy i zagrożeniem suszy i jej skutkami, czyli tutaj przełożenie suszy na stan ilościowy, warunki dynamiki przepływu i związane z tym ewentualnie ryzyko dla osiągnięcia celów środowiskowych elementów biologicznych. Te działania są wpisane właśnie pod kodem działań skumulowanych, dedykowane adaptacji do zmian klimatu. Służą poprawie naturalnej retencji, czyli między innymi zatrzymywaniu wody w rowach, budowie stref buforowych wzdłuż jezior, czy też retencji korytowej. To jest cały wachlarz działań takich stricte dedykowanych adaptacji, zarówno na gruntach rolniczych, terenach zurbanizowanych i tutaj wchodzą do realizacji przede wszystkim założenia i działania wynikające z miejskich planów adaptacji dla miast. Mam nadzieję, że coraz więcej gmin będzie posiadało właśnie takie dokumenty, jak plany adaptacji do zmian klimatu dla gmin, których dużą częścią działań będą działania skierowane na poprawę naturalnej retencji, zatrzymanie wody w zlewni. Będzie się to przekładało i na bezpieczeństwo powodziowe związane z powodziami opadowymi błyskawicznymi, jak również będzie wpływało korzystnie na stosunki wodne w całej zlewni. Tym samym na sytuację ilościową i jakościową wód powierzchniowych. To co autor pytania wskazuje, chodzi konkretnie o gatunki i tutaj włączyliśmy do zestawów działań cały pakiet działań, który wynikał z planów zadań ochronnych i planów ochrony dla obszarów chronionych. Natomiast jeżeli chodzi o zmienność gatunków to w tym momencie rzeczywiście jestem szczególnie zainteresowana tematem adaptacji do zmian klimatu. Brakuje opracowań, nawet takich stricte naukowych, w jaki sposób następuje wycofywanie poszczególnych gatunków, chociażby wskaźnikowych. Ze względu na wydłużający się okres wegetacyjny, zmianę średnich temperatur, itd. Nie mamy informacji monitoringowych, co więcej określone w rozporządzeniach klasyfikacyjnych, przede wszystkim elementy biologiczne dotyczące ichtiofauny, fitoplanktonu, zostały wskazane do wartości granicznych. One obowiązują w kolejnym cyklu planistycznym i tutaj stanowią podstawy oceny dobrego stanu czy potencjału tak ekologicznego w przypadku wód rzecznych, jeziornych, przejściowych, przybrzeżnych. W związku z tym pytanie było szerokie, aczkolwiek mogę domyślać się, że chodzi tutaj o ten element służący ocenie - powiedzmy jakości wód. Ocenie tych elementów, jego stanu, one zostały określone i wskazane w rozporządzeniach. Natomiast tutaj wskazujemy rzeczywiście potrzebę takiego monitoringu i oczywiście te prace naukowe, które należałoby prowadzić na takich obszarach pilotażowych, można byłoby powiedzieć mogą nam pokazać pewne prawidłowości w wycofywaniu się tych gatunków i wchodzeniu nowych gatunków bardziej ciepłolubnych. Na chwilę obecną w planie gospodarowania wodami, w zestawach działań, uwzględniliśmy głównie te działania, które służą poprawie stosunków wodnych, poprawie stanu siedlisk, jakości i ilości wody. Zatem pośrednio wpisują się na zabezpieczenie, można powiedzieć, potrzeb użytkowników ekosystemowych, ale również potrzeb użytkowników indywidualnych, czyli zapewnienie dobrej jakości ilości wody.</w:t>
            </w:r>
            <w:r w:rsidRPr="00825321">
              <w:rPr>
                <w:rFonts w:eastAsia="Times New Roman" w:cstheme="minorHAnsi"/>
                <w:color w:val="000000"/>
                <w:sz w:val="18"/>
                <w:szCs w:val="18"/>
                <w:lang w:eastAsia="pl-PL"/>
              </w:rPr>
              <w:br/>
              <w:t>Na to chyba w sumie liczymy, że projekty, które będą podejmowane i realizowane, chociażby w zakresie właśnie retencji, na terenach zurbanizowanych, aglomeracjach to są te działania, które będą również związane z tymi gatunkami inwazyjnymi. Jak państwo przejrzyjcie sobie załącznik do IIaPGW, znajdziecid dla poszczególnych jednolitych części wód właśnie pod kodem działań skumulowanych, działania związane z adaptacją do zmian klimatu.</w:t>
            </w:r>
          </w:p>
        </w:tc>
      </w:tr>
      <w:tr w:rsidR="00E92AE6" w:rsidRPr="005E78BB" w14:paraId="70D06779" w14:textId="77777777" w:rsidTr="00E92AE6">
        <w:trPr>
          <w:trHeight w:val="454"/>
        </w:trPr>
        <w:tc>
          <w:tcPr>
            <w:tcW w:w="562" w:type="dxa"/>
            <w:shd w:val="clear" w:color="auto" w:fill="auto"/>
          </w:tcPr>
          <w:p w14:paraId="69BA15BD" w14:textId="469B8F9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867</w:t>
            </w:r>
          </w:p>
        </w:tc>
        <w:tc>
          <w:tcPr>
            <w:tcW w:w="1021" w:type="dxa"/>
            <w:tcBorders>
              <w:top w:val="single" w:sz="4" w:space="0" w:color="auto"/>
              <w:left w:val="nil"/>
              <w:bottom w:val="single" w:sz="4" w:space="0" w:color="auto"/>
              <w:right w:val="nil"/>
            </w:tcBorders>
            <w:shd w:val="clear" w:color="auto" w:fill="auto"/>
          </w:tcPr>
          <w:p w14:paraId="22AEB924" w14:textId="1B513E97"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GiEK S.A.</w:t>
            </w:r>
          </w:p>
        </w:tc>
        <w:tc>
          <w:tcPr>
            <w:tcW w:w="1630" w:type="dxa"/>
            <w:shd w:val="clear" w:color="auto" w:fill="auto"/>
          </w:tcPr>
          <w:p w14:paraId="2893F281" w14:textId="326D036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ECB13AE" w14:textId="3175B67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Czyli jeżeli z góry można założyć, że do zakończenia załóżmy jakiejś działalności nie ma możliwości osiągnięcia celów dla parametrów innych niż priorytetowe to cele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powinny być złagodzony?</w:t>
            </w:r>
            <w:r w:rsidRPr="00825321">
              <w:rPr>
                <w:rFonts w:eastAsia="Times New Roman" w:cstheme="minorHAnsi"/>
                <w:color w:val="000000"/>
                <w:sz w:val="18"/>
                <w:szCs w:val="18"/>
                <w:lang w:eastAsia="pl-PL"/>
              </w:rPr>
              <w:br w:type="page"/>
            </w:r>
          </w:p>
        </w:tc>
        <w:tc>
          <w:tcPr>
            <w:tcW w:w="3377" w:type="dxa"/>
            <w:shd w:val="clear" w:color="auto" w:fill="auto"/>
          </w:tcPr>
          <w:p w14:paraId="5FBEEBBA" w14:textId="4AB5B3D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A661F87" w14:textId="37C1100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AD45987" w14:textId="0034B5A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F7B87EE" w14:textId="3397560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11A80EB" w14:textId="4FCC28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Można, to by było dość uproszczone przedstawienie sprawy. Można w takiej sytuacji złagodzić cel środowiskowy, ale tylko i wyłącznie wtedy, jeżeli jesteśmy w stanie wykazać: po pierwsze, że zrobiono wszystko co możliwe, by osiągnąć możliwie najlepszy stan wód; po drugie musi być ta generalna przesłanka mówiąca o tym, że za złym stanem wód stoi dowód na to, że ta presja powodująca zły stan wód zaspokaja ważną potrzebę społeczno-gospodarczą i nie ma alternatywy dla zaspokojenia tej potrzeby, a więc musi to być udowodnione. Jeżeli miałbym np. informacje, że zły stan wód jest spowodowany nielegalną działalnością jakiegoś obiektu, to nie będzie to z pewnością przesłanka do tego, żeby mówić o zaspokajaniu ważnej potrzeby społeczno-gospodarczej w sposób, dla którego nie ma alternatywy. Bo jest alternatywa - działać zgodnie z prawem.</w:t>
            </w:r>
          </w:p>
        </w:tc>
      </w:tr>
      <w:tr w:rsidR="00E92AE6" w:rsidRPr="005E78BB" w14:paraId="7729E91D" w14:textId="77777777" w:rsidTr="00E92AE6">
        <w:trPr>
          <w:trHeight w:val="454"/>
        </w:trPr>
        <w:tc>
          <w:tcPr>
            <w:tcW w:w="562" w:type="dxa"/>
            <w:shd w:val="clear" w:color="auto" w:fill="auto"/>
          </w:tcPr>
          <w:p w14:paraId="519686FB" w14:textId="42A12CEF"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868</w:t>
            </w:r>
          </w:p>
        </w:tc>
        <w:tc>
          <w:tcPr>
            <w:tcW w:w="1021" w:type="dxa"/>
            <w:tcBorders>
              <w:top w:val="single" w:sz="4" w:space="0" w:color="auto"/>
              <w:left w:val="nil"/>
              <w:bottom w:val="single" w:sz="4" w:space="0" w:color="auto"/>
              <w:right w:val="nil"/>
            </w:tcBorders>
            <w:shd w:val="clear" w:color="auto" w:fill="auto"/>
          </w:tcPr>
          <w:p w14:paraId="616ACDDC" w14:textId="16DAE99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PCC Rokita SA</w:t>
            </w:r>
          </w:p>
        </w:tc>
        <w:tc>
          <w:tcPr>
            <w:tcW w:w="1630" w:type="dxa"/>
            <w:shd w:val="clear" w:color="auto" w:fill="auto"/>
          </w:tcPr>
          <w:p w14:paraId="259CF82C" w14:textId="3FAE93E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1E9687C" w14:textId="6A865A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Jakie przesłanki zdecydowały o ustaleniu dla wskaźnika przewodność odstępstw:</w:t>
            </w:r>
            <w:r w:rsidRPr="00825321">
              <w:rPr>
                <w:rFonts w:eastAsia="Times New Roman" w:cstheme="minorHAnsi"/>
                <w:color w:val="000000"/>
                <w:sz w:val="18"/>
                <w:szCs w:val="18"/>
                <w:lang w:eastAsia="pl-PL"/>
              </w:rPr>
              <w:br/>
              <w:t xml:space="preserve">-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&amp;#34;Odra od Kan. Gliw. do Osobłogi&amp;#34; z art. 4.4</w:t>
            </w:r>
            <w:r w:rsidRPr="00825321">
              <w:rPr>
                <w:rFonts w:eastAsia="Times New Roman" w:cstheme="minorHAnsi"/>
                <w:color w:val="000000"/>
                <w:sz w:val="18"/>
                <w:szCs w:val="18"/>
                <w:lang w:eastAsia="pl-PL"/>
              </w:rPr>
              <w:br/>
              <w:t xml:space="preserve">-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&amp;#34;Odra od Osobłogi do Nysy Kłodzkiej&amp;#34; z art. 4.5</w:t>
            </w:r>
            <w:r w:rsidRPr="00825321">
              <w:rPr>
                <w:rFonts w:eastAsia="Times New Roman" w:cstheme="minorHAnsi"/>
                <w:color w:val="000000"/>
                <w:sz w:val="18"/>
                <w:szCs w:val="18"/>
                <w:lang w:eastAsia="pl-PL"/>
              </w:rPr>
              <w:br/>
              <w:t xml:space="preserve">-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&amp;#34;Odra od Nysy Kłodzkiej do Kościelnej&amp;#34; z art. 4.4</w:t>
            </w:r>
            <w:r w:rsidRPr="00825321">
              <w:rPr>
                <w:rFonts w:eastAsia="Times New Roman" w:cstheme="minorHAnsi"/>
                <w:color w:val="000000"/>
                <w:sz w:val="18"/>
                <w:szCs w:val="18"/>
                <w:lang w:eastAsia="pl-PL"/>
              </w:rPr>
              <w:br/>
              <w:t xml:space="preserve">- dla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&amp;#34;Odra od Kościelnej do granic Wrocławia&amp;#34; ponownie z art. 4.5</w:t>
            </w:r>
            <w:r w:rsidRPr="00825321">
              <w:rPr>
                <w:rFonts w:eastAsia="Times New Roman" w:cstheme="minorHAnsi"/>
                <w:color w:val="000000"/>
                <w:sz w:val="18"/>
                <w:szCs w:val="18"/>
                <w:lang w:eastAsia="pl-PL"/>
              </w:rPr>
              <w:br/>
              <w:t xml:space="preserve">- dla kolejnych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Odry wyłącznie z art. 4.4</w:t>
            </w:r>
          </w:p>
        </w:tc>
        <w:tc>
          <w:tcPr>
            <w:tcW w:w="3377" w:type="dxa"/>
            <w:shd w:val="clear" w:color="auto" w:fill="auto"/>
          </w:tcPr>
          <w:p w14:paraId="425A0EE0" w14:textId="087EED5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3F97933" w14:textId="0864AB2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4AB5A7D" w14:textId="7244221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CBB59C2" w14:textId="66320E8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A6F33FA" w14:textId="2964FA2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Sprawdziłem wskazaną jednolitą część wód w aktualizacji Planu gospodarowania wodami, w każdym z przypadków powodem jest dopływ z innej jednolitej części wód powierzchniowych. Dopływ, który już sam w sobie niesie nadmierne wartości zasolenia, czyli dopływ ma przekroczone wartości przewodnictwa. Ta informacja znajduje się w aktualizacji Planu gospodarowania wodami.</w:t>
            </w:r>
          </w:p>
        </w:tc>
      </w:tr>
      <w:tr w:rsidR="00E92AE6" w:rsidRPr="005E78BB" w14:paraId="74455C2F" w14:textId="77777777" w:rsidTr="00E92AE6">
        <w:trPr>
          <w:trHeight w:val="454"/>
        </w:trPr>
        <w:tc>
          <w:tcPr>
            <w:tcW w:w="562" w:type="dxa"/>
            <w:shd w:val="clear" w:color="auto" w:fill="auto"/>
          </w:tcPr>
          <w:p w14:paraId="15F31262" w14:textId="1D9B67FC"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869</w:t>
            </w:r>
          </w:p>
        </w:tc>
        <w:tc>
          <w:tcPr>
            <w:tcW w:w="1021" w:type="dxa"/>
            <w:tcBorders>
              <w:top w:val="single" w:sz="4" w:space="0" w:color="auto"/>
              <w:left w:val="nil"/>
              <w:bottom w:val="single" w:sz="4" w:space="0" w:color="auto"/>
              <w:right w:val="nil"/>
            </w:tcBorders>
            <w:shd w:val="clear" w:color="auto" w:fill="auto"/>
          </w:tcPr>
          <w:p w14:paraId="12F75645" w14:textId="6741262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Miejski w Bukownie</w:t>
            </w:r>
          </w:p>
        </w:tc>
        <w:tc>
          <w:tcPr>
            <w:tcW w:w="1630" w:type="dxa"/>
            <w:shd w:val="clear" w:color="auto" w:fill="auto"/>
          </w:tcPr>
          <w:p w14:paraId="270DD971" w14:textId="5A30856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595B9293" w14:textId="127AD2A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Proszę o informację dotyczącą programu działań dotyczących analiz i oceny sytuacji z uwzględnieniem przewidywanego zaprzestania odprowadzania wód dołowych z odwadniania kopalń ZGH &amp;#34;Bolesław&amp;#34; w Bukownie tj. Kopalni &amp;#34;Olkusz -Pomorzany&amp;#34; i Kopalni &amp;#34;Olkusz&amp;#34; do cieków powierzchniowych w rejonie Olkuskim. 2. Jakie działania dotyczące cieków, w przypadku których przewidywane są zaburzenia (niemal w 100 % woda pochodzi z odwodnienia kopalń) przede wszystkim dotyczy to rzeki Baby i Sztoły zostały wskazane przez zespół opracowujący IIa PGW.</w:t>
            </w:r>
          </w:p>
        </w:tc>
        <w:tc>
          <w:tcPr>
            <w:tcW w:w="3377" w:type="dxa"/>
            <w:shd w:val="clear" w:color="auto" w:fill="auto"/>
          </w:tcPr>
          <w:p w14:paraId="2912F908" w14:textId="0CF1264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7E86366" w14:textId="1A55DC5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93A2270" w14:textId="3ADCA4F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647E91F" w14:textId="21DCCC0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FC71A35" w14:textId="2E8D2FE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To pytanie porusza bardzo ważne i trudne zagadnienie, które faktycznie występuje na tych obszarach. Zarówno regiony Małej Wisły jak i Górnej Odry, czyli obszary, gdzie górnictwo występuje, gdzie jest duże nagromadzenie kopalń i to różnych, zarówno kopalń węgla kamiennego, jak i w tym przypadku akurat chodzi o rud cynku i ołowiu. To jest też przykład tego, gdzie mówimy o synergii pomiędzy wodami powierzchniowymi i wodami podziemnymi. Z jednej strony należałoby na to spojrzeć w ten sposób, że odwadnianie górotworu na potrzeby eksploatacji złóż kopalin to jest działanie, które wpływa negatywnie na stan wód podziemnych. Wpływa negatywnie, bo powoduje odwodnienie górotworu, bilans wodny możemy mieć ujemny tak jak w przypadku chociażby tej jednolitej części 130, którą dzisiaj państwu omawiałam i na obszarze której właśnie zlokalizowana jest kopalnia "Olkusz -Pomorzany". Natomiast, generalnie tutaj mamy taką sytuację, że właściwie cieki Baba i Sztoła, przepływ w tych rzekach obecnie utrzymywany jest prawie tylko i wyłącznie (bo nie można powiedzieć, że jest w dominującej części utrzymywany) dzięki temu, że faktycznie tam są zrzucane wody z odwodnień górniczych. Teraz jesteśmy w sytuacji, że w przypadku kopalni ‘’Olkusz-Pomorzany”, została podjęta decyzja o zaniechaniu już eksploatacji. Ta eksploatacja zakończyła się już z końcem ubiegłego roku. Jeszcze cały 2021 r. prowadzone jest odwodnienie, natomiast zgodnie z dokumentacją planowane jest zakończenie tego odwodnienia czy wstrzymywanie, zamknięcie tego odwodnienia w przyszłym roku. Z jednej strony można powiedzieć, że to może być działanie, które spowoduje, że stan ilościowy wód podziemnych ulegnie poprawie, ponieważ nie będzie już odwodnienia. Zwierciadło zacznie się odbudowywać, oczywiście w dużej perspektywie czasowej, ale zakładamy, że ono wróci do warunków naturalnych czy prawie naturalnych. Stan ilościowy jednolitej części wód podziemnych nam się poprawi, natomiast pogorszy się stan ilościowy czy przepływy w ciekach. W ciekach, które (tak jak powiedziałam) w dominującej części są zasilane obecnie zrzutem wód odwodnieniowych. Jeżeli chodzi o rzekę Sztołę, to sytuacja jest o tyle jeszcze skomplikowana, że ta rzeka płynie na granicy zasięgu leja depresji związanego z odwodnieniem kopalni “Olkusz-Pomorzany”. Ona właściwie znajduje się pod wpływem odwodnienia kopalni “Szczakowa”, kopalni piasków podsackowych, która jest w niedalekiej odległości i to odwodnienie tamtej kopalni jest odpowiedzialne za to, że gdyby nie zrzut wody z kopalni “Olkusz-Pomorzany” to tego przepływu w tej rzece by nie było. Problem jest skomplikowany i nie można na niego patrzeć tylko i wyłącznie przez pryzmat działania na jednej kopalni. Niestety cały obszar Górnego Śląska jest obszarem, w którym trzeba patrzeć wielowymiarowo i przede wszystkim uwzględniać działalność. Nie można patrzeć przez pryzmat tylko jednej działalności. Tutaj działalność jednej kopalni, to tak jak państwo widzicie kopalni piasków, a tu mamy kopalnię rud cynku i ołowiu, kawałek dalej będziemy mieli kopalnię węgla kamiennego. To wszystko jest ze sobą powiązane i niewątpliwie potrzebne są tutaj całościowe ekspertyzy i analizy. Chciałam podkreślić: takie działanie związane z likwidacją kopalni to jest właściwie działanie, można powiedzieć w kategoriach takich samych należy je rozpatrywać jak inwestycja związana z uruchomieniem kopalni. To nie jest proces krótkotrwały, to jest proces bardzo skomplikowany, wymagający szeregu analiz, wielu przygotowań i przede wszystkim zaplanowania likwidacji kopalni w taki sposób, żeby te potencjalne presje związane także z likwidacją, mogły być zminimalizowane. Często przy zaniechaniu odwodnienia, to tak naprawdę w przypadku wód podziemnych z większą troską patrzymy na stan chemiczny, bo bardzo się obawiamy, żeby nie doszło do degradacji jakości wód podziemnych na skutek właśnie zaniechania odwodnienia. Trzeba te wszystkie elementy wziąć pod uwagę i ten proces musi być przygotowany i wszystkie dokumenty związane począwszy od dokumentacji hydrogeologicznej, w związku z planowanym wygaszeniem odwodnienia, która w przypadku kopalni “Olkusz-Pomorzany” została zatwierdzona przez Marszałka w 2019 r. i mówi o tym, w jaki sposób ten proces przywracania naturalnych warunków, czyli proces zaniechania odwodnienia tej kopalni, będzie następował. W jaki sposób górotwór będzie się wypełniał, jakie działania będą planowane, minimalizujące także do wdrożenia. Jeżeli chodzi o aktualizację Planów gospodarowania wodami, to my przede wszystkim te informacje, że dana kopalnia np. jest planowana do likwidacji albo jest planowane wstrzymanie odwodnienia, uwzględniamy w naszych analizach presji. Chciałam państwa uspokoić, z całą pewnością zostało to uwzględnione, zostało zaplanowane działanie mające na celu organizację i prowadzenie monitoringu w rejonie takiej właśnie kopalni, żeby można było monitorować ten stan wód, zarówno ilościowy jak i chemiczny. Żeby można było podejmować ewentualnie działania zaradcze, jeżeli taka potrzeba nastąpi. Jeszcze raz chciałam podkreślić, to jest naprawdę trudne zagadnienie, wymagające dużego przygotowania, dużej wiedzy, dużego zaangażowania wielu ekspertów i tu ciężar leży oczywiście na podmiocie prowadzącym tą działalność górniczą, czyli w tym przypadku to jest ZGH Bolesław.</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Jeżeli chodzi w ogóle o zagadnienie związane ze szkodami górniczymi, w tym lejami depresji odwodnienia, to ono było szczególnie potraktowane w przypadku budowania zestawów działań dla wód powierzchniowych, zarówno rzecznych, jeziornych czy zbiornikowych z tego względu, że chociażby skuteczność czy projektowanie działań naprawczych, na takich terenach, gdzie mamy zaburzone warunki przepływu, zaburzone naturalne stosunki wodne jest szalenie trudne. Czy takie działania będą skuteczne, pokazał to też m.in. projekt wykonany przez Wody Polskie, w 2020 r., czyli Krajowy Program Renaturyzacji Wód Powierzchniowych, gdzie w ramach tego projektu były opracowywane programy renaturyzacji. Jeden z nich był właśnie dedykowany zlewni jednolitej części wód, będącej pod wpływem szkód górniczych. Projektowanie działań naprawczych dla jednolitych części wód objętych szkodami górniczymi jest szalenie trudne. Przyroda sobie jednak radzi i tutaj powiem najpierw na poziomie ogólnym, stopniowo będzie ulegało to normalizacji. Ten poziom wód podziemnych, i tutaj początkowe problemy ze stanem ilościowym wód powierzchniowych mogą być zauważalne, ale nie muszą - to zależy od warunków atmosferycznych. Nie zapominajmy, że mamy również zasilanie opadowe cieków, natomiast po normalizacji poziomu wód podziemnych i gruntowych, oczywiście te cieki będą zasilane wodami podziemnymi, tak więc tutaj, jeżeli to unormujemy, nie będzie leja depresji, to w jakimś momencie, w czasie rozłożonym oczywiście, te cieki będą miały z powrotem zasilanie wodami podziemnymi. Jednakże w okresie przejściowym, czyli podczas likwidacji szkód, rzeczywiście może nastąpić sytuacja, gdzie przepływ będzie zaburzony na tyle, że mogą nie zostać spełnione chociażby wymogi w zakresie przepływu biologicznego, czyli takiego, który będzie decydował o celach środowiskowych, chociażby dla organizmów żywych czy właśnie tej ichtiofauny, o której celach środowiskowych bardzo dużo tutaj się mówi. W przypadku tego konkretnego cieku i jednolitej części wód, zaprojektowano zestawy naprawcze, właśnie nakierowane na presję hydrologiczną. Ponieważ tę presję uwzględniliśmy we wszystkich terenach, które oprócz tego, że miały presje związane z górnictwem, ze stanem ilościowym, zaburzonym reżimem ze względu na pobory czy zrzuty, ale także w tych zlewniach, które były pod wpływem właśnie suszy hydrologicznej czy hydrogeologicznej, dawaliśmy pakiety działań naprawczych. Dla Baby mamy działania przypisane właśnie do redukcji minimalizacji presji hydrologicznej w postaci dodatkowych przeglądów pozwoleń wodnoprawnych, czyli dla wszystkich użytkowników, którzy obecnie korzystają z tych wód. Te przeglądy są planowane, dodatkowo rozbudowa sieci monitoringu została wskazana dla wszystkich rzek, dla których określono w analizie presji ryzyko wynikające czy to właśnie z pojawieniem się zrzutów wody czy ze znaczącym zmniejszeniem przepływu wody w rzekach związanych z zaniechaniem, zamknięciem danej kopalni. Takie działania są dla tych konkretnych jednolitych części wód. Tutaj poruszyliśmy kolejne ważne zagadnienie, mianowicie projektowanie działań naprawczych właśnie na terenach górniczych, pogórniczych, objętych szkodami górniczymi. Tutaj projektowanie działań naprawczych, nakierowanych na renaturyzację takich wód powierzchniowych, przywrócenie stanu siedlisk, ekosystemów, czy chociażby wdrażanie działań związanych z ciągłością biologiczną będzie miało sens tylko wtedy, kiedy będzie woda w ciekach. Proponowaliśmy przede wszystkim monitoring, rozbudowę tej sieci monitoringu, kontrolowanie. Planując zamknięcie takich inwestycji należy uwzględnić również konieczność naprawy szkód, które powstały w efekcie prowadzenia takiej działalności. Ponieważ zaburzenie stanu ilościowego i zmiana stosunków wodnych w całej zlewni spowodowana odwodnieniem, jest daleko idącym negatywnym procesem i oddziaływaniem na szereg siedlisk ekosystemów od wód zależnych, nie mówimy więc tu tylko o samej wodzie i o przepływie i tym co się w korycie mieści, ale także całą strefą przykorytową i siedliskami z tym związanymi. Tutaj należałoby to objąć monitoringiem, co więcej należałoby na poziomie aglomeracji gmin przyjrzeć się sytuacji właśnie obudowywania wód podziemnych i problemów z koniecznością odwodnień takich szkód górniczych, które często mogą zagrażać po prostu podtopieniu osiedli nowo powstałych. W związku z tym powinna tam wchodzić renaturyzacja terenów zalewowych i właśnie jakieś odszkodowania, wycofywanie tej zabudowy, ale to jest bardzo złożony proces indywidualny. W Planach gospodarowania wodami są uwzględnione te presje, zostały zaproponowane działania i liczymy na to, że gminy i aglomeracje będą liczyły się z tymi problemami i również będą egzekwować i jakby oczekiwać pomocy od tych podmiotów, które rzeczywiście wycofując się czy zamykając swoją działalność również muszą naprawić te szkody w środowisku, bo szkody w środowisku powstały w wyniku działalności człowieka. Jest to okres przejściowy, bo normalizacja stosunków dotyczących wód podziemnych, potem przywrócenie tego zasilania podziemnego plus zasilanie opadowe, bo nie zapominajmy, że w końcu mamy tutaj reżim deszczowy właśnie. Tam, gdzie mamy te szkody bardzo trudno projektować działania renaturyzacyjne, naprawcze i w ogóle oceniać skuteczność takich działań. Tutaj rzeczywiście jest to problem, ale konieczny do realizacji, ponieważ dla tych jednolitych zostały wskazane cele środowiskowe.</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Plan gospodarowania wodami, uwzględnia że przede wszystkim monitorujemy zarówno te kopalnie, które są czynne, te które są nieczynne, jak i te które są planowane do likwidacji. Pamiętajmy, że jeżeli mówimy chociażby o górnictwie węgla kamiennego, o górnośląskim zagłębiu węglowym, to przecież tam jest bardzo dużo kopalni, które są już nieczynne, a które są dalej odwadniane. Funkcjonuje centralny zakład odwadniania kopalń. Po co to odwodnienie jest dalej prowadzone ktoś by zapytał, skoro kopalnia już jest nieczynna. Przede wszystkim jest prowadzone dlatego, by ochronić kopalnie po sąsiedzku, które bardzo często są niemalże ze sobą połączone albo w bezpośrednim sąsiedztwie. Gdybyśmy wyłączyli odwodnienie w jednej kopalni to nastąpiłoby zalanie chodników czy szybów wydobywczych w kopalni, która jest czynna. To jest jeden powód ale pamiętajmy też o tym, że jeżeli mówimy o takim obszarze, który jest użytkowany, na którym eksploatacja kopalin jest prowadzona od ponad 200 lat, gdzie w dużej części to wydobycie węgla odbywało się w sposób na zawał, gdzie tak naprawdę jakby się zastanowić jaki jest stan naturalny środowiska na tym obszarze, to myślę, że bardzo trudno by nam było na to pytanie odpowiedzieć, ponieważ jest to obszar znacznie przekształcony, przeobrażony na skutek prowadzonej tam właśnie intensywnej działalności człowieka. Należy jak najwięcej wprowadzać działań, które służyłyby poprawie stanu środowiska, poszczególnych elementów. Mówimy tu zarówno o powierzchni terenu, wodach powierzchniowych, wodach podziemnych, tak naprawdę o wszystkich elementach środowiska na tym obszarze przekształconym. Natomiast to wcale nie znaczy, że możliwe będzie przywrócenie warunków całkowicie naturalnych. Na terenach, gdzie mamy do czynienia z rozległymi i naprawdę dosyć głębokimi nieckami osiadania, tak naprawdę tam jest niemożliwe wyłączenie całkowicie odwodnienia, ponieważ zalalibyśmy znaczne tereny miejskie aglomeracji. To całkowite wyłączenie odwodnienia nie będzie możliwe i będzie musiało być wprowadzone w sposób kontrolowany. Taki, żeby właśnie nie doprowadzić do tych podtopień i tych szkód w infrastrukturze, które nastąpiły na obszarach, które kiedyś takimi zjawiskami nie byłyby narażone. To wszystko musi być uwzględnione, jeszcze raz podkreślę, powinno być to w sposób kompleksowy analizowane. Plan gospodarowania wodami, w tym momencie, jest tylko jednym z elementów takiej analizy.</w:t>
            </w:r>
          </w:p>
        </w:tc>
      </w:tr>
      <w:tr w:rsidR="00E92AE6" w:rsidRPr="005E78BB" w14:paraId="5077602B" w14:textId="77777777" w:rsidTr="00E92AE6">
        <w:trPr>
          <w:trHeight w:val="454"/>
        </w:trPr>
        <w:tc>
          <w:tcPr>
            <w:tcW w:w="562" w:type="dxa"/>
            <w:shd w:val="clear" w:color="auto" w:fill="auto"/>
          </w:tcPr>
          <w:p w14:paraId="639B963A" w14:textId="09A5345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870</w:t>
            </w:r>
          </w:p>
        </w:tc>
        <w:tc>
          <w:tcPr>
            <w:tcW w:w="1021" w:type="dxa"/>
            <w:tcBorders>
              <w:top w:val="single" w:sz="4" w:space="0" w:color="auto"/>
              <w:left w:val="nil"/>
              <w:bottom w:val="single" w:sz="4" w:space="0" w:color="auto"/>
              <w:right w:val="nil"/>
            </w:tcBorders>
            <w:shd w:val="clear" w:color="auto" w:fill="auto"/>
          </w:tcPr>
          <w:p w14:paraId="099DEC4A" w14:textId="49621C4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PCC Rokita SA</w:t>
            </w:r>
          </w:p>
        </w:tc>
        <w:tc>
          <w:tcPr>
            <w:tcW w:w="1630" w:type="dxa"/>
            <w:shd w:val="clear" w:color="auto" w:fill="auto"/>
          </w:tcPr>
          <w:p w14:paraId="22C73469" w14:textId="22D6497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F32715E" w14:textId="6D64389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Dużą presję na zasolenie Górnej Odry wywiera ładunek soli dopływający z Czech. Ma to pewne odzwierciedlenie w uznaniu, że na stan wód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Odra od Granicy do Kan. Gliw.&amp;#34; oddziałują warunki naturalne. Fakt ten jednak ma duży niekorzystny wpływ długi odcinek Odry i możliwość prowadzenia gospodarki ściekowej przez podmioty odprowadzające ścieki do Odry. Na przykład przy SSQ 80 m3/s, ładunek ten odpowiada za ok. 250 mS wskaźnika przewodność.</w:t>
            </w:r>
          </w:p>
        </w:tc>
        <w:tc>
          <w:tcPr>
            <w:tcW w:w="3377" w:type="dxa"/>
            <w:shd w:val="clear" w:color="auto" w:fill="auto"/>
          </w:tcPr>
          <w:p w14:paraId="5D33F917" w14:textId="5B74ECF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DE7CE4F" w14:textId="2FB4D5E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0E27635" w14:textId="3DB29FF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ADD89FF" w14:textId="797332D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003E510" w14:textId="53733DD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Generalnie Plany gospodarowania wodami, ze względu na swoją specyfikę, wszystkie analizy dotyczące cieków mają, jakbyśmy na to nie patrzyli taki swój charakter, że każda jednolita część wód oddziałuje na drugą. To nie jest obiekt zamknięty, nie jest tak, że od granicy jednej jednolitej części wód ucinamy i nic się nie dzieje. Plany gospodarowania wodami dla obszarów dorzeczy Polski, oczywiście dotyczą stricte obszaru Polski. My w Planach gospodarowania wodami nie planujemy działań dotyczących innych krajów, naszych sąsiadów. Natomiast wszystkie analizy, oczywiście ze stwierdzeniem, przywołanym przykładem, absolutnie tak jest, że akurat w przypadku górnej Odry to zasolenie jest widoczne. Jest jednak wiele różnych parametrów i elementów, które analizowane w ramach Planu gospodarowania wodami były identyfikowane i doprecyzowywane. Czy pochodzą z danej jednolitej części wód, którą akurat w tym momencie analizujemy, czy ich źródło danych zanieczyszczeń pochodzi ze zlewni powyżej lub może jeszcze w ogóle nawet nie z jednej tylko z dwóch. Te elementy były uwzględniane w ramach przede wszystkim Analizy presji, czyli projektów realizowanych na potrzeby opracowania drugiej aktualizacji Planów gospodarowania wodami. Jak najbardziej te elementy kumulowania się tak naprawdę oddziaływań, tego wpływu poszczególnych jednolitych części wód na cały ciąg czasami kolejnych, jak najbardziej jest uwzględniany.</w:t>
            </w:r>
          </w:p>
        </w:tc>
      </w:tr>
      <w:tr w:rsidR="00E92AE6" w:rsidRPr="005E78BB" w14:paraId="13ECA077" w14:textId="77777777" w:rsidTr="00E92AE6">
        <w:trPr>
          <w:trHeight w:val="454"/>
        </w:trPr>
        <w:tc>
          <w:tcPr>
            <w:tcW w:w="562" w:type="dxa"/>
            <w:shd w:val="clear" w:color="auto" w:fill="auto"/>
          </w:tcPr>
          <w:p w14:paraId="601EAE3C" w14:textId="1DB71A65"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871</w:t>
            </w:r>
          </w:p>
        </w:tc>
        <w:tc>
          <w:tcPr>
            <w:tcW w:w="1021" w:type="dxa"/>
            <w:tcBorders>
              <w:top w:val="single" w:sz="4" w:space="0" w:color="auto"/>
              <w:left w:val="nil"/>
              <w:bottom w:val="single" w:sz="4" w:space="0" w:color="auto"/>
              <w:right w:val="nil"/>
            </w:tcBorders>
            <w:shd w:val="clear" w:color="auto" w:fill="auto"/>
          </w:tcPr>
          <w:p w14:paraId="320F5371" w14:textId="53E4D0A0"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„Energopomiar” Sp. z o.o.</w:t>
            </w:r>
          </w:p>
        </w:tc>
        <w:tc>
          <w:tcPr>
            <w:tcW w:w="1630" w:type="dxa"/>
            <w:shd w:val="clear" w:color="auto" w:fill="auto"/>
          </w:tcPr>
          <w:p w14:paraId="251163C5" w14:textId="7D6D48E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72D4ACB" w14:textId="6492038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wykorzystanie zasobów w wysokości ponad 200% nie wynika z uwzględnienia wód z odwodnienia kilkukrotnie (jako poboru)?</w:t>
            </w:r>
            <w:r w:rsidRPr="00825321">
              <w:rPr>
                <w:rFonts w:eastAsia="Times New Roman" w:cstheme="minorHAnsi"/>
                <w:color w:val="000000"/>
                <w:sz w:val="18"/>
                <w:szCs w:val="18"/>
                <w:lang w:eastAsia="pl-PL"/>
              </w:rPr>
              <w:br w:type="page"/>
            </w:r>
          </w:p>
        </w:tc>
        <w:tc>
          <w:tcPr>
            <w:tcW w:w="3377" w:type="dxa"/>
            <w:shd w:val="clear" w:color="auto" w:fill="auto"/>
          </w:tcPr>
          <w:p w14:paraId="0F9B1980" w14:textId="509E54F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C2E0F7A" w14:textId="652D87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E149C34" w14:textId="08B035C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7B94B6A" w14:textId="0718878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A8ED0CA" w14:textId="5313E36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Przede wszystkim dziękuję za to pytanie, ponieważ faktycznie że jeżeli mówimy, że procent wykorzystania zasobów jest powyżej 100%, to tak logicznie by się wydawało, że wód tam nie ma na tym obszarze. To jest nieprawdą. Odpowiedź na to pytanie jest nie, w dużym uproszczeniu nie wynika z tego, że kilkakrotnie policzyliśmy pobór odwodnieniowy. Natomiast to wynika z najprostszego bilansu wodnego, czyli zestawiamy ten procent wykorzystania zasobów dostępnych, zestawiamy wielkość poboru, gdzie sumujemy pobór na potrzeby eksploatacji ujęć komunalnych, ujęć przemysłowych i pobór odwodnieniowy. Informacje na temat poboru odwodnieniowego gromadzimy w inny sposób niż informacje na temat poboru na potrzeby funkcjonowania ujęć. Natomiast to nie ma tak naprawdę znaczenia sumarycznie. Zbieramy razem te dwie informacje i odnosimy do wielkości zasobów dostępnych, przy czym muszę tutaj to skomentować też w ten sposób, że zasoby dostępne to są zasoby przeliczone z zasobów dyspozycyjnych, czyli z zasobów określanych w trybie dokumentacji hydrogeologicznej dla obszaru bilansowego. My to przenosimy poprzez wartość modułową, przeliczamy na zasady dostępne, czyli zasoby w jednolitych częściach wód podziemnych. Niemniej jednak, te zasoby dostępne są pochodną zasobów dyspozycyjnych w obszarze bilansowym. Ten procent wykorzystania zasobów jest tylko pierwszym elementem tego bilansu, który mówi nam o tym, że rzeczywisty pobór, suma poboru odwodnieniowego, wyrobisk górniczych i suma poboru funkcjonowania ujęć, przekracza nam wielkość zasobów dostępnych. Natomiast, i to jest pochodna zasobów dyspozycyjnych, natomiast tak de facto o ilości wód podziemnych więcej nam mówią zasoby odnawialne, bo oczywiście wody podziemne stanowią zasób odnawialny. Zasoby odnawialne, jakby ilościowo są większe od zasobów dyspozycyjnych co warto jeszcze zwrócić uwagę, że sam ten procent wykorzystania zasobów nie mówi nam o tym co się dzieje z tą wodą odwodnieniową, a jak chociażby przed chwilą mówiliśmy o tych ciekach, które obecnie funkcjonują tak naprawdę prawie dzięki temu, że jest tam zrzucona woda odwodnieniowa. Ta woda, która jest z odwodnień górniczych, nie jest wodą straconą, bo ona bardzo często wraca do tej samej zlewni, utrzymuje właśnie przepływ nienaruszalny czy w ogóle przepływ w rzekach. Jak gdyby w całym bilansie takim jednostki bilansowej czy takim bilansie wodno-gospodarczym ona jest już wtedy uwzględniona i wynik tego bilansu wcale nie musi być przekraczający właśnie 100%, także w dużym uproszczeniu w ten sposób to można wyjaśnić.</w:t>
            </w:r>
          </w:p>
        </w:tc>
      </w:tr>
      <w:tr w:rsidR="00E92AE6" w:rsidRPr="005E78BB" w14:paraId="7DF6DACD" w14:textId="77777777" w:rsidTr="00E92AE6">
        <w:trPr>
          <w:trHeight w:val="454"/>
        </w:trPr>
        <w:tc>
          <w:tcPr>
            <w:tcW w:w="562" w:type="dxa"/>
            <w:shd w:val="clear" w:color="auto" w:fill="auto"/>
          </w:tcPr>
          <w:p w14:paraId="515ED178" w14:textId="77020010"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872</w:t>
            </w:r>
          </w:p>
        </w:tc>
        <w:tc>
          <w:tcPr>
            <w:tcW w:w="1021" w:type="dxa"/>
            <w:tcBorders>
              <w:top w:val="single" w:sz="4" w:space="0" w:color="auto"/>
              <w:left w:val="nil"/>
              <w:bottom w:val="single" w:sz="4" w:space="0" w:color="auto"/>
              <w:right w:val="nil"/>
            </w:tcBorders>
            <w:shd w:val="clear" w:color="auto" w:fill="auto"/>
          </w:tcPr>
          <w:p w14:paraId="6998AB2C" w14:textId="0C24605F"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Nadleśnictwo Łosie</w:t>
            </w:r>
          </w:p>
        </w:tc>
        <w:tc>
          <w:tcPr>
            <w:tcW w:w="1630" w:type="dxa"/>
            <w:shd w:val="clear" w:color="auto" w:fill="auto"/>
          </w:tcPr>
          <w:p w14:paraId="5CDEA049" w14:textId="4E2E562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63B8016F" w14:textId="62AB166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woda pozyskiwana z gruntów stanowiących własność Skarbu Państwa przez osoby będące dzierżawcami (małe gospodarstwa domowe) tych gruntów wykracza poza ramy „zwykłego korzystania z wód” (zwykłe korzystanie z wód zostało bowiem zdefiniowane w art. 33 ustawy Prawo wodne i przysługuje wyłącznie właścicielowi gospodarstwa domowego znajdującego się na danym gruncie) i kwalifikowane jest przez instytucje jako tzw. „szczególne korzystanie z wód” lub „świadczenie usług wodnych” ?</w:t>
            </w:r>
          </w:p>
        </w:tc>
        <w:tc>
          <w:tcPr>
            <w:tcW w:w="3377" w:type="dxa"/>
            <w:shd w:val="clear" w:color="auto" w:fill="auto"/>
          </w:tcPr>
          <w:p w14:paraId="251BF543" w14:textId="5887C5F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C9CE16F" w14:textId="6BC245F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9812DD9" w14:textId="6B0AF13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BC8C576" w14:textId="3D083B2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04BFB5D" w14:textId="7FD1A1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Pytanie nie dotyczy projektów przekazanych do konsultacji - IIaPGW. W przypadku takiej konieczności, uprzejmie prosimy o kontakt indywidualny z Ministerstwem Infrastruktury.</w:t>
            </w:r>
          </w:p>
        </w:tc>
      </w:tr>
      <w:tr w:rsidR="00E92AE6" w:rsidRPr="005E78BB" w14:paraId="2A9AC726" w14:textId="77777777" w:rsidTr="00E92AE6">
        <w:trPr>
          <w:trHeight w:val="454"/>
        </w:trPr>
        <w:tc>
          <w:tcPr>
            <w:tcW w:w="562" w:type="dxa"/>
            <w:shd w:val="clear" w:color="auto" w:fill="auto"/>
          </w:tcPr>
          <w:p w14:paraId="3C410ACB" w14:textId="5611D69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873</w:t>
            </w:r>
          </w:p>
        </w:tc>
        <w:tc>
          <w:tcPr>
            <w:tcW w:w="1021" w:type="dxa"/>
            <w:tcBorders>
              <w:top w:val="single" w:sz="4" w:space="0" w:color="auto"/>
              <w:left w:val="nil"/>
              <w:bottom w:val="single" w:sz="4" w:space="0" w:color="auto"/>
              <w:right w:val="nil"/>
            </w:tcBorders>
            <w:shd w:val="clear" w:color="auto" w:fill="auto"/>
          </w:tcPr>
          <w:p w14:paraId="0DBCFFAA" w14:textId="6A91D29C"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tcPr>
          <w:p w14:paraId="2E95024A" w14:textId="5CF8F6C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5858D0D" w14:textId="561FA6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wykazie inwestycji i działań, które mogę spowodować nieosiągnięcie dobrego stanu wód lub pogorszenie dobrego stanu wód (Zal_6_WykazInwDzialan_OD_Wisla) w kolumnie „ID wg IIaPGW” pod numerem ID „N_2_W” jest inwestycja, (Inwestycja przepisana jest z aPGW z 2016 roku) pytanie: Czy inwestycja ta dla której już po 2016 roku RDOŚ odmówił uzgodnienia oraz jest niekorzystna opinia administratora cieku-Wód Polskich powinna znajdować się w tym wykazie już teraz?, czy nie powinno się poczekać do zakończenia postępowania ? Obecnie trwa postępowanie w sprawie wydania decyzji środowiskowej ( nie wiadomo kiedy się skończy )</w:t>
            </w:r>
          </w:p>
        </w:tc>
        <w:tc>
          <w:tcPr>
            <w:tcW w:w="3377" w:type="dxa"/>
            <w:shd w:val="clear" w:color="auto" w:fill="auto"/>
          </w:tcPr>
          <w:p w14:paraId="0F810018" w14:textId="174557E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2ED606C" w14:textId="5A49E2E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79908EB" w14:textId="1DD4F5D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4F7F89C" w14:textId="282F976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8095F53" w14:textId="44CF598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Na ten moment nie ma jednoznacznej odpowiedzi na to pytanie. Trzeba się nad tym pochylić. Bardzo proszę autora pytania o zgłoszenie tego zagadnienia w toku zgłaszania wniosków, bo to są tego typu aspekty, które nie zawsze się da wyłapać w oparciu o dokumenty, systemy bazowe, dane i informacje udzielane przez poszczególne organy administracji. Jest to zagadnienie, które wymaga pochylenia, bo jest ono nie środowiskowe, a techniczne.</w:t>
            </w:r>
          </w:p>
        </w:tc>
      </w:tr>
      <w:tr w:rsidR="00E92AE6" w:rsidRPr="005E78BB" w14:paraId="1B02D097" w14:textId="77777777" w:rsidTr="00E92AE6">
        <w:trPr>
          <w:trHeight w:val="454"/>
        </w:trPr>
        <w:tc>
          <w:tcPr>
            <w:tcW w:w="562" w:type="dxa"/>
            <w:shd w:val="clear" w:color="auto" w:fill="auto"/>
          </w:tcPr>
          <w:p w14:paraId="61A98C9E" w14:textId="411D498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874</w:t>
            </w:r>
          </w:p>
        </w:tc>
        <w:tc>
          <w:tcPr>
            <w:tcW w:w="1021" w:type="dxa"/>
            <w:tcBorders>
              <w:top w:val="single" w:sz="4" w:space="0" w:color="auto"/>
              <w:left w:val="nil"/>
              <w:bottom w:val="single" w:sz="4" w:space="0" w:color="auto"/>
              <w:right w:val="nil"/>
            </w:tcBorders>
            <w:shd w:val="clear" w:color="auto" w:fill="auto"/>
          </w:tcPr>
          <w:p w14:paraId="36E18D1B" w14:textId="77498A0D"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33F0D509" w14:textId="70D2310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9299CA7" w14:textId="4AB0F7D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prezentacjach wielokrotnie podkreślano konieczność adaptacji do zmian klimatu. Czy rzeczywiście uważacie Państwo, że zaplanowane w aPZRP setki zbiorników i setki odcinków rzek do regulacji są właściwą odpowiedzią na katastrofę klimatyczną i prognozowane jej skutki (np. wzrost częstotliwości deszczów nawalnych na Podkarpaciu)?</w:t>
            </w:r>
          </w:p>
        </w:tc>
        <w:tc>
          <w:tcPr>
            <w:tcW w:w="3377" w:type="dxa"/>
            <w:shd w:val="clear" w:color="auto" w:fill="auto"/>
          </w:tcPr>
          <w:p w14:paraId="0C6B791B" w14:textId="0220185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1211AA66" w14:textId="2453A94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4AC2B743" w14:textId="0DE7322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AFD65A0" w14:textId="61A9679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56306E42" w14:textId="3AF8728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Pytanie nie dotyczy konsultowanych projektów IIaPGW.</w:t>
            </w:r>
          </w:p>
        </w:tc>
      </w:tr>
      <w:tr w:rsidR="00E92AE6" w:rsidRPr="005E78BB" w14:paraId="29994BCC" w14:textId="77777777" w:rsidTr="00E92AE6">
        <w:trPr>
          <w:trHeight w:val="454"/>
        </w:trPr>
        <w:tc>
          <w:tcPr>
            <w:tcW w:w="562" w:type="dxa"/>
            <w:shd w:val="clear" w:color="auto" w:fill="auto"/>
          </w:tcPr>
          <w:p w14:paraId="41F233D3" w14:textId="7491FE6B"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875</w:t>
            </w:r>
          </w:p>
        </w:tc>
        <w:tc>
          <w:tcPr>
            <w:tcW w:w="1021" w:type="dxa"/>
            <w:tcBorders>
              <w:top w:val="single" w:sz="4" w:space="0" w:color="auto"/>
              <w:left w:val="nil"/>
              <w:bottom w:val="single" w:sz="4" w:space="0" w:color="auto"/>
              <w:right w:val="nil"/>
            </w:tcBorders>
            <w:shd w:val="clear" w:color="auto" w:fill="auto"/>
          </w:tcPr>
          <w:p w14:paraId="3FF0A991" w14:textId="5B421DB1"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Nadleśnictwo Łosie</w:t>
            </w:r>
          </w:p>
        </w:tc>
        <w:tc>
          <w:tcPr>
            <w:tcW w:w="1630" w:type="dxa"/>
            <w:shd w:val="clear" w:color="auto" w:fill="auto"/>
          </w:tcPr>
          <w:p w14:paraId="379D99CF" w14:textId="37F95AA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4226BA6" w14:textId="7417F7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do w/w ujęć wody konieczne jest uzyskanie pozwolenia wodno-prawnego ? Lub czy jest możliwość otrzymania zaświadczenia o braku konieczności uzyskania takiego pozwolenia (ewentualnie po spełnieniu jakich warunków) ?</w:t>
            </w:r>
          </w:p>
        </w:tc>
        <w:tc>
          <w:tcPr>
            <w:tcW w:w="3377" w:type="dxa"/>
            <w:shd w:val="clear" w:color="auto" w:fill="auto"/>
          </w:tcPr>
          <w:p w14:paraId="278883CA" w14:textId="567688F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B34B6F9" w14:textId="1C70E5F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05C3915" w14:textId="797C238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1D06D789" w14:textId="684FBC3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A8774D1" w14:textId="55F3F21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Pytanie nie dotyczy projektów IIaPGW przekazanych do konsultacji. W przypadku takiej konieczności, uprzejmie prosimy o kontakt indywidualny z Ministerstwem Infrastruktury.</w:t>
            </w:r>
          </w:p>
        </w:tc>
      </w:tr>
      <w:tr w:rsidR="00E92AE6" w:rsidRPr="005E78BB" w14:paraId="29C656AB" w14:textId="77777777" w:rsidTr="00E92AE6">
        <w:trPr>
          <w:trHeight w:val="454"/>
        </w:trPr>
        <w:tc>
          <w:tcPr>
            <w:tcW w:w="562" w:type="dxa"/>
            <w:shd w:val="clear" w:color="auto" w:fill="auto"/>
          </w:tcPr>
          <w:p w14:paraId="2899799B" w14:textId="4CA6EE04"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876</w:t>
            </w:r>
          </w:p>
        </w:tc>
        <w:tc>
          <w:tcPr>
            <w:tcW w:w="1021" w:type="dxa"/>
            <w:tcBorders>
              <w:top w:val="single" w:sz="4" w:space="0" w:color="auto"/>
              <w:left w:val="nil"/>
              <w:bottom w:val="single" w:sz="4" w:space="0" w:color="auto"/>
              <w:right w:val="nil"/>
            </w:tcBorders>
            <w:shd w:val="clear" w:color="auto" w:fill="auto"/>
          </w:tcPr>
          <w:p w14:paraId="0E11E945" w14:textId="1279EAA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Miejsko-Przemysłowa Oczyszczalnia Ścieków Sp. z o. o. </w:t>
            </w:r>
          </w:p>
        </w:tc>
        <w:tc>
          <w:tcPr>
            <w:tcW w:w="1630" w:type="dxa"/>
            <w:shd w:val="clear" w:color="auto" w:fill="auto"/>
          </w:tcPr>
          <w:p w14:paraId="473D1103" w14:textId="66172A0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CC27CEE" w14:textId="21B3E4B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niespełnienie standardów dla danej jcw do której odprowadzane są ścieki z oczyszczalni będzie wymuszać ograniczanie parametrów dopuszczalnych określonych w pozwoleniu wodnoprawnym?</w:t>
            </w:r>
          </w:p>
        </w:tc>
        <w:tc>
          <w:tcPr>
            <w:tcW w:w="3377" w:type="dxa"/>
            <w:shd w:val="clear" w:color="auto" w:fill="auto"/>
          </w:tcPr>
          <w:p w14:paraId="1C3F6BF6" w14:textId="0D5A5E0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81D8A5E" w14:textId="5ED7188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052155C" w14:textId="4F874EB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80A42C3" w14:textId="0A9AC54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CB0129A" w14:textId="6E8F10B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Na takie pytanie odpowiedź jest krótka: oczywiście, że będzie i wynika to wprost z przepisów prawa. Po to mamy Plany gospodarowania wodami, po to mamy parametry, do których dążymy, które muszą być spełniane. Podsumowując, tak będzie to ograniczane.</w:t>
            </w:r>
          </w:p>
        </w:tc>
      </w:tr>
      <w:tr w:rsidR="00E92AE6" w:rsidRPr="005E78BB" w14:paraId="196806B1" w14:textId="77777777" w:rsidTr="00E92AE6">
        <w:trPr>
          <w:trHeight w:val="454"/>
        </w:trPr>
        <w:tc>
          <w:tcPr>
            <w:tcW w:w="562" w:type="dxa"/>
            <w:shd w:val="clear" w:color="auto" w:fill="auto"/>
          </w:tcPr>
          <w:p w14:paraId="026EA192" w14:textId="23CE1D82"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877</w:t>
            </w:r>
          </w:p>
        </w:tc>
        <w:tc>
          <w:tcPr>
            <w:tcW w:w="1021" w:type="dxa"/>
            <w:tcBorders>
              <w:top w:val="single" w:sz="4" w:space="0" w:color="auto"/>
              <w:left w:val="nil"/>
              <w:bottom w:val="single" w:sz="4" w:space="0" w:color="auto"/>
              <w:right w:val="nil"/>
            </w:tcBorders>
            <w:shd w:val="clear" w:color="auto" w:fill="auto"/>
          </w:tcPr>
          <w:p w14:paraId="7ABDB168" w14:textId="6A2B592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 xml:space="preserve">Miejsko-Przemysłowa Oczyszczalnia Ścieków Sp. z o. o. </w:t>
            </w:r>
          </w:p>
        </w:tc>
        <w:tc>
          <w:tcPr>
            <w:tcW w:w="1630" w:type="dxa"/>
            <w:shd w:val="clear" w:color="auto" w:fill="auto"/>
          </w:tcPr>
          <w:p w14:paraId="4D398870" w14:textId="2C91068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3340E0D" w14:textId="52B34F3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 będzie traktowana ocena wpływu ścieków na odbiornik (jcw), jeśli większość jego wód powyżej zrzutu ścieków jest zabierana na stawy hodowlane przez znaczna część roku, a poniżej płyną praktycznie same ścieki oczyszczone.</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r>
          </w:p>
        </w:tc>
        <w:tc>
          <w:tcPr>
            <w:tcW w:w="3377" w:type="dxa"/>
            <w:shd w:val="clear" w:color="auto" w:fill="auto"/>
          </w:tcPr>
          <w:p w14:paraId="6F0BC8A2" w14:textId="43F2CE5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321CECBB" w14:textId="54E2C5E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AB2A1C5" w14:textId="14E28E5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1F4C241" w14:textId="0181AAE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5CD2097" w14:textId="6686392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Rozumiem, że sytuacja i pytanie, które zostało zgłoszone, jest pytaniem teoretycznym, ponieważ zgłoszony problem nie powinien mieć miejsca w rzeczywistości. Każde urządzenie wodne dysponuje pozwoleniem wodnoprawnym, zgodnie z obowiązującymi przepisami niezbędne jest zapewnienie przepływu nienaruszalnego. Omawiana sytuacja wymagałaby niezwłocznego zlecenia kontroli, czy też użytkownik stawów rybackich działa zgodnie z pozwoleniem wodnoprawnym. Jeżeli nie, prawdopodobnie skończyłoby się to unieważnieniem pozwolenia lub też nałożeniem jakichś kar. Takie rzeczy są absolutnie niedopuszczalne, żeby użytkownik, w tym przypadku właściciel stawów hodowlanych, przejmował całą wodę na cele produkcyjne bez zapewnienia przepływu nienaruszalnego, dzięki któremu oczyszczalnia mogłaby zrzucać oczyszczone ścieki i zapewnić ich odpowiednie rozcieńczenie i zapewnienie należytego standardu.</w:t>
            </w:r>
          </w:p>
        </w:tc>
      </w:tr>
      <w:tr w:rsidR="00E92AE6" w:rsidRPr="005E78BB" w14:paraId="0DBBE83D" w14:textId="77777777" w:rsidTr="00E92AE6">
        <w:trPr>
          <w:trHeight w:val="454"/>
        </w:trPr>
        <w:tc>
          <w:tcPr>
            <w:tcW w:w="562" w:type="dxa"/>
            <w:shd w:val="clear" w:color="auto" w:fill="auto"/>
          </w:tcPr>
          <w:p w14:paraId="4ECF5F34" w14:textId="62F91CD6"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878</w:t>
            </w:r>
          </w:p>
        </w:tc>
        <w:tc>
          <w:tcPr>
            <w:tcW w:w="1021" w:type="dxa"/>
            <w:tcBorders>
              <w:top w:val="single" w:sz="4" w:space="0" w:color="auto"/>
              <w:left w:val="nil"/>
              <w:bottom w:val="single" w:sz="4" w:space="0" w:color="auto"/>
              <w:right w:val="nil"/>
            </w:tcBorders>
            <w:shd w:val="clear" w:color="auto" w:fill="auto"/>
          </w:tcPr>
          <w:p w14:paraId="29AF0D8F" w14:textId="1C0873F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Synthos Dwory 7 Sp.z o.o.</w:t>
            </w:r>
          </w:p>
        </w:tc>
        <w:tc>
          <w:tcPr>
            <w:tcW w:w="1630" w:type="dxa"/>
            <w:shd w:val="clear" w:color="auto" w:fill="auto"/>
          </w:tcPr>
          <w:p w14:paraId="5F002B11" w14:textId="7677FB3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248115CD" w14:textId="73EDEC7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Jakie środki techniczne i organizacyjne przewiduje ustawodawca w celu osiągnięcia założonych planów w odniesieniu do np. podmiotów (korzystających z wód) prowadzących działalność produkcyjną, a posiadających już pozwolenia zintegrowane i inne, oraz będących w pełni zgodnymi z ich wymogami, spełniających też, co oczywiste, wymagania konkluzji BAT oraz dokumentów BREF?</w:t>
            </w:r>
          </w:p>
        </w:tc>
        <w:tc>
          <w:tcPr>
            <w:tcW w:w="3377" w:type="dxa"/>
            <w:shd w:val="clear" w:color="auto" w:fill="auto"/>
          </w:tcPr>
          <w:p w14:paraId="072E1F29" w14:textId="09963A2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F6E1887" w14:textId="63427DD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0DAFA21A" w14:textId="527BF96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25EA759F" w14:textId="464B9A2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EAF14C0" w14:textId="5D66DC8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Wszyscy użytkownicy wód, w tym duże zakłady przemysłowe, funkcjonują na podstawie obowiązujących decyzji i pozwoleń. Plany gospodarowania wodami i tym samym, druga aktualizacja, nie ingerują wprost w same zapisy pozyskiwanych pozwoleń. Natomiast są instrumenty i narzędzia, które definiują przeglądy pozwoleń, w tym przeglądy pozwoleń wodnoprawnych, są w ramach tych przepisów wykonywane. Jeśli chodzi o przepisy wodnoprawne to ustawa Prawo wodne co 4 lata wskazuje dokonywanie przeglądów wodnoprawnych. Jest też oczywiście możliwość dopuszczona ustawą Prawo wodne na dodatkowe przeglądy. I to jest ten moment, ten instrument, który (poza tymi co 4 lata dokonywanymi przeglądami) daje możliwość dokonania przeglądów, jeżeli chodzi chociażby o ustalenia Planów gospodarowania wodami. Inaczej mówiąc – jeżeli z przepisów prawa nie wynikają ograniczenia wartości dopuszczanej i zakłady funkcjonujące spełniają wszystkie warunki, jakie mają ustalone w pozwoleniu wodnoprawnym, to łącznie ten instrument dokonywanych przeglądów posiadanych pozwoleń jest tym momentem, kiedy konieczne jest zweryfikowanie poprawności i realizacji samych pozwoleń z punktu widzenia tych posiadanych i będących w obiegu.</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Z tego samego powodu uznawaliśmy, że jeśli jest zakład, który generuje jakieś oddziaływanie determinujące stan wód, ale spełnia on wymagania prawne i wymagania najlepszych dostępnych technik, to jest to dowód na to, że potrzeb zaspokajanych przez ten zakład nie da się osiągnąć alternatywnym sposobem.</w:t>
            </w:r>
          </w:p>
        </w:tc>
      </w:tr>
      <w:tr w:rsidR="00E92AE6" w:rsidRPr="005E78BB" w14:paraId="217836B8" w14:textId="77777777" w:rsidTr="00E92AE6">
        <w:trPr>
          <w:trHeight w:val="454"/>
        </w:trPr>
        <w:tc>
          <w:tcPr>
            <w:tcW w:w="562" w:type="dxa"/>
            <w:shd w:val="clear" w:color="auto" w:fill="auto"/>
          </w:tcPr>
          <w:p w14:paraId="3A840B72" w14:textId="4CB992F4" w:rsidR="00E92AE6" w:rsidRPr="00CD6FBC" w:rsidRDefault="00E92AE6" w:rsidP="00E92AE6">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879</w:t>
            </w:r>
          </w:p>
        </w:tc>
        <w:tc>
          <w:tcPr>
            <w:tcW w:w="1021" w:type="dxa"/>
            <w:tcBorders>
              <w:top w:val="single" w:sz="4" w:space="0" w:color="auto"/>
              <w:left w:val="nil"/>
              <w:bottom w:val="single" w:sz="4" w:space="0" w:color="auto"/>
              <w:right w:val="nil"/>
            </w:tcBorders>
            <w:shd w:val="clear" w:color="auto" w:fill="auto"/>
          </w:tcPr>
          <w:p w14:paraId="3336A4F7" w14:textId="0B552D5D"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 xml:space="preserve">Miejsko-Przemysłowa Oczyszczalnia Ścieków Sp. z o. o. </w:t>
            </w:r>
          </w:p>
        </w:tc>
        <w:tc>
          <w:tcPr>
            <w:tcW w:w="1630" w:type="dxa"/>
            <w:shd w:val="clear" w:color="auto" w:fill="auto"/>
          </w:tcPr>
          <w:p w14:paraId="05D50C7A" w14:textId="63CCBD49"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inne/pozostałe</w:t>
            </w:r>
          </w:p>
        </w:tc>
        <w:tc>
          <w:tcPr>
            <w:tcW w:w="5663" w:type="dxa"/>
            <w:shd w:val="clear" w:color="auto" w:fill="auto"/>
          </w:tcPr>
          <w:p w14:paraId="594C461D" w14:textId="40869680"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Czy dla jcw 0 będących kanałami planuje się docelowo określenie ago zakresu wskaźników dopuszczalnych niż dotychczas ustalone w obowiązującym rozporządzeniu , ?</w:t>
            </w:r>
          </w:p>
        </w:tc>
        <w:tc>
          <w:tcPr>
            <w:tcW w:w="3377" w:type="dxa"/>
            <w:shd w:val="clear" w:color="auto" w:fill="auto"/>
          </w:tcPr>
          <w:p w14:paraId="5E2A9D4D" w14:textId="06488572"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3401" w:type="dxa"/>
            <w:shd w:val="clear" w:color="auto" w:fill="auto"/>
          </w:tcPr>
          <w:p w14:paraId="23E179DA" w14:textId="27340AD5"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918" w:type="dxa"/>
            <w:shd w:val="clear" w:color="auto" w:fill="auto"/>
          </w:tcPr>
          <w:p w14:paraId="1C0C62BC" w14:textId="791C7F32"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276" w:type="dxa"/>
            <w:shd w:val="clear" w:color="auto" w:fill="auto"/>
          </w:tcPr>
          <w:p w14:paraId="2234852A" w14:textId="4E2736FB"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wyjaśnienie</w:t>
            </w:r>
          </w:p>
        </w:tc>
        <w:tc>
          <w:tcPr>
            <w:tcW w:w="3513" w:type="dxa"/>
            <w:shd w:val="clear" w:color="auto" w:fill="auto"/>
          </w:tcPr>
          <w:p w14:paraId="1CFA68AA" w14:textId="1F01E3F5" w:rsidR="001C3C71" w:rsidRPr="001C3C71" w:rsidRDefault="00E92AE6" w:rsidP="001C3C71">
            <w:pPr>
              <w:ind w:firstLine="0"/>
              <w:jc w:val="left"/>
              <w:rPr>
                <w:rFonts w:ascii="Calibri" w:eastAsia="Times New Roman" w:hAnsi="Calibri" w:cs="Calibri"/>
                <w:sz w:val="18"/>
                <w:szCs w:val="18"/>
                <w:lang w:eastAsia="pl-PL"/>
              </w:rPr>
            </w:pPr>
            <w:r w:rsidRPr="00CD6FBC">
              <w:rPr>
                <w:rFonts w:eastAsia="Times New Roman" w:cstheme="minorHAnsi"/>
                <w:color w:val="000000"/>
                <w:sz w:val="18"/>
                <w:szCs w:val="18"/>
                <w:lang w:eastAsia="pl-PL"/>
              </w:rPr>
              <w:t xml:space="preserve">Wartości graniczne dla naturalnych części wód określa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W przypadku silnie zmienionych i sztucznych części wód wartości graniczne, zgodnie z ww. rozporządzeniem, znajdują się w Planie gospodarowania wodami. Poszczególne zakładki załącznika </w:t>
            </w:r>
            <w:r w:rsidR="001C3C71" w:rsidRPr="001C3C71">
              <w:rPr>
                <w:rFonts w:ascii="Calibri" w:eastAsia="Times New Roman" w:hAnsi="Calibri" w:cs="Calibri"/>
                <w:color w:val="000000"/>
                <w:sz w:val="18"/>
                <w:szCs w:val="18"/>
                <w:lang w:eastAsia="pl-PL"/>
              </w:rPr>
              <w:t>Wartości graniczne SCW i SZCW</w:t>
            </w:r>
            <w:r w:rsidR="001C3C71" w:rsidRPr="00CD6FBC" w:rsidDel="001C3C71">
              <w:rPr>
                <w:rFonts w:eastAsia="Times New Roman" w:cstheme="minorHAnsi"/>
                <w:color w:val="000000"/>
                <w:sz w:val="18"/>
                <w:szCs w:val="18"/>
                <w:lang w:eastAsia="pl-PL"/>
              </w:rPr>
              <w:t xml:space="preserve"> </w:t>
            </w:r>
            <w:r w:rsidRPr="00CD6FBC">
              <w:rPr>
                <w:rFonts w:eastAsia="Times New Roman" w:cstheme="minorHAnsi"/>
                <w:color w:val="000000"/>
                <w:sz w:val="18"/>
                <w:szCs w:val="18"/>
                <w:lang w:eastAsia="pl-PL"/>
              </w:rPr>
              <w:t xml:space="preserve">są dedykowane kategoriom wód: rzecznym, zbiornikowym i jeziornym oddzielnie. W zakładkach tych są natomiast wskazane, w poszczególnych kolumnach, konkretne wartości w zakresie elementów biologicznych i hydromorfologicznych. </w:t>
            </w:r>
            <w:r w:rsidR="001C3C71" w:rsidRPr="001C3C71">
              <w:rPr>
                <w:rFonts w:ascii="Calibri" w:eastAsia="Times New Roman" w:hAnsi="Calibri" w:cs="Calibri"/>
                <w:sz w:val="18"/>
                <w:szCs w:val="18"/>
                <w:lang w:eastAsia="pl-PL"/>
              </w:rPr>
              <w:t>W przypadku wartości granicznych dot. wskaźników fizykochemicznych zastosowano dwa rodzaje podejścia:</w:t>
            </w:r>
          </w:p>
          <w:p w14:paraId="4D8E07E4" w14:textId="589E0D9E" w:rsidR="001C3C71" w:rsidRPr="001C3C71" w:rsidRDefault="001C3C71" w:rsidP="001C3C71">
            <w:pPr>
              <w:pStyle w:val="Akapitzlist"/>
              <w:numPr>
                <w:ilvl w:val="0"/>
                <w:numId w:val="1"/>
              </w:numPr>
              <w:ind w:left="354" w:hanging="283"/>
              <w:jc w:val="left"/>
              <w:rPr>
                <w:rFonts w:eastAsia="Times New Roman" w:cstheme="minorHAnsi"/>
                <w:sz w:val="18"/>
                <w:szCs w:val="18"/>
                <w:lang w:eastAsia="pl-PL"/>
              </w:rPr>
            </w:pPr>
            <w:r w:rsidRPr="001C3C71">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1C3C71">
              <w:rPr>
                <w:rFonts w:cstheme="minorHAnsi"/>
                <w:sz w:val="18"/>
                <w:szCs w:val="18"/>
                <w:shd w:val="clear" w:color="auto" w:fill="FFFFFF"/>
              </w:rPr>
              <w:t xml:space="preserve"> RW określonego typu”</w:t>
            </w:r>
          </w:p>
          <w:p w14:paraId="5CD19044" w14:textId="5905221E" w:rsidR="001C3C71" w:rsidRPr="001C3C71" w:rsidRDefault="001C3C71" w:rsidP="001C3C71">
            <w:pPr>
              <w:pStyle w:val="Akapitzlist"/>
              <w:numPr>
                <w:ilvl w:val="0"/>
                <w:numId w:val="1"/>
              </w:numPr>
              <w:ind w:left="354" w:hanging="283"/>
              <w:jc w:val="left"/>
              <w:rPr>
                <w:rFonts w:ascii="Calibri" w:eastAsia="Times New Roman" w:hAnsi="Calibri" w:cs="Calibri"/>
                <w:sz w:val="18"/>
                <w:szCs w:val="18"/>
                <w:lang w:eastAsia="pl-PL"/>
              </w:rPr>
            </w:pPr>
            <w:r w:rsidRPr="001C3C71">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1C3C71">
              <w:rPr>
                <w:rFonts w:eastAsia="Times New Roman" w:cstheme="minorHAnsi"/>
                <w:sz w:val="18"/>
                <w:szCs w:val="18"/>
                <w:lang w:eastAsia="pl-PL"/>
              </w:rPr>
              <w:t xml:space="preserve"> RW</w:t>
            </w:r>
            <w:r w:rsidRPr="001C3C71">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6E9863C1" w14:textId="77777777" w:rsidR="001C3C71" w:rsidRPr="001C3C71" w:rsidRDefault="001C3C71" w:rsidP="001C3C71">
            <w:pPr>
              <w:ind w:firstLine="0"/>
              <w:rPr>
                <w:rFonts w:ascii="Calibri" w:eastAsia="Times New Roman" w:hAnsi="Calibri" w:cs="Calibri"/>
                <w:sz w:val="18"/>
                <w:szCs w:val="18"/>
                <w:lang w:eastAsia="pl-PL"/>
              </w:rPr>
            </w:pPr>
            <w:r w:rsidRPr="001C3C71">
              <w:rPr>
                <w:rFonts w:ascii="Calibri" w:eastAsia="Times New Roman" w:hAnsi="Calibri" w:cs="Calibri"/>
                <w:sz w:val="18"/>
                <w:szCs w:val="18"/>
                <w:lang w:eastAsia="pl-PL"/>
              </w:rPr>
              <w:t>IIaPGW został odpowiednio uzupełniony w tym zakresie dla wyeliminowania wątpliwości czytelnika.</w:t>
            </w:r>
          </w:p>
          <w:p w14:paraId="53E55EF1" w14:textId="26930047" w:rsidR="00E92AE6" w:rsidRPr="005E78BB" w:rsidRDefault="00E92AE6" w:rsidP="00E92AE6">
            <w:pPr>
              <w:ind w:firstLine="0"/>
              <w:jc w:val="left"/>
              <w:rPr>
                <w:rFonts w:ascii="Calibri" w:eastAsia="Times New Roman" w:hAnsi="Calibri" w:cs="Calibri"/>
                <w:color w:val="000000"/>
                <w:sz w:val="18"/>
                <w:szCs w:val="18"/>
                <w:lang w:eastAsia="pl-PL"/>
              </w:rPr>
            </w:pPr>
          </w:p>
        </w:tc>
      </w:tr>
      <w:tr w:rsidR="00E92AE6" w:rsidRPr="005E78BB" w14:paraId="6DA99A90" w14:textId="77777777" w:rsidTr="00E92AE6">
        <w:trPr>
          <w:trHeight w:val="454"/>
        </w:trPr>
        <w:tc>
          <w:tcPr>
            <w:tcW w:w="562" w:type="dxa"/>
            <w:shd w:val="clear" w:color="auto" w:fill="auto"/>
          </w:tcPr>
          <w:p w14:paraId="28887C95" w14:textId="3489E0C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880</w:t>
            </w:r>
          </w:p>
        </w:tc>
        <w:tc>
          <w:tcPr>
            <w:tcW w:w="1021" w:type="dxa"/>
            <w:tcBorders>
              <w:top w:val="single" w:sz="4" w:space="0" w:color="auto"/>
              <w:left w:val="nil"/>
              <w:bottom w:val="single" w:sz="4" w:space="0" w:color="auto"/>
              <w:right w:val="nil"/>
            </w:tcBorders>
            <w:shd w:val="clear" w:color="auto" w:fill="auto"/>
          </w:tcPr>
          <w:p w14:paraId="4CBDD790" w14:textId="5DB9F478"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476B92A6" w14:textId="44AD10D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4E5C93E" w14:textId="3E6CE44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Proszę o informacje dot. regionu wodnego G-ZW:</w:t>
            </w:r>
            <w:r w:rsidRPr="00825321">
              <w:rPr>
                <w:rFonts w:eastAsia="Times New Roman" w:cstheme="minorHAnsi"/>
                <w:color w:val="000000"/>
                <w:sz w:val="18"/>
                <w:szCs w:val="18"/>
                <w:lang w:eastAsia="pl-PL"/>
              </w:rPr>
              <w:br/>
              <w:t>Ile zaplanowano do usunięcia przeszkód poprzecznych, które przestały pełnić swoje funkcje, albo w zasadzie nie istnieją (pozostały ich resztki)?</w:t>
            </w:r>
            <w:r w:rsidRPr="00825321">
              <w:rPr>
                <w:rFonts w:eastAsia="Times New Roman" w:cstheme="minorHAnsi"/>
                <w:color w:val="000000"/>
                <w:sz w:val="18"/>
                <w:szCs w:val="18"/>
                <w:lang w:eastAsia="pl-PL"/>
              </w:rPr>
              <w:br/>
              <w:t>Ile kilometrów na ilu rzekach zaplanowano do renaturyzacji?</w:t>
            </w:r>
            <w:r w:rsidRPr="00825321">
              <w:rPr>
                <w:rFonts w:eastAsia="Times New Roman" w:cstheme="minorHAnsi"/>
                <w:color w:val="000000"/>
                <w:sz w:val="18"/>
                <w:szCs w:val="18"/>
                <w:lang w:eastAsia="pl-PL"/>
              </w:rPr>
              <w:br/>
              <w:t>Ile planuje się derogacji dla nowych zbiorników i nowych regulacji i umocnień brzegowych?</w:t>
            </w:r>
          </w:p>
        </w:tc>
        <w:tc>
          <w:tcPr>
            <w:tcW w:w="3377" w:type="dxa"/>
            <w:shd w:val="clear" w:color="auto" w:fill="auto"/>
          </w:tcPr>
          <w:p w14:paraId="7E660851" w14:textId="727F14A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B59FF7E" w14:textId="1048D4E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36AB4630" w14:textId="55488E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3B068DE" w14:textId="134FBD6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1B3E6CB" w14:textId="7521026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Do działań udrożnieniowych wskazano (liczba z pamięci) ponad 5 tys. budowli. Jeżeli jakieś budowle są w złym stanie technicznym bądź nie pełnią swoich funkcji, to wskazywaliśmy je, tam gdzie przesłanki wymagały udrożnienia, bądź z monitoringu wynikało, że stan elementów biologicznych jest zły, wskazywaliśmy działania jakie powinny zostać wykonane. Jeśli Państwo widzicie taką potrzebę, proszę o zgłoszenie, o które konkretnie budowle chodzi, wraz z podaniem ich współrzędnych. Natomiast przy obiektach w złym stanie technicznym wielokrotnie jest tak, że one nie pełniąc swojej funkcji są po prostu drożne i w monitoringu wychodzi np. dobry stan elementów biologicznych. Dla tych jednolitych, dla których nie stwierdzano presji na elementy biologiczne (w tym ichtiofauny) czyli klasa tych elementów biologicznych była co najmniej dobra, tam nie wskazywano takich działań. Natomiast w ramach konsultacji społecznych jest czas, aby takie działania ze strony społeczeństwa były zgłaszane. Cały zespół ekspertów, który zajmował się obszarem ciągłości morfologicznej, będzie każdą z przesłanych uwag analizować i jak najbardziej włączymy je do zestawu działań. W większości przypadków tam, gdzie informacje z monitoringu wskazywały na to, że rzeczywiście jest problem z elementami biologicznymi, bo wynika to z klasy tych elementów i mamy informację zwrotną o możliwości przebudowy, takie działania powinny się pojawić.</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Reasumując, ponad 5 tys. obiektów posiada wskazane działania, dodatkowo działania dla drożności, które są i wynikają z planów zadań ochronnych i zostały wskazane w tych dokumentach, ich Państwo nie znajdziecie w wykazie budowli, natomiast wynikają one wprost z zapisów planów zadań ochronnych. W związku z tym wskazuję, by szczegółowo przeanalizować działania, nie tylko te, które są wpisane bezpośrednio w wykaz budowli, ale również działania, które wynikają z planów zadań ochronnych i celów środowiskowych dla obszarów chronionych. Możliwe, że w tych dokumentach zostały już wskazane takie działania. W dokumentach, które Państwo macie jako załączniki, chociażby wykaz budowli, są budowle, które były weryfikowane poza tą grupą działań.</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Plan ten nie ustanawia derogacji dla żadnych inwestycji. Derogacje wedle przepisów obowiązujących od 2,5 roku, są ustanawiane na poziomie decyzji administracyjnych, na poziomie zgłoszeń wodnoprawnych i innych decyzji administracyjnych.</w:t>
            </w:r>
          </w:p>
        </w:tc>
      </w:tr>
      <w:tr w:rsidR="00E92AE6" w:rsidRPr="005E78BB" w14:paraId="176E7349" w14:textId="77777777" w:rsidTr="00E92AE6">
        <w:trPr>
          <w:trHeight w:val="454"/>
        </w:trPr>
        <w:tc>
          <w:tcPr>
            <w:tcW w:w="562" w:type="dxa"/>
            <w:shd w:val="clear" w:color="auto" w:fill="auto"/>
          </w:tcPr>
          <w:p w14:paraId="15F6739F" w14:textId="61A0EC2B" w:rsidR="00E92AE6" w:rsidRPr="00CD6FBC" w:rsidRDefault="00E92AE6" w:rsidP="00E92AE6">
            <w:pPr>
              <w:ind w:firstLine="0"/>
              <w:jc w:val="center"/>
              <w:rPr>
                <w:rFonts w:ascii="Calibri" w:eastAsia="Times New Roman" w:hAnsi="Calibri" w:cs="Calibri"/>
                <w:color w:val="000000"/>
                <w:sz w:val="18"/>
                <w:szCs w:val="18"/>
                <w:lang w:eastAsia="pl-PL"/>
              </w:rPr>
            </w:pPr>
            <w:r w:rsidRPr="00CD6FBC">
              <w:rPr>
                <w:rFonts w:ascii="Calibri" w:eastAsia="Times New Roman" w:hAnsi="Calibri" w:cs="Calibri"/>
                <w:color w:val="000000"/>
                <w:sz w:val="18"/>
                <w:szCs w:val="18"/>
                <w:lang w:eastAsia="pl-PL"/>
              </w:rPr>
              <w:t>881</w:t>
            </w:r>
          </w:p>
        </w:tc>
        <w:tc>
          <w:tcPr>
            <w:tcW w:w="1021" w:type="dxa"/>
            <w:tcBorders>
              <w:top w:val="single" w:sz="4" w:space="0" w:color="auto"/>
              <w:left w:val="nil"/>
              <w:bottom w:val="single" w:sz="4" w:space="0" w:color="auto"/>
              <w:right w:val="nil"/>
            </w:tcBorders>
            <w:shd w:val="clear" w:color="auto" w:fill="auto"/>
          </w:tcPr>
          <w:p w14:paraId="65F64039" w14:textId="41E47576"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ascii="Calibri" w:hAnsi="Calibri" w:cs="Calibri"/>
                <w:color w:val="000000"/>
                <w:sz w:val="18"/>
                <w:szCs w:val="18"/>
              </w:rPr>
              <w:t>Grupa CIECH</w:t>
            </w:r>
          </w:p>
        </w:tc>
        <w:tc>
          <w:tcPr>
            <w:tcW w:w="1630" w:type="dxa"/>
            <w:shd w:val="clear" w:color="auto" w:fill="auto"/>
          </w:tcPr>
          <w:p w14:paraId="654A439C" w14:textId="2BE7C370"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inne/pozostałe</w:t>
            </w:r>
          </w:p>
        </w:tc>
        <w:tc>
          <w:tcPr>
            <w:tcW w:w="5663" w:type="dxa"/>
            <w:shd w:val="clear" w:color="auto" w:fill="auto"/>
          </w:tcPr>
          <w:p w14:paraId="6D10A7C3" w14:textId="75416957"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 jakim dokumencie/załączniku znajdują się wartości graniczne dla klas jakości wód powierzchniowych wskaźników fizykochemicznych jakości wód powierzchniowych od roku 2022?</w:t>
            </w:r>
            <w:r w:rsidRPr="00CD6FBC">
              <w:rPr>
                <w:rFonts w:eastAsia="Times New Roman" w:cstheme="minorHAnsi"/>
                <w:color w:val="000000"/>
                <w:sz w:val="18"/>
                <w:szCs w:val="18"/>
                <w:lang w:eastAsia="pl-PL"/>
              </w:rPr>
              <w:br w:type="page"/>
              <w:t>Zarówno dla cieków naturalnych jak i wyznaczonych jako sztuczne lub silnie zmienione.</w:t>
            </w:r>
            <w:r w:rsidRPr="00CD6FBC">
              <w:rPr>
                <w:rFonts w:eastAsia="Times New Roman" w:cstheme="minorHAnsi"/>
                <w:color w:val="000000"/>
                <w:sz w:val="18"/>
                <w:szCs w:val="18"/>
                <w:lang w:eastAsia="pl-PL"/>
              </w:rPr>
              <w:br w:type="page"/>
            </w:r>
          </w:p>
        </w:tc>
        <w:tc>
          <w:tcPr>
            <w:tcW w:w="3377" w:type="dxa"/>
            <w:shd w:val="clear" w:color="auto" w:fill="auto"/>
          </w:tcPr>
          <w:p w14:paraId="3300D9DA" w14:textId="69731DA6"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3401" w:type="dxa"/>
            <w:shd w:val="clear" w:color="auto" w:fill="auto"/>
          </w:tcPr>
          <w:p w14:paraId="42B25D55" w14:textId="00454AA4"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918" w:type="dxa"/>
            <w:shd w:val="clear" w:color="auto" w:fill="auto"/>
          </w:tcPr>
          <w:p w14:paraId="4FB35740" w14:textId="5B94C53A"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w:t>
            </w:r>
          </w:p>
        </w:tc>
        <w:tc>
          <w:tcPr>
            <w:tcW w:w="1276" w:type="dxa"/>
            <w:shd w:val="clear" w:color="auto" w:fill="auto"/>
          </w:tcPr>
          <w:p w14:paraId="2E271621" w14:textId="0E665DA0" w:rsidR="00E92AE6" w:rsidRPr="00CD6FBC" w:rsidRDefault="00E92AE6" w:rsidP="00E92AE6">
            <w:pPr>
              <w:ind w:firstLine="0"/>
              <w:jc w:val="left"/>
              <w:rPr>
                <w:rFonts w:ascii="Calibri" w:eastAsia="Times New Roman" w:hAnsi="Calibri" w:cs="Calibri"/>
                <w:color w:val="000000"/>
                <w:sz w:val="18"/>
                <w:szCs w:val="18"/>
                <w:lang w:eastAsia="pl-PL"/>
              </w:rPr>
            </w:pPr>
            <w:r w:rsidRPr="00CD6FBC">
              <w:rPr>
                <w:rFonts w:eastAsia="Times New Roman" w:cstheme="minorHAnsi"/>
                <w:color w:val="000000"/>
                <w:sz w:val="18"/>
                <w:szCs w:val="18"/>
                <w:lang w:eastAsia="pl-PL"/>
              </w:rPr>
              <w:t>uwzględniono częściowo</w:t>
            </w:r>
          </w:p>
        </w:tc>
        <w:tc>
          <w:tcPr>
            <w:tcW w:w="3513" w:type="dxa"/>
            <w:shd w:val="clear" w:color="auto" w:fill="auto"/>
          </w:tcPr>
          <w:p w14:paraId="485E58A0" w14:textId="707E6833" w:rsidR="001C3C71" w:rsidRPr="001C3C71" w:rsidRDefault="00E92AE6" w:rsidP="001C3C71">
            <w:pPr>
              <w:ind w:firstLine="0"/>
              <w:jc w:val="left"/>
              <w:rPr>
                <w:rFonts w:ascii="Calibri" w:eastAsia="Times New Roman" w:hAnsi="Calibri" w:cs="Calibri"/>
                <w:sz w:val="18"/>
                <w:szCs w:val="18"/>
                <w:lang w:eastAsia="pl-PL"/>
              </w:rPr>
            </w:pPr>
            <w:r w:rsidRPr="00CD6FBC">
              <w:rPr>
                <w:rFonts w:eastAsia="Times New Roman" w:cstheme="minorHAnsi"/>
                <w:color w:val="000000"/>
                <w:sz w:val="18"/>
                <w:szCs w:val="18"/>
                <w:lang w:eastAsia="pl-PL"/>
              </w:rPr>
              <w:t>Odpowiedzi udzielono na spotkaniu konsultacyjnym.</w:t>
            </w:r>
            <w:r w:rsidRPr="00CD6FBC">
              <w:rPr>
                <w:rFonts w:eastAsia="Times New Roman" w:cstheme="minorHAnsi"/>
                <w:color w:val="000000"/>
                <w:sz w:val="18"/>
                <w:szCs w:val="18"/>
                <w:lang w:eastAsia="pl-PL"/>
              </w:rPr>
              <w:br w:type="page"/>
              <w:t xml:space="preserve">Jeżeli mówimy o jednolitych częściach wód naturalnych, to wartości graniczne wskazywane są w rozporządzeniu tzw. klasyfikacyjnym. Jeżeli chodzi o jednolite części wód sztuczne lub silne zmienione, to druga aktualizacja Planów gospodarowania wodami wskazuje te wartości i jest to załącznik </w:t>
            </w:r>
            <w:r w:rsidR="001C3C71" w:rsidRPr="001C3C71">
              <w:rPr>
                <w:rFonts w:ascii="Calibri" w:eastAsia="Times New Roman" w:hAnsi="Calibri" w:cs="Calibri"/>
                <w:color w:val="000000"/>
                <w:sz w:val="18"/>
                <w:szCs w:val="18"/>
                <w:lang w:eastAsia="pl-PL"/>
              </w:rPr>
              <w:t>Wartości graniczne SCW i SZCW</w:t>
            </w:r>
            <w:r w:rsidRPr="00CD6FBC">
              <w:rPr>
                <w:rFonts w:eastAsia="Times New Roman" w:cstheme="minorHAnsi"/>
                <w:color w:val="000000"/>
                <w:sz w:val="18"/>
                <w:szCs w:val="18"/>
                <w:lang w:eastAsia="pl-PL"/>
              </w:rPr>
              <w:t xml:space="preserve">. W nim są zawarte i wskazane wartości graniczne dla potencjału ekologicznego, czyli nic innego jak właśnie wartości graniczne przypisane do każdej jednolitej części wód silnie zmienionej lub sztucznej wartości w obszarze danego dorzecza. </w:t>
            </w:r>
            <w:r w:rsidR="001C3C71" w:rsidRPr="001C3C71">
              <w:rPr>
                <w:rFonts w:ascii="Calibri" w:eastAsia="Times New Roman" w:hAnsi="Calibri" w:cs="Calibri"/>
                <w:sz w:val="18"/>
                <w:szCs w:val="18"/>
                <w:lang w:eastAsia="pl-PL"/>
              </w:rPr>
              <w:t>Poszczególne zakładki załącznika są dedykowane kategoriom wód: rzecznym, zbiornikowym i jeziornym oddzielnie (jednolite części wód przejściowych i przybrzeżnych stanowią naturalne części wód), wskazane są w nich, w poszczególnych kolumnach, konkretne wartości, jeżeli chodzi o elementy biologiczne i hydromorfologiczne. W przypadku wartości granicznych dot. wskaźników fizykochemicznych zastosowano dwa rodzaje podejścia:</w:t>
            </w:r>
          </w:p>
          <w:p w14:paraId="667ABC60" w14:textId="11C46188" w:rsidR="001C3C71" w:rsidRPr="001C3C71" w:rsidRDefault="001C3C71" w:rsidP="001C3C71">
            <w:pPr>
              <w:pStyle w:val="Akapitzlist"/>
              <w:numPr>
                <w:ilvl w:val="0"/>
                <w:numId w:val="1"/>
              </w:numPr>
              <w:ind w:left="354" w:hanging="283"/>
              <w:jc w:val="left"/>
              <w:rPr>
                <w:rFonts w:eastAsia="Times New Roman" w:cstheme="minorHAnsi"/>
                <w:sz w:val="18"/>
                <w:szCs w:val="18"/>
                <w:lang w:eastAsia="pl-PL"/>
              </w:rPr>
            </w:pPr>
            <w:r w:rsidRPr="001C3C71">
              <w:rPr>
                <w:rFonts w:cstheme="minorHAnsi"/>
                <w:sz w:val="18"/>
                <w:szCs w:val="18"/>
                <w:shd w:val="clear" w:color="auto" w:fill="FFFFFF"/>
              </w:rPr>
              <w:t xml:space="preserve">W przypadku SZCW dla których zasolenie wynika ze zmian fizycznych związanych z górnictwem (odwodnienie, zmiany stosunków wodnych oraz inne presje hydromorfologiczne) zastosowano zmianę wartości dla przewodności elektrolitycznej właściwej w 20°C: 2740 μS/cm; dla pozostałych wskaźników jakości - według przedziałów klas </w:t>
            </w:r>
            <w:r w:rsidR="00513278">
              <w:rPr>
                <w:rFonts w:cstheme="minorHAnsi"/>
                <w:sz w:val="18"/>
                <w:szCs w:val="18"/>
                <w:shd w:val="clear" w:color="auto" w:fill="FFFFFF"/>
              </w:rPr>
              <w:t>JCWP</w:t>
            </w:r>
            <w:r w:rsidRPr="001C3C71">
              <w:rPr>
                <w:rFonts w:cstheme="minorHAnsi"/>
                <w:sz w:val="18"/>
                <w:szCs w:val="18"/>
                <w:shd w:val="clear" w:color="auto" w:fill="FFFFFF"/>
              </w:rPr>
              <w:t xml:space="preserve"> RW określonego typu”</w:t>
            </w:r>
          </w:p>
          <w:p w14:paraId="0D99AF4E" w14:textId="2F00655E" w:rsidR="001C3C71" w:rsidRPr="001C3C71" w:rsidRDefault="001C3C71" w:rsidP="001C3C71">
            <w:pPr>
              <w:pStyle w:val="Akapitzlist"/>
              <w:numPr>
                <w:ilvl w:val="0"/>
                <w:numId w:val="1"/>
              </w:numPr>
              <w:ind w:left="354" w:hanging="283"/>
              <w:jc w:val="left"/>
              <w:rPr>
                <w:rFonts w:ascii="Calibri" w:eastAsia="Times New Roman" w:hAnsi="Calibri" w:cs="Calibri"/>
                <w:sz w:val="18"/>
                <w:szCs w:val="18"/>
                <w:lang w:eastAsia="pl-PL"/>
              </w:rPr>
            </w:pPr>
            <w:r w:rsidRPr="001C3C71">
              <w:rPr>
                <w:rFonts w:eastAsia="Times New Roman" w:cstheme="minorHAnsi"/>
                <w:sz w:val="18"/>
                <w:szCs w:val="18"/>
                <w:lang w:eastAsia="pl-PL"/>
              </w:rPr>
              <w:t>dla pozostałych SCW i SZCW (</w:t>
            </w:r>
            <w:r w:rsidR="00513278">
              <w:rPr>
                <w:rFonts w:eastAsia="Times New Roman" w:cstheme="minorHAnsi"/>
                <w:sz w:val="18"/>
                <w:szCs w:val="18"/>
                <w:lang w:eastAsia="pl-PL"/>
              </w:rPr>
              <w:t>JCWP</w:t>
            </w:r>
            <w:r w:rsidRPr="001C3C71">
              <w:rPr>
                <w:rFonts w:eastAsia="Times New Roman" w:cstheme="minorHAnsi"/>
                <w:sz w:val="18"/>
                <w:szCs w:val="18"/>
                <w:lang w:eastAsia="pl-PL"/>
              </w:rPr>
              <w:t xml:space="preserve"> RW</w:t>
            </w:r>
            <w:r w:rsidRPr="001C3C71">
              <w:rPr>
                <w:rFonts w:ascii="Calibri" w:eastAsia="Times New Roman" w:hAnsi="Calibri" w:cs="Calibri"/>
                <w:sz w:val="18"/>
                <w:szCs w:val="18"/>
                <w:lang w:eastAsia="pl-PL"/>
              </w:rPr>
              <w:t xml:space="preserve">) wartości nie zostały zmodyfikowane a tym samym obowiązują wskazane w rozporządzeniu w sprawie klasyfikacji stanu ekologicznego, potencjału ekologicznego i stanu chemicznego oraz sposobu klasyfikacji stanu jednolitych części wód powierzchniowych, a także środowiskowych norm jakości dla substancji priorytetowych (Dz.U. 2021 poz. 1475). </w:t>
            </w:r>
          </w:p>
          <w:p w14:paraId="2C88CEB3" w14:textId="29B4726D" w:rsidR="00E92AE6" w:rsidRPr="005E78BB" w:rsidRDefault="001C3C71" w:rsidP="001C3C71">
            <w:pPr>
              <w:ind w:firstLine="0"/>
              <w:jc w:val="left"/>
              <w:rPr>
                <w:rFonts w:ascii="Calibri" w:eastAsia="Times New Roman" w:hAnsi="Calibri" w:cs="Calibri"/>
                <w:color w:val="000000"/>
                <w:sz w:val="18"/>
                <w:szCs w:val="18"/>
                <w:lang w:eastAsia="pl-PL"/>
              </w:rPr>
            </w:pPr>
            <w:r w:rsidRPr="001C3C71">
              <w:rPr>
                <w:rFonts w:ascii="Calibri" w:eastAsia="Times New Roman" w:hAnsi="Calibri" w:cs="Calibri"/>
                <w:sz w:val="18"/>
                <w:szCs w:val="18"/>
                <w:lang w:eastAsia="pl-PL"/>
              </w:rPr>
              <w:t>IIaPGW został odpowiednio uzupełniony w tym zakresie dla wyeliminowania wątpliwości czytelnika</w:t>
            </w:r>
            <w:r w:rsidR="00E92AE6" w:rsidRPr="00CD6FBC">
              <w:rPr>
                <w:rFonts w:eastAsia="Times New Roman" w:cstheme="minorHAnsi"/>
                <w:color w:val="000000"/>
                <w:sz w:val="18"/>
                <w:szCs w:val="18"/>
                <w:lang w:eastAsia="pl-PL"/>
              </w:rPr>
              <w:t>.</w:t>
            </w:r>
          </w:p>
        </w:tc>
      </w:tr>
      <w:tr w:rsidR="00E92AE6" w:rsidRPr="005E78BB" w14:paraId="672CE9D9" w14:textId="77777777" w:rsidTr="00E92AE6">
        <w:trPr>
          <w:trHeight w:val="454"/>
        </w:trPr>
        <w:tc>
          <w:tcPr>
            <w:tcW w:w="562" w:type="dxa"/>
            <w:shd w:val="clear" w:color="auto" w:fill="auto"/>
          </w:tcPr>
          <w:p w14:paraId="0BCAA768" w14:textId="23ED1A5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882</w:t>
            </w:r>
          </w:p>
        </w:tc>
        <w:tc>
          <w:tcPr>
            <w:tcW w:w="1021" w:type="dxa"/>
            <w:tcBorders>
              <w:top w:val="single" w:sz="4" w:space="0" w:color="auto"/>
              <w:left w:val="nil"/>
              <w:bottom w:val="single" w:sz="4" w:space="0" w:color="auto"/>
              <w:right w:val="nil"/>
            </w:tcBorders>
            <w:shd w:val="clear" w:color="auto" w:fill="auto"/>
          </w:tcPr>
          <w:p w14:paraId="3F39C846" w14:textId="747B0FD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1DBB4F40" w14:textId="13E4F2F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5DBFB07" w14:textId="514AD60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Dlaczego szczegółowe, realne dane z aPGW na temat skuteczności inwestycji przedstawionych w pliku Zal_6_WykazInwDzialan_OD_Wisla, zostały zamienione na ogólne, życzeniowe?</w:t>
            </w:r>
            <w:r w:rsidRPr="00825321">
              <w:rPr>
                <w:rFonts w:eastAsia="Times New Roman" w:cstheme="minorHAnsi"/>
                <w:color w:val="000000"/>
                <w:sz w:val="18"/>
                <w:szCs w:val="18"/>
                <w:lang w:eastAsia="pl-PL"/>
              </w:rPr>
              <w:br/>
              <w:t>Mówię choćby o przykładzie zbiornika Kąty-Myscowa.</w:t>
            </w:r>
            <w:r w:rsidRPr="00825321">
              <w:rPr>
                <w:rFonts w:eastAsia="Times New Roman" w:cstheme="minorHAnsi"/>
                <w:color w:val="000000"/>
                <w:sz w:val="18"/>
                <w:szCs w:val="18"/>
                <w:lang w:eastAsia="pl-PL"/>
              </w:rPr>
              <w:br/>
              <w:t>W apgw zapisano:</w:t>
            </w:r>
            <w:r w:rsidRPr="00825321">
              <w:rPr>
                <w:rFonts w:eastAsia="Times New Roman" w:cstheme="minorHAnsi"/>
                <w:color w:val="000000"/>
                <w:sz w:val="18"/>
                <w:szCs w:val="18"/>
                <w:lang w:eastAsia="pl-PL"/>
              </w:rPr>
              <w:br/>
              <w:t>„Inwestycja ma na celu ochronę przeciwpowodziową obszaru o powierzchni 447ha. Inwestycja przyczyni się do ochrony życia i zdrowia 527 osób”</w:t>
            </w:r>
            <w:r w:rsidRPr="00825321">
              <w:rPr>
                <w:rFonts w:eastAsia="Times New Roman" w:cstheme="minorHAnsi"/>
                <w:color w:val="000000"/>
                <w:sz w:val="18"/>
                <w:szCs w:val="18"/>
                <w:lang w:eastAsia="pl-PL"/>
              </w:rPr>
              <w:br/>
              <w:t>w opisie w projekcie IIaPGW nie ma już tego opisu, jest za to nic nieznaczące:</w:t>
            </w:r>
            <w:r w:rsidRPr="00825321">
              <w:rPr>
                <w:rFonts w:eastAsia="Times New Roman" w:cstheme="minorHAnsi"/>
                <w:color w:val="000000"/>
                <w:sz w:val="18"/>
                <w:szCs w:val="18"/>
                <w:lang w:eastAsia="pl-PL"/>
              </w:rPr>
              <w:br/>
              <w:t>„Synergiczne funkcjonowanie zbiornika &amp;#34;Kąty-Myscowa&amp;#34; wraz z innymi obiektami hydrotechnicznymi, przyczyni się do znacznego ograniczenia strat powodziowych. W przypadku Jasła nastąpi całkowite wyeliminowanie ryzyka powodziowego, natomiast strefy zalewu wodami powodziowymi w Dębicy i Mielcu zostaną znacząco ograniczone.”</w:t>
            </w:r>
            <w:r w:rsidRPr="00825321">
              <w:rPr>
                <w:rFonts w:eastAsia="Times New Roman" w:cstheme="minorHAnsi"/>
                <w:color w:val="000000"/>
                <w:sz w:val="18"/>
                <w:szCs w:val="18"/>
                <w:lang w:eastAsia="pl-PL"/>
              </w:rPr>
              <w:br/>
              <w:t>Jest to o tyle istotne, że zbiornik Kąty-Myscowa jest w stanie ochronić mw. tyle samo powierzchni , ludzi i domów, co jest do wysiedlenia/zalania. Kompletny absurd.</w:t>
            </w:r>
            <w:r w:rsidRPr="00825321">
              <w:rPr>
                <w:rFonts w:eastAsia="Times New Roman" w:cstheme="minorHAnsi"/>
                <w:color w:val="000000"/>
                <w:sz w:val="18"/>
                <w:szCs w:val="18"/>
                <w:lang w:eastAsia="pl-PL"/>
              </w:rPr>
              <w:br/>
              <w:t>Natomiast jeśli chodzi o zaopatrzenie w wodę, to też nie podano żadnych konkretów. Wodociągi Jasielskie ostatnio nie wykazywały braku zaopatrzenia w wodę. Nie sprawdziły się też, wskazywane kiedyś scenariusze dużych wzrostów zapotrzebowania na wodę dla przemysłu i przyrost mieszkańców Jasła. Dodatkowo, wariantem alternatywnym, jeśli taki problem de facto by zaistniał, jest budowa dodatkowego ujęcia wody na rz. Ropie. Takie rozwiązanie funkcjonuje już w Rafinerii Jasło. Na Ropie jest już zbiornik „Klimkówka” i nie trzeba w zlewni Wisłoki budować kolejnego.</w:t>
            </w:r>
          </w:p>
        </w:tc>
        <w:tc>
          <w:tcPr>
            <w:tcW w:w="3377" w:type="dxa"/>
            <w:shd w:val="clear" w:color="auto" w:fill="auto"/>
          </w:tcPr>
          <w:p w14:paraId="533A1EE6" w14:textId="3F02EAD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7C031D9" w14:textId="6DF841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34538EF" w14:textId="755F1CE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1A60044" w14:textId="2C4C8DB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8650991" w14:textId="7DB819B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Metodyka wykonania Wykazów Inwestycji i Działań zakłada, że inwestycje bez decyzji wydanej z zastosowaniem art. 68 ustawy Prawo wodne, co do których stwierdzono (w aPGW z 2016 r.) ryzyko pogorszenia stanu wód (lub uniemożliwienia osiągnięcia celów środowiskowych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zostały wpisane do Wykazów Inwestycji i Działań z tego powodu, że analiza przesłanek wynikających z art. 4.7 RDW została wykonana dla tych przedsięwzięć w poprzednim PGW (z 2016 r.). Przyjęto, że odstępstwa w trybie art. 4.7 RDW zawarte w aPGW z 2016 r. nie powinny pozostać niezauważone i potraktowane jako nieistniejące.</w:t>
            </w:r>
          </w:p>
        </w:tc>
      </w:tr>
      <w:tr w:rsidR="00E92AE6" w:rsidRPr="005E78BB" w14:paraId="093F120A" w14:textId="77777777" w:rsidTr="00E92AE6">
        <w:trPr>
          <w:trHeight w:val="454"/>
        </w:trPr>
        <w:tc>
          <w:tcPr>
            <w:tcW w:w="562" w:type="dxa"/>
            <w:shd w:val="clear" w:color="auto" w:fill="auto"/>
          </w:tcPr>
          <w:p w14:paraId="249D7931" w14:textId="605FBB1D"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883</w:t>
            </w:r>
          </w:p>
        </w:tc>
        <w:tc>
          <w:tcPr>
            <w:tcW w:w="1021" w:type="dxa"/>
            <w:tcBorders>
              <w:top w:val="single" w:sz="4" w:space="0" w:color="auto"/>
              <w:left w:val="nil"/>
              <w:bottom w:val="single" w:sz="4" w:space="0" w:color="auto"/>
              <w:right w:val="nil"/>
            </w:tcBorders>
            <w:shd w:val="clear" w:color="auto" w:fill="auto"/>
          </w:tcPr>
          <w:p w14:paraId="70001A89" w14:textId="301BEBD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30" w:type="dxa"/>
            <w:shd w:val="clear" w:color="auto" w:fill="auto"/>
          </w:tcPr>
          <w:p w14:paraId="3641FB36" w14:textId="1039051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C4F276D" w14:textId="76862B2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związku z wyznaczeniem nowych jcw, dla których nie można dokonać oceny stanu/potencjału chemicznego prośba o informacje kiedy takiej oceny możemy się spodziewać?</w:t>
            </w:r>
          </w:p>
        </w:tc>
        <w:tc>
          <w:tcPr>
            <w:tcW w:w="3377" w:type="dxa"/>
            <w:shd w:val="clear" w:color="auto" w:fill="auto"/>
          </w:tcPr>
          <w:p w14:paraId="23A84E27" w14:textId="1432A6E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ACAE193" w14:textId="7638B74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43C68BF" w14:textId="5CE3E9A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C8B1E89" w14:textId="632F6CC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01F3B9F" w14:textId="2D6D79A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Generalnie druga aktualizacja planu gospodarowania wodami musiała się zmierzyć ze zmianą jednostek planistycznych, a tym samym oceny stanu jednolitej części wód, które były dostępne w latach 2014-2019 i opracowane przez Główny Inspektorat Ochrony Środowiska na podstawie starego układu planistycznego, który obecnie obowiązuje, były analizowane i przekładane na nowy układ planistyczny, co znaczy, że w niektórych przypadkach nie było możliwości przeniesienia oceny stanu – tu było pytanie o stan chemiczny – dla jednolitej części wód. Na ten moment innych ocen stanu dla jednolitej części wód niż te, którymi dysponujemy, nie ma.</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Pamiętajmy, że w planach gospodarowania wodami mamy ocenę stanu wód, która bazuje na tych danych, które mieliśmy na etapie analizy. Analizy wszystkich presji, analizy tego, co możemy zaproponować w działaniach naprawczych właśnie z Państwowego Monitoringu Środowiska. Natomiast to, że wyniki oceny stanu części wód są w planach, jest to materiałem dodatkowym, który nie wynika z artykułu 318 prawa wodnego – wskzującego co ma zawierać plan gospodarowania wodami – a jest elementem zakresu raportu do komisji europejskiej, który po konsultacjach społecznych, po przyjęciu planu również jest do Komisji Europejskiej wysyłany. Także to jest element raportowania do Komisji Europejskiej. Natomiast sam Państwowy Monitoring Środowiska i nowe dane monitoringowe, będą publikowane już w oparciu o nowe jednostki planistyczne, zaktualizowane o jednolite części wód. W 2023 roku, bazując na wynikach badań, które będą w 2022 roku prowadzone.</w:t>
            </w:r>
          </w:p>
        </w:tc>
      </w:tr>
      <w:tr w:rsidR="00E92AE6" w:rsidRPr="005E78BB" w14:paraId="1B9CDD2E" w14:textId="77777777" w:rsidTr="00E92AE6">
        <w:trPr>
          <w:trHeight w:val="454"/>
        </w:trPr>
        <w:tc>
          <w:tcPr>
            <w:tcW w:w="562" w:type="dxa"/>
            <w:shd w:val="clear" w:color="auto" w:fill="auto"/>
          </w:tcPr>
          <w:p w14:paraId="1BF7758A" w14:textId="0E4586D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884</w:t>
            </w:r>
          </w:p>
        </w:tc>
        <w:tc>
          <w:tcPr>
            <w:tcW w:w="1021" w:type="dxa"/>
            <w:tcBorders>
              <w:top w:val="single" w:sz="4" w:space="0" w:color="auto"/>
              <w:left w:val="nil"/>
              <w:bottom w:val="single" w:sz="4" w:space="0" w:color="auto"/>
              <w:right w:val="nil"/>
            </w:tcBorders>
            <w:shd w:val="clear" w:color="auto" w:fill="auto"/>
          </w:tcPr>
          <w:p w14:paraId="57F8CB10" w14:textId="3A32B806"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Grupa CIECH</w:t>
            </w:r>
          </w:p>
        </w:tc>
        <w:tc>
          <w:tcPr>
            <w:tcW w:w="1630" w:type="dxa"/>
            <w:shd w:val="clear" w:color="auto" w:fill="auto"/>
          </w:tcPr>
          <w:p w14:paraId="5BA9D41A" w14:textId="18FDD2E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D3AD412" w14:textId="5C90AC7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jaki sposób brak powyższej oceny będzie się przekładać na warunki rozpatrywania wniosków o wydanie pozwoleń wodno-prawnych na zarzut ścieków do wód?</w:t>
            </w:r>
          </w:p>
        </w:tc>
        <w:tc>
          <w:tcPr>
            <w:tcW w:w="3377" w:type="dxa"/>
            <w:shd w:val="clear" w:color="auto" w:fill="auto"/>
          </w:tcPr>
          <w:p w14:paraId="74E67C38" w14:textId="3535A5E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9386DB3" w14:textId="66296F3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4D54186" w14:textId="2135557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543F6ED2" w14:textId="5BE076D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208B5086" w14:textId="4D3D313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Plany gospodarowania wodami, jak cały czas podkreślamy, to jest najbardziej zbiorczy dokument i miejsce, w którym wszystkie informacje o jednolitych częściach wód są zawarte. W przypadku tych jednolitych części wód, dla których obecnie nie było możliwości przepisania oceny stanu, tak naprawdę nie ma jednej informacji. Natomiast każdy podmiot i każdy inwestor występujący z wnioskiem o udzielenie pozwolenia – w tym momencie powiedzmy, że mówimy o pozwoleniu wodnoprawnym – poniekąd na swoich barkach ma konieczność zawarcia i przedstawienia informacji dotyczących m.in. oddziaływania przedsięwzięcia na wody. Tutaj nie zawsze jest prosto, tzn. jeśli wprost nie ma oceny stanu jednolitej części wód, jest szereg dodatkowych możliwych elementów, które można wykorzystać. Albowiem dostępność danych monitoringowych, które są publikowane przez Państwowy Monitoring Środowiska, nadal jest. Nie tylko Plan gospodarowania wodami jest tym dokumentem, do którego należy sięgać, jeżeli chodzi o szczegółowe informacje dotyczące poszczególnych punktów pomiarowo-kontrolnych i konkretnych lokalizacji planowanych przedsięwzięć, ten poziom szczegółowości schodzenia do konkretnych odcinków rzek, jak najbardziej te dane są dostępne. Nawet pomimo braku przeniesienia całej oceny stanu na daną jednolitą część wód.</w:t>
            </w:r>
          </w:p>
        </w:tc>
      </w:tr>
      <w:tr w:rsidR="00E92AE6" w:rsidRPr="005E78BB" w14:paraId="65C3926B" w14:textId="77777777" w:rsidTr="00E92AE6">
        <w:trPr>
          <w:trHeight w:val="454"/>
        </w:trPr>
        <w:tc>
          <w:tcPr>
            <w:tcW w:w="562" w:type="dxa"/>
            <w:shd w:val="clear" w:color="auto" w:fill="auto"/>
          </w:tcPr>
          <w:p w14:paraId="435636A8" w14:textId="2E03CFBB"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885</w:t>
            </w:r>
          </w:p>
        </w:tc>
        <w:tc>
          <w:tcPr>
            <w:tcW w:w="1021" w:type="dxa"/>
            <w:tcBorders>
              <w:top w:val="single" w:sz="4" w:space="0" w:color="auto"/>
              <w:left w:val="nil"/>
              <w:bottom w:val="single" w:sz="4" w:space="0" w:color="auto"/>
              <w:right w:val="nil"/>
            </w:tcBorders>
            <w:shd w:val="clear" w:color="auto" w:fill="auto"/>
          </w:tcPr>
          <w:p w14:paraId="6CC68A38" w14:textId="46CA84C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WWF Polska</w:t>
            </w:r>
          </w:p>
        </w:tc>
        <w:tc>
          <w:tcPr>
            <w:tcW w:w="1630" w:type="dxa"/>
            <w:shd w:val="clear" w:color="auto" w:fill="auto"/>
          </w:tcPr>
          <w:p w14:paraId="6AAD597A" w14:textId="5F489F4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74E8267" w14:textId="0013942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Na wcześniejszych spotkaniach padały ze strony Państwa sformułowania, że ponieważ w Prawie wodnym jest zapis dotyczący prowadzenia prac utrzymianiowych w sposób niepogarszający stanu wód, to nie ma możliwości, żeby te prace nie były tak realizowane. Z doświadczeń NGO wynika zupełnie co innego, zwłaszcza w zakresie prac dotyczących odmulania, tzw. hakowania roślinności z dna czy też zabudowy wyrw. Powiedzieli również Państwo, że ciężar „udowodnienia” wpływu określonych prac w korycie rzeki na cele środowiskowe leży obecnie całkowicie po stronie decyzji administracyjnych np. ocen wodnoprawnych i ewentualnie wnioski z tych postępowań znalazły się w IIaPGW. Proszę zatem o informację ile ocen wodnoprawnych dotyczących prac utrzymaniowych przeanalizowano na potrzeby aPGW.</w:t>
            </w:r>
          </w:p>
        </w:tc>
        <w:tc>
          <w:tcPr>
            <w:tcW w:w="3377" w:type="dxa"/>
            <w:shd w:val="clear" w:color="auto" w:fill="auto"/>
          </w:tcPr>
          <w:p w14:paraId="39ED5E2B" w14:textId="0A28685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62426CAA" w14:textId="4B371A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94F95D1" w14:textId="161D5C8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6D334784" w14:textId="3F96BE0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34B95ED" w14:textId="1505470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Wszystkie przedsięwzięcia oraz inwestycje, nawet te, które są analizowane i uwzględniane w planach gospodarowania wodami, a więc również IIaPGW, które nie są wyłączone spoza prawa, nie funkcjonują i nie mają możliwości być realizowane sprzecznie z przepisami. To, w jaki sposób mają być realizowane – tutaj akurat przywołane prace utrzymaniowe – tego nie definiują, ani plany gospodarowania wodami, ani żaden inny dokument planistyczny. Może plany utrzymania wód są bliżej, jeżeli chodzi o sposób prowadzenia tego typu prac, ale jeśli chodzi o ten sposób prowadzenia – nakazy, zakazy, ograniczenia – absolutnie są wprowadzone poprzez przepisy ustawy. Jest to zagadnienie stale wywołujące wątpliwości. To jest to odniesienie się do wykazu inwestycji, który – jak podkreślamy za każdym razem – jest miejscem, w którym uwzględnione są inwestycje, co do których nie dokument IIaPGW wskazuje ich negatywne oddziaływanie, a decyzje środowiskowe, administracyjne, w tym oceny wodnoprawne w zależności od typu przedsięwzięcia, w ramach których wskazywane jest to negatywne oddziaływanie. W tym kontekście IIaPGW nie mają konieczności udawadniania negatywnego wpływu inwestycji na środowisko.</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Jeśli chodzi o ostatnią część pytania – ile ocen wodnoprawnych zostało przeanalizowanych w ramach IIaPGW - z założenia sama analiza ocen wodnoprawnych i IIaPGW to nie jest element niezależny. Natomiast plany gospodarowania wodami i działania wskazywane w zestawach działań, to jest ten element, który jest projektowany przez IIaPWG i te wszystkie działania poddawane są analizom wpływu na środowisko, ale na poziomie strategicznej oceny tego oddziaływania, której poddawany jest ten dokument, tak jak każdy inny plan i program, zgodnie z przepisami ustawy o ocenie oddziaływania na środowisko. Tym samym, w ramach IIaPGW, na tym etapie te analizy nie są prowadzone. A odnosząc się do przywołanego uzasadniania negatywnego wpływu, to jak już powiedziałam – jeżeli chodzi o wykaz inwestycji to w stosunku do nich, to nie plan gospodarowania wodami udowadnia ich negatywne oddziaływanie. My przyjmujemy, z całym dobrodziejstwem inwentarza to, co decyzje administracyjne, wydane dla tych przedsięwzięć i inwestycji wskazują i zawierają.</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Zweryfikowaliśmy to, co było mówione przy poprzednim planie, jeśli chodzi o wykaz inwestycji, dla takich przypadków, gdzie jeszcze decyzji administracyjnych nie ma.</w:t>
            </w:r>
          </w:p>
        </w:tc>
      </w:tr>
      <w:tr w:rsidR="00E92AE6" w:rsidRPr="005E78BB" w14:paraId="0B6F3970" w14:textId="77777777" w:rsidTr="00E92AE6">
        <w:trPr>
          <w:trHeight w:val="454"/>
        </w:trPr>
        <w:tc>
          <w:tcPr>
            <w:tcW w:w="562" w:type="dxa"/>
            <w:shd w:val="clear" w:color="auto" w:fill="auto"/>
          </w:tcPr>
          <w:p w14:paraId="402307EF" w14:textId="5150C658"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886</w:t>
            </w:r>
          </w:p>
        </w:tc>
        <w:tc>
          <w:tcPr>
            <w:tcW w:w="1021" w:type="dxa"/>
            <w:tcBorders>
              <w:top w:val="single" w:sz="4" w:space="0" w:color="auto"/>
              <w:left w:val="nil"/>
              <w:bottom w:val="single" w:sz="4" w:space="0" w:color="auto"/>
              <w:right w:val="nil"/>
            </w:tcBorders>
            <w:shd w:val="clear" w:color="auto" w:fill="auto"/>
          </w:tcPr>
          <w:p w14:paraId="0EC8CE87" w14:textId="62540AB9"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Przyjaciele Raby - sekcja PZW</w:t>
            </w:r>
          </w:p>
        </w:tc>
        <w:tc>
          <w:tcPr>
            <w:tcW w:w="1630" w:type="dxa"/>
            <w:shd w:val="clear" w:color="auto" w:fill="auto"/>
          </w:tcPr>
          <w:p w14:paraId="27A9F630" w14:textId="64E329C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E56568B" w14:textId="79C7564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Moje pytanie dotyczy zestawu działań dla budowli hydrotechnicznych - czy jeśli np. próg betonowy nie jest wymieniony w tabeli (Zal_1_Zestaw dzialna_Wykaz działań dla budowli_Wisła) oznacza to, że nie są planowane żadne działania? Dla przykładu potok Krzyworzeka, dopływ Raby, nie jest wymieniony w tabeli, tymczasem znajdują się na nim co najmniej trzy wadliwe konstrukcje poprzeczne wymagające przebudowy celem przywrócenia prawidłowego funkcjonowania korytarza migracji organizmów wodnych. Lub inny przykład - metalowy, larsenowy (z grodzic) próg na Białce Tatrzańskiej. Czy dla tego typu budowli mogę znaleźć planowane działania w innych załącznikach?</w:t>
            </w:r>
            <w:r w:rsidRPr="00825321">
              <w:rPr>
                <w:rFonts w:eastAsia="Times New Roman" w:cstheme="minorHAnsi"/>
                <w:color w:val="000000"/>
                <w:sz w:val="18"/>
                <w:szCs w:val="18"/>
                <w:lang w:eastAsia="pl-PL"/>
              </w:rPr>
              <w:br/>
              <w:t>Wiąże się z powyższym drugie pytanie - czy jeśli w tabeli jako planowanie działanie wpisano jedynie "monitoring skuteczności" (np. przepławka na zaporze w Czchowie) oznacza to, że do 2027 roku nie będzie żadnych analiz możliwości przebudowy ani realizacji żadnego wariantu udrożnienia?</w:t>
            </w:r>
          </w:p>
        </w:tc>
        <w:tc>
          <w:tcPr>
            <w:tcW w:w="3377" w:type="dxa"/>
            <w:shd w:val="clear" w:color="auto" w:fill="auto"/>
          </w:tcPr>
          <w:p w14:paraId="1142FACD" w14:textId="6F4562C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19C37F4" w14:textId="53EAE0F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11B6F4B" w14:textId="7F7453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489806A" w14:textId="068360C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A103933" w14:textId="7924FF8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Wskazując działanie w zakresie ciągłości biologicznej, uwzględnione zostały przede wszystkim nowe cele środowiskowe, to po pierwsze. Uwzględniona została istotność cieków dla ichtiofauny, w związku z tym, jeżeli te cieki miały cele środowiskowe i znalazły się między innymi w wykazie cieków istotnych, po weryfikacji miały wskazane chociażby z monitoringu zły stan elementów biologicznych, wymagania dla gatunków chronionych, powinny znaleźć się dla nich działania i te działania powinny zostać wskazane również w formie wykazu. Jeżeli Państwo macie informację, że jakiś budowli brakuje i to tyczy się zarówno tych budowli czy działań, które były wskazane w apwśk, a nie znalazły się w nowym wykazie działań, jak i w wykazie budowli teraz dołączonych, jako załącznik do zestawu działań IIaPGW to bardzo proszę o takie informacje pisemne, z lokalizacją o które konkretnie budowle chodzi, eksperci na pewno to uwzględnią. Podyktowane jest to tym, że tych budowli było dużo. Staraliśmy się w miarę możliwości schodzić do pojedynczych budowli, weryfikować je. Pracowaliśmy również na takich raportach - statusach realizacji działań wykonanych w tym okresie planistycznym. Jeżeli Państwo macie informację dotyczącą chociażby skuteczności urządzeń służących migracji i stanu technicznego budowli i dowiemy się dzięki Państwu, że jakieś działanie nietechniczne nie musi być realizowane, bo mamy tą wiedzę o braku stateczności takiego urządzenia, będziemy mogli zaproponować w ramach działań, w tym cyklu planistycznym, już działanie pomijające ten element rozpoznania. Te działania, jak mówiłam w swojej prezentacji, były przypisywane w zależności od informacji i stopnia szczegółowości, którą udało się pozyskać chociażby poprzez ankietyzację i właśnie temu służą konsultacje społeczne. Jeżeli Państwo znajdziecie takie braki, bądź widzicie potrzebę, to bardzo bym prosiła, aby te uwagi zgłaszać w formie pisemnej. My je będziemy analizować. Natomiast jeśli chodzi o przypisywanie działań to w pierwszej kolejności działania na ciągłość biologiczną były przypisywane na ciekach istotnych i szczególnie istotnych, na tych, na których wskazano nowe cele środowiskowe, między innymi dla gatunków chronionych i tam, gdzie wskaźniki elementów biologicznych były poniżej klasy odpowiadającej dobremu stanowi. W związku z tym, tak jak powiedziałam, jeżeli te przesłanki będą spełnione, a będziemy mieli od Państwa informację, to na pewno zweryfikujemy te działania.</w:t>
            </w:r>
          </w:p>
        </w:tc>
      </w:tr>
      <w:tr w:rsidR="00E92AE6" w:rsidRPr="005E78BB" w14:paraId="0D010703" w14:textId="77777777" w:rsidTr="00E92AE6">
        <w:trPr>
          <w:trHeight w:val="454"/>
        </w:trPr>
        <w:tc>
          <w:tcPr>
            <w:tcW w:w="562" w:type="dxa"/>
            <w:shd w:val="clear" w:color="auto" w:fill="auto"/>
          </w:tcPr>
          <w:p w14:paraId="2F25800B" w14:textId="4591EA6E"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887</w:t>
            </w:r>
          </w:p>
        </w:tc>
        <w:tc>
          <w:tcPr>
            <w:tcW w:w="1021" w:type="dxa"/>
            <w:tcBorders>
              <w:top w:val="single" w:sz="4" w:space="0" w:color="auto"/>
              <w:left w:val="nil"/>
              <w:bottom w:val="single" w:sz="4" w:space="0" w:color="auto"/>
              <w:right w:val="nil"/>
            </w:tcBorders>
            <w:shd w:val="clear" w:color="auto" w:fill="auto"/>
          </w:tcPr>
          <w:p w14:paraId="658466FF" w14:textId="4D2C4BE6"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Energia Ciepła S.A.</w:t>
            </w:r>
          </w:p>
        </w:tc>
        <w:tc>
          <w:tcPr>
            <w:tcW w:w="1630" w:type="dxa"/>
            <w:shd w:val="clear" w:color="auto" w:fill="auto"/>
          </w:tcPr>
          <w:p w14:paraId="4A7EA370" w14:textId="62642F0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750ED61" w14:textId="386DA26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Dzień dobry. Pytanie dotyczy różnic w strukturze przedstawiania informacji, które występują między starymi, a nowymi kartami charakterystyk (metrykami) poszczególnych JCW.</w:t>
            </w:r>
            <w:r w:rsidRPr="00825321">
              <w:rPr>
                <w:rFonts w:eastAsia="Times New Roman" w:cstheme="minorHAnsi"/>
                <w:color w:val="000000"/>
                <w:sz w:val="18"/>
                <w:szCs w:val="18"/>
                <w:lang w:eastAsia="pl-PL"/>
              </w:rPr>
              <w:br w:type="page"/>
              <w:t>W nowych kartach brakuje pewnych informacji, które są bardzo przydatne w praktyce, np. status JCW, typ cieku wodnego, ocena stanu JCW (podsumowanie), czynniki determinujące stan JCW. Te informacje można znaleźć oczywiście w innych dokumentach, jednak z punktu widzenia praktycznego, dobrze byłoby mieć je w jednym miejscu (resume). Czy jest szansa na ujęcie również tych informacji?</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r>
          </w:p>
        </w:tc>
        <w:tc>
          <w:tcPr>
            <w:tcW w:w="3377" w:type="dxa"/>
            <w:shd w:val="clear" w:color="auto" w:fill="auto"/>
          </w:tcPr>
          <w:p w14:paraId="76AF9F71" w14:textId="60FCD28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4A849FF8" w14:textId="5E24DE2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CF9D8EA" w14:textId="2CABC4A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8037174" w14:textId="1B6B7ED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37247749" w14:textId="05EEAD5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To jest pytanie, na które odpowiadamy z wielką przyjemnością, dlatego że to znaczy, że Państwo czytacie plany. Miejmy nadzieję, że od początku do końca, ale ze względu na ogrom informacji, to się gubi. Kilka słów wyjaśnienia: przede wszystkim karty charakterystyk, te które są dostępne dla poprzedniego cyklu planistycznego, inaczej – dzisiaj jeszcze obowiązującego, czyli aGPW, to są karty charakterystyk jako oddzielne, kompleksowo zebrane informacje, dotyczące każdej jednolitej części wód. Te karty charakterystyk opracowywane są i będą opracowane w ramach drugiej aktualizacji planu gospodarowania wodami, ale po zakończeniu konsultacji społecznych. To, co dzisiaj, jak sądzę – bo tylko mogę się domyślać – było przeglądane i w czym został stwierdzony brak niektórych informacji, to przypuszczam, że zaglądano do wykazu stężeń – to jest jeden z załączników do planu gospodarowania wodami. Wykaz emisji stężeń być może, jest w formie mylącej, bo to forma jest informacyjna, ale to nie są karty charakterystyk jednolitej części wód. Wykazy stężeń i wykazy emisji z jednej strony zawierają informacje o podmiotach emitujących, szczególnie szkodliwych dla środowiska, a wykaz stężeń rzeczywiście przygotowany w tej drugiej aktualizacji planu gospodarowania wodami w odniesieniu do poszczególnych jednolitych części wód, a nie, jak poprzednio, do punktów pomiarowo-kontrolnych. Jego celem jest przedstawienie informacji o konkretnych wartościach stężeń dla danej jednolitej części. Ona oczywiście posiada formę kodu jednolitej części wód, natomiast skupia się na informacjach, dotyczących stężeń. Tam możemy znaleźć informacje, dotyczące potencjalnych czynników sprawczych, czego nie było w poprzednich wykazach stężeń. Natomiast jeśli ktoś chciałby już w tej chwili odnaleźć informacje, dające pełny pakiet danych, dotyczących karty jednolitych części wód, to nie jest karta charakterystyk – do której zgłaszający pytanie się odnosi – a załącznik nr 1: zestawienie główne. Każdy nasz dokument, dla każdego obszaru dorzecza ma ten załącznik 1 i to jest właśnie pakiet zbiorczy informacji dla każdej jednolitej części wód, zaczynając od jej kodu, nazwy, statusu, typologii, od zidentyfikowanych presji – wszystkich informacji dla karty jednolitej części wód, która prezentowana jest w planie gospodarowania wodami. Podsumowując, te wszystkie informacje, które zostały wskazane jako brakujące, to są one w jednym miejscu – w załączniku 1: zestawienie główne wykaz stężeń, jest to zestawienie, dotyczące substancji szkodliwych. Natomiast karty charakterystyk w takiej formie, jak dzisiaj obowiązują dla APGW, to jeszcze krok dalej, to nie jest element będący częścią IIaPGW.To tak jak 6 lat temu, wtedy też na etapie konsultacji nie było kart charakterystyk, one zostały później wypracowane.</w:t>
            </w:r>
          </w:p>
        </w:tc>
      </w:tr>
      <w:tr w:rsidR="00E92AE6" w:rsidRPr="005E78BB" w14:paraId="1FE1ECA4" w14:textId="77777777" w:rsidTr="00E92AE6">
        <w:trPr>
          <w:trHeight w:val="454"/>
        </w:trPr>
        <w:tc>
          <w:tcPr>
            <w:tcW w:w="562" w:type="dxa"/>
            <w:shd w:val="clear" w:color="auto" w:fill="auto"/>
          </w:tcPr>
          <w:p w14:paraId="77383F9B" w14:textId="3AC05DF2"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888</w:t>
            </w:r>
          </w:p>
        </w:tc>
        <w:tc>
          <w:tcPr>
            <w:tcW w:w="1021" w:type="dxa"/>
            <w:tcBorders>
              <w:top w:val="single" w:sz="4" w:space="0" w:color="auto"/>
              <w:left w:val="nil"/>
              <w:bottom w:val="single" w:sz="4" w:space="0" w:color="auto"/>
              <w:right w:val="nil"/>
            </w:tcBorders>
            <w:shd w:val="clear" w:color="auto" w:fill="auto"/>
          </w:tcPr>
          <w:p w14:paraId="23C8EC65" w14:textId="37689796"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PGE Energia Odnawialna S.A. Oddział ZEW Porąbka-Żar w Miedzybrodziu Bialskim</w:t>
            </w:r>
          </w:p>
        </w:tc>
        <w:tc>
          <w:tcPr>
            <w:tcW w:w="1630" w:type="dxa"/>
            <w:shd w:val="clear" w:color="auto" w:fill="auto"/>
          </w:tcPr>
          <w:p w14:paraId="79CE8521" w14:textId="004C462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02D62F0A" w14:textId="092C69AA"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Dzień dobry,</w:t>
            </w:r>
            <w:r w:rsidRPr="00825321">
              <w:rPr>
                <w:rFonts w:eastAsia="Times New Roman" w:cstheme="minorHAnsi"/>
                <w:color w:val="000000"/>
                <w:sz w:val="18"/>
                <w:szCs w:val="18"/>
                <w:lang w:eastAsia="pl-PL"/>
              </w:rPr>
              <w:br/>
              <w:t>Pytanie dotyczy spracowywania zwiększonych dopływów wód przy przekroczonych stanach NPP przez hydrozespoły energetyki wodnej.</w:t>
            </w:r>
            <w:r w:rsidRPr="00825321">
              <w:rPr>
                <w:rFonts w:eastAsia="Times New Roman" w:cstheme="minorHAnsi"/>
                <w:color w:val="000000"/>
                <w:sz w:val="18"/>
                <w:szCs w:val="18"/>
                <w:lang w:eastAsia="pl-PL"/>
              </w:rPr>
              <w:br/>
              <w:t>Czy ze strony PGW WP jest możliwość stworzenia pewnego buforu np. 3 dni w czasie których energetyka będzie spracowywała dopływy do zbiorników przy przekroczonych poziomach wody powyżej NPP mając na uwadze prognozy pogody na najbliższe dni, w których prognozowany jest brak opadów i związanych z tym zmniejszonych dopływów do zbiorników?</w:t>
            </w:r>
            <w:r w:rsidRPr="00825321">
              <w:rPr>
                <w:rFonts w:eastAsia="Times New Roman" w:cstheme="minorHAnsi"/>
                <w:color w:val="000000"/>
                <w:sz w:val="18"/>
                <w:szCs w:val="18"/>
                <w:lang w:eastAsia="pl-PL"/>
              </w:rPr>
              <w:br/>
              <w:t>Obecnie narzuca się natychmiastowe niemal zejście z poziomem wody i dopływem wody do NPP zbiorników, przez co zrzuca się wodę jałowo z zapór (poza hydrozespołami) niezależnie od przyszłych optymistycznych prognoz pogody.</w:t>
            </w:r>
            <w:r w:rsidRPr="00825321">
              <w:rPr>
                <w:rFonts w:eastAsia="Times New Roman" w:cstheme="minorHAnsi"/>
                <w:color w:val="000000"/>
                <w:sz w:val="18"/>
                <w:szCs w:val="18"/>
                <w:lang w:eastAsia="pl-PL"/>
              </w:rPr>
              <w:br/>
              <w:t>W ten sposób nie pozwala się energetyce wodnej wykorzystywać swojej pracy do racjonalnego regulowania poziomów wody, dopływów do zbiorników (gospodarowania zasobami wody), a wręcz ogranicza się możliwość pracy hydrozespołów, przychodów z tego tytułu co jest działaniem &amp;#34;niegospodarnym&amp;#34;.</w:t>
            </w:r>
          </w:p>
        </w:tc>
        <w:tc>
          <w:tcPr>
            <w:tcW w:w="3377" w:type="dxa"/>
            <w:shd w:val="clear" w:color="auto" w:fill="auto"/>
          </w:tcPr>
          <w:p w14:paraId="6DD74369" w14:textId="07DE5F4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7641F680" w14:textId="78F9D15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5B9A77DF" w14:textId="54A3157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4FF58B17" w14:textId="307CC044"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9E5CC79" w14:textId="3CE8CC7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Nie do końca jest to związane z Planami gospodarowania wodami, bardziej myślimy tutaj o sytuacjach powodziowych, czy też popowodziowych, ale temat jest ważny, dlatego postaram się odpowiedzieć. Każdy z dużych obiektów hydrotechnicznych, a jak rozumiem z kontekstu pytania, mówimy tu o takim projekcie, dysponuje instrukcją gospodarowania wodą oraz obowiązującym pozwoleniem wodnoprawnym. Reguły sterowania, reguły zarządzania zbiornikiem w takiej sytuacji, kiedy mamy do czynienia po przejściu fali powodziowej są precyzyjnie opisane w każdym pozwoleniu. Oczywiście jeden z użytkowników danego zbiornika wodnego, czyli jak rozumiem właściciel elektrowni wodnej, ma prawo wystąpić o zmianę pozwolenia i wprowadzić zmiany w instrukcji gospodarowania wodą. Jako Wody Polskie uważamy, że powinniśmy elastycznie korzystać z zasobów wodnych. Dysponujemy wiarygodnymi prognozami i chciałem zwrócić uwagę, że jeżeli mówimy o takich dużych zbiornikach na terenach górskich lub podgórskich to zdajemy sobie wszyscy sprawę, że te prognozy zawsze są obarczone większym błędem niż w przypadku terenów nizinnych. Na terenach górskich sytuacja pogodowa zmienia się błyskawicznie i jeżeli rzeczywiście dysponujemy takimi prognozami wiarygodnymi, sprawdzonymi wielokrotnie, i jesteśmy przekonani, że jest to możliwe oraz pozwalają nam na to zapisy instrukcji gospodarowania woda oraz pozwolenie wodnoprawne, jak najbardziej jest możliwość bardziej elastycznego podejścia i przejmowania części wody. Natomiast to na co chcę zwrócić uwagę to, jeśli mówimy o okresach powodziogennych, jesteśmy w stanie określić jakie miesiące w danym roku są takie szczególnie powodziogenne w danym rejonie kraju, wtedy musimy brać pod uwagę, że nadrzędny jest interes związany z bezpieczeństwem, czyli zabezpieczenie bezpieczeństwa zdrowia i życia mieszkańców w dolinie zlokalizowanej poniżej zbiornika. Niezależnie od powyższego, zachęcam właścicieli elektrowni wodnych, którzy mają ulokowane swoje elektrownie na rzekach będących w administracji RZGW w Krakowie do spotkania, do podjęcia dyskusji byśmy mogli wspólnie, optymalnie gospodarować wodami. Również, jeśli chodzi o większe zbiorniki i pogodzenie funkcji powodziowych i energetycznych.</w:t>
            </w:r>
          </w:p>
        </w:tc>
      </w:tr>
      <w:tr w:rsidR="00E92AE6" w:rsidRPr="005E78BB" w14:paraId="4812EA0D" w14:textId="77777777" w:rsidTr="00E92AE6">
        <w:trPr>
          <w:trHeight w:val="454"/>
        </w:trPr>
        <w:tc>
          <w:tcPr>
            <w:tcW w:w="562" w:type="dxa"/>
            <w:shd w:val="clear" w:color="auto" w:fill="auto"/>
          </w:tcPr>
          <w:p w14:paraId="54030F54" w14:textId="36F7FAE9"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889</w:t>
            </w:r>
          </w:p>
        </w:tc>
        <w:tc>
          <w:tcPr>
            <w:tcW w:w="1021" w:type="dxa"/>
            <w:tcBorders>
              <w:top w:val="single" w:sz="4" w:space="0" w:color="auto"/>
              <w:left w:val="nil"/>
              <w:bottom w:val="single" w:sz="4" w:space="0" w:color="auto"/>
              <w:right w:val="nil"/>
            </w:tcBorders>
            <w:shd w:val="clear" w:color="auto" w:fill="auto"/>
          </w:tcPr>
          <w:p w14:paraId="19AC24E4" w14:textId="428C37F3"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Urząd Miasta Krakowa</w:t>
            </w:r>
          </w:p>
        </w:tc>
        <w:tc>
          <w:tcPr>
            <w:tcW w:w="1630" w:type="dxa"/>
            <w:shd w:val="clear" w:color="auto" w:fill="auto"/>
          </w:tcPr>
          <w:p w14:paraId="25ED2F27" w14:textId="2A1CD7D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1736A82A" w14:textId="3A39094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Czy są udostępnione (a jeśli tak to gdzie) warstwy (w formacie shp lub wms) z granicami zlewni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 xml:space="preserve"> rzecznych, które zostały zaktualizowane na potrzeby IIaPGW.</w:t>
            </w:r>
          </w:p>
        </w:tc>
        <w:tc>
          <w:tcPr>
            <w:tcW w:w="3377" w:type="dxa"/>
            <w:shd w:val="clear" w:color="auto" w:fill="auto"/>
          </w:tcPr>
          <w:p w14:paraId="26DE0131" w14:textId="6671D96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DE0758A" w14:textId="38AF5AA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70A0694" w14:textId="0F7AC92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6AB0E44" w14:textId="49F9C4CE"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1B4F30E1" w14:textId="0DFFF42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Mamy instrument, w którym publikujemy cyfrowe dane o wodach i gospodarowaniu wodami. Jest to Hydroportal Wód Polskich. Mamy do niego odnośnik na naszej stronie projektowej apgw.gov.pl, bądź bezpośredni adres to: wody.isok.gov.pl. Tam, wybierając warstwę tematyczną „Plany gospodarowania wodami”, zostaniemy przekierowani na dane przestrzenne, które są udostępniane w ramach II cyklu, czyli I aktualizacji planów gospodarowania wodami, które obowiązują od 2016 do 2021 roku. Natomiast warstwy przestrzenne, które są opracowane w ramach obecnej aktualizacji, która jest w trakcie konsultacji, czyli druga aktualizacja w III cyklu planistycznym, będą udostępnione na Hydroportalu po przyjęciu planów gospodarowania wodami w drodze rozporządzenia. Natomiast jeśli są Państwo zainteresowani uzyskaniem informacji przestrzennych właśnie o granicach tych zlewni, o tym co się zmieniło w tej nowej aktualizacji w kwestii danych cyfrowych, mogą się Państwo zgłosić po taką informację do Wód Polskich drogą mailową.</w:t>
            </w:r>
          </w:p>
        </w:tc>
      </w:tr>
      <w:tr w:rsidR="00E92AE6" w:rsidRPr="005E78BB" w14:paraId="1AE56E03" w14:textId="77777777" w:rsidTr="00E92AE6">
        <w:trPr>
          <w:trHeight w:val="454"/>
        </w:trPr>
        <w:tc>
          <w:tcPr>
            <w:tcW w:w="562" w:type="dxa"/>
            <w:shd w:val="clear" w:color="auto" w:fill="auto"/>
          </w:tcPr>
          <w:p w14:paraId="7A601464" w14:textId="0A823DF3"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890</w:t>
            </w:r>
          </w:p>
        </w:tc>
        <w:tc>
          <w:tcPr>
            <w:tcW w:w="1021" w:type="dxa"/>
            <w:tcBorders>
              <w:top w:val="single" w:sz="4" w:space="0" w:color="auto"/>
              <w:left w:val="nil"/>
              <w:bottom w:val="single" w:sz="4" w:space="0" w:color="auto"/>
              <w:right w:val="nil"/>
            </w:tcBorders>
            <w:shd w:val="clear" w:color="auto" w:fill="auto"/>
          </w:tcPr>
          <w:p w14:paraId="0ADAEB7E" w14:textId="184B32AE"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tcPr>
          <w:p w14:paraId="08E7F59D" w14:textId="5BABD0F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45C62ED9" w14:textId="697C6B2B"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 wykazie działań dla budowli hydrotechnicznych (Zal_1_Zestaw dzialna_Wykaz działań dla budowli_Wisła) dla budowli na rzece Dunajec w kolumnie „Identyfikator budowli w IIaPGW”</w:t>
            </w:r>
            <w:r w:rsidRPr="00825321">
              <w:rPr>
                <w:rFonts w:eastAsia="Times New Roman" w:cstheme="minorHAnsi"/>
                <w:color w:val="000000"/>
                <w:sz w:val="18"/>
                <w:szCs w:val="18"/>
                <w:lang w:eastAsia="pl-PL"/>
              </w:rPr>
              <w:br w:type="page"/>
              <w:t>pod ID 2530, 2531, 2888, 2889, 2891, 2902 są m/innymi następujące obiekty:</w:t>
            </w:r>
            <w:r w:rsidRPr="00825321">
              <w:rPr>
                <w:rFonts w:eastAsia="Times New Roman" w:cstheme="minorHAnsi"/>
                <w:color w:val="000000"/>
                <w:sz w:val="18"/>
                <w:szCs w:val="18"/>
                <w:lang w:eastAsia="pl-PL"/>
              </w:rPr>
              <w:br w:type="page"/>
              <w:t>( próg w Świniarsku, przepławka na zaporze w Rożnowie, próg poniżej zapory w Rożnowie ( nie mogę doczytać czy jest tu ujęty), przepławka na zaporze w Czchowie, próg w Łukanowicach, próg w Ostrowie pytanie:</w:t>
            </w:r>
            <w:r w:rsidRPr="00825321">
              <w:rPr>
                <w:rFonts w:eastAsia="Times New Roman" w:cstheme="minorHAnsi"/>
                <w:color w:val="000000"/>
                <w:sz w:val="18"/>
                <w:szCs w:val="18"/>
                <w:lang w:eastAsia="pl-PL"/>
              </w:rPr>
              <w:br w:type="page"/>
              <w:t>1.Dlaczego w ramach działań IIaPGW nie ujęto planowanych działań w ramach działań aPWŚK tylko cofamy się m/innymi do monitoringu przepławek czy oceny wpływu ( przepławki nie spełniają wymagań stawianych obecnie przepławkom, dodatkowo ze względów technicznych nie funkcjonują przez cały rok-są zamykane na okres zimowy, ).</w:t>
            </w:r>
            <w:r w:rsidRPr="00825321">
              <w:rPr>
                <w:rFonts w:eastAsia="Times New Roman" w:cstheme="minorHAnsi"/>
                <w:color w:val="000000"/>
                <w:sz w:val="18"/>
                <w:szCs w:val="18"/>
                <w:lang w:eastAsia="pl-PL"/>
              </w:rPr>
              <w:br w:type="page"/>
              <w:t>2. Jakie argumenty przemawiają za Priorytetyzacją działań dla w/w budowli na średni priorytet a nie wysoki?</w:t>
            </w:r>
            <w:r w:rsidRPr="00825321">
              <w:rPr>
                <w:rFonts w:eastAsia="Times New Roman" w:cstheme="minorHAnsi"/>
                <w:color w:val="000000"/>
                <w:sz w:val="18"/>
                <w:szCs w:val="18"/>
                <w:lang w:eastAsia="pl-PL"/>
              </w:rPr>
              <w:br w:type="page"/>
              <w:t>3. Czy dla Rożnowa i Czchowa w ramach działań będzie weryfikacja pozwoleń wodno-prawnych, jak tak kto, kiedy?</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r>
          </w:p>
        </w:tc>
        <w:tc>
          <w:tcPr>
            <w:tcW w:w="3377" w:type="dxa"/>
            <w:shd w:val="clear" w:color="auto" w:fill="auto"/>
          </w:tcPr>
          <w:p w14:paraId="5F00181E" w14:textId="65284FD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1AA1636" w14:textId="568C220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1522CAE5" w14:textId="74829D2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72CE6C49" w14:textId="2F46ED97"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741D1617" w14:textId="4F1576C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Działania z aPWŚK były analizowane przez zespół ekspertów w formie statusów realizacji tych działań, czyli czy zostały wpisane do aPWŚK i zostały zrealizowane. Następnie, kiedy określono, że były one realizowane, oceniano oczywiście skuteczność tych działań w zakresie spełnienia celów środowiskowych. Natomiast kiedy była taka informacja, że działanie zostało zrealizowane, automatycznie nie było ono dalej przypisywane w tym cyklu planistycznym. Wiele działań wskazanych w aPWŚK nie zostało zrealizowanych, w związku z tym były też często ogólnie przypisane, jako działania do całej jednolitej części wód. Na poziomie zestawu działań naprawczych, które teraz oddajemy w Państwa ręce i czekamy na informację zwrotną w postaci uszczegółowienia pewnych zakresów danych. W tym wypadku staraliśmy się bazować na danych zarówno przekazanych przez zamawiającego, jak i danych z ortofotomap, czy chociażby ankietyzacji. Często zdarzało się, że nie mieliśmy informacji zwrotnej, albo była informacja, że dane działanie zostało zrealizowane. Tutaj apel – jeżeli macie Państwo wiedzę, że w wykazie brakuje jakiejś budowli, albo jest budowla, a działanie nie zostało zrealizowane to prosimy o informację zwrotną. Natomiast nie jest tak, że się cofamy. Wręcz wchodzimy na większy poziom szczegółowości. Rozpatrzenie potrzeby udrożnienia cieków, w kontekście skrócenia ciągłości biologicznej, która jest uwzględnieniem funkcji tego cieku, możliwością przywrócenia ciągłości morfologicznej, czyli nie tylko ciągłość biologiczna, ale także możliwość odtwarzania procesów hydromorfologicznych, siedlisk dla gatunków chronionych, dla ich bioframy, czyli miejsca bytowania i rozrodu były też istotne, więc tutaj schodzimy do poszczególnych budowli, z tą opcją, że oprócz ogólnego działania – jak wskazała analiza możliwości i realizacja, czyli dwuetapowe działania – mamy wykaz budowli i szereg informacji. Tak jak powiedziałam – jeżeli Państwo znacie pewne budowle lub wiecie, że któraś budowla została pominięta, a z Państwa obserwacji terenowych i zawodowych wynika, że rzeczywiście stanowi ona istotną barierę dla migracji organizmów wodnych, w tym ichtiofauny, to prosimy o informację zwrotną. Mamy okres konsultacji, właśnie po to, by Państwo zgłaszali uwagi i potrzeby.</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t>Jeżeli chodzi o prioretyzację – w metodyce jest szczegółowo opisane, jakie były przesłanki wyznaczania priorytetów, ale przypominając – kluczem były cieki szczególnie istotne dla ichtiofauny, tu opracowanie Pana Błachuty, który również był w zespole i czuwał nad tym elementem. Dodatkowo uwzględniane były cele środowiskowe dla obszarów chroniących przede wszystkich gatunki chronione i uwzględniony był stan elementów biologicznych, czyli szereg aspektów i jeżeli te przesłanki były stwierdzone i te budowle rzeczywiście stanowiły barierę, powodującą nieosiągnięcie tych celów środowiskowych, czy zły stan elementów biologicznych, wskazywane były działania. Jeśli Państwo znajdziecie takie budowle i wiecie, że jest przepławka, że ona nie jest sprawna, nie pełni swojej funkcji – informacja do nas. My wtedy jesteśmy w stanie, bazując na informacji od Państwa, zaproponować działanie o krok dalej. Natomiast nie mając tej informacji mamy pewne ograniczenia, jeżeli chodzi o możliwość przypisywania tych działań. Dlatego będziemy bardzo zobowiązani. Zachęcam też do przeanalizowania metodyki w kontekście działań, zapewniających ciągłość biologiczną i morfologiczną. I tak, jak powiedziałam – to jest to minimum, które wskazujemy. Potrzeb jest znacznie więcej, więc jeżeli Państwo, w ramach partnerstw, współpracy i projektów, realizowanych czy to z Narodowego Funduszu Ochrony Środowiska, czy projektów z Life będziecie chcieli renaturyzować cieki, jeziora, to jak najbardziej wszystkie projekty są mile widziane, wręcz pożądane ze względu na nieciekawą sytuację, dotyczącą stanu hydromorfologicznego. Ale także miejmy na uwadze, że wszelkie działania związane z renaturyzacją, będą sprzyjać poprawie jakości wody. W związku z tym to, co jest w zestawach działań, to jest minimum, natomiast to nie jest zamknięta lista. Tę listę można poszerzać. Jeżeli planujecie Państwo projekty na swoim terenie i wiecie, że będą realizowane w tym cyklu planistycznym, my je chętnie wpiszemy do zestawów działań, chociażby po to, by na zamknięcie roku móc uwzględnić Państwa działania w ocenie skuteczności i ich wpływ na osiągnięcie celów środowiskowych. Jeśli ktoś z Państwa wie, że jakaś przepławka nie działa i że to powoduje jakieś negatywne konsekwencje przyrodnicze, to jest szereg instrumentów prawnych, które pokazują co w tym przypadku można zrobić. Szeroki krąg społeczeństwa ma tutaj wiele narzędzi do dyspozycji, zwłaszcza w ostatnich po opublikowaniu przez Komisję Europejską nowych wytycznych w sprawie szkód w środowisku.</w:t>
            </w:r>
          </w:p>
        </w:tc>
      </w:tr>
      <w:tr w:rsidR="00E92AE6" w:rsidRPr="005E78BB" w14:paraId="1E79C433" w14:textId="77777777" w:rsidTr="00E92AE6">
        <w:trPr>
          <w:trHeight w:val="454"/>
        </w:trPr>
        <w:tc>
          <w:tcPr>
            <w:tcW w:w="562" w:type="dxa"/>
            <w:shd w:val="clear" w:color="auto" w:fill="auto"/>
          </w:tcPr>
          <w:p w14:paraId="29E93D30" w14:textId="0FC8FEF6"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891</w:t>
            </w:r>
          </w:p>
        </w:tc>
        <w:tc>
          <w:tcPr>
            <w:tcW w:w="1021" w:type="dxa"/>
            <w:tcBorders>
              <w:top w:val="single" w:sz="4" w:space="0" w:color="auto"/>
              <w:left w:val="nil"/>
              <w:bottom w:val="single" w:sz="4" w:space="0" w:color="auto"/>
              <w:right w:val="nil"/>
            </w:tcBorders>
            <w:shd w:val="clear" w:color="auto" w:fill="auto"/>
          </w:tcPr>
          <w:p w14:paraId="234AE7AE" w14:textId="17E4090B"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Okręg PZW w Tarnowie</w:t>
            </w:r>
          </w:p>
        </w:tc>
        <w:tc>
          <w:tcPr>
            <w:tcW w:w="1630" w:type="dxa"/>
            <w:shd w:val="clear" w:color="auto" w:fill="auto"/>
          </w:tcPr>
          <w:p w14:paraId="08567787" w14:textId="2624951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834380D" w14:textId="64784029"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Czy w ramach IIaPGW lub/i Krajowym Programie Renaturyzacji Wód Powierzchniowych (KPRWP) jest planowane wprowadzenie stałego otwartego publicznie narzędzia zgłaszania potrzeb i sugestii odnośnie do</w:t>
            </w:r>
            <w:r w:rsidRPr="00825321">
              <w:rPr>
                <w:rFonts w:eastAsia="Times New Roman" w:cstheme="minorHAnsi"/>
                <w:color w:val="000000"/>
                <w:sz w:val="18"/>
                <w:szCs w:val="18"/>
                <w:lang w:eastAsia="pl-PL"/>
              </w:rPr>
              <w:br/>
              <w:t>Renaturyzacji ( podobne jakie było podczas ankietyzacji i zgłaszania uwag ? )</w:t>
            </w:r>
          </w:p>
        </w:tc>
        <w:tc>
          <w:tcPr>
            <w:tcW w:w="3377" w:type="dxa"/>
            <w:shd w:val="clear" w:color="auto" w:fill="auto"/>
          </w:tcPr>
          <w:p w14:paraId="06574BE7" w14:textId="7442568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5E079616" w14:textId="2FFF9AD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6415BA88" w14:textId="51D2BFEC"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276" w:type="dxa"/>
            <w:shd w:val="clear" w:color="auto" w:fill="auto"/>
          </w:tcPr>
          <w:p w14:paraId="30A1ECDE" w14:textId="057A574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4F08C4FC" w14:textId="417243D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Jeżeli chodzi o działania, które wskazywaliśmy na poziomie krajowym, czy działania, które związane są z monitoringiem, kontrolą, to jest cała pula takich działań, które Państwo znajdziecie. Między innymi aktualizacja bazy HYMO, którą udało się zweryfikować na potrzeby, chociażby opracowania działań systemów naprawczych. To jest baza danych, która zawiera między innymi informację, dotyczącą przekształceń hydromorfologicznych, budowli piętrzących, budowli regulacyjnych. To dotyczy w dużej mierze części jednolitych wód rzecznych, ale grupa ekspertów zweryfikowała poszczególne obiekty na ortofotomapach i zweryfikowaliśmy informacje również w postaci ankietyzacji. Na potrzeby opracowania Krajowego Programu Renaturyzacji Wód Powierzchniowych powstało pewne narzędzie. Ze znajomości inicjatyw, które są podejmowane przez różne podmioty, zajmujące się ochroną środowiska wiem, że takie interaktywne narzędzia funkcjonują i cieszą się teraz bardzo dużym zainteresowaniem, chociażby w postaci nanoszenia tych barier dla migracji organizmów wodnych. Takie narzędzia, funkcjonujące w postaci interaktywnych map, na których można zaznaczać te informacje,które będą kluczowe i istotne, chociażby przy kolejnych działaniach. Tak, jak powiedziałam – w aspekcie podsumowania tego cyklu planistycznego uwzględniliśmy wszystkie możliwe bazy danych i informacje. W dużym zakresie skonsumowaliśmy wyniki Krajowego Projektu Renaturyzacji, na tyle na ile było to możliwe. Włączyliśmy działania z KPR w zakresie wdrażania działań renaturazycyjnych dla naturalnych jednolitych części wód, tych priorytetowych. W przypadku silnie zmienionych części wód wskazaliśmy działania, wynikające z testu restytucji, już po rozpatrzeniu funkcji obiektu, gdzie wskazywano możliwe do wdrożenia działania naprawcze, poprawiające morfologię; czyli związane z przebudową budowli piętrzących, udrożnieniem, czyli ciągłością, zadrzewieniami, przywracaniem naturalnego charakteru cieków itd. W związku z tym sama baza danych nie jest planowana jako narzędzie. Natomiast jeśli Państwo zdefiniujecie takie działanie, to bardzo proszę o zgłoszenie tego działania również w formie pisemnej. Osobiście będę temu przyglądać się i uwzględnimy możliwość włączenia ich do zestawu działań.</w:t>
            </w:r>
          </w:p>
        </w:tc>
      </w:tr>
      <w:tr w:rsidR="00E92AE6" w:rsidRPr="005E78BB" w14:paraId="43D52094" w14:textId="77777777" w:rsidTr="00E92AE6">
        <w:trPr>
          <w:trHeight w:val="454"/>
        </w:trPr>
        <w:tc>
          <w:tcPr>
            <w:tcW w:w="562" w:type="dxa"/>
            <w:shd w:val="clear" w:color="auto" w:fill="auto"/>
          </w:tcPr>
          <w:p w14:paraId="34848E85" w14:textId="0EB59D2A"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892</w:t>
            </w:r>
          </w:p>
        </w:tc>
        <w:tc>
          <w:tcPr>
            <w:tcW w:w="1021" w:type="dxa"/>
            <w:tcBorders>
              <w:top w:val="single" w:sz="4" w:space="0" w:color="auto"/>
              <w:left w:val="nil"/>
              <w:bottom w:val="single" w:sz="4" w:space="0" w:color="auto"/>
              <w:right w:val="nil"/>
            </w:tcBorders>
            <w:shd w:val="clear" w:color="auto" w:fill="auto"/>
          </w:tcPr>
          <w:p w14:paraId="15463B40" w14:textId="223B9795"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5EF6B1CE" w14:textId="7A3AF5C0"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39101290" w14:textId="1586E60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 xml:space="preserve">Chciałbym uzyskać informacje dla ilu procent </w:t>
            </w:r>
            <w:r w:rsidR="00513278">
              <w:rPr>
                <w:rFonts w:eastAsia="Times New Roman" w:cstheme="minorHAnsi"/>
                <w:color w:val="000000"/>
                <w:sz w:val="18"/>
                <w:szCs w:val="18"/>
                <w:lang w:eastAsia="pl-PL"/>
              </w:rPr>
              <w:t>JCWP</w:t>
            </w:r>
            <w:r w:rsidRPr="00825321">
              <w:rPr>
                <w:rFonts w:eastAsia="Times New Roman" w:cstheme="minorHAnsi"/>
                <w:color w:val="000000"/>
                <w:sz w:val="18"/>
                <w:szCs w:val="18"/>
                <w:lang w:eastAsia="pl-PL"/>
              </w:rPr>
              <w:t>-RW w regionie wodnym górnej-Zachodnie Wisły nie wprowadzono ani odroczenia ani złagodzenia celów środowiskowych? 10?</w:t>
            </w:r>
          </w:p>
        </w:tc>
        <w:tc>
          <w:tcPr>
            <w:tcW w:w="3377" w:type="dxa"/>
            <w:shd w:val="clear" w:color="auto" w:fill="auto"/>
          </w:tcPr>
          <w:p w14:paraId="38A4F947" w14:textId="7396F51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2BFBDFE7" w14:textId="01464D61"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78C962DA" w14:textId="1D199EC6"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276" w:type="dxa"/>
            <w:shd w:val="clear" w:color="auto" w:fill="auto"/>
          </w:tcPr>
          <w:p w14:paraId="60E23F67" w14:textId="57A13FCF"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62A73625" w14:textId="6019C496"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r>
            <w:r w:rsidRPr="00825321">
              <w:rPr>
                <w:rFonts w:eastAsia="Times New Roman" w:cstheme="minorHAnsi"/>
                <w:color w:val="000000"/>
                <w:sz w:val="18"/>
                <w:szCs w:val="18"/>
                <w:lang w:eastAsia="pl-PL"/>
              </w:rPr>
              <w:br/>
              <w:t>Podałem na prezentacji informację dla ilu procent ustalono odstępstwa. Zatem od 100% trzeba odjąć tę wartość, którą podałem na slajdzie i wyjdzie nam odpowiedź na pytanie. Przypominam, że prezentacje z dzisiejszego spotkania będą dostępne na stronie internetowej www.apgw.gov.pl.</w:t>
            </w:r>
          </w:p>
        </w:tc>
      </w:tr>
      <w:tr w:rsidR="00E92AE6" w:rsidRPr="005E78BB" w14:paraId="28AA276F" w14:textId="77777777" w:rsidTr="00E92AE6">
        <w:trPr>
          <w:trHeight w:val="454"/>
        </w:trPr>
        <w:tc>
          <w:tcPr>
            <w:tcW w:w="562" w:type="dxa"/>
            <w:shd w:val="clear" w:color="auto" w:fill="auto"/>
          </w:tcPr>
          <w:p w14:paraId="19953688" w14:textId="225B11E1" w:rsidR="00E92AE6" w:rsidRDefault="00E92AE6" w:rsidP="00E92AE6">
            <w:pPr>
              <w:ind w:firstLine="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893</w:t>
            </w:r>
          </w:p>
        </w:tc>
        <w:tc>
          <w:tcPr>
            <w:tcW w:w="1021" w:type="dxa"/>
            <w:tcBorders>
              <w:top w:val="single" w:sz="4" w:space="0" w:color="auto"/>
              <w:left w:val="nil"/>
              <w:bottom w:val="single" w:sz="4" w:space="0" w:color="auto"/>
              <w:right w:val="nil"/>
            </w:tcBorders>
            <w:shd w:val="clear" w:color="auto" w:fill="auto"/>
          </w:tcPr>
          <w:p w14:paraId="5510594F" w14:textId="6332E586"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hAnsi="Calibri" w:cs="Calibri"/>
                <w:color w:val="000000"/>
                <w:sz w:val="18"/>
                <w:szCs w:val="18"/>
              </w:rPr>
              <w:t>Fundacja Greenmind</w:t>
            </w:r>
          </w:p>
        </w:tc>
        <w:tc>
          <w:tcPr>
            <w:tcW w:w="1630" w:type="dxa"/>
            <w:shd w:val="clear" w:color="auto" w:fill="auto"/>
          </w:tcPr>
          <w:p w14:paraId="6CD6643B" w14:textId="57F80B0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inne/pozostałe</w:t>
            </w:r>
          </w:p>
        </w:tc>
        <w:tc>
          <w:tcPr>
            <w:tcW w:w="5663" w:type="dxa"/>
            <w:shd w:val="clear" w:color="auto" w:fill="auto"/>
          </w:tcPr>
          <w:p w14:paraId="77D0190D" w14:textId="61CCD21D"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To, co nazywacie Państwo &amp;#34;odroczeniem&amp;#34; terminu po roku 2027 oznacza nie osiągnięcie celu RDW. Komisja Europejska od kilku lat prowadzi postępowanie naruszeniowe przeciw Polsce i jest ono na etapie ostatnim - po uzasadnionej opinii. Czy nie obawiacie się Państwo, że takie masowe odstępstwa od osiągnięcie celów środowiskowych spowoduje skierowanie skargi do TSUE? Może czas zakończyć erę &amp;#34;betonozy i zbiornikozy&amp;#34; oraz działań pozorowanych i zabrać się za rzeczywiste poprawianie stanu wód?</w:t>
            </w:r>
          </w:p>
        </w:tc>
        <w:tc>
          <w:tcPr>
            <w:tcW w:w="3377" w:type="dxa"/>
            <w:shd w:val="clear" w:color="auto" w:fill="auto"/>
          </w:tcPr>
          <w:p w14:paraId="055DFE0A" w14:textId="09A592B5"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3401" w:type="dxa"/>
            <w:shd w:val="clear" w:color="auto" w:fill="auto"/>
          </w:tcPr>
          <w:p w14:paraId="01E771EB" w14:textId="2FF9DA02"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t>
            </w:r>
          </w:p>
        </w:tc>
        <w:tc>
          <w:tcPr>
            <w:tcW w:w="1918" w:type="dxa"/>
            <w:shd w:val="clear" w:color="auto" w:fill="auto"/>
          </w:tcPr>
          <w:p w14:paraId="270A0543" w14:textId="7AECC3D4" w:rsidR="00E92AE6" w:rsidRPr="005E78BB" w:rsidRDefault="00E92AE6" w:rsidP="00E92AE6">
            <w:pPr>
              <w:ind w:firstLine="0"/>
              <w:jc w:val="left"/>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w:t>
            </w:r>
          </w:p>
        </w:tc>
        <w:tc>
          <w:tcPr>
            <w:tcW w:w="1276" w:type="dxa"/>
            <w:shd w:val="clear" w:color="auto" w:fill="auto"/>
          </w:tcPr>
          <w:p w14:paraId="46789A5B" w14:textId="579786E8"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wyjaśnienie</w:t>
            </w:r>
          </w:p>
        </w:tc>
        <w:tc>
          <w:tcPr>
            <w:tcW w:w="3513" w:type="dxa"/>
            <w:shd w:val="clear" w:color="auto" w:fill="auto"/>
          </w:tcPr>
          <w:p w14:paraId="0A0A5990" w14:textId="77777777" w:rsidR="00E92AE6" w:rsidRDefault="00E92AE6" w:rsidP="00E92AE6">
            <w:pPr>
              <w:ind w:firstLine="0"/>
              <w:jc w:val="left"/>
              <w:rPr>
                <w:rFonts w:eastAsia="Times New Roman" w:cstheme="minorHAnsi"/>
                <w:color w:val="000000"/>
                <w:sz w:val="18"/>
                <w:szCs w:val="18"/>
                <w:lang w:eastAsia="pl-PL"/>
              </w:rPr>
            </w:pPr>
            <w:r w:rsidRPr="00825321">
              <w:rPr>
                <w:rFonts w:eastAsia="Times New Roman" w:cstheme="minorHAnsi"/>
                <w:color w:val="000000"/>
                <w:sz w:val="18"/>
                <w:szCs w:val="18"/>
                <w:lang w:eastAsia="pl-PL"/>
              </w:rPr>
              <w:t>Odpowiedzi udzielono na spotkaniu konsultacyjnym.</w:t>
            </w:r>
            <w:r w:rsidRPr="00825321">
              <w:rPr>
                <w:rFonts w:eastAsia="Times New Roman" w:cstheme="minorHAnsi"/>
                <w:color w:val="000000"/>
                <w:sz w:val="18"/>
                <w:szCs w:val="18"/>
                <w:lang w:eastAsia="pl-PL"/>
              </w:rPr>
              <w:br w:type="page"/>
            </w:r>
            <w:r w:rsidRPr="00825321">
              <w:rPr>
                <w:rFonts w:eastAsia="Times New Roman" w:cstheme="minorHAnsi"/>
                <w:color w:val="000000"/>
                <w:sz w:val="18"/>
                <w:szCs w:val="18"/>
                <w:lang w:eastAsia="pl-PL"/>
              </w:rPr>
              <w:br w:type="page"/>
            </w:r>
          </w:p>
          <w:p w14:paraId="787F7440" w14:textId="77777777" w:rsidR="00E92AE6" w:rsidRDefault="00E92AE6" w:rsidP="00E92AE6">
            <w:pPr>
              <w:ind w:firstLine="0"/>
              <w:jc w:val="left"/>
              <w:rPr>
                <w:rFonts w:eastAsia="Times New Roman" w:cstheme="minorHAnsi"/>
                <w:color w:val="000000"/>
                <w:sz w:val="18"/>
                <w:szCs w:val="18"/>
                <w:lang w:eastAsia="pl-PL"/>
              </w:rPr>
            </w:pPr>
          </w:p>
          <w:p w14:paraId="1BC67CB0" w14:textId="4A1A92D3" w:rsidR="00E92AE6" w:rsidRPr="005E78BB" w:rsidRDefault="00E92AE6" w:rsidP="00E92AE6">
            <w:pPr>
              <w:ind w:firstLine="0"/>
              <w:jc w:val="left"/>
              <w:rPr>
                <w:rFonts w:ascii="Calibri" w:eastAsia="Times New Roman" w:hAnsi="Calibri" w:cs="Calibri"/>
                <w:color w:val="000000"/>
                <w:sz w:val="18"/>
                <w:szCs w:val="18"/>
                <w:lang w:eastAsia="pl-PL"/>
              </w:rPr>
            </w:pPr>
            <w:r w:rsidRPr="00825321">
              <w:rPr>
                <w:rFonts w:eastAsia="Times New Roman" w:cstheme="minorHAnsi"/>
                <w:color w:val="000000"/>
                <w:sz w:val="18"/>
                <w:szCs w:val="18"/>
                <w:lang w:eastAsia="pl-PL"/>
              </w:rPr>
              <w:t>Od tego są konsultacje społeczne, aby można było ocenić, czy nasza koncepcja, jak pisze autor – zabierania się za poprawianie stanu wód – jest odpowiednia. Materiały źródłowe typu analiza presji, dane o stanie wód itd., są ogólnodostępne. Natomiast odnośnie do tego, czy nie obawiamy się, że sprawa może się skończyć w trybunale unijnym – wydaje mi się, że każdy Polak się obawia, że Polska może się spotkać z przykrymi konsekwencjami w Trybunale Sprawiedliwości UE. Natomiast nasza odpowiedź na to zagadnienie jest taka, że dlatego staramy się w wykazie odstępstw uzasadnić i pokazać z czego to wynika. Nasza odpowiedź jest również taka, że wprowadzamy odstępstwa dla konkretnych wskaźników. Nie dla stanu ekologicznego, nie dla stanu chemicznego, ilościowego, lecz dla konkretnych parametrów. I mocno to uzasadniamy. Pamiętajmy, Ramowa Dyrektywa Wodna kładzie duży nacisk na to, żeby państwa członkowskie UE dążyły do osiągnięcia celów środowiskowych i tam, gdzie jest to możliwe, powinno się ono zakończyć osiągnięciem tych celów, a tam, gdzie jest to nierealne, państwa członkowskie powinny wykazać, dlaczego jest to niemożliwe. Wydaje się, że koncepcja, którą teraz przedstawiamy, jest szersza niż w poprzednim planie gospodarowania wodami, a czy jest odpowiednia czy nie – od tego są konsultacje społeczne, żeby Państwo mogli to ocenić.</w:t>
            </w:r>
          </w:p>
        </w:tc>
      </w:tr>
    </w:tbl>
    <w:p w14:paraId="6697B628" w14:textId="77777777" w:rsidR="00AA7C26" w:rsidRDefault="00AA7C26"/>
    <w:sectPr w:rsidR="00AA7C26" w:rsidSect="005E78BB">
      <w:headerReference w:type="even" r:id="rId12"/>
      <w:headerReference w:type="default" r:id="rId13"/>
      <w:footerReference w:type="even" r:id="rId14"/>
      <w:footerReference w:type="default" r:id="rId15"/>
      <w:headerReference w:type="first" r:id="rId16"/>
      <w:footerReference w:type="first" r:id="rId17"/>
      <w:pgSz w:w="23811" w:h="16838" w:orient="landscape" w:code="8"/>
      <w:pgMar w:top="720" w:right="720" w:bottom="720" w:left="720" w:header="28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E8E6" w16cex:dateUtc="2022-04-20T00:05:00Z"/>
  <w16cex:commentExtensible w16cex:durableId="2609EA8B" w16cex:dateUtc="2022-04-20T00:12:00Z"/>
  <w16cex:commentExtensible w16cex:durableId="2609EB22" w16cex:dateUtc="2022-04-20T00:14:00Z"/>
  <w16cex:commentExtensible w16cex:durableId="2609EB3A" w16cex:dateUtc="2022-04-20T00:15:00Z"/>
  <w16cex:commentExtensible w16cex:durableId="2609EBDB" w16cex:dateUtc="2022-04-20T00:18:00Z"/>
  <w16cex:commentExtensible w16cex:durableId="2609EC1A" w16cex:dateUtc="2022-04-20T00:19:00Z"/>
  <w16cex:commentExtensible w16cex:durableId="2609ECB9" w16cex:dateUtc="2022-04-20T00:21:00Z"/>
  <w16cex:commentExtensible w16cex:durableId="2609ED19" w16cex:dateUtc="2022-04-20T00:23:00Z"/>
  <w16cex:commentExtensible w16cex:durableId="2609ED69" w16cex:dateUtc="2022-04-20T00:24:00Z"/>
  <w16cex:commentExtensible w16cex:durableId="2609EE04" w16cex:dateUtc="2022-04-20T00:27:00Z"/>
  <w16cex:commentExtensible w16cex:durableId="2609EE30" w16cex:dateUtc="2022-04-20T00:28:00Z"/>
  <w16cex:commentExtensible w16cex:durableId="2609EE8C" w16cex:dateUtc="2022-04-20T00:29:00Z"/>
  <w16cex:commentExtensible w16cex:durableId="2609EEA9" w16cex:dateUtc="2022-04-20T00:30:00Z"/>
  <w16cex:commentExtensible w16cex:durableId="2609EEDC" w16cex:dateUtc="2022-04-20T00:30:00Z"/>
  <w16cex:commentExtensible w16cex:durableId="2609EF07" w16cex:dateUtc="2022-04-20T00:31:00Z"/>
  <w16cex:commentExtensible w16cex:durableId="2609EF39" w16cex:dateUtc="2022-04-20T00:32:00Z"/>
  <w16cex:commentExtensible w16cex:durableId="2609EF65" w16cex:dateUtc="2022-04-20T00:33:00Z"/>
  <w16cex:commentExtensible w16cex:durableId="2609EF8F" w16cex:dateUtc="2022-04-20T00:33:00Z"/>
  <w16cex:commentExtensible w16cex:durableId="2609EFC8" w16cex:dateUtc="2022-04-20T00:34:00Z"/>
  <w16cex:commentExtensible w16cex:durableId="2609EFE6" w16cex:dateUtc="2022-04-20T00:35:00Z"/>
  <w16cex:commentExtensible w16cex:durableId="2609F04E" w16cex:dateUtc="2022-04-20T00:37:00Z"/>
  <w16cex:commentExtensible w16cex:durableId="2609F02F" w16cex:dateUtc="2022-04-20T00:36:00Z"/>
  <w16cex:commentExtensible w16cex:durableId="2609F0DB" w16cex:dateUtc="2022-04-20T00:39:00Z"/>
  <w16cex:commentExtensible w16cex:durableId="2609F0CE" w16cex:dateUtc="2022-04-20T00:39:00Z"/>
  <w16cex:commentExtensible w16cex:durableId="2609F10F" w16cex:dateUtc="2022-04-20T00:40:00Z"/>
  <w16cex:commentExtensible w16cex:durableId="2609F13A" w16cex:dateUtc="2022-04-20T00:40:00Z"/>
  <w16cex:commentExtensible w16cex:durableId="2609F234" w16cex:dateUtc="2022-04-20T00:45:00Z"/>
  <w16cex:commentExtensible w16cex:durableId="2609F29F" w16cex:dateUtc="2022-04-20T00:46:00Z"/>
  <w16cex:commentExtensible w16cex:durableId="2609F28F" w16cex:dateUtc="2022-04-20T00:46:00Z"/>
  <w16cex:commentExtensible w16cex:durableId="2609F2C9" w16cex:dateUtc="2022-04-20T00:47:00Z"/>
  <w16cex:commentExtensible w16cex:durableId="2609F2D1" w16cex:dateUtc="2022-04-20T00:47:00Z"/>
  <w16cex:commentExtensible w16cex:durableId="2609F325" w16cex:dateUtc="2022-04-20T00:49:00Z"/>
  <w16cex:commentExtensible w16cex:durableId="2609F31F" w16cex:dateUtc="2022-04-20T00:49:00Z"/>
  <w16cex:commentExtensible w16cex:durableId="2609F34E" w16cex:dateUtc="2022-04-20T00:49:00Z"/>
  <w16cex:commentExtensible w16cex:durableId="2609F354" w16cex:dateUtc="2022-04-20T00:49:00Z"/>
  <w16cex:commentExtensible w16cex:durableId="2609F3A0" w16cex:dateUtc="2022-04-20T00:51:00Z"/>
  <w16cex:commentExtensible w16cex:durableId="2609F39B" w16cex:dateUtc="2022-04-20T00:51:00Z"/>
  <w16cex:commentExtensible w16cex:durableId="2609F3C2" w16cex:dateUtc="2022-04-20T00:51:00Z"/>
  <w16cex:commentExtensible w16cex:durableId="2609F3C8" w16cex:dateUtc="2022-04-20T00:51:00Z"/>
  <w16cex:commentExtensible w16cex:durableId="2609F46E" w16cex:dateUtc="2022-04-20T00:54:00Z"/>
  <w16cex:commentExtensible w16cex:durableId="2609F4CE" w16cex:dateUtc="2022-04-20T00:56:00Z"/>
  <w16cex:commentExtensible w16cex:durableId="2609F559" w16cex:dateUtc="2022-04-20T00: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8E90F" w14:textId="77777777" w:rsidR="006106C0" w:rsidRDefault="006106C0" w:rsidP="000602F3">
      <w:r>
        <w:separator/>
      </w:r>
    </w:p>
  </w:endnote>
  <w:endnote w:type="continuationSeparator" w:id="0">
    <w:p w14:paraId="76AE8C0A" w14:textId="77777777" w:rsidR="006106C0" w:rsidRDefault="006106C0" w:rsidP="0006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054E" w14:textId="77777777" w:rsidR="00FB7106" w:rsidRDefault="00FB710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8EA7" w14:textId="77777777" w:rsidR="00FB7106" w:rsidRDefault="00FB710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D959D" w14:textId="77777777" w:rsidR="00FB7106" w:rsidRDefault="00FB71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24F83" w14:textId="77777777" w:rsidR="006106C0" w:rsidRDefault="006106C0" w:rsidP="000602F3">
      <w:r>
        <w:separator/>
      </w:r>
    </w:p>
  </w:footnote>
  <w:footnote w:type="continuationSeparator" w:id="0">
    <w:p w14:paraId="1F467494" w14:textId="77777777" w:rsidR="006106C0" w:rsidRDefault="006106C0" w:rsidP="0006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179E9" w14:textId="77777777" w:rsidR="00FB7106" w:rsidRDefault="00FB710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A1A8" w14:textId="695ED565" w:rsidR="0072368A" w:rsidRDefault="0072368A">
    <w:pPr>
      <w:pStyle w:val="Nagwek"/>
      <w:rPr>
        <w:rFonts w:ascii="Calibri" w:eastAsia="Times New Roman" w:hAnsi="Calibri" w:cs="Calibri"/>
        <w:b/>
        <w:bCs/>
        <w:color w:val="000000"/>
        <w:lang w:eastAsia="pl-PL"/>
      </w:rPr>
    </w:pPr>
  </w:p>
  <w:p w14:paraId="2F5DE94D" w14:textId="25FE4DD8" w:rsidR="0072368A" w:rsidRDefault="0072368A">
    <w:pPr>
      <w:pStyle w:val="Nagwek"/>
      <w:rPr>
        <w:rFonts w:ascii="Calibri" w:eastAsia="Times New Roman" w:hAnsi="Calibri" w:cs="Calibri"/>
        <w:b/>
        <w:bCs/>
        <w:color w:val="000000"/>
        <w:lang w:eastAsia="pl-PL"/>
      </w:rPr>
    </w:pPr>
  </w:p>
  <w:p w14:paraId="6CC31905" w14:textId="264CFF6E" w:rsidR="0072368A" w:rsidRDefault="0072368A">
    <w:pPr>
      <w:pStyle w:val="Nagwek"/>
      <w:rPr>
        <w:rFonts w:ascii="Calibri" w:eastAsia="Times New Roman" w:hAnsi="Calibri" w:cs="Calibri"/>
        <w:b/>
        <w:bCs/>
        <w:color w:val="000000"/>
        <w:lang w:eastAsia="pl-PL"/>
      </w:rPr>
    </w:pPr>
  </w:p>
  <w:p w14:paraId="0BDFF8A5" w14:textId="3319C34B" w:rsidR="0072368A" w:rsidRDefault="0072368A">
    <w:pPr>
      <w:pStyle w:val="Nagwek"/>
      <w:rPr>
        <w:rFonts w:ascii="Calibri" w:eastAsia="Times New Roman" w:hAnsi="Calibri" w:cs="Calibri"/>
        <w:b/>
        <w:bCs/>
        <w:color w:val="000000"/>
        <w:lang w:eastAsia="pl-PL"/>
      </w:rPr>
    </w:pPr>
  </w:p>
  <w:p w14:paraId="38FAE0E2" w14:textId="0F48DF12" w:rsidR="0072368A" w:rsidRDefault="0072368A">
    <w:pPr>
      <w:pStyle w:val="Nagwek"/>
      <w:rPr>
        <w:rFonts w:ascii="Calibri" w:eastAsia="Times New Roman" w:hAnsi="Calibri" w:cs="Calibri"/>
        <w:b/>
        <w:bCs/>
        <w:color w:val="000000"/>
        <w:lang w:eastAsia="pl-PL"/>
      </w:rPr>
    </w:pPr>
  </w:p>
  <w:p w14:paraId="27B6A494" w14:textId="6EA50C47" w:rsidR="0072368A" w:rsidRDefault="0072368A">
    <w:pPr>
      <w:pStyle w:val="Nagwek"/>
      <w:rPr>
        <w:rFonts w:ascii="Calibri" w:eastAsia="Times New Roman" w:hAnsi="Calibri" w:cs="Calibri"/>
        <w:b/>
        <w:bCs/>
        <w:color w:val="000000"/>
        <w:lang w:eastAsia="pl-PL"/>
      </w:rPr>
    </w:pPr>
    <w:r w:rsidRPr="000602F3">
      <w:rPr>
        <w:rFonts w:ascii="Calibri" w:eastAsia="Times New Roman" w:hAnsi="Calibri" w:cs="Calibri"/>
        <w:b/>
        <w:bCs/>
        <w:color w:val="000000"/>
        <w:lang w:eastAsia="pl-PL"/>
      </w:rPr>
      <w:t xml:space="preserve">ZESTAWIENIE UWAG ZGŁOSZONYCH W TRAKCIE KONSULTACJI SPOŁECZNYCH PROJEKTU </w:t>
    </w:r>
    <w:r w:rsidR="00EE0EDE">
      <w:rPr>
        <w:rFonts w:ascii="Calibri" w:eastAsia="Times New Roman" w:hAnsi="Calibri" w:cs="Calibri"/>
        <w:b/>
        <w:bCs/>
        <w:color w:val="000000"/>
        <w:lang w:eastAsia="pl-PL"/>
      </w:rPr>
      <w:t xml:space="preserve">DRUGIEJ AKTUALIZACJI PLANU GOSPODAROWANIA WODAMI </w:t>
    </w:r>
    <w:r w:rsidR="00FB7106">
      <w:rPr>
        <w:rFonts w:ascii="Calibri" w:eastAsia="Times New Roman" w:hAnsi="Calibri" w:cs="Calibri"/>
        <w:b/>
        <w:bCs/>
        <w:color w:val="000000"/>
        <w:lang w:eastAsia="pl-PL"/>
      </w:rPr>
      <w:t>(</w:t>
    </w:r>
    <w:r w:rsidRPr="000602F3">
      <w:rPr>
        <w:rFonts w:ascii="Calibri" w:eastAsia="Times New Roman" w:hAnsi="Calibri" w:cs="Calibri"/>
        <w:b/>
        <w:bCs/>
        <w:color w:val="000000"/>
        <w:lang w:eastAsia="pl-PL"/>
      </w:rPr>
      <w:t>IIaPGW</w:t>
    </w:r>
    <w:r w:rsidR="00FB7106">
      <w:rPr>
        <w:rFonts w:ascii="Calibri" w:eastAsia="Times New Roman" w:hAnsi="Calibri" w:cs="Calibri"/>
        <w:b/>
        <w:bCs/>
        <w:color w:val="000000"/>
        <w:lang w:eastAsia="pl-PL"/>
      </w:rPr>
      <w:t>)</w:t>
    </w:r>
    <w:r w:rsidRPr="000602F3">
      <w:rPr>
        <w:rFonts w:ascii="Calibri" w:eastAsia="Times New Roman" w:hAnsi="Calibri" w:cs="Calibri"/>
        <w:b/>
        <w:bCs/>
        <w:color w:val="000000"/>
        <w:lang w:eastAsia="pl-PL"/>
      </w:rPr>
      <w:t xml:space="preserve"> </w:t>
    </w:r>
    <w:r w:rsidR="00EE0EDE">
      <w:rPr>
        <w:rFonts w:ascii="Calibri" w:eastAsia="Times New Roman" w:hAnsi="Calibri" w:cs="Calibri"/>
        <w:b/>
        <w:bCs/>
        <w:color w:val="000000"/>
        <w:lang w:eastAsia="pl-PL"/>
      </w:rPr>
      <w:t>NA</w:t>
    </w:r>
    <w:r w:rsidRPr="000602F3">
      <w:rPr>
        <w:rFonts w:ascii="Calibri" w:eastAsia="Times New Roman" w:hAnsi="Calibri" w:cs="Calibri"/>
        <w:b/>
        <w:bCs/>
        <w:color w:val="000000"/>
        <w:lang w:eastAsia="pl-PL"/>
      </w:rPr>
      <w:t xml:space="preserve"> OBSZAR</w:t>
    </w:r>
    <w:r w:rsidR="00EE0EDE">
      <w:rPr>
        <w:rFonts w:ascii="Calibri" w:eastAsia="Times New Roman" w:hAnsi="Calibri" w:cs="Calibri"/>
        <w:b/>
        <w:bCs/>
        <w:color w:val="000000"/>
        <w:lang w:eastAsia="pl-PL"/>
      </w:rPr>
      <w:t>ZE</w:t>
    </w:r>
    <w:r w:rsidRPr="000602F3">
      <w:rPr>
        <w:rFonts w:ascii="Calibri" w:eastAsia="Times New Roman" w:hAnsi="Calibri" w:cs="Calibri"/>
        <w:b/>
        <w:bCs/>
        <w:color w:val="000000"/>
        <w:lang w:eastAsia="pl-PL"/>
      </w:rPr>
      <w:t xml:space="preserve"> DORZECZA </w:t>
    </w:r>
    <w:r>
      <w:rPr>
        <w:rFonts w:ascii="Calibri" w:eastAsia="Times New Roman" w:hAnsi="Calibri" w:cs="Calibri"/>
        <w:b/>
        <w:bCs/>
        <w:color w:val="000000"/>
        <w:lang w:eastAsia="pl-PL"/>
      </w:rPr>
      <w:t xml:space="preserve">WISŁY </w:t>
    </w:r>
    <w:r w:rsidRPr="000602F3">
      <w:rPr>
        <w:rFonts w:ascii="Calibri" w:eastAsia="Times New Roman" w:hAnsi="Calibri" w:cs="Calibri"/>
        <w:b/>
        <w:bCs/>
        <w:color w:val="000000"/>
        <w:lang w:eastAsia="pl-PL"/>
      </w:rPr>
      <w:t>(14.04.2021 - 14.10.2021)</w:t>
    </w:r>
  </w:p>
  <w:p w14:paraId="054983D0" w14:textId="77777777" w:rsidR="0072368A" w:rsidRDefault="0072368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0379" w14:textId="77777777" w:rsidR="00FB7106" w:rsidRDefault="00FB71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B6D19"/>
    <w:multiLevelType w:val="hybridMultilevel"/>
    <w:tmpl w:val="434C1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2F3"/>
    <w:rsid w:val="00024258"/>
    <w:rsid w:val="000254DC"/>
    <w:rsid w:val="00044721"/>
    <w:rsid w:val="000602F3"/>
    <w:rsid w:val="00061EC9"/>
    <w:rsid w:val="00066694"/>
    <w:rsid w:val="00096BC6"/>
    <w:rsid w:val="00096CDE"/>
    <w:rsid w:val="000C15AC"/>
    <w:rsid w:val="000D6B96"/>
    <w:rsid w:val="00115890"/>
    <w:rsid w:val="00124EB6"/>
    <w:rsid w:val="00161CC7"/>
    <w:rsid w:val="00197698"/>
    <w:rsid w:val="001A0E70"/>
    <w:rsid w:val="001A18D8"/>
    <w:rsid w:val="001C0B76"/>
    <w:rsid w:val="001C3C71"/>
    <w:rsid w:val="001E404E"/>
    <w:rsid w:val="00206924"/>
    <w:rsid w:val="00211E44"/>
    <w:rsid w:val="00222141"/>
    <w:rsid w:val="00232B2A"/>
    <w:rsid w:val="002C331C"/>
    <w:rsid w:val="002F64BB"/>
    <w:rsid w:val="00340B03"/>
    <w:rsid w:val="00344386"/>
    <w:rsid w:val="0035458C"/>
    <w:rsid w:val="003B1AF2"/>
    <w:rsid w:val="003C7318"/>
    <w:rsid w:val="003D25C3"/>
    <w:rsid w:val="003E0FE7"/>
    <w:rsid w:val="00407290"/>
    <w:rsid w:val="004155D2"/>
    <w:rsid w:val="00425C9F"/>
    <w:rsid w:val="00442887"/>
    <w:rsid w:val="00455190"/>
    <w:rsid w:val="004744CC"/>
    <w:rsid w:val="004A68B1"/>
    <w:rsid w:val="004D1B72"/>
    <w:rsid w:val="004F7363"/>
    <w:rsid w:val="00513278"/>
    <w:rsid w:val="00517A66"/>
    <w:rsid w:val="00560D30"/>
    <w:rsid w:val="0058205E"/>
    <w:rsid w:val="005A77B7"/>
    <w:rsid w:val="005A7C7F"/>
    <w:rsid w:val="005B6DCF"/>
    <w:rsid w:val="005D3C2A"/>
    <w:rsid w:val="005D5368"/>
    <w:rsid w:val="005E78BB"/>
    <w:rsid w:val="005E7F90"/>
    <w:rsid w:val="00601A0F"/>
    <w:rsid w:val="006106C0"/>
    <w:rsid w:val="00623E83"/>
    <w:rsid w:val="00625F9B"/>
    <w:rsid w:val="0067266D"/>
    <w:rsid w:val="006A6D35"/>
    <w:rsid w:val="006B4EB6"/>
    <w:rsid w:val="006E01F1"/>
    <w:rsid w:val="006F4C50"/>
    <w:rsid w:val="00707C14"/>
    <w:rsid w:val="00721E63"/>
    <w:rsid w:val="0072368A"/>
    <w:rsid w:val="00737B63"/>
    <w:rsid w:val="007C4DD2"/>
    <w:rsid w:val="007F01F8"/>
    <w:rsid w:val="00844562"/>
    <w:rsid w:val="00846586"/>
    <w:rsid w:val="0085319C"/>
    <w:rsid w:val="008C0A9F"/>
    <w:rsid w:val="008D428E"/>
    <w:rsid w:val="008F4CE5"/>
    <w:rsid w:val="00910846"/>
    <w:rsid w:val="009357AB"/>
    <w:rsid w:val="0094031E"/>
    <w:rsid w:val="009F49C7"/>
    <w:rsid w:val="00A355B5"/>
    <w:rsid w:val="00A36765"/>
    <w:rsid w:val="00AA7C26"/>
    <w:rsid w:val="00AB1F90"/>
    <w:rsid w:val="00AC5FB1"/>
    <w:rsid w:val="00AD4326"/>
    <w:rsid w:val="00AE4E62"/>
    <w:rsid w:val="00AE7A0A"/>
    <w:rsid w:val="00AF550B"/>
    <w:rsid w:val="00B00FB6"/>
    <w:rsid w:val="00B61971"/>
    <w:rsid w:val="00B65162"/>
    <w:rsid w:val="00B83E36"/>
    <w:rsid w:val="00BA63E1"/>
    <w:rsid w:val="00BC5088"/>
    <w:rsid w:val="00C02B07"/>
    <w:rsid w:val="00C065C8"/>
    <w:rsid w:val="00C34E3B"/>
    <w:rsid w:val="00C35611"/>
    <w:rsid w:val="00C46A1C"/>
    <w:rsid w:val="00CA5484"/>
    <w:rsid w:val="00CC0A68"/>
    <w:rsid w:val="00CD5FC4"/>
    <w:rsid w:val="00CD6FBC"/>
    <w:rsid w:val="00CE3298"/>
    <w:rsid w:val="00D01727"/>
    <w:rsid w:val="00D22D78"/>
    <w:rsid w:val="00D32B2A"/>
    <w:rsid w:val="00D426D9"/>
    <w:rsid w:val="00D86E84"/>
    <w:rsid w:val="00D91057"/>
    <w:rsid w:val="00DC2E5B"/>
    <w:rsid w:val="00DD5390"/>
    <w:rsid w:val="00DD7D2D"/>
    <w:rsid w:val="00E05515"/>
    <w:rsid w:val="00E372BC"/>
    <w:rsid w:val="00E4392B"/>
    <w:rsid w:val="00E47ABC"/>
    <w:rsid w:val="00E52001"/>
    <w:rsid w:val="00E92AE6"/>
    <w:rsid w:val="00EA6A36"/>
    <w:rsid w:val="00EE0EDE"/>
    <w:rsid w:val="00F3428D"/>
    <w:rsid w:val="00F4097F"/>
    <w:rsid w:val="00F70D15"/>
    <w:rsid w:val="00F71813"/>
    <w:rsid w:val="00F86078"/>
    <w:rsid w:val="00F91712"/>
    <w:rsid w:val="00FA645B"/>
    <w:rsid w:val="00FB7106"/>
    <w:rsid w:val="00FD0B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16427"/>
  <w15:chartTrackingRefBased/>
  <w15:docId w15:val="{20F35EFD-B412-4565-97B9-8A1C993E1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ind w:firstLine="28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line="240"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02F3"/>
    <w:pPr>
      <w:tabs>
        <w:tab w:val="center" w:pos="4536"/>
        <w:tab w:val="right" w:pos="9072"/>
      </w:tabs>
    </w:pPr>
  </w:style>
  <w:style w:type="character" w:customStyle="1" w:styleId="NagwekZnak">
    <w:name w:val="Nagłówek Znak"/>
    <w:basedOn w:val="Domylnaczcionkaakapitu"/>
    <w:link w:val="Nagwek"/>
    <w:uiPriority w:val="99"/>
    <w:rsid w:val="000602F3"/>
  </w:style>
  <w:style w:type="paragraph" w:styleId="Stopka">
    <w:name w:val="footer"/>
    <w:basedOn w:val="Normalny"/>
    <w:link w:val="StopkaZnak"/>
    <w:uiPriority w:val="99"/>
    <w:unhideWhenUsed/>
    <w:rsid w:val="000602F3"/>
    <w:pPr>
      <w:tabs>
        <w:tab w:val="center" w:pos="4536"/>
        <w:tab w:val="right" w:pos="9072"/>
      </w:tabs>
    </w:pPr>
  </w:style>
  <w:style w:type="character" w:customStyle="1" w:styleId="StopkaZnak">
    <w:name w:val="Stopka Znak"/>
    <w:basedOn w:val="Domylnaczcionkaakapitu"/>
    <w:link w:val="Stopka"/>
    <w:uiPriority w:val="99"/>
    <w:rsid w:val="000602F3"/>
  </w:style>
  <w:style w:type="paragraph" w:styleId="Akapitzlist">
    <w:name w:val="List Paragraph"/>
    <w:basedOn w:val="Normalny"/>
    <w:uiPriority w:val="34"/>
    <w:qFormat/>
    <w:rsid w:val="008F4CE5"/>
    <w:pPr>
      <w:ind w:left="720"/>
      <w:contextualSpacing/>
    </w:pPr>
  </w:style>
  <w:style w:type="character" w:styleId="Odwoaniedokomentarza">
    <w:name w:val="annotation reference"/>
    <w:basedOn w:val="Domylnaczcionkaakapitu"/>
    <w:uiPriority w:val="99"/>
    <w:semiHidden/>
    <w:unhideWhenUsed/>
    <w:rsid w:val="008F4CE5"/>
    <w:rPr>
      <w:sz w:val="16"/>
      <w:szCs w:val="16"/>
    </w:rPr>
  </w:style>
  <w:style w:type="paragraph" w:styleId="Tekstkomentarza">
    <w:name w:val="annotation text"/>
    <w:basedOn w:val="Normalny"/>
    <w:link w:val="TekstkomentarzaZnak"/>
    <w:uiPriority w:val="99"/>
    <w:semiHidden/>
    <w:unhideWhenUsed/>
    <w:rsid w:val="008F4CE5"/>
    <w:rPr>
      <w:sz w:val="20"/>
      <w:szCs w:val="20"/>
    </w:rPr>
  </w:style>
  <w:style w:type="character" w:customStyle="1" w:styleId="TekstkomentarzaZnak">
    <w:name w:val="Tekst komentarza Znak"/>
    <w:basedOn w:val="Domylnaczcionkaakapitu"/>
    <w:link w:val="Tekstkomentarza"/>
    <w:uiPriority w:val="99"/>
    <w:semiHidden/>
    <w:rsid w:val="008F4CE5"/>
    <w:rPr>
      <w:sz w:val="20"/>
      <w:szCs w:val="20"/>
    </w:rPr>
  </w:style>
  <w:style w:type="paragraph" w:styleId="Tematkomentarza">
    <w:name w:val="annotation subject"/>
    <w:basedOn w:val="Tekstkomentarza"/>
    <w:next w:val="Tekstkomentarza"/>
    <w:link w:val="TematkomentarzaZnak"/>
    <w:uiPriority w:val="99"/>
    <w:semiHidden/>
    <w:unhideWhenUsed/>
    <w:rsid w:val="008F4CE5"/>
    <w:rPr>
      <w:b/>
      <w:bCs/>
    </w:rPr>
  </w:style>
  <w:style w:type="character" w:customStyle="1" w:styleId="TematkomentarzaZnak">
    <w:name w:val="Temat komentarza Znak"/>
    <w:basedOn w:val="TekstkomentarzaZnak"/>
    <w:link w:val="Tematkomentarza"/>
    <w:uiPriority w:val="99"/>
    <w:semiHidden/>
    <w:rsid w:val="008F4CE5"/>
    <w:rPr>
      <w:b/>
      <w:bCs/>
      <w:sz w:val="20"/>
      <w:szCs w:val="20"/>
    </w:rPr>
  </w:style>
  <w:style w:type="paragraph" w:styleId="Tekstdymka">
    <w:name w:val="Balloon Text"/>
    <w:basedOn w:val="Normalny"/>
    <w:link w:val="TekstdymkaZnak"/>
    <w:uiPriority w:val="99"/>
    <w:semiHidden/>
    <w:unhideWhenUsed/>
    <w:rsid w:val="00CD6FBC"/>
    <w:rPr>
      <w:rFonts w:ascii="Segoe UI" w:hAnsi="Segoe UI" w:cs="Segoe UI"/>
      <w:sz w:val="18"/>
      <w:szCs w:val="18"/>
    </w:rPr>
  </w:style>
  <w:style w:type="character" w:customStyle="1" w:styleId="TekstdymkaZnak">
    <w:name w:val="Tekst dymka Znak"/>
    <w:basedOn w:val="Domylnaczcionkaakapitu"/>
    <w:link w:val="Tekstdymka"/>
    <w:uiPriority w:val="99"/>
    <w:semiHidden/>
    <w:rsid w:val="00CD6F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867825">
      <w:bodyDiv w:val="1"/>
      <w:marLeft w:val="0"/>
      <w:marRight w:val="0"/>
      <w:marTop w:val="0"/>
      <w:marBottom w:val="0"/>
      <w:divBdr>
        <w:top w:val="none" w:sz="0" w:space="0" w:color="auto"/>
        <w:left w:val="none" w:sz="0" w:space="0" w:color="auto"/>
        <w:bottom w:val="none" w:sz="0" w:space="0" w:color="auto"/>
        <w:right w:val="none" w:sz="0" w:space="0" w:color="auto"/>
      </w:divBdr>
    </w:div>
    <w:div w:id="308829482">
      <w:bodyDiv w:val="1"/>
      <w:marLeft w:val="0"/>
      <w:marRight w:val="0"/>
      <w:marTop w:val="0"/>
      <w:marBottom w:val="0"/>
      <w:divBdr>
        <w:top w:val="none" w:sz="0" w:space="0" w:color="auto"/>
        <w:left w:val="none" w:sz="0" w:space="0" w:color="auto"/>
        <w:bottom w:val="none" w:sz="0" w:space="0" w:color="auto"/>
        <w:right w:val="none" w:sz="0" w:space="0" w:color="auto"/>
      </w:divBdr>
    </w:div>
    <w:div w:id="714231729">
      <w:bodyDiv w:val="1"/>
      <w:marLeft w:val="0"/>
      <w:marRight w:val="0"/>
      <w:marTop w:val="0"/>
      <w:marBottom w:val="0"/>
      <w:divBdr>
        <w:top w:val="none" w:sz="0" w:space="0" w:color="auto"/>
        <w:left w:val="none" w:sz="0" w:space="0" w:color="auto"/>
        <w:bottom w:val="none" w:sz="0" w:space="0" w:color="auto"/>
        <w:right w:val="none" w:sz="0" w:space="0" w:color="auto"/>
      </w:divBdr>
    </w:div>
    <w:div w:id="1672833438">
      <w:bodyDiv w:val="1"/>
      <w:marLeft w:val="0"/>
      <w:marRight w:val="0"/>
      <w:marTop w:val="0"/>
      <w:marBottom w:val="0"/>
      <w:divBdr>
        <w:top w:val="none" w:sz="0" w:space="0" w:color="auto"/>
        <w:left w:val="none" w:sz="0" w:space="0" w:color="auto"/>
        <w:bottom w:val="none" w:sz="0" w:space="0" w:color="auto"/>
        <w:right w:val="none" w:sz="0" w:space="0" w:color="auto"/>
      </w:divBdr>
    </w:div>
    <w:div w:id="176645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0f259f9-296d-45ec-b40f-2b565e2e2123"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20" ma:contentTypeDescription="Create a new document." ma:contentTypeScope="" ma:versionID="cf1b93eebcc3854adc59ab5355008bfb">
  <xsd:schema xmlns:xsd="http://www.w3.org/2001/XMLSchema" xmlns:xs="http://www.w3.org/2001/XMLSchema" xmlns:p="http://schemas.microsoft.com/office/2006/metadata/properties" xmlns:ns1="http://schemas.microsoft.com/sharepoint/v3" xmlns:ns2="6f613be0-efef-4148-8d6c-4c6445522e24" xmlns:ns3="c947fafa-9138-486d-ae8b-4def84560bfe" xmlns:ns4="c5a445d0-5d19-4ba4-b755-822631e11c1e" targetNamespace="http://schemas.microsoft.com/office/2006/metadata/properties" ma:root="true" ma:fieldsID="6442dca07c623177a622810a68ab8acc" ns1:_="" ns2:_="" ns3:_="" ns4:_="">
    <xsd:import namespace="http://schemas.microsoft.com/sharepoint/v3"/>
    <xsd:import namespace="6f613be0-efef-4148-8d6c-4c6445522e24"/>
    <xsd:import namespace="c947fafa-9138-486d-ae8b-4def84560bfe"/>
    <xsd:import namespace="c5a445d0-5d19-4ba4-b755-822631e11c1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0"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0067_m02" ma:index="18" nillable="true" ma:displayName="Data i godzina" ma:default="[today]" ma:format="DateTime" ma:internalName="_x0067_m02">
      <xsd:simpleType>
        <xsd:restriction base="dms:DateTime"/>
      </xsd:simpleType>
    </xsd:element>
    <xsd:element name="Godzina_x0020_Dodania" ma:index="19" nillable="true" ma:displayName="Godzina Dodania" ma:default="[today]" ma:format="DateTime" ma:internalName="Godzina_x0020_Dodania">
      <xsd:simpleType>
        <xsd:restriction base="dms:DateTime"/>
      </xsd:simpleType>
    </xsd:element>
    <xsd:element name="MediaServiceLocation" ma:index="21"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0f259f9-296d-45ec-b40f-2b565e2e21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a445d0-5d19-4ba4-b755-822631e11c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453cc47-13e0-4380-a8c3-08ddacfb2b2f}" ma:internalName="TaxCatchAll" ma:showField="CatchAllData" ma:web="c947fafa-9138-486d-ae8b-4def84560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7_m02 xmlns="6f613be0-efef-4148-8d6c-4c6445522e24">2022-01-13T18:57:28+00:00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2022-01-13T18:57:28+00:00</Godzina_x0020_Dodania>
    <TaxCatchAll xmlns="c5a445d0-5d19-4ba4-b755-822631e11c1e" xsi:nil="true"/>
    <lcf76f155ced4ddcb4097134ff3c332f xmlns="6f613be0-efef-4148-8d6c-4c6445522e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DD341-D800-4F34-933C-F5B872E9EF43}">
  <ds:schemaRefs>
    <ds:schemaRef ds:uri="Microsoft.SharePoint.Taxonomy.ContentTypeSync"/>
  </ds:schemaRefs>
</ds:datastoreItem>
</file>

<file path=customXml/itemProps2.xml><?xml version="1.0" encoding="utf-8"?>
<ds:datastoreItem xmlns:ds="http://schemas.openxmlformats.org/officeDocument/2006/customXml" ds:itemID="{4D3A6E59-A39F-4B74-A4EB-EE4B70C28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c5a445d0-5d19-4ba4-b755-822631e11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4B0A1-38DB-4E52-B5CC-81D315D81A9C}">
  <ds:schemaRefs>
    <ds:schemaRef ds:uri="http://schemas.microsoft.com/office/2006/metadata/properties"/>
    <ds:schemaRef ds:uri="http://schemas.microsoft.com/office/infopath/2007/PartnerControls"/>
    <ds:schemaRef ds:uri="6f613be0-efef-4148-8d6c-4c6445522e24"/>
    <ds:schemaRef ds:uri="http://schemas.microsoft.com/sharepoint/v3"/>
    <ds:schemaRef ds:uri="c5a445d0-5d19-4ba4-b755-822631e11c1e"/>
  </ds:schemaRefs>
</ds:datastoreItem>
</file>

<file path=customXml/itemProps4.xml><?xml version="1.0" encoding="utf-8"?>
<ds:datastoreItem xmlns:ds="http://schemas.openxmlformats.org/officeDocument/2006/customXml" ds:itemID="{5AEE6404-DEAD-4F31-8AA1-F06726339C0E}">
  <ds:schemaRefs>
    <ds:schemaRef ds:uri="http://schemas.microsoft.com/sharepoint/v3/contenttype/forms"/>
  </ds:schemaRefs>
</ds:datastoreItem>
</file>

<file path=customXml/itemProps5.xml><?xml version="1.0" encoding="utf-8"?>
<ds:datastoreItem xmlns:ds="http://schemas.openxmlformats.org/officeDocument/2006/customXml" ds:itemID="{5C946F4D-2DEB-43EF-9093-EC63DB63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508966</Words>
  <Characters>3053800</Characters>
  <Application>Microsoft Office Word</Application>
  <DocSecurity>0</DocSecurity>
  <Lines>25448</Lines>
  <Paragraphs>7111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Klukowska, Katarzyna</dc:creator>
  <cp:keywords/>
  <dc:description/>
  <cp:lastModifiedBy>Brzozowska Patrycja</cp:lastModifiedBy>
  <cp:revision>2</cp:revision>
  <cp:lastPrinted>2022-01-13T17:56:00Z</cp:lastPrinted>
  <dcterms:created xsi:type="dcterms:W3CDTF">2022-05-06T10:32:00Z</dcterms:created>
  <dcterms:modified xsi:type="dcterms:W3CDTF">2022-05-06T10:32:00Z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2021-12-17T14:22:38Z</vt:filetime>
  </property>
</Properties>
</file>