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A936F9" w:rsidRPr="00280C7C" w:rsidP="00A936F9">
      <w:pPr>
        <w:keepNext/>
        <w:keepLines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0.2pt;margin-top:0;position:absolute;width:48.5pt;z-index:251658240" o:oleicon="f">
            <v:imagedata r:id="rId6" o:title=""/>
            <w10:wrap type="topAndBottom"/>
            <w10:anchorlock/>
          </v:shape>
          <o:OLEObject Type="Embed" ProgID="CorelDraw.Rysunek.8" ShapeID="_x0000_s1025" DrawAspect="Content" ObjectID="_1766571489" r:id="rId7"/>
        </w:pict>
      </w:r>
      <w:r w:rsidRPr="00E96BF7" w:rsidR="0005463B">
        <w:rPr>
          <w:rFonts w:ascii="Arial" w:hAnsi="Arial" w:cs="Arial"/>
          <w:b/>
          <w:sz w:val="28"/>
          <w:szCs w:val="28"/>
        </w:rPr>
        <w:t>WOJEWODA OPOLSKI</w:t>
      </w:r>
    </w:p>
    <w:p w:rsidR="00A936F9" w:rsidRPr="00280C7C" w:rsidP="00A936F9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Opole,</w:t>
      </w:r>
      <w:r w:rsidRPr="00280C7C">
        <w:rPr>
          <w:rFonts w:ascii="Arial" w:hAnsi="Arial" w:cs="Arial"/>
          <w:sz w:val="22"/>
          <w:szCs w:val="22"/>
        </w:rPr>
        <w:t xml:space="preserve"> </w:t>
      </w:r>
      <w:bookmarkStart w:id="0" w:name="ezdDataPodpisu"/>
      <w:r>
        <w:rPr>
          <w:rFonts w:ascii="Arial" w:hAnsi="Arial" w:cs="Arial"/>
          <w:sz w:val="22"/>
          <w:szCs w:val="22"/>
        </w:rPr>
        <w:t>15 stycznia 2024</w:t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280C7C">
        <w:rPr>
          <w:rFonts w:ascii="Arial" w:hAnsi="Arial" w:cs="Arial"/>
          <w:sz w:val="22"/>
          <w:szCs w:val="22"/>
        </w:rPr>
        <w:t>r.</w:t>
      </w:r>
    </w:p>
    <w:p w:rsidR="00A936F9" w:rsidRPr="00186481" w:rsidP="00A936F9">
      <w:pPr>
        <w:tabs>
          <w:tab w:val="left" w:pos="5245"/>
        </w:tabs>
        <w:spacing w:after="840" w:line="360" w:lineRule="auto"/>
        <w:rPr>
          <w:rFonts w:ascii="Arial" w:hAnsi="Arial" w:cs="Arial"/>
          <w:sz w:val="22"/>
          <w:szCs w:val="22"/>
        </w:rPr>
      </w:pPr>
      <w:r w:rsidRPr="00186481">
        <w:rPr>
          <w:rFonts w:ascii="Arial" w:hAnsi="Arial" w:cs="Arial"/>
          <w:sz w:val="22"/>
          <w:szCs w:val="22"/>
        </w:rPr>
        <w:tab/>
      </w:r>
      <w:bookmarkStart w:id="1" w:name="ezdSprawaZnak"/>
      <w:r w:rsidRPr="00186481">
        <w:rPr>
          <w:rFonts w:ascii="Arial" w:hAnsi="Arial" w:cs="Arial"/>
          <w:sz w:val="22"/>
          <w:szCs w:val="22"/>
        </w:rPr>
        <w:t>PN.I.431.5.3.2023</w:t>
      </w:r>
      <w:bookmarkEnd w:id="1"/>
      <w:r w:rsidRPr="00186481">
        <w:rPr>
          <w:rFonts w:ascii="Arial" w:hAnsi="Arial" w:cs="Arial"/>
          <w:sz w:val="22"/>
          <w:szCs w:val="22"/>
        </w:rPr>
        <w:t>.</w:t>
      </w:r>
      <w:bookmarkStart w:id="2" w:name="ezdAutorInicjaly"/>
      <w:r w:rsidRPr="00186481">
        <w:rPr>
          <w:rFonts w:ascii="Arial" w:hAnsi="Arial" w:cs="Arial"/>
          <w:sz w:val="22"/>
          <w:szCs w:val="22"/>
        </w:rPr>
        <w:t>NL</w:t>
      </w:r>
      <w:bookmarkEnd w:id="2"/>
    </w:p>
    <w:p w:rsidR="00446C8B" w:rsidRPr="00446C8B" w:rsidP="00446C8B">
      <w:pPr>
        <w:tabs>
          <w:tab w:val="left" w:pos="-7371"/>
          <w:tab w:val="left" w:pos="5670"/>
          <w:tab w:val="right" w:pos="9072"/>
        </w:tabs>
        <w:spacing w:before="840"/>
        <w:ind w:left="567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>Pan</w:t>
      </w:r>
    </w:p>
    <w:p w:rsidR="00446C8B" w:rsidRPr="00446C8B" w:rsidP="00446C8B">
      <w:pPr>
        <w:tabs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Jarosław Kielar </w:t>
      </w:r>
    </w:p>
    <w:p w:rsidR="00446C8B" w:rsidRPr="00446C8B" w:rsidP="00446C8B">
      <w:pPr>
        <w:tabs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Burmistrz Kluczborka </w:t>
      </w:r>
    </w:p>
    <w:p w:rsidR="00446C8B" w:rsidRPr="00446C8B" w:rsidP="00446C8B">
      <w:pPr>
        <w:tabs>
          <w:tab w:val="left" w:pos="-7371"/>
          <w:tab w:val="left" w:pos="5670"/>
          <w:tab w:val="right" w:pos="9072"/>
        </w:tabs>
        <w:ind w:left="5670"/>
        <w:contextualSpacing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ul. Katowicka 1</w:t>
      </w:r>
    </w:p>
    <w:p w:rsidR="00446C8B" w:rsidRPr="00446C8B" w:rsidP="00446C8B">
      <w:pPr>
        <w:tabs>
          <w:tab w:val="left" w:pos="-7371"/>
          <w:tab w:val="left" w:pos="5670"/>
          <w:tab w:val="right" w:pos="9072"/>
        </w:tabs>
        <w:spacing w:after="720" w:line="360" w:lineRule="auto"/>
        <w:ind w:left="567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46-200 Kluczbork</w:t>
      </w:r>
    </w:p>
    <w:p w:rsidR="00446C8B" w:rsidRPr="00446C8B" w:rsidP="00446C8B">
      <w:pPr>
        <w:spacing w:before="720" w:after="1080"/>
        <w:jc w:val="center"/>
        <w:rPr>
          <w:rFonts w:ascii="Arial" w:hAnsi="Arial" w:cs="Arial"/>
          <w:b/>
          <w:sz w:val="28"/>
          <w:szCs w:val="28"/>
        </w:rPr>
      </w:pPr>
      <w:bookmarkStart w:id="3" w:name="_Hlk103337433"/>
      <w:r w:rsidRPr="00446C8B">
        <w:rPr>
          <w:rFonts w:ascii="Arial" w:hAnsi="Arial" w:cs="Arial"/>
          <w:b/>
          <w:sz w:val="28"/>
          <w:szCs w:val="28"/>
        </w:rPr>
        <w:t>Wystąpienie pokontrolne</w:t>
      </w:r>
    </w:p>
    <w:p w:rsidR="00446C8B" w:rsidRPr="00446C8B" w:rsidP="00446C8B">
      <w:pPr>
        <w:numPr>
          <w:ilvl w:val="0"/>
          <w:numId w:val="1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Dane identyfikacyjne kontroli.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w w:val="90"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Nazwa i adres jednostki kontrolowanej:</w:t>
      </w:r>
      <w:r w:rsidRPr="00446C8B">
        <w:rPr>
          <w:rFonts w:ascii="Arial" w:hAnsi="Arial" w:cs="Arial"/>
          <w:sz w:val="24"/>
          <w:szCs w:val="24"/>
        </w:rPr>
        <w:t xml:space="preserve"> Urząd Miejski w Kluczborku, </w:t>
      </w:r>
      <w:r w:rsidRPr="00446C8B">
        <w:rPr>
          <w:rFonts w:ascii="Arial" w:hAnsi="Arial" w:cs="Arial"/>
          <w:sz w:val="24"/>
          <w:szCs w:val="24"/>
        </w:rPr>
        <w:br/>
        <w:t>ul. Katowicka 1, 46-200 Kluczbork.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Podstawa prawna podjęcia kontroli:</w:t>
      </w:r>
    </w:p>
    <w:p w:rsidR="00446C8B" w:rsidRPr="00446C8B" w:rsidP="00446C8B">
      <w:pPr>
        <w:numPr>
          <w:ilvl w:val="0"/>
          <w:numId w:val="4"/>
        </w:numPr>
        <w:spacing w:after="16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sz w:val="24"/>
          <w:szCs w:val="24"/>
        </w:rPr>
        <w:t xml:space="preserve">art. 28 ust. 1 pkt  2 ustawy z dnia 23 stycznia 2009 r. o wojewodzie </w:t>
      </w:r>
      <w:r w:rsidRPr="00446C8B">
        <w:rPr>
          <w:rFonts w:ascii="Arial" w:hAnsi="Arial" w:cs="Arial"/>
          <w:sz w:val="24"/>
          <w:szCs w:val="24"/>
        </w:rPr>
        <w:br/>
        <w:t>i administracji rządowej w województwie</w:t>
      </w:r>
      <w:r>
        <w:rPr>
          <w:rFonts w:ascii="Arial" w:hAnsi="Arial" w:cs="Arial"/>
          <w:sz w:val="24"/>
          <w:szCs w:val="24"/>
          <w:vertAlign w:val="superscript"/>
        </w:rPr>
        <w:footnoteReference w:id="2"/>
      </w:r>
      <w:bookmarkStart w:id="4" w:name="_Hlk101266529"/>
      <w:r w:rsidRPr="00446C8B">
        <w:rPr>
          <w:rFonts w:ascii="Arial" w:hAnsi="Arial" w:cs="Arial"/>
          <w:sz w:val="24"/>
          <w:szCs w:val="24"/>
        </w:rPr>
        <w:t>;</w:t>
      </w:r>
    </w:p>
    <w:p w:rsidR="00446C8B" w:rsidRPr="00446C8B" w:rsidP="00446C8B">
      <w:pPr>
        <w:numPr>
          <w:ilvl w:val="0"/>
          <w:numId w:val="4"/>
        </w:numPr>
        <w:spacing w:after="16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bookmarkEnd w:id="4"/>
      <w:r w:rsidRPr="00446C8B">
        <w:rPr>
          <w:rFonts w:ascii="Arial" w:hAnsi="Arial" w:cs="Arial"/>
          <w:sz w:val="24"/>
          <w:szCs w:val="24"/>
        </w:rPr>
        <w:t>art. 6 ust. 4 pkt 3 ustawy z dnia 15 lipca 2011 r. o kontroli w administracji rządowej</w:t>
      </w:r>
      <w:r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46C8B" w:rsidRPr="00446C8B" w:rsidP="00446C8B">
      <w:pPr>
        <w:numPr>
          <w:ilvl w:val="0"/>
          <w:numId w:val="4"/>
        </w:numPr>
        <w:spacing w:after="16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art. 8 ust. 7 ustawy z dnia 6 marca 2018 r. o Centralnej Ewidencji i Informacji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>o Działalności Gospodarczej i Punkcie Informacji dla Przedsiębiorcy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4"/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b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Zakres kontroli:</w:t>
      </w:r>
    </w:p>
    <w:p w:rsidR="00446C8B" w:rsidRPr="00446C8B" w:rsidP="00446C8B">
      <w:pPr>
        <w:numPr>
          <w:ilvl w:val="0"/>
          <w:numId w:val="5"/>
        </w:numPr>
        <w:spacing w:after="160" w:line="360" w:lineRule="auto"/>
        <w:ind w:left="709" w:hanging="425"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Przedmiot kontroli:</w:t>
      </w:r>
      <w:r w:rsidRPr="00446C8B">
        <w:rPr>
          <w:rFonts w:ascii="Arial" w:hAnsi="Arial" w:cs="Arial"/>
          <w:sz w:val="24"/>
          <w:szCs w:val="24"/>
        </w:rPr>
        <w:t xml:space="preserve"> przyjmowanie, przekształcanie i przesyłanie przez organ gminy wniosków przedsiębiorców o wpis do Centralnej Ewidencji i Informacji </w:t>
      </w:r>
      <w:r w:rsidRPr="00446C8B">
        <w:rPr>
          <w:rFonts w:ascii="Arial" w:hAnsi="Arial" w:cs="Arial"/>
          <w:sz w:val="24"/>
          <w:szCs w:val="24"/>
        </w:rPr>
        <w:br/>
        <w:t xml:space="preserve">o Działalności Gospodarczej. </w:t>
      </w:r>
    </w:p>
    <w:p w:rsidR="00446C8B" w:rsidRPr="00446C8B" w:rsidP="00446C8B">
      <w:pPr>
        <w:numPr>
          <w:ilvl w:val="0"/>
          <w:numId w:val="3"/>
        </w:numPr>
        <w:spacing w:after="160" w:line="360" w:lineRule="auto"/>
        <w:ind w:hanging="436"/>
        <w:outlineLvl w:val="0"/>
        <w:rPr>
          <w:rFonts w:ascii="Arial" w:hAnsi="Arial" w:cs="Arial"/>
          <w:b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 xml:space="preserve">Okres objęty kontrolą: </w:t>
      </w:r>
      <w:r w:rsidRPr="00446C8B">
        <w:rPr>
          <w:rFonts w:ascii="Arial" w:hAnsi="Arial" w:cs="Arial"/>
          <w:sz w:val="24"/>
          <w:szCs w:val="24"/>
        </w:rPr>
        <w:t>od</w:t>
      </w:r>
      <w:r w:rsidRPr="00446C8B">
        <w:rPr>
          <w:rFonts w:ascii="Arial" w:hAnsi="Arial" w:cs="Arial"/>
          <w:b/>
          <w:sz w:val="24"/>
          <w:szCs w:val="24"/>
        </w:rPr>
        <w:t xml:space="preserve"> </w:t>
      </w:r>
      <w:r w:rsidRPr="00446C8B">
        <w:rPr>
          <w:rFonts w:ascii="Arial" w:hAnsi="Arial" w:cs="Arial"/>
          <w:sz w:val="24"/>
          <w:szCs w:val="24"/>
        </w:rPr>
        <w:t>1 stycznia 2023 r. do 24 listopada 2023 r.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bCs/>
          <w:sz w:val="24"/>
          <w:szCs w:val="24"/>
        </w:rPr>
      </w:pPr>
      <w:r w:rsidRPr="00446C8B">
        <w:rPr>
          <w:rFonts w:ascii="Arial" w:hAnsi="Arial" w:cs="Arial"/>
          <w:b/>
          <w:bCs/>
          <w:sz w:val="24"/>
          <w:szCs w:val="24"/>
        </w:rPr>
        <w:t>Rodzaj kontroli:</w:t>
      </w:r>
      <w:r w:rsidRPr="00446C8B">
        <w:rPr>
          <w:rFonts w:ascii="Arial" w:hAnsi="Arial" w:cs="Arial"/>
          <w:bCs/>
          <w:sz w:val="24"/>
          <w:szCs w:val="24"/>
        </w:rPr>
        <w:t xml:space="preserve"> </w:t>
      </w:r>
      <w:r w:rsidRPr="00446C8B">
        <w:rPr>
          <w:rFonts w:ascii="Arial" w:hAnsi="Arial" w:cs="Arial"/>
          <w:sz w:val="24"/>
          <w:szCs w:val="24"/>
        </w:rPr>
        <w:t>problemowa.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bCs/>
          <w:sz w:val="24"/>
          <w:szCs w:val="24"/>
        </w:rPr>
      </w:pPr>
      <w:r w:rsidRPr="00446C8B">
        <w:rPr>
          <w:rFonts w:ascii="Arial" w:hAnsi="Arial" w:cs="Arial"/>
          <w:b/>
          <w:bCs/>
          <w:sz w:val="24"/>
          <w:szCs w:val="24"/>
        </w:rPr>
        <w:t>Tryb kontroli:</w:t>
      </w:r>
      <w:r w:rsidRPr="00446C8B">
        <w:rPr>
          <w:rFonts w:ascii="Arial" w:hAnsi="Arial" w:cs="Arial"/>
          <w:bCs/>
          <w:sz w:val="24"/>
          <w:szCs w:val="24"/>
        </w:rPr>
        <w:t xml:space="preserve"> </w:t>
      </w:r>
      <w:r w:rsidRPr="00446C8B">
        <w:rPr>
          <w:rFonts w:ascii="Arial" w:hAnsi="Arial" w:cs="Arial"/>
          <w:sz w:val="24"/>
          <w:szCs w:val="24"/>
        </w:rPr>
        <w:t>zwykły.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bCs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Termin kontroli:</w:t>
      </w:r>
      <w:r w:rsidRPr="00446C8B">
        <w:rPr>
          <w:rFonts w:ascii="Arial" w:hAnsi="Arial" w:cs="Arial"/>
          <w:sz w:val="24"/>
          <w:szCs w:val="24"/>
        </w:rPr>
        <w:t xml:space="preserve"> 27 - 28 listopada 2023 r.</w:t>
      </w:r>
    </w:p>
    <w:p w:rsidR="00446C8B" w:rsidRPr="00446C8B" w:rsidP="00446C8B">
      <w:pPr>
        <w:numPr>
          <w:ilvl w:val="0"/>
          <w:numId w:val="2"/>
        </w:numPr>
        <w:spacing w:after="160" w:line="360" w:lineRule="auto"/>
        <w:ind w:left="284" w:hanging="284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446C8B">
        <w:rPr>
          <w:rFonts w:ascii="Arial" w:hAnsi="Arial" w:cs="Arial"/>
          <w:b/>
          <w:sz w:val="24"/>
          <w:szCs w:val="24"/>
        </w:rPr>
        <w:t>Skład zespołu kontrolnego:</w:t>
      </w:r>
    </w:p>
    <w:p w:rsidR="00446C8B" w:rsidRPr="00446C8B" w:rsidP="00446C8B">
      <w:pPr>
        <w:numPr>
          <w:ilvl w:val="0"/>
          <w:numId w:val="6"/>
        </w:numPr>
        <w:spacing w:after="16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sz w:val="24"/>
          <w:szCs w:val="24"/>
        </w:rPr>
        <w:t>Danuta Rajkowska – Starszy Inspektor Wojewódzki w Oddziale Organizacji, Kontroli i Skarg w Wydziale Prawnym i Nadzoru Opolskiego Urzędu Wojewódzkiego (kierownik zespołu kontrolnego);</w:t>
      </w:r>
    </w:p>
    <w:p w:rsidR="00446C8B" w:rsidRPr="00446C8B" w:rsidP="00446C8B">
      <w:pPr>
        <w:numPr>
          <w:ilvl w:val="0"/>
          <w:numId w:val="6"/>
        </w:numPr>
        <w:spacing w:after="160" w:line="360" w:lineRule="auto"/>
        <w:ind w:left="709" w:hanging="425"/>
        <w:contextualSpacing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sz w:val="24"/>
          <w:szCs w:val="24"/>
        </w:rPr>
        <w:t xml:space="preserve">Natalia Lenart – Starszy Inspektor w Oddziale Organizacji, Kontroli i Skarg </w:t>
      </w:r>
      <w:r w:rsidRPr="00446C8B">
        <w:rPr>
          <w:rFonts w:ascii="Arial" w:hAnsi="Arial" w:cs="Arial"/>
          <w:sz w:val="24"/>
          <w:szCs w:val="24"/>
        </w:rPr>
        <w:br/>
        <w:t>w Wydziale Prawnym i Nadzoru Opolskiego Urzędu Wojewódzkiego (członek zespołu kontrolnego).</w:t>
      </w:r>
    </w:p>
    <w:p w:rsidR="00446C8B" w:rsidRPr="00446C8B" w:rsidP="00446C8B">
      <w:pPr>
        <w:numPr>
          <w:ilvl w:val="0"/>
          <w:numId w:val="8"/>
        </w:numPr>
        <w:spacing w:after="160" w:line="360" w:lineRule="auto"/>
        <w:ind w:left="284" w:hanging="284"/>
        <w:outlineLvl w:val="0"/>
        <w:rPr>
          <w:rFonts w:ascii="Arial" w:hAnsi="Arial" w:cs="Arial"/>
          <w:i/>
          <w:color w:val="000000"/>
          <w:sz w:val="24"/>
          <w:szCs w:val="24"/>
        </w:rPr>
      </w:pPr>
      <w:r w:rsidRPr="00446C8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446C8B">
        <w:rPr>
          <w:rFonts w:ascii="Arial" w:hAnsi="Arial" w:cs="Arial"/>
          <w:b/>
          <w:sz w:val="24"/>
          <w:szCs w:val="24"/>
        </w:rPr>
        <w:t>jednostki kontrolowanej: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left="284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Pan Jarosław Kielar – Burmistrz Kluczborka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od dnia 21 listopada 2018 roku.</w:t>
      </w:r>
    </w:p>
    <w:p w:rsidR="00446C8B" w:rsidRPr="00446C8B" w:rsidP="00446C8B">
      <w:pPr>
        <w:numPr>
          <w:ilvl w:val="0"/>
          <w:numId w:val="8"/>
        </w:numPr>
        <w:spacing w:after="160" w:line="360" w:lineRule="auto"/>
        <w:ind w:left="284" w:hanging="284"/>
        <w:outlineLvl w:val="0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/>
          <w:bCs/>
          <w:sz w:val="24"/>
          <w:szCs w:val="24"/>
        </w:rPr>
        <w:t>Kontrolę wpisano do książki kontroli prowadzonej w jednostce kontrolowanej pod nr 7/2023.</w:t>
      </w:r>
    </w:p>
    <w:p w:rsidR="00446C8B" w:rsidRPr="00446C8B" w:rsidP="00446C8B">
      <w:pPr>
        <w:numPr>
          <w:ilvl w:val="0"/>
          <w:numId w:val="7"/>
        </w:numPr>
        <w:tabs>
          <w:tab w:val="left" w:pos="567"/>
        </w:tabs>
        <w:spacing w:after="160" w:line="360" w:lineRule="auto"/>
        <w:ind w:left="0" w:firstLine="0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hAnsi="Arial" w:cs="Arial"/>
          <w:b/>
          <w:color w:val="000000"/>
          <w:sz w:val="24"/>
          <w:szCs w:val="24"/>
        </w:rPr>
        <w:t xml:space="preserve">Ocena skontrolowanej działalności i opis ustalonego stanu faktycznego. </w:t>
      </w:r>
    </w:p>
    <w:p w:rsidR="00446C8B" w:rsidRPr="00446C8B" w:rsidP="00446C8B">
      <w:pPr>
        <w:tabs>
          <w:tab w:val="left" w:pos="567"/>
        </w:tabs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hAnsi="Arial" w:cs="Arial"/>
          <w:color w:val="000000"/>
          <w:sz w:val="24"/>
          <w:szCs w:val="24"/>
        </w:rPr>
        <w:t>W wyniku kontroli, mając na uwadze stwierdzone uchybienia i nieprawidłowości, wykonywanie</w:t>
      </w:r>
      <w:r w:rsidRPr="00446C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46C8B">
        <w:rPr>
          <w:rFonts w:ascii="Arial" w:hAnsi="Arial" w:cs="Arial"/>
          <w:color w:val="000000"/>
          <w:sz w:val="24"/>
          <w:szCs w:val="24"/>
        </w:rPr>
        <w:t xml:space="preserve">zadań </w:t>
      </w:r>
      <w:r w:rsidRPr="00446C8B">
        <w:rPr>
          <w:rFonts w:ascii="Arial" w:hAnsi="Arial" w:cs="Arial"/>
          <w:sz w:val="24"/>
          <w:szCs w:val="24"/>
        </w:rPr>
        <w:t xml:space="preserve">w przedmiocie przyjmowania, przekształcania i przesyłania przez organ gminy wniosków przedsiębiorców o wpis do Centralnej Ewidencji </w:t>
      </w:r>
      <w:r w:rsidRPr="00446C8B">
        <w:rPr>
          <w:rFonts w:ascii="Arial" w:hAnsi="Arial" w:cs="Arial"/>
          <w:sz w:val="24"/>
          <w:szCs w:val="24"/>
        </w:rPr>
        <w:br/>
        <w:t>i Informacji o Działalności Gospodarczej (dalej CEIDG)</w:t>
      </w:r>
      <w:r w:rsidRPr="00446C8B">
        <w:rPr>
          <w:rFonts w:ascii="Arial" w:hAnsi="Arial" w:cs="Arial"/>
          <w:color w:val="000000"/>
          <w:sz w:val="24"/>
          <w:szCs w:val="24"/>
        </w:rPr>
        <w:t xml:space="preserve"> oceniono pozytywnie </w:t>
      </w:r>
      <w:r w:rsidRPr="00446C8B">
        <w:rPr>
          <w:rFonts w:ascii="Arial" w:hAnsi="Arial" w:cs="Arial"/>
          <w:color w:val="000000"/>
          <w:sz w:val="24"/>
          <w:szCs w:val="24"/>
        </w:rPr>
        <w:br/>
        <w:t>z nieprawidłowościami</w:t>
      </w:r>
      <w:r w:rsidRPr="00446C8B">
        <w:rPr>
          <w:rFonts w:ascii="Arial" w:hAnsi="Arial" w:cs="Arial"/>
          <w:sz w:val="24"/>
          <w:szCs w:val="24"/>
        </w:rPr>
        <w:t>.</w:t>
      </w:r>
    </w:p>
    <w:p w:rsidR="00446C8B" w:rsidRPr="00446C8B" w:rsidP="00446C8B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W toku kontroli badano następujące zagadnienia: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prawidłowość powierzania zadań z zakresu podlegającego kontroli;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prawidłowość upoważniania pracowników jednostki kontrolowanej do przyjmowania, przekształcania i przesyłania wniosków o wpis do CEIDG oraz zgłaszania do CEIDG informacji o udzielonych upoważnieniach lub o ich cofnięciu;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prawidłowość przyjmowania wniosków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bookmarkStart w:id="5" w:name="_Hlk106788663"/>
      <w:r w:rsidRPr="00446C8B">
        <w:rPr>
          <w:rFonts w:ascii="Arial" w:hAnsi="Arial" w:cs="Arial"/>
          <w:color w:val="000000"/>
          <w:sz w:val="24"/>
          <w:szCs w:val="24"/>
        </w:rPr>
        <w:t>terminowość przekształcania i przesyłania wniosków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bookmarkStart w:id="6" w:name="_Hlk106788763"/>
      <w:bookmarkEnd w:id="5"/>
      <w:r w:rsidRPr="00446C8B">
        <w:rPr>
          <w:rFonts w:ascii="Arial" w:hAnsi="Arial" w:cs="Arial"/>
          <w:color w:val="000000"/>
          <w:sz w:val="24"/>
          <w:szCs w:val="24"/>
        </w:rPr>
        <w:t>zgodność wniosków papierowych z zakresem i układem aktualnego formularza elektronicznego, zamieszczonego na stronie internetowej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 xml:space="preserve">poprawność i kompletność wniosków składanych przez przedsiębiorców </w:t>
      </w:r>
      <w:r w:rsidRPr="00446C8B">
        <w:rPr>
          <w:rFonts w:ascii="Arial" w:hAnsi="Arial" w:cs="Arial"/>
          <w:color w:val="000000"/>
          <w:sz w:val="24"/>
          <w:szCs w:val="24"/>
        </w:rPr>
        <w:br/>
        <w:t>do organu gminy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bookmarkEnd w:id="6"/>
      <w:r w:rsidRPr="00446C8B">
        <w:rPr>
          <w:rFonts w:ascii="Arial" w:hAnsi="Arial" w:cs="Arial"/>
          <w:color w:val="000000"/>
          <w:sz w:val="24"/>
          <w:szCs w:val="24"/>
        </w:rPr>
        <w:t>sposób rejestracji, gromadzenia i archiwizacji wniosków o wpis do CEIDG.</w:t>
      </w:r>
    </w:p>
    <w:p w:rsidR="00446C8B" w:rsidRPr="00446C8B" w:rsidP="00446C8B">
      <w:pPr>
        <w:tabs>
          <w:tab w:val="left" w:pos="567"/>
        </w:tabs>
        <w:spacing w:line="36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Nie wniesiono zastrzeżeń w zakresie: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przyjmowania wniosków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terminowości przekształcania i przesyłania wniosków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zgodności wniosków papierowych z zakresem i układem aktualnego formularza elektronicznego, zamieszczonego na stronie internetowej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gromadzenia i archiwizacji wniosków o wpis do CEIDG;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rejestracji wniosków o wpis do CEIDG.</w:t>
      </w:r>
    </w:p>
    <w:p w:rsidR="00446C8B" w:rsidRPr="00446C8B" w:rsidP="00446C8B">
      <w:pPr>
        <w:tabs>
          <w:tab w:val="left" w:pos="567"/>
        </w:tabs>
        <w:spacing w:line="360" w:lineRule="auto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Zastrzeżenia kontrolerów dotyczyły: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sz w:val="24"/>
          <w:szCs w:val="24"/>
        </w:rPr>
      </w:pPr>
      <w:r w:rsidRPr="00446C8B">
        <w:rPr>
          <w:rFonts w:ascii="Arial" w:hAnsi="Arial" w:cs="Arial"/>
          <w:sz w:val="24"/>
          <w:szCs w:val="24"/>
        </w:rPr>
        <w:t>powierzania zadań z zakresu podlegającego kontroli;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>upoważniania pracowników jednostki kontrolowanej do przyjmowania, przekształcania i przesyłania wniosków o wpis do CEIDG oraz zgłaszania do CEIDG informacji o udzielonych upoważnieniach lub o ich cofnięciu;</w:t>
      </w:r>
    </w:p>
    <w:p w:rsidR="00446C8B" w:rsidRPr="00446C8B" w:rsidP="00446C8B">
      <w:pPr>
        <w:numPr>
          <w:ilvl w:val="0"/>
          <w:numId w:val="9"/>
        </w:numPr>
        <w:tabs>
          <w:tab w:val="left" w:pos="567"/>
        </w:tabs>
        <w:spacing w:after="160" w:line="360" w:lineRule="auto"/>
        <w:ind w:left="567" w:hanging="283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poprawności i kompletności wniosków składanych przez przedsiębiorców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do organu gminy o wpis do CEIDG.</w:t>
      </w:r>
    </w:p>
    <w:p w:rsidR="00446C8B" w:rsidRPr="00446C8B" w:rsidP="00446C8B">
      <w:pPr>
        <w:tabs>
          <w:tab w:val="left" w:pos="567"/>
        </w:tabs>
        <w:spacing w:line="360" w:lineRule="auto"/>
        <w:ind w:firstLine="567"/>
        <w:contextualSpacing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446C8B" w:rsidRPr="00446C8B" w:rsidP="00446C8B">
      <w:pPr>
        <w:tabs>
          <w:tab w:val="left" w:pos="567"/>
        </w:tabs>
        <w:spacing w:line="360" w:lineRule="auto"/>
        <w:ind w:firstLine="567"/>
        <w:contextualSpacing/>
        <w:outlineLvl w:val="0"/>
        <w:rPr>
          <w:rFonts w:ascii="Arial" w:hAnsi="Arial" w:cs="Arial"/>
          <w:color w:val="000000"/>
          <w:sz w:val="24"/>
          <w:szCs w:val="24"/>
        </w:rPr>
      </w:pPr>
      <w:r w:rsidRPr="00446C8B">
        <w:rPr>
          <w:rFonts w:ascii="Arial" w:hAnsi="Arial" w:cs="Arial"/>
          <w:b/>
          <w:color w:val="000000"/>
          <w:sz w:val="24"/>
          <w:szCs w:val="24"/>
        </w:rPr>
        <w:t>Ustalenia kontroli: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46C8B" w:rsidRPr="00446C8B" w:rsidP="00446C8B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okresie objętym kontrolą oraz w dniu rozpoczęcia kontroli kierownikiem jednostki kontrolowanej był Pan Jarosław Kielar – Burmistrz Kluczborka, wybrany ponownie na stanowisko w wyniku wyborów bezpośrednich przeprowadzonych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21 października 2018 r. </w:t>
      </w:r>
      <w:bookmarkStart w:id="7" w:name="_Hlk102644328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446C8B" w:rsidRPr="00446C8B" w:rsidP="00446C8B">
      <w:pPr>
        <w:spacing w:line="360" w:lineRule="auto"/>
        <w:jc w:val="right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[Dowód: akta kontroli str.4-5]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End w:id="7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okresie objętym kontrolą tj. od dnia 1.01.2023 r. do dnia 24.11.2023 r.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Urzędzie Miejskim w Kluczborku obowiązywał Regulamin organizacyjny wprowadzony Zarządzeniem Nr BR.120.28.2021 Burmistrza Miasta Kluczborka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z dnia 30 czerwca 2021 r. w sprawie nadania Regulaminu Organizacyjnego Urzędu Miejskiego w Kluczborku.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32 pkt 21 Regulaminu organizacyjnego do Zadań Wydziału Promocji i Rozwoju Gminy należy realizacja zadań określonych w ustawie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o swobodzie działalności gospodarczej</w:t>
      </w:r>
      <w:r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5"/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Ustawa, na której oparty jest wskazany powyżej punkt została uchylona dnia 29 kwietnia 2018 r.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Do dnia zakończenia czynności kontrolnych nie dokonano aktualizacji zapisów Regulaminu organizacyjnego.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Zgodnie ze schematem organizacyjnym Urzędu Miejskiego w Kluczborku</w:t>
      </w:r>
      <w:r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6"/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, nadzór nad Wydziałem sprawuje II Zastępca Burmistrza.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[Dowód: akta kontroli str. 14-41]</w:t>
      </w:r>
    </w:p>
    <w:p w:rsidR="00446C8B" w:rsidRPr="00446C8B" w:rsidP="00446C8B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 realizację zadania polegającego na przyjmowaniu, przekształcaniu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i przesyłaniu wniosków przedsiębiorców o wpis do CEIDG, odpowiedzialne były cztery osoby zatrudnione w Wydziale Promocji i Rozwoju Gminy na stanowiskach: Naczelnika (1 osoba), Głównego Specjalisty (1 osoba) oraz Inspektora (2 osoby). Bezpośredni nadzór nad pracownikami odpowiedzialnymi za realizację zadania sprawowali odpowiednio: II Zastępca Burmistrza oraz Naczelnik Wydziału.</w:t>
      </w:r>
    </w:p>
    <w:p w:rsidR="00446C8B" w:rsidRPr="00446C8B" w:rsidP="00446C8B">
      <w:pPr>
        <w:tabs>
          <w:tab w:val="left" w:pos="1134"/>
        </w:tabs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W zakresach czynności 3 pracowników odpowiedzialnych za realizację zadania znajdują się zapisy dotyczące prowadzenia spraw związanych z realizacją ustawy prawo przedsiębiorców oraz obsługą Centralnej Ewidencji Działalności Gospodarczej</w:t>
      </w:r>
      <w:bookmarkStart w:id="8" w:name="_Hlk107312382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, natomiast 1 pracownik zapisy związane z obsługą Centralnej Ewidencji Działalności Gospodarczej wskazane ma w zakresie uprawnień.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jc w:val="right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[Dowód: akta kontroli str. 6-13]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End w:id="8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Stosownie do treści art. 8 ust. 5 ustawy o CEIDG w przypadku, gdy czynności, o których mowa w ust. 4 wykonują upoważnieni pracownicy, organ gminy jest obowiązany niezwłocznie przekazywać do CEIDG imiona i nazwiska tych osób,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a także niezwłocznie informować o cofnięciu upoważnień dla tych osób.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raportu </w:t>
      </w:r>
      <w:r w:rsidRPr="00446C8B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CEIDG R024 RZ Liczba złożonych wniosków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446C8B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 xml:space="preserve">przez pracowników gminy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dnia 30 listopada 2023 r. wynika, że w okresie objętym kontrolą czynności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zakresie przekształcania, podpisywania i przesyłania wniosków do CEIDG realizowane były przez 4 pracowników Urzędu Miejskiego w Kluczborku. Osoby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te nie posiadały odrębnych, pisemnych upoważnień Burmistrza do realizowania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jego imieniu zadań z zakresu CEIDG, ale zostały zgłoszone do CEIDG, jako osoby uprawnione do podejmowania czynności, o których mowa w art. 8 ust. 4 ustawy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o CEIDG. Wskazane powyżej upoważnienia zostały udzielone w trakcie kontroli,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tj. 28 listopada 2023 r.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Wobec powyższego odstępuje się od wydawania zaleceń pokontrolnych w niniejszym zakresie.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raportu </w:t>
      </w:r>
      <w:r w:rsidRPr="00446C8B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CEIDG R024 RZ Użytkownicy w danej organizacj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i z dnia 30 listopada 2023 r. wynika, iż do systemu CEIDG zgłoszonych zostało 6 osób. Cztery z nich są to pracownicy wskazani powyżej, zajmujący się przekształcaniem, podpisywaniem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i przesyłaniem wniosków do CEIDG. Jedną osobą jest pracownik Wydziału Ochrony Środowiska i Leśnictwa zajmujący się, zgodnie z art. 44 ust. 1 pkt 4 ustawy o CEIDG, wpisami do rejestru działalności regulowanej w zakresie odbierania odpadów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komunalnych od właścicieli nieruchomości. Jedną osobą jest pracownik, który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w okresie od 01.01.2023 r. do 30.06.2023 r. przebywał na urlopie bezpłatnym,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a następnie zakończył pracę w Urzędzie Miejskim w Kluczborku. Zgodnie z art. 8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ust. 5 ustawy o CEIDG, odebranie uprawnień pracownikowi powinno być zgłoszone niezwłocznie do systemu CEIDG. We wskazanym przypadku przedmiotowe zgłoszenie nastąpiło 29.11.2023 r.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Wobec powyższego odstępuje się od wydawania zaleceń pokontrolnych w niniejszym zakresie.</w:t>
      </w:r>
    </w:p>
    <w:p w:rsidR="00446C8B" w:rsidRPr="00446C8B" w:rsidP="00446C8B">
      <w:pPr>
        <w:tabs>
          <w:tab w:val="left" w:pos="1134"/>
        </w:tabs>
        <w:spacing w:line="360" w:lineRule="auto"/>
        <w:jc w:val="right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[Dowód: akta kontroli str. 43-54]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raportu </w:t>
      </w:r>
      <w:r w:rsidRPr="00446C8B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CEIDG R024 RZ Liczba złożonych wniosków przez pracowników gminy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 dnia 30 listopada 2023 r. wynika, że w okresie od 1.01.2023 r. do 24.11.2023 r. w Urzędzie Miejskim w Kluczborku zarejestrowano 434 wnioski przedsiębiorców o wpis do CEIDG. Weryfikacji poddano 26 z nich, co stanowi 6% wszystkich złożonych wniosków. Kontroli poddano, co dziesiąty wniosek z rejestru począwszy od numeru 1 do numeru 251.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bookmarkStart w:id="9" w:name="_Hlk106979260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Pracownik organu gminy każdorazowo zakładał sprawę poprzez rejestrowanie jej pod numerem 7330, nadawanie znaku sprawy oraz numeru zgodnie z § 4 ust.1 rozporządzenia Prezesa Rady Ministrów z dnia 18 stycznia 2011 r. w sprawie instrukcji kancelaryjnej, jednolitych rzeczowych wykazów akt oraz instrukcji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w sprawie organizacji i zakresu działania archiwów zakładowych</w:t>
      </w:r>
      <w:r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7"/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, § 5 ust.1 Instrukcji kancelaryjnej</w:t>
      </w:r>
      <w:r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US"/>
        </w:rPr>
        <w:footnoteReference w:id="8"/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(załącznik Nr 1 do przywołanego powyżej rozporządzenia) oraz Jednolitym rzeczowym wykazem akt organów gminy i związków międzygminnych oraz urzędów obsługujących te organy i związki (załącznik nr 2 do rozporządzenia RM)</w:t>
      </w:r>
      <w:bookmarkEnd w:id="9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Urzędzie Miejskim w Kluczborku przyjęto zasadę, że wnioski przechowuje się w segregatorach odrębnie dla każdego roku. W każdym segregatorze zamieszczony był rejestr przechowywanych w nim wniosków. Jak ustalono w trakcie kontroli, dokumentacja przedsiębiorców zawierała po dwa podpisane wnioski,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tj.: potwierdzenie przyjęcia wniosku i potwierdzenia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dokonania wpisu wygenerowane przez system CEIDG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, a także inne wymagane dokumenty, np.: upoważnienia.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 informacji uzyskanych od pracowników podczas kontroli wynika, że akta spraw zawierały po dwa wnioski. Obydwa wnioski zostały podpisane przez przedsiębiorcę, z tym że jeden został wypełniony przez przedsiębiorcę odręcznie,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a jeden był wydrukiem z systemu CEIDG ( sporządzonym przez pracownika urzędu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i wydrukowanym przed przekazaniem/zatwierdzeniem w systemie).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Odnosząc się do powyższego należy zauważyć, że każdy wniosek powinien być przyjęty, przekształcony i przesłany do CEIDG. </w:t>
      </w:r>
      <w:bookmarkStart w:id="10" w:name="_Hlk154062451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W przypadku złożenia niepoprawnego wniosku, zgodnie z art. 10 ust  6 ustawy o CEIDG o</w:t>
      </w:r>
      <w:r w:rsidRPr="00446C8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rgan gminy niezwłocznie wskazuje wnioskodawcy uchybienia oraz wzywa do skorygowania </w:t>
      </w:r>
      <w:r w:rsidRPr="00446C8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br/>
        <w:t>lub uzupełnienia wniosku w terminie 7 dni roboczych, pod rygorem pozostawienia wniosku bez rozpoznania.</w:t>
      </w:r>
    </w:p>
    <w:p w:rsidR="00446C8B" w:rsidRPr="00446C8B" w:rsidP="00446C8B">
      <w:pPr>
        <w:numPr>
          <w:ilvl w:val="0"/>
          <w:numId w:val="12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bookmarkEnd w:id="10"/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Poprawność i kompletność wniosków składanych przez przedsiębiorców </w:t>
      </w: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br/>
        <w:t>do organu gminy o wpis do CEIDG.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Zgodnie z art. 8 ust. 2-4 ustawy o CEIDG, przedsiębiorca może złożyć papierową wersję wniosku w dowolnie wybranym urzędzie gminy. Wniosek może być złożony osobiście przez przedsiębiorcę lub przez uprawnioną osobę. Zadaniem gminy jest przyjęcie wniosku za pokwitowaniem, potwierdzenie tożsamości osoby składającej wniosek, a następnie przekształcenie wniosku na postać dokumentu elektronicznego i przesłanie do CEIDG, nie później niż następnego dnia roboczego po przyjęciu wniosku. Elektroniczna wersja wniosku jest opatrywana kwalifikowanym podpisem elektronicznym, podpisem zaufanym albo podpisem osobistym.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Jak wynika z art. 8 ust. 2 wspomnianej wyżej ustawy papierowa wersja wniosku o wpis do CEIDG musi być zgodna z zakresem i układem aktualnego formularza elektronicznego, zamieszczonego na stronie internetowej CEIDG, zgodnie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z art. 3 ust. 2 ustawy o CEIDG.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8 ust. 6 wskazanej ustawy wniosek oraz dokumentacja z nim związana podlegają archiwizacji przez okres 10 lat od dnia ich złożenia.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okresie objętym kontrolą w Urzędzie Miejskim w Kluczborku zarejestrowano 434  wnioski przedsiębiorców. Kontroli poddano 26 wniosków. Wszystkie wnioski poddane kontroli zostały złożone w wersji papierowej i podpisane przez przedsiębiorcę, następnie przekształcone na wersję elektroniczną, która była drukowana i podpisywana ponownie przez przedsiębiorcę (z wyjątkiem jednego wniosku), po tych czynnościach wnioski przesyłane były do CEIDG.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W</w:t>
      </w:r>
      <w:r w:rsidRPr="00446C8B">
        <w:rPr>
          <w:rFonts w:ascii="Arial" w:eastAsia="Calibri" w:hAnsi="Arial" w:cs="Arial"/>
          <w:color w:val="00B0F0"/>
          <w:sz w:val="24"/>
          <w:szCs w:val="24"/>
          <w:lang w:eastAsia="en-US"/>
        </w:rPr>
        <w:t xml:space="preserve">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jednym przypadku wskazanym powyżej, przedsiębiorca złożył dwa wnioski. Jeden wypełniony i podpisany odręcznie oraz jeden wydrukowany z systemu CEIDG (przed przekazaniem) – niepodpisany. Pierwszy z nich był niezgodny z przekazanym (w zakresie nazwy skróconej firmy), natomiast drugi, niepodpisany – był zgodny.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Pracownik Urzędu Miejskiego w Kluczborku każdorazowo potwierdzał,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za pokwitowaniem, przyjęcie wniosku i potwierdzał tożsamość osoby składającej wniosek, co jest zgodne z art. 8 ust. 3 ustawy o CEIDG.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Start w:id="11" w:name="_Hlk154062426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Stwierdzono, że w każdym poddanym kontroli przypadku pracownicy nie umieszczali pieczęci z datą wpływu na pismach przedsiębiorców wpływających do Urzędu, co jest niezgodne z § 42 ust. 2 Instrukcji kancelaryjnej – po zarejestrowaniu przesyłki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na nośniku papierowym punkt kancelaryjny umieszcza i wypełnia pieczęć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wpływu na pierwszej stronie pisma lub, w przypadku gdy nie ma możliwości otwarcia koperty, na kopercie.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bookmarkEnd w:id="11"/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We wszystkich poddanych kontroli wnioskach, oświadczenia, o których mowa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 xml:space="preserve">w art. 7 ust.1 pkt 1 i 2 ustawy o CEIDG, zostały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złożone. Przedmiotowe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oświadczenia, składane były pod rygorem odpowiedzialności karnej za złożenie fałszywego oświadczenia. Składający oświadczenia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zawierał w nich klauzule o treści: „Jestem świadomy odpowiedzialności karnej za złożenie fałszywego oświadczenia”, co jest zgodne z art. 7 ust. 2 ustawy.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Zgodnie z art. 10 ust. 1 ustawy o CEIDG wpis do CEIDG jest dokonywany, gdy wniosek jest poprawny, tj. gdy zawiera dane podlegające wpisowi, zgodnie z art. 5 ustawy, oraz nie wystąpiła żadna z okoliczności, o których mowa w art. 10 ust. 2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pkt 2-8 powyższej ustawy. 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Wszystkie wnioski w postaci papierowej zostały wypełnione zgodnie z ustawą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 xml:space="preserve">o CEIDG oraz </w:t>
      </w:r>
      <w:r w:rsidRPr="00446C8B">
        <w:rPr>
          <w:rFonts w:ascii="Arial" w:eastAsia="Calibri" w:hAnsi="Arial" w:cs="Arial"/>
          <w:i/>
          <w:color w:val="000000"/>
          <w:sz w:val="24"/>
          <w:szCs w:val="24"/>
          <w:lang w:eastAsia="en-US"/>
        </w:rPr>
        <w:t>Instrukcją wypełniania wniosku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Ustalono, że w 1 przypadku wnioski, tj. oba wnioski w postaci pisemnej oraz dokument przekazany do CEIDG, są zgodne ze sobą.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25 z 26 przypadków stwierdzono, że wnioski będące odręcznie wypełnionymi wnioskami składanymi przez przedsiębiorców nie są zgodne z wnioskami stanowiącymi wydruk z systemu CEIDG (przed przekazaniem) oraz z wersją dokumentu przekazaną do CEIDG, co narusza art. 8 ust 4 ustawy o CEIDG - </w:t>
      </w:r>
      <w:r w:rsidRPr="00446C8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Organ gminy przekształca wniosek, o którym mowa w ust. 2, na postać dokumentu elektronicznego, zapewniając integralność danych zawartych we wniosku.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strike/>
          <w:color w:val="FF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W każdym przypadku wydruki z systemu CEIDG podpisane przez przedsiębiorców zgodne są z wnioskami przekazanymi do CEIDG.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 jednym przypadku poddanym kontroli wniosek o wykreślenie w postaci papierowej złożony został przez pełnomocnika, który na podstawie dołączonego pełnomocnictwa, nie posiadał uprawnień do wykreślania działalności przedsiębiorcy z CEIDG. Wskazany wniosek został złożony przez </w:t>
      </w:r>
      <w:r w:rsidRPr="00446C8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osobę nieuprawnioną, co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zgodnie z art. 10 ust. 2 pkt 8, </w:t>
      </w:r>
      <w:r w:rsidRPr="00446C8B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wiąże się, z uznaniem takiego wniosku za niepoprawny.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Ponadto w przypadku jednego wniosku stwierdzono, że został on złożony przez osobę upoważnioną (dokument w aktach sprawy), a w obu wersjach papierowych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w rubryce kto składa wniosek, tj. przedsiębiorca czy osoba uprawniona, zaznaczone jest, że był to przedsiębiorca.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Osobami odpowiedzialnymi za powstanie ww. nieprawidłowości są osoby zatrudnione w Wydziale Promocji i Rozwoju Gminy Urzędu Miejskiego w Kluczborku, którym powierzono realizację zadania</w:t>
      </w:r>
      <w:bookmarkStart w:id="12" w:name="_Hlk103778369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a także sprawujące nadzór </w:t>
      </w:r>
      <w:bookmarkEnd w:id="12"/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w zakresie objętym kontrolą.</w:t>
      </w:r>
    </w:p>
    <w:p w:rsidR="00446C8B" w:rsidRPr="00446C8B" w:rsidP="00446C8B">
      <w:pPr>
        <w:numPr>
          <w:ilvl w:val="0"/>
          <w:numId w:val="12"/>
        </w:numPr>
        <w:autoSpaceDE w:val="0"/>
        <w:autoSpaceDN w:val="0"/>
        <w:adjustRightInd w:val="0"/>
        <w:spacing w:after="160" w:line="360" w:lineRule="auto"/>
        <w:ind w:left="284" w:hanging="284"/>
        <w:contextualSpacing/>
        <w:outlineLvl w:val="0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Terminowość przekształcania wniosków, o których mowa w art. 8 ust. 2 pkt 1 i 2, art. 15 ust.1 pkt 1-3, art. 20 ust.1 ustawy o CEIDG, na formę dokumentu elektronicznego oraz przesyłania ich do CEIDG.</w:t>
      </w:r>
    </w:p>
    <w:p w:rsidR="00446C8B" w:rsidRPr="00446C8B" w:rsidP="00446C8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W każdym poddanym kontroli przypadku sprawa związana z przekształcaniem wniosku i przekazaniem do CEIDG była załatwiona w terminie określonym w art. 8 ust. 4 ustawy. Wobec powyższego nie wnosi się zastrzeżeń w zakresie terminowości przekształcania wniosków na formę dokumentu elektronicznego oraz przesyłania ich do CEIDG.</w:t>
      </w:r>
    </w:p>
    <w:p w:rsidR="00446C8B" w:rsidRPr="00446C8B" w:rsidP="00446C8B">
      <w:pPr>
        <w:numPr>
          <w:ilvl w:val="0"/>
          <w:numId w:val="7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46C8B">
        <w:rPr>
          <w:rFonts w:ascii="Arial" w:hAnsi="Arial" w:cs="Arial"/>
          <w:b/>
          <w:bCs/>
          <w:color w:val="000000"/>
          <w:sz w:val="24"/>
          <w:szCs w:val="24"/>
        </w:rPr>
        <w:t>Zakres, przyczyny i skutki stwierdzonych nieprawidłowości oraz osoby</w:t>
      </w:r>
      <w:r w:rsidRPr="00446C8B">
        <w:rPr>
          <w:rFonts w:ascii="Arial" w:hAnsi="Arial" w:cs="Arial"/>
          <w:b/>
          <w:bCs/>
          <w:color w:val="000000"/>
          <w:sz w:val="24"/>
          <w:szCs w:val="24"/>
        </w:rPr>
        <w:br/>
        <w:t>odpowiedzialne za nieprawidłowości: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>W trakcie kontroli stwierdzono następujące uchybienia:</w:t>
      </w:r>
    </w:p>
    <w:p w:rsidR="00446C8B" w:rsidRPr="00446C8B" w:rsidP="00446C8B">
      <w:pPr>
        <w:numPr>
          <w:ilvl w:val="0"/>
          <w:numId w:val="10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B0F0"/>
          <w:sz w:val="24"/>
          <w:szCs w:val="24"/>
        </w:rPr>
      </w:pPr>
      <w:bookmarkStart w:id="13" w:name="_Hlk154045725"/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w jednym przypadku niezgodność wymaganych danych zgodnie z </w:t>
      </w:r>
      <w:r w:rsidRPr="00446C8B">
        <w:rPr>
          <w:rFonts w:ascii="Arial" w:hAnsi="Arial" w:cs="Arial"/>
          <w:bCs/>
          <w:i/>
          <w:color w:val="000000"/>
          <w:sz w:val="24"/>
          <w:szCs w:val="24"/>
        </w:rPr>
        <w:t>Instrukcją wypełniania wniosku</w:t>
      </w:r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 pomiędzy wnioskiem złożonym przez przedsiębiorcę, </w:t>
      </w:r>
      <w:r w:rsidRPr="00446C8B">
        <w:rPr>
          <w:rFonts w:ascii="Arial" w:hAnsi="Arial" w:cs="Arial"/>
          <w:bCs/>
          <w:color w:val="000000"/>
          <w:sz w:val="24"/>
          <w:szCs w:val="24"/>
        </w:rPr>
        <w:br/>
        <w:t>a przekazanym do CEIDG.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>W trakcie kontroli stwierdzono następujące nieprawidłowości: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niedostosowanie zapisów Regulaminu organizacyjnego oraz zakresów czynności pracowników wykonujących zadań z zakresu </w:t>
      </w:r>
      <w:r w:rsidRPr="00446C8B">
        <w:rPr>
          <w:rFonts w:ascii="Arial" w:hAnsi="Arial" w:cs="Arial"/>
          <w:sz w:val="24"/>
          <w:szCs w:val="24"/>
        </w:rPr>
        <w:t>przyjmowania, przekształcania i przesyłania wniosków przedsiębiorców</w:t>
      </w:r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 do obowiązującego stanu prawnego, tj.: ustawy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o C</w:t>
      </w:r>
      <w:r w:rsidR="00667660">
        <w:rPr>
          <w:rFonts w:ascii="Arial" w:eastAsia="Calibri" w:hAnsi="Arial" w:cs="Arial"/>
          <w:sz w:val="24"/>
          <w:szCs w:val="24"/>
          <w:lang w:eastAsia="en-US"/>
        </w:rPr>
        <w:t>EIDG</w:t>
      </w:r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;   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 xml:space="preserve">brak upoważnień przez osoby odpowiadające za realizację zadań w zakresie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przyjmowania, przekształcania i przesyłania wniosków przedsiębiorców o wpis do CEIDG w okresie od dnia 1 stycznia 2023 r. do dnia 28 listopada 2023 r., 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</w:r>
      <w:r w:rsidRPr="00446C8B">
        <w:rPr>
          <w:rFonts w:ascii="Arial" w:hAnsi="Arial" w:cs="Arial"/>
          <w:bCs/>
          <w:sz w:val="24"/>
          <w:szCs w:val="24"/>
        </w:rPr>
        <w:t>co oznacza, że naruszono przepis art. 8 ust. 5 ustawy o CEIDG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>;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sz w:val="24"/>
          <w:szCs w:val="24"/>
        </w:rPr>
        <w:t>przekazanie, w 1 przypadku, informacji o cofnięciu uprawnień pracownika do CEIDG z dużym opóźnieniem, co oznacza, że naruszono przepis art. 8 ust. 5 ustawy o CEIDG;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sz w:val="24"/>
          <w:szCs w:val="24"/>
        </w:rPr>
        <w:t xml:space="preserve">nienadawanie wnioskom daty wpływu, co jest niezgodnie z Instrukcją kancelaryjną stanowiącą załącznik Nr 1 do rozporządzenia Prezesa Rady </w:t>
      </w:r>
      <w:r w:rsidRPr="00446C8B">
        <w:rPr>
          <w:rFonts w:ascii="Arial" w:hAnsi="Arial" w:cs="Arial"/>
          <w:bCs/>
          <w:sz w:val="24"/>
          <w:szCs w:val="24"/>
        </w:rPr>
        <w:t>Ministrów w sprawie instrukcji kancelaryjnej, jednolitych rzeczowych wykazów akt oraz instrukcji w sprawie organizacji i zakresu działania archiwów zakładowych;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70C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>brak niezwłocznego zgłoszenia do systemu CEIDG osoby, której cofnięto upoważnienia</w:t>
      </w:r>
      <w:r w:rsidRPr="00446C8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 powodu </w:t>
      </w:r>
      <w:r w:rsidRPr="00446C8B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zakończania pracy;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>gromadzenie w aktach sprawy dwóch podpisanych wniosków przedsiębiorcy;</w:t>
      </w:r>
    </w:p>
    <w:p w:rsidR="00446C8B" w:rsidRPr="00446C8B" w:rsidP="00446C8B">
      <w:pPr>
        <w:numPr>
          <w:ilvl w:val="0"/>
          <w:numId w:val="11"/>
        </w:numPr>
        <w:spacing w:after="160" w:line="360" w:lineRule="auto"/>
        <w:ind w:left="567" w:hanging="283"/>
        <w:contextualSpacing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bCs/>
          <w:color w:val="000000"/>
          <w:sz w:val="24"/>
          <w:szCs w:val="24"/>
        </w:rPr>
        <w:t>przekazanie do CEIDG wniosku o wykreślenie, złożonego przez osobę nieuprawnioną (nr wniosku – 211).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color w:val="000000"/>
          <w:sz w:val="24"/>
          <w:szCs w:val="24"/>
        </w:rPr>
      </w:pPr>
      <w:bookmarkEnd w:id="13"/>
      <w:r w:rsidRPr="00446C8B">
        <w:rPr>
          <w:rFonts w:ascii="Arial" w:hAnsi="Arial" w:cs="Arial"/>
          <w:color w:val="000000"/>
          <w:sz w:val="24"/>
          <w:szCs w:val="24"/>
        </w:rPr>
        <w:t xml:space="preserve">Przyczyną stwierdzonych uchybień i nieprawidłowości jest niedostateczna rzetelność pracowników, którym powierzono realizację zadania, nieznajomość przepisów prawa w zakresie realizowanych zadań oraz niewystarczający nadzór przełożonego. 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446C8B">
        <w:rPr>
          <w:rFonts w:ascii="Arial" w:hAnsi="Arial" w:cs="Arial"/>
          <w:color w:val="000000"/>
          <w:sz w:val="24"/>
          <w:szCs w:val="24"/>
        </w:rPr>
        <w:t xml:space="preserve">Skutkiem stwierdzonego uchybienia i nieprawidłowości jest odstępstwo </w:t>
      </w:r>
      <w:r w:rsidRPr="00446C8B">
        <w:rPr>
          <w:rFonts w:ascii="Arial" w:hAnsi="Arial" w:cs="Arial"/>
          <w:color w:val="000000"/>
          <w:sz w:val="24"/>
          <w:szCs w:val="24"/>
        </w:rPr>
        <w:br/>
        <w:t>od stanu pożądanego w kontrolowanym zakresie.</w:t>
      </w:r>
    </w:p>
    <w:p w:rsidR="00446C8B" w:rsidRPr="00446C8B" w:rsidP="00446C8B">
      <w:pPr>
        <w:numPr>
          <w:ilvl w:val="0"/>
          <w:numId w:val="7"/>
        </w:numPr>
        <w:spacing w:before="120" w:after="120" w:line="360" w:lineRule="auto"/>
        <w:ind w:left="0" w:firstLine="0"/>
        <w:outlineLvl w:val="0"/>
        <w:rPr>
          <w:rFonts w:ascii="Arial" w:eastAsia="Calibri" w:hAnsi="Arial" w:cs="Arial"/>
          <w:b/>
          <w:w w:val="95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 xml:space="preserve">Informacja o zastrzeżeniach zgłoszonych do projektu wystąpienia pokontrolnego i wyniku ich rozpatrzenia lub o niezgłoszeniu zastrzeżeń. 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Kierownik jednostki kontrolowanej nie zgłosił zastrzeżeń do treści projektu wystąpienia pokontrolnego.</w:t>
      </w:r>
      <w:r w:rsidRPr="00446C8B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46C8B" w:rsidRPr="00446C8B" w:rsidP="00446C8B">
      <w:pPr>
        <w:numPr>
          <w:ilvl w:val="0"/>
          <w:numId w:val="7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>Zalecenia lub wnioski dotyczące usunięcia nieprawidłowości lub usprawnienia funkcjonowania jednostki kontrolowanej.</w:t>
      </w:r>
    </w:p>
    <w:p w:rsidR="00446C8B" w:rsidRPr="00446C8B" w:rsidP="00446C8B">
      <w:pPr>
        <w:spacing w:before="120" w:after="160" w:line="360" w:lineRule="auto"/>
        <w:ind w:firstLine="567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W związku z ustaleniami kontroli zalecam: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dokładne przekształcanie wniosków przedsiębiorców, złożonych w wersji papierowej na wersję elektroniczną;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aktualizację zapisów Regulaminu organizacyjnego oraz zakresów czynności pracowników wykonujących zadania z zakresu przyjmowania, przekształcania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 xml:space="preserve">i przesyłania wniosków przedsiębiorców do obowiązującego stanu prawnego,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>tj. ustawy o C</w:t>
      </w:r>
      <w:r w:rsidR="00667660">
        <w:rPr>
          <w:rFonts w:ascii="Arial" w:eastAsia="Calibri" w:hAnsi="Arial" w:cs="Arial"/>
          <w:sz w:val="24"/>
          <w:szCs w:val="24"/>
          <w:lang w:eastAsia="en-US"/>
        </w:rPr>
        <w:t>EIDG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; 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umieszczanie i wypełnianie na wnioskach przedsiębiorców, złożonych zgodnie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>z art. 8 ust. 2 ustawy o CEIDG, pieczęci wpływu zgodnie z Instrukcją kancelaryjną stanowiącą załącznik Nr 1 do rozporządzenia Prezesa Rady Ministrów w sprawie instrukcji kancelaryjnej, jednolitych rzeczowych wykazów akt oraz instrukcji w sprawie organizacji i zakresu działania archiwów zakładowych z dnia 18 stycznia 2011 r.;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gromadzenie w aktach sprawy jednego podpisanego przez przedsiębiorcę wniosku;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>weryfikację pełnomocnictw dołączanych do wniosków;</w:t>
      </w:r>
    </w:p>
    <w:p w:rsidR="00446C8B" w:rsidRPr="00446C8B" w:rsidP="00446C8B">
      <w:pPr>
        <w:numPr>
          <w:ilvl w:val="0"/>
          <w:numId w:val="13"/>
        </w:numPr>
        <w:spacing w:after="160" w:line="360" w:lineRule="auto"/>
        <w:ind w:left="567" w:hanging="283"/>
        <w:contextualSpacing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446C8B">
        <w:rPr>
          <w:rFonts w:ascii="Arial" w:eastAsia="Calibri" w:hAnsi="Arial" w:cs="Arial"/>
          <w:sz w:val="24"/>
          <w:szCs w:val="24"/>
          <w:lang w:eastAsia="en-US"/>
        </w:rPr>
        <w:t xml:space="preserve">niezwłoczne przekazywanie do CEIDG  informacji o cofnięciu upoważnień 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br/>
        <w:t>dla pracowników do przyjmowania, przekształcania i przesyłania wniosków przedsiębiorców o wpis do CEIDG, zgodnie z art. 8 ust. 5 ustawy o CEIDG.</w:t>
      </w:r>
    </w:p>
    <w:p w:rsidR="00446C8B" w:rsidRPr="00446C8B" w:rsidP="00446C8B">
      <w:pPr>
        <w:numPr>
          <w:ilvl w:val="0"/>
          <w:numId w:val="7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>Ocena wskazująca na niezasadność zajmowania stanowiska lub pełnienia funkcji przez osobę odpowiedzialną za stwierdzone nieprawidłowości:</w:t>
      </w:r>
    </w:p>
    <w:p w:rsidR="00446C8B" w:rsidRPr="00446C8B" w:rsidP="00446C8B">
      <w:pPr>
        <w:spacing w:line="360" w:lineRule="auto"/>
        <w:ind w:firstLine="567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N</w:t>
      </w:r>
      <w:r w:rsidRPr="00446C8B">
        <w:rPr>
          <w:rFonts w:ascii="Arial" w:eastAsia="Calibri" w:hAnsi="Arial" w:cs="Arial"/>
          <w:sz w:val="24"/>
          <w:szCs w:val="24"/>
          <w:lang w:eastAsia="en-US"/>
        </w:rPr>
        <w:t>ie dotyczy.</w:t>
      </w:r>
    </w:p>
    <w:p w:rsidR="00446C8B" w:rsidRPr="00446C8B" w:rsidP="00446C8B">
      <w:pPr>
        <w:numPr>
          <w:ilvl w:val="0"/>
          <w:numId w:val="7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>Na podstawie art. 49 oraz art. 46 ust. 3 pkt 3 ustawy o kontroli, proszę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>o przekazanie pisemnej informacji o sposobie wykonania zaleceń, wykorzystaniu wniosków lub przyczynach ich niewykorzystania, o podjętych działaniach lub przyczynach ich niepodjęcia, albo o innym sposobie usunięcia stwierdzonych nieprawidłowości, w terminie w 14 dni od dnia otrzymania niniejszego dokumentu.</w:t>
      </w:r>
    </w:p>
    <w:p w:rsidR="00A936F9" w:rsidRPr="00667660" w:rsidP="00667660">
      <w:pPr>
        <w:numPr>
          <w:ilvl w:val="0"/>
          <w:numId w:val="7"/>
        </w:numPr>
        <w:spacing w:after="160" w:line="360" w:lineRule="auto"/>
        <w:ind w:left="0" w:firstLine="0"/>
        <w:outlineLvl w:val="0"/>
        <w:rPr>
          <w:rFonts w:ascii="Arial" w:hAnsi="Arial" w:cs="Arial"/>
          <w:b/>
          <w:color w:val="000000"/>
          <w:w w:val="95"/>
          <w:sz w:val="24"/>
          <w:szCs w:val="24"/>
        </w:rPr>
      </w:pP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t xml:space="preserve">Zgodnie z art. 48 ustawy o kontroli, od wystąpienia pokontrolnego </w:t>
      </w:r>
      <w:r w:rsidRPr="00446C8B">
        <w:rPr>
          <w:rFonts w:ascii="Arial" w:eastAsia="Calibri" w:hAnsi="Arial" w:cs="Arial"/>
          <w:b/>
          <w:sz w:val="24"/>
          <w:szCs w:val="24"/>
          <w:lang w:eastAsia="en-US"/>
        </w:rPr>
        <w:br/>
        <w:t>nie przysługują środki odwoławcze.</w:t>
      </w:r>
      <w:bookmarkEnd w:id="3"/>
    </w:p>
    <w:p w:rsidR="00A74D53" w:rsidRPr="00E249A1" w:rsidP="00667660">
      <w:pPr>
        <w:keepNext/>
        <w:keepLines/>
        <w:tabs>
          <w:tab w:val="left" w:pos="-3686"/>
          <w:tab w:val="center" w:pos="6237"/>
        </w:tabs>
        <w:spacing w:before="720" w:after="6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E249A1">
        <w:rPr>
          <w:rFonts w:ascii="Arial" w:hAnsi="Arial" w:cs="Arial"/>
          <w:b/>
          <w:color w:val="FF0000"/>
          <w:sz w:val="22"/>
          <w:szCs w:val="22"/>
        </w:rPr>
        <w:t xml:space="preserve">Z up. </w:t>
      </w:r>
      <w:bookmarkStart w:id="14" w:name="_GoBack"/>
      <w:bookmarkEnd w:id="14"/>
      <w:r w:rsidRPr="00E249A1">
        <w:rPr>
          <w:rFonts w:ascii="Arial" w:hAnsi="Arial" w:cs="Arial"/>
          <w:b/>
          <w:color w:val="FF0000"/>
          <w:sz w:val="22"/>
          <w:szCs w:val="22"/>
        </w:rPr>
        <w:t>Wojewody Opolskiego</w:t>
      </w:r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5" w:name="ezdPracownikNazwa"/>
      <w:r w:rsidRPr="00E249A1">
        <w:rPr>
          <w:rFonts w:ascii="Arial" w:hAnsi="Arial" w:cs="Arial"/>
          <w:b/>
          <w:color w:val="FF0000"/>
          <w:sz w:val="22"/>
          <w:szCs w:val="22"/>
        </w:rPr>
        <w:t>Ewelina Kurzydło</w:t>
      </w:r>
      <w:bookmarkEnd w:id="15"/>
    </w:p>
    <w:p w:rsidR="00A74D53" w:rsidRPr="00E249A1" w:rsidP="006570BE">
      <w:pPr>
        <w:keepNext/>
        <w:keepLines/>
        <w:tabs>
          <w:tab w:val="left" w:pos="-3686"/>
          <w:tab w:val="center" w:pos="6237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6" w:name="ezdPracownikStanowisko"/>
      <w:r w:rsidRPr="00E249A1">
        <w:rPr>
          <w:rFonts w:ascii="Arial" w:hAnsi="Arial" w:cs="Arial"/>
          <w:b/>
          <w:color w:val="FF0000"/>
          <w:sz w:val="22"/>
          <w:szCs w:val="22"/>
        </w:rPr>
        <w:t>Dyrektor</w:t>
      </w:r>
      <w:bookmarkEnd w:id="16"/>
    </w:p>
    <w:p w:rsidR="00C65DE0" w:rsidRPr="00446C8B" w:rsidP="00446C8B">
      <w:pPr>
        <w:keepNext/>
        <w:keepLines/>
        <w:tabs>
          <w:tab w:val="left" w:pos="-3686"/>
          <w:tab w:val="center" w:pos="6237"/>
        </w:tabs>
        <w:spacing w:after="48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bookmarkStart w:id="17" w:name="ezdPracownikWydzialNazwa"/>
      <w:r w:rsidRPr="00E249A1">
        <w:rPr>
          <w:rFonts w:ascii="Arial" w:hAnsi="Arial" w:cs="Arial"/>
          <w:b/>
          <w:color w:val="FF0000"/>
          <w:sz w:val="22"/>
          <w:szCs w:val="22"/>
        </w:rPr>
        <w:t>Wydział Prawny i Nadzoru</w:t>
      </w:r>
      <w:bookmarkEnd w:id="17"/>
    </w:p>
    <w:sectPr w:rsidSect="00000183">
      <w:footerReference w:type="default" r:id="rId8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509336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46C8B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6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0256E" w:rsidP="00446C8B">
      <w:r>
        <w:separator/>
      </w:r>
    </w:p>
  </w:footnote>
  <w:footnote w:type="continuationSeparator" w:id="1">
    <w:p w:rsidR="0040256E" w:rsidP="00446C8B">
      <w:r>
        <w:continuationSeparator/>
      </w:r>
    </w:p>
  </w:footnote>
  <w:footnote w:id="2">
    <w:p w:rsidR="00446C8B" w:rsidRPr="008A1180" w:rsidP="00446C8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 w:rsidRPr="008A1180">
        <w:rPr>
          <w:rFonts w:ascii="Arial" w:hAnsi="Arial" w:cs="Arial"/>
        </w:rPr>
        <w:t>t.j</w:t>
      </w:r>
      <w:r w:rsidRPr="008A1180">
        <w:rPr>
          <w:rFonts w:ascii="Arial" w:hAnsi="Arial" w:cs="Arial"/>
        </w:rPr>
        <w:t>. Dz.U. z 202</w:t>
      </w:r>
      <w:r>
        <w:rPr>
          <w:rFonts w:ascii="Arial" w:hAnsi="Arial" w:cs="Arial"/>
        </w:rPr>
        <w:t>3</w:t>
      </w:r>
      <w:r w:rsidRPr="008A118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190, </w:t>
      </w:r>
      <w:r w:rsidRPr="00031E8B">
        <w:rPr>
          <w:rFonts w:cs="Arial"/>
        </w:rPr>
        <w:t>dalej ustawa o wojewodzie</w:t>
      </w:r>
    </w:p>
  </w:footnote>
  <w:footnote w:id="3">
    <w:p w:rsidR="00446C8B" w:rsidRPr="008A1180" w:rsidP="00446C8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 w:rsidRPr="008A1180">
        <w:rPr>
          <w:rFonts w:ascii="Arial" w:hAnsi="Arial" w:cs="Arial"/>
        </w:rPr>
        <w:t>t.j</w:t>
      </w:r>
      <w:r w:rsidRPr="008A1180">
        <w:rPr>
          <w:rFonts w:ascii="Arial" w:hAnsi="Arial" w:cs="Arial"/>
        </w:rPr>
        <w:t>. Dz.U. z 2020 r. poz. 224</w:t>
      </w:r>
      <w:r>
        <w:rPr>
          <w:rFonts w:ascii="Arial" w:hAnsi="Arial" w:cs="Arial"/>
        </w:rPr>
        <w:t xml:space="preserve">, </w:t>
      </w:r>
      <w:r w:rsidRPr="00031E8B">
        <w:rPr>
          <w:rFonts w:cs="Arial"/>
        </w:rPr>
        <w:t>dalej ustawa o kontroli</w:t>
      </w:r>
    </w:p>
  </w:footnote>
  <w:footnote w:id="4">
    <w:p w:rsidR="00446C8B" w:rsidRPr="008A1180" w:rsidP="00446C8B">
      <w:pPr>
        <w:pStyle w:val="FootnoteText"/>
        <w:rPr>
          <w:rFonts w:ascii="Arial" w:hAnsi="Arial" w:cs="Arial"/>
        </w:rPr>
      </w:pPr>
      <w:r w:rsidRPr="008A1180">
        <w:rPr>
          <w:rStyle w:val="FootnoteReference"/>
          <w:rFonts w:ascii="Arial" w:hAnsi="Arial" w:cs="Arial"/>
        </w:rPr>
        <w:footnoteRef/>
      </w:r>
      <w:r w:rsidRPr="008A1180">
        <w:rPr>
          <w:rFonts w:ascii="Arial" w:hAnsi="Arial" w:cs="Arial"/>
        </w:rPr>
        <w:t xml:space="preserve"> </w:t>
      </w:r>
      <w:r w:rsidRPr="008A1180">
        <w:rPr>
          <w:rFonts w:ascii="Arial" w:hAnsi="Arial" w:cs="Arial"/>
        </w:rPr>
        <w:t>t.j</w:t>
      </w:r>
      <w:r w:rsidRPr="008A1180">
        <w:rPr>
          <w:rFonts w:ascii="Arial" w:hAnsi="Arial" w:cs="Arial"/>
        </w:rPr>
        <w:t>. Dz.U. z 2022 r. poz. 541</w:t>
      </w:r>
      <w:r>
        <w:rPr>
          <w:rFonts w:ascii="Arial" w:hAnsi="Arial" w:cs="Arial"/>
        </w:rPr>
        <w:t xml:space="preserve">, </w:t>
      </w:r>
      <w:r w:rsidRPr="00031E8B">
        <w:rPr>
          <w:rFonts w:cs="Arial"/>
        </w:rPr>
        <w:t>dalej ustawa</w:t>
      </w:r>
      <w:r>
        <w:rPr>
          <w:rFonts w:cs="Arial"/>
        </w:rPr>
        <w:t xml:space="preserve"> o CEIDG</w:t>
      </w:r>
    </w:p>
  </w:footnote>
  <w:footnote w:id="5">
    <w:p w:rsidR="00446C8B" w:rsidRPr="00E9795E" w:rsidP="00446C8B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Ustawa z dnia 2 lipca 2004 r. o swobodzie działalności gospodarczej (</w:t>
      </w:r>
      <w:r>
        <w:rPr>
          <w:rFonts w:ascii="Arial" w:hAnsi="Arial" w:cs="Arial"/>
        </w:rPr>
        <w:t>t.j</w:t>
      </w:r>
      <w:r>
        <w:rPr>
          <w:rFonts w:ascii="Arial" w:hAnsi="Arial" w:cs="Arial"/>
        </w:rPr>
        <w:t xml:space="preserve">. </w:t>
      </w:r>
      <w:r w:rsidRPr="00E9795E">
        <w:rPr>
          <w:rFonts w:ascii="Arial" w:hAnsi="Arial" w:cs="Arial"/>
        </w:rPr>
        <w:t>Dz.U. 2004 Nr 173 poz. 1807</w:t>
      </w:r>
      <w:r>
        <w:rPr>
          <w:rFonts w:ascii="Arial" w:hAnsi="Arial" w:cs="Arial"/>
        </w:rPr>
        <w:t>).</w:t>
      </w:r>
    </w:p>
  </w:footnote>
  <w:footnote w:id="6">
    <w:p w:rsidR="00446C8B" w:rsidRPr="00E9795E" w:rsidP="00446C8B">
      <w:pPr>
        <w:pStyle w:val="FootnoteText"/>
        <w:rPr>
          <w:rFonts w:ascii="Arial" w:hAnsi="Arial" w:cs="Arial"/>
        </w:rPr>
      </w:pPr>
      <w:r w:rsidRPr="00E9795E">
        <w:rPr>
          <w:rStyle w:val="FootnoteReference"/>
          <w:rFonts w:ascii="Arial" w:hAnsi="Arial" w:cs="Arial"/>
        </w:rPr>
        <w:footnoteRef/>
      </w:r>
      <w:r w:rsidRPr="00E9795E">
        <w:rPr>
          <w:rFonts w:ascii="Arial" w:hAnsi="Arial" w:cs="Arial"/>
        </w:rPr>
        <w:t xml:space="preserve"> Załącznik nr 1 do Regulaminu Organizacyjnego Urzędu Miejskiego w Kluczborku.</w:t>
      </w:r>
    </w:p>
  </w:footnote>
  <w:footnote w:id="7">
    <w:p w:rsidR="00446C8B" w:rsidRPr="008A0E9F" w:rsidP="00446C8B">
      <w:pPr>
        <w:pStyle w:val="FootnoteText"/>
        <w:rPr>
          <w:rFonts w:ascii="Arial" w:hAnsi="Arial" w:cs="Arial"/>
        </w:rPr>
      </w:pPr>
      <w:r w:rsidRPr="008A0E9F">
        <w:rPr>
          <w:rStyle w:val="FootnoteReference"/>
          <w:rFonts w:ascii="Arial" w:hAnsi="Arial" w:cs="Arial"/>
        </w:rPr>
        <w:footnoteRef/>
      </w:r>
      <w:r w:rsidRPr="008A0E9F">
        <w:rPr>
          <w:rFonts w:ascii="Arial" w:hAnsi="Arial" w:cs="Arial"/>
        </w:rPr>
        <w:t xml:space="preserve"> </w:t>
      </w:r>
      <w:r w:rsidRPr="00446C8B">
        <w:rPr>
          <w:rFonts w:ascii="Arial" w:hAnsi="Arial" w:cs="Arial"/>
          <w:color w:val="000000"/>
        </w:rPr>
        <w:t>Dz.U. z 2011 r. Nr 14 poz. 67, dalej. rozporządzenie RM</w:t>
      </w:r>
    </w:p>
  </w:footnote>
  <w:footnote w:id="8">
    <w:p w:rsidR="00446C8B" w:rsidRPr="00633839" w:rsidP="00446C8B">
      <w:pPr>
        <w:pStyle w:val="FootnoteText"/>
        <w:rPr>
          <w:rFonts w:ascii="Arial" w:hAnsi="Arial" w:cs="Arial"/>
        </w:rPr>
      </w:pPr>
      <w:r w:rsidRPr="008A0E9F">
        <w:rPr>
          <w:rStyle w:val="FootnoteReference"/>
          <w:rFonts w:ascii="Arial" w:hAnsi="Arial" w:cs="Arial"/>
        </w:rPr>
        <w:footnoteRef/>
      </w:r>
      <w:r w:rsidRPr="008A0E9F">
        <w:rPr>
          <w:rFonts w:ascii="Arial" w:hAnsi="Arial" w:cs="Arial"/>
        </w:rPr>
        <w:t xml:space="preserve"> </w:t>
      </w:r>
      <w:r w:rsidRPr="00446C8B">
        <w:rPr>
          <w:rFonts w:ascii="Arial" w:hAnsi="Arial" w:cs="Arial"/>
          <w:color w:val="000000"/>
        </w:rPr>
        <w:t xml:space="preserve">załącznik Nr 1 do rozporządzenia Prezesa Rady Ministrów z dnia 18 stycznia 2011 r. w sprawie instrukcji kancelaryjnej, jednolitych rzeczowych wykazów akt oraz instrukcji w sprawie organizacji </w:t>
      </w:r>
      <w:r w:rsidRPr="00446C8B">
        <w:rPr>
          <w:rFonts w:ascii="Arial" w:hAnsi="Arial" w:cs="Arial"/>
          <w:color w:val="000000"/>
        </w:rPr>
        <w:br/>
        <w:t>i zakresu działania archiwów zakładowych, dalej. Instrukcja kancelaryjna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20474"/>
    <w:multiLevelType w:val="hybridMultilevel"/>
    <w:tmpl w:val="F7B471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B299D"/>
    <w:multiLevelType w:val="multilevel"/>
    <w:tmpl w:val="D166C5A6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1561704D"/>
    <w:multiLevelType w:val="multilevel"/>
    <w:tmpl w:val="E68C4C9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5334C7"/>
    <w:multiLevelType w:val="multilevel"/>
    <w:tmpl w:val="B6706826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AC3649"/>
    <w:multiLevelType w:val="multilevel"/>
    <w:tmpl w:val="C4E665D4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AE0107"/>
    <w:multiLevelType w:val="hybridMultilevel"/>
    <w:tmpl w:val="1DDCDA36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6008C"/>
    <w:multiLevelType w:val="hybridMultilevel"/>
    <w:tmpl w:val="626C5444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0C77"/>
    <w:multiLevelType w:val="multilevel"/>
    <w:tmpl w:val="6EA4ED3E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63502D26"/>
    <w:multiLevelType w:val="multilevel"/>
    <w:tmpl w:val="DE7A6D60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AD24A7E"/>
    <w:multiLevelType w:val="multilevel"/>
    <w:tmpl w:val="95A6A9DE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0">
    <w:nsid w:val="6CCD461B"/>
    <w:multiLevelType w:val="hybridMultilevel"/>
    <w:tmpl w:val="7102B44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11040"/>
    <w:multiLevelType w:val="multilevel"/>
    <w:tmpl w:val="3AD46880"/>
    <w:lvl w:ilvl="0">
      <w:start w:val="2"/>
      <w:numFmt w:val="upperRoman"/>
      <w:suff w:val="space"/>
      <w:lvlText w:val="%1."/>
      <w:lvlJc w:val="right"/>
      <w:pPr>
        <w:ind w:left="574" w:hanging="360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294" w:hanging="360"/>
      </w:pPr>
    </w:lvl>
    <w:lvl w:ilvl="2">
      <w:start w:val="1"/>
      <w:numFmt w:val="lowerRoman"/>
      <w:lvlText w:val="%3."/>
      <w:lvlJc w:val="right"/>
      <w:pPr>
        <w:ind w:left="2014" w:hanging="180"/>
      </w:pPr>
    </w:lvl>
    <w:lvl w:ilvl="3">
      <w:start w:val="1"/>
      <w:numFmt w:val="decimal"/>
      <w:lvlText w:val="%4."/>
      <w:lvlJc w:val="left"/>
      <w:pPr>
        <w:ind w:left="2734" w:hanging="360"/>
      </w:pPr>
    </w:lvl>
    <w:lvl w:ilvl="4">
      <w:start w:val="1"/>
      <w:numFmt w:val="lowerLetter"/>
      <w:lvlText w:val="%5."/>
      <w:lvlJc w:val="left"/>
      <w:pPr>
        <w:ind w:left="3454" w:hanging="360"/>
      </w:pPr>
    </w:lvl>
    <w:lvl w:ilvl="5">
      <w:start w:val="1"/>
      <w:numFmt w:val="lowerRoman"/>
      <w:lvlText w:val="%6."/>
      <w:lvlJc w:val="right"/>
      <w:pPr>
        <w:ind w:left="4174" w:hanging="180"/>
      </w:pPr>
    </w:lvl>
    <w:lvl w:ilvl="6">
      <w:start w:val="1"/>
      <w:numFmt w:val="decimal"/>
      <w:lvlText w:val="%7."/>
      <w:lvlJc w:val="left"/>
      <w:pPr>
        <w:ind w:left="4894" w:hanging="360"/>
      </w:pPr>
    </w:lvl>
    <w:lvl w:ilvl="7">
      <w:start w:val="1"/>
      <w:numFmt w:val="lowerLetter"/>
      <w:lvlText w:val="%8."/>
      <w:lvlJc w:val="left"/>
      <w:pPr>
        <w:ind w:left="5614" w:hanging="360"/>
      </w:pPr>
    </w:lvl>
    <w:lvl w:ilvl="8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783C5E7C"/>
    <w:multiLevelType w:val="hybridMultilevel"/>
    <w:tmpl w:val="D7E63FBE"/>
    <w:lvl w:ilvl="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2D"/>
  </w:style>
  <w:style w:type="paragraph" w:styleId="Heading1">
    <w:name w:val="heading 1"/>
    <w:basedOn w:val="Normal"/>
    <w:next w:val="Normal"/>
    <w:qFormat/>
    <w:rsid w:val="006C5630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9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StopkaZnak"/>
    <w:uiPriority w:val="99"/>
    <w:rsid w:val="00CF0999"/>
    <w:pPr>
      <w:tabs>
        <w:tab w:val="center" w:pos="4536"/>
        <w:tab w:val="right" w:pos="9072"/>
      </w:tabs>
    </w:pPr>
  </w:style>
  <w:style w:type="character" w:styleId="Hyperlink">
    <w:name w:val="Hyperlink"/>
    <w:rsid w:val="00CB7988"/>
    <w:rPr>
      <w:color w:val="0000FF"/>
      <w:u w:val="single"/>
    </w:rPr>
  </w:style>
  <w:style w:type="paragraph" w:styleId="BodyText">
    <w:name w:val="Body Text"/>
    <w:basedOn w:val="Normal"/>
    <w:rsid w:val="006C5630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D702C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6">
    <w:name w:val="Font Style26"/>
    <w:uiPriority w:val="99"/>
    <w:rsid w:val="00A966B5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Normal"/>
    <w:uiPriority w:val="99"/>
    <w:rsid w:val="00A966B5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4">
    <w:name w:val="Font Style24"/>
    <w:uiPriority w:val="99"/>
    <w:rsid w:val="00A966B5"/>
    <w:rPr>
      <w:rFonts w:ascii="Arial" w:hAnsi="Arial" w:cs="Arial"/>
      <w:b/>
      <w:bCs/>
      <w:sz w:val="14"/>
      <w:szCs w:val="14"/>
    </w:rPr>
  </w:style>
  <w:style w:type="paragraph" w:customStyle="1" w:styleId="data">
    <w:name w:val="data"/>
    <w:basedOn w:val="Normal"/>
    <w:link w:val="dataZnak"/>
    <w:qFormat/>
    <w:rsid w:val="00397381"/>
    <w:pPr>
      <w:tabs>
        <w:tab w:val="left" w:pos="5387"/>
      </w:tabs>
      <w:spacing w:line="360" w:lineRule="auto"/>
    </w:pPr>
    <w:rPr>
      <w:rFonts w:ascii="Arial" w:hAnsi="Arial" w:eastAsiaTheme="minorEastAsia" w:cs="Arial"/>
      <w:bCs/>
      <w:sz w:val="22"/>
      <w:szCs w:val="22"/>
      <w:lang w:eastAsia="en-US"/>
    </w:rPr>
  </w:style>
  <w:style w:type="character" w:customStyle="1" w:styleId="dataZnak">
    <w:name w:val="data Znak"/>
    <w:basedOn w:val="DefaultParagraphFont"/>
    <w:link w:val="data"/>
    <w:rsid w:val="00397381"/>
    <w:rPr>
      <w:rFonts w:ascii="Arial" w:hAnsi="Arial" w:eastAsiaTheme="minorEastAsia" w:cs="Arial"/>
      <w:bCs/>
      <w:sz w:val="22"/>
      <w:szCs w:val="22"/>
      <w:lang w:eastAsia="en-US"/>
    </w:rPr>
  </w:style>
  <w:style w:type="paragraph" w:styleId="FootnoteText">
    <w:name w:val="footnote text"/>
    <w:basedOn w:val="Normal"/>
    <w:link w:val="TekstprzypisudolnegoZnak"/>
    <w:semiHidden/>
    <w:rsid w:val="00446C8B"/>
  </w:style>
  <w:style w:type="character" w:customStyle="1" w:styleId="TekstprzypisudolnegoZnak">
    <w:name w:val="Tekst przypisu dolnego Znak"/>
    <w:basedOn w:val="DefaultParagraphFont"/>
    <w:link w:val="FootnoteText"/>
    <w:semiHidden/>
    <w:rsid w:val="00446C8B"/>
  </w:style>
  <w:style w:type="character" w:styleId="FootnoteReference">
    <w:name w:val="footnote reference"/>
    <w:uiPriority w:val="99"/>
    <w:semiHidden/>
    <w:rsid w:val="00446C8B"/>
    <w:rPr>
      <w:vertAlign w:val="superscript"/>
    </w:rPr>
  </w:style>
  <w:style w:type="character" w:customStyle="1" w:styleId="StopkaZnak">
    <w:name w:val="Stopka Znak"/>
    <w:basedOn w:val="DefaultParagraphFont"/>
    <w:link w:val="Footer"/>
    <w:uiPriority w:val="99"/>
    <w:rsid w:val="0044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FB04-1EC7-4322-A593-A693BB3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2780</Words>
  <Characters>16682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           lipca 2010 r</vt:lpstr>
    </vt:vector>
  </TitlesOfParts>
  <Company>Urząd Wojewódzki</Company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           lipca 2010 r</dc:title>
  <dc:creator>amarczak</dc:creator>
  <cp:lastModifiedBy>Natalia Lenart</cp:lastModifiedBy>
  <cp:revision>12</cp:revision>
  <dcterms:created xsi:type="dcterms:W3CDTF">2021-12-27T12:34:00Z</dcterms:created>
  <dcterms:modified xsi:type="dcterms:W3CDTF">2024-01-12T12:32:00Z</dcterms:modified>
</cp:coreProperties>
</file>