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E359B8" w:rsidRDefault="009276B2" w:rsidP="007A6A7A">
      <w:pPr>
        <w:spacing w:after="0" w:line="240" w:lineRule="exact"/>
        <w:rPr>
          <w:rFonts w:ascii="Lato" w:hAnsi="Lato"/>
          <w:spacing w:val="4"/>
        </w:rPr>
      </w:pPr>
    </w:p>
    <w:p w14:paraId="776DAFA9" w14:textId="165B6007" w:rsidR="009276B2" w:rsidRPr="00E359B8" w:rsidRDefault="009276B2" w:rsidP="007A6A7A">
      <w:pPr>
        <w:spacing w:after="0" w:line="240" w:lineRule="exact"/>
        <w:rPr>
          <w:rFonts w:ascii="Lato" w:hAnsi="Lato"/>
          <w:spacing w:val="4"/>
        </w:rPr>
      </w:pPr>
      <w:r w:rsidRPr="00E359B8">
        <w:rPr>
          <w:rFonts w:ascii="Lato" w:hAnsi="Lato"/>
          <w:spacing w:val="4"/>
        </w:rPr>
        <w:t>Znak pisma</w:t>
      </w:r>
      <w:r w:rsidR="00B36262" w:rsidRPr="00E359B8">
        <w:rPr>
          <w:rFonts w:ascii="Lato" w:hAnsi="Lato"/>
          <w:spacing w:val="4"/>
        </w:rPr>
        <w:t>:</w:t>
      </w:r>
      <w:r w:rsidR="002830CF" w:rsidRPr="00E359B8">
        <w:rPr>
          <w:rFonts w:ascii="Lato" w:hAnsi="Lato"/>
          <w:spacing w:val="4"/>
        </w:rPr>
        <w:t xml:space="preserve"> </w:t>
      </w:r>
      <w:r w:rsidR="007A6A7A" w:rsidRPr="00E359B8">
        <w:rPr>
          <w:rFonts w:ascii="Lato" w:hAnsi="Lato"/>
          <w:spacing w:val="4"/>
        </w:rPr>
        <w:t>DLI-I.</w:t>
      </w:r>
      <w:r w:rsidR="00356175">
        <w:rPr>
          <w:rFonts w:ascii="Lato" w:hAnsi="Lato"/>
          <w:spacing w:val="4"/>
        </w:rPr>
        <w:t>762</w:t>
      </w:r>
      <w:r w:rsidR="003E4FA6">
        <w:rPr>
          <w:rFonts w:ascii="Lato" w:hAnsi="Lato"/>
          <w:spacing w:val="4"/>
        </w:rPr>
        <w:t>0</w:t>
      </w:r>
      <w:r w:rsidR="00356175">
        <w:rPr>
          <w:rFonts w:ascii="Lato" w:hAnsi="Lato"/>
          <w:spacing w:val="4"/>
        </w:rPr>
        <w:t>.</w:t>
      </w:r>
      <w:r w:rsidR="003E4FA6">
        <w:rPr>
          <w:rFonts w:ascii="Lato" w:hAnsi="Lato"/>
          <w:spacing w:val="4"/>
        </w:rPr>
        <w:t>15</w:t>
      </w:r>
      <w:r w:rsidR="00356175">
        <w:rPr>
          <w:rFonts w:ascii="Lato" w:hAnsi="Lato"/>
          <w:spacing w:val="4"/>
        </w:rPr>
        <w:t>.202</w:t>
      </w:r>
      <w:r w:rsidR="003E4FA6">
        <w:rPr>
          <w:rFonts w:ascii="Lato" w:hAnsi="Lato"/>
          <w:spacing w:val="4"/>
        </w:rPr>
        <w:t>3</w:t>
      </w:r>
      <w:r w:rsidR="00356175">
        <w:rPr>
          <w:rFonts w:ascii="Lato" w:hAnsi="Lato"/>
          <w:spacing w:val="4"/>
        </w:rPr>
        <w:t>.LB.</w:t>
      </w:r>
      <w:r w:rsidR="00A84AF8">
        <w:rPr>
          <w:rFonts w:ascii="Lato" w:hAnsi="Lato"/>
          <w:spacing w:val="4"/>
        </w:rPr>
        <w:t>10</w:t>
      </w:r>
    </w:p>
    <w:p w14:paraId="393F5143" w14:textId="149BA3B1" w:rsidR="00D51D51" w:rsidRPr="00E359B8" w:rsidRDefault="00B36262" w:rsidP="00D51D51">
      <w:pPr>
        <w:spacing w:after="0" w:line="240" w:lineRule="exact"/>
        <w:rPr>
          <w:rFonts w:ascii="Lato" w:hAnsi="Lato"/>
          <w:spacing w:val="4"/>
        </w:rPr>
      </w:pPr>
      <w:r w:rsidRPr="00E359B8">
        <w:rPr>
          <w:rFonts w:ascii="Lato" w:hAnsi="Lato"/>
          <w:spacing w:val="4"/>
        </w:rPr>
        <w:t>Warszawa</w:t>
      </w:r>
      <w:r w:rsidR="009276B2" w:rsidRPr="00E359B8">
        <w:rPr>
          <w:rFonts w:ascii="Lato" w:hAnsi="Lato"/>
          <w:spacing w:val="4"/>
        </w:rPr>
        <w:t>,</w:t>
      </w:r>
      <w:r w:rsidR="003D3C70">
        <w:rPr>
          <w:rFonts w:ascii="Lato" w:hAnsi="Lato"/>
          <w:spacing w:val="4"/>
        </w:rPr>
        <w:t xml:space="preserve"> 23 </w:t>
      </w:r>
      <w:r w:rsidR="0025730A">
        <w:rPr>
          <w:rFonts w:ascii="Lato" w:hAnsi="Lato"/>
          <w:spacing w:val="4"/>
        </w:rPr>
        <w:t>sierpnia</w:t>
      </w:r>
      <w:r w:rsidR="0071137B">
        <w:rPr>
          <w:rFonts w:ascii="Lato" w:hAnsi="Lato"/>
          <w:spacing w:val="4"/>
        </w:rPr>
        <w:t xml:space="preserve"> </w:t>
      </w:r>
      <w:r w:rsidR="007A6A7A" w:rsidRPr="00E359B8">
        <w:rPr>
          <w:rFonts w:ascii="Lato" w:hAnsi="Lato"/>
          <w:spacing w:val="4"/>
        </w:rPr>
        <w:t>202</w:t>
      </w:r>
      <w:r w:rsidR="008E1788">
        <w:rPr>
          <w:rFonts w:ascii="Lato" w:hAnsi="Lato"/>
          <w:spacing w:val="4"/>
        </w:rPr>
        <w:t>4</w:t>
      </w:r>
      <w:r w:rsidR="00D51D51" w:rsidRPr="00E359B8">
        <w:rPr>
          <w:rFonts w:ascii="Lato" w:hAnsi="Lato"/>
          <w:spacing w:val="4"/>
        </w:rPr>
        <w:t xml:space="preserve"> r.</w:t>
      </w:r>
    </w:p>
    <w:p w14:paraId="40386878" w14:textId="77777777" w:rsidR="00D51D51" w:rsidRDefault="00D51D51" w:rsidP="00D51D51">
      <w:pPr>
        <w:spacing w:after="0" w:line="240" w:lineRule="exact"/>
        <w:rPr>
          <w:rFonts w:ascii="Lato" w:hAnsi="Lato"/>
          <w:spacing w:val="4"/>
        </w:rPr>
      </w:pPr>
    </w:p>
    <w:p w14:paraId="59E1686E" w14:textId="77777777" w:rsidR="003E4FA6" w:rsidRDefault="003E4FA6" w:rsidP="00D51D51">
      <w:pPr>
        <w:spacing w:after="0" w:line="240" w:lineRule="exact"/>
        <w:rPr>
          <w:rFonts w:ascii="Lato" w:hAnsi="Lato"/>
          <w:spacing w:val="4"/>
        </w:rPr>
      </w:pPr>
    </w:p>
    <w:p w14:paraId="146B906E" w14:textId="63E1DB47" w:rsidR="00115EDA" w:rsidRPr="00E359B8" w:rsidRDefault="00F12AB5" w:rsidP="00D51D51">
      <w:pPr>
        <w:spacing w:after="0" w:line="240" w:lineRule="exact"/>
        <w:rPr>
          <w:rFonts w:ascii="Lato" w:hAnsi="Lato"/>
          <w:spacing w:val="4"/>
        </w:rPr>
      </w:pPr>
      <w:r>
        <w:rPr>
          <w:rFonts w:ascii="Lato" w:hAnsi="Lato"/>
          <w:spacing w:val="4"/>
        </w:rPr>
        <w:t xml:space="preserve"> </w:t>
      </w:r>
    </w:p>
    <w:p w14:paraId="38175DA3" w14:textId="77777777" w:rsidR="003E4FA6" w:rsidRPr="003E4FA6" w:rsidRDefault="003E4FA6" w:rsidP="003E4FA6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spacing w:val="4"/>
        </w:rPr>
      </w:pPr>
      <w:r w:rsidRPr="003E4FA6">
        <w:rPr>
          <w:rFonts w:ascii="Lato" w:hAnsi="Lato" w:cs="Arial"/>
          <w:b/>
          <w:spacing w:val="4"/>
        </w:rPr>
        <w:t>DECYZJA</w:t>
      </w:r>
    </w:p>
    <w:p w14:paraId="5D03F1A2" w14:textId="3097B170" w:rsidR="007C678D" w:rsidRPr="00A868F0" w:rsidRDefault="003E4FA6" w:rsidP="007C678D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Na podstawie art. 138 § 1 pkt 2 ustawy z dnia 14 czerwca 1960 r. – Kodeks postępowania administracyjnego </w:t>
      </w:r>
      <w:r w:rsidRPr="00A868F0">
        <w:rPr>
          <w:rFonts w:ascii="Lato" w:hAnsi="Lato" w:cs="Arial"/>
          <w:bCs/>
          <w:iCs/>
          <w:spacing w:val="4"/>
        </w:rPr>
        <w:t>(</w:t>
      </w:r>
      <w:proofErr w:type="spellStart"/>
      <w:r w:rsidRPr="00A868F0">
        <w:rPr>
          <w:rFonts w:ascii="Lato" w:hAnsi="Lato" w:cs="Arial"/>
          <w:bCs/>
          <w:iCs/>
          <w:spacing w:val="4"/>
        </w:rPr>
        <w:t>t.j</w:t>
      </w:r>
      <w:proofErr w:type="spellEnd"/>
      <w:r w:rsidRPr="00A868F0">
        <w:rPr>
          <w:rFonts w:ascii="Lato" w:hAnsi="Lato" w:cs="Arial"/>
          <w:bCs/>
          <w:iCs/>
          <w:spacing w:val="4"/>
        </w:rPr>
        <w:t>. Dz. U. z 202</w:t>
      </w:r>
      <w:r w:rsidR="007C678D" w:rsidRPr="00A868F0">
        <w:rPr>
          <w:rFonts w:ascii="Lato" w:hAnsi="Lato" w:cs="Arial"/>
          <w:bCs/>
          <w:iCs/>
          <w:spacing w:val="4"/>
        </w:rPr>
        <w:t>4</w:t>
      </w:r>
      <w:r w:rsidRPr="00A868F0">
        <w:rPr>
          <w:rFonts w:ascii="Lato" w:hAnsi="Lato" w:cs="Arial"/>
          <w:bCs/>
          <w:iCs/>
          <w:spacing w:val="4"/>
        </w:rPr>
        <w:t xml:space="preserve"> r. poz.</w:t>
      </w:r>
      <w:r w:rsidR="007C678D" w:rsidRPr="00A868F0">
        <w:rPr>
          <w:rFonts w:ascii="Lato" w:hAnsi="Lato" w:cs="Arial"/>
          <w:bCs/>
          <w:iCs/>
          <w:spacing w:val="4"/>
        </w:rPr>
        <w:t xml:space="preserve"> 572</w:t>
      </w:r>
      <w:r w:rsidRPr="00A868F0">
        <w:rPr>
          <w:rFonts w:ascii="Lato" w:hAnsi="Lato" w:cs="Arial"/>
          <w:bCs/>
          <w:iCs/>
          <w:spacing w:val="4"/>
        </w:rPr>
        <w:t>),</w:t>
      </w:r>
      <w:r w:rsidRPr="00A868F0">
        <w:rPr>
          <w:rFonts w:ascii="Lato" w:hAnsi="Lato" w:cs="Arial"/>
          <w:spacing w:val="4"/>
        </w:rPr>
        <w:t xml:space="preserve"> zwanej dalej „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”, oraz art. 5 ust. 3 ustawy z dnia 24 kwietnia 2009 r. o inwestycjach w zakresie terminalu </w:t>
      </w:r>
      <w:proofErr w:type="spellStart"/>
      <w:r w:rsidRPr="00A868F0">
        <w:rPr>
          <w:rFonts w:ascii="Lato" w:hAnsi="Lato" w:cs="Arial"/>
          <w:spacing w:val="4"/>
        </w:rPr>
        <w:t>regazyfikacyjnego</w:t>
      </w:r>
      <w:proofErr w:type="spellEnd"/>
      <w:r w:rsidRPr="00A868F0">
        <w:rPr>
          <w:rFonts w:ascii="Lato" w:hAnsi="Lato" w:cs="Arial"/>
          <w:spacing w:val="4"/>
        </w:rPr>
        <w:t xml:space="preserve"> skroplonego gazu ziemnego w Świnoujściu </w:t>
      </w:r>
      <w:r w:rsidRPr="00A868F0">
        <w:rPr>
          <w:rFonts w:ascii="Lato" w:hAnsi="Lato" w:cs="Arial"/>
          <w:iCs/>
          <w:spacing w:val="4"/>
        </w:rPr>
        <w:t>(</w:t>
      </w:r>
      <w:proofErr w:type="spellStart"/>
      <w:r w:rsidR="007C678D" w:rsidRPr="00A868F0">
        <w:rPr>
          <w:rFonts w:ascii="Lato" w:hAnsi="Lato" w:cs="Arial"/>
          <w:iCs/>
          <w:spacing w:val="4"/>
        </w:rPr>
        <w:t>t.j</w:t>
      </w:r>
      <w:proofErr w:type="spellEnd"/>
      <w:r w:rsidR="007C678D" w:rsidRPr="00A868F0">
        <w:rPr>
          <w:rFonts w:ascii="Lato" w:hAnsi="Lato" w:cs="Arial"/>
          <w:iCs/>
          <w:spacing w:val="4"/>
        </w:rPr>
        <w:t xml:space="preserve">. </w:t>
      </w:r>
      <w:r w:rsidRPr="00A868F0">
        <w:rPr>
          <w:rFonts w:ascii="Lato" w:hAnsi="Lato" w:cs="Arial"/>
          <w:iCs/>
          <w:spacing w:val="4"/>
        </w:rPr>
        <w:t>Dz.</w:t>
      </w:r>
      <w:r w:rsidR="007C678D" w:rsidRPr="00A868F0">
        <w:rPr>
          <w:rFonts w:ascii="Lato" w:hAnsi="Lato" w:cs="Arial"/>
          <w:iCs/>
          <w:spacing w:val="4"/>
        </w:rPr>
        <w:t xml:space="preserve"> </w:t>
      </w:r>
      <w:r w:rsidRPr="00A868F0">
        <w:rPr>
          <w:rFonts w:ascii="Lato" w:hAnsi="Lato" w:cs="Arial"/>
          <w:iCs/>
          <w:spacing w:val="4"/>
        </w:rPr>
        <w:t>U. z 202</w:t>
      </w:r>
      <w:r w:rsidR="007C678D" w:rsidRPr="00A868F0">
        <w:rPr>
          <w:rFonts w:ascii="Lato" w:hAnsi="Lato" w:cs="Arial"/>
          <w:iCs/>
          <w:spacing w:val="4"/>
        </w:rPr>
        <w:t>4</w:t>
      </w:r>
      <w:r w:rsidRPr="00A868F0">
        <w:rPr>
          <w:rFonts w:ascii="Lato" w:hAnsi="Lato" w:cs="Arial"/>
          <w:iCs/>
          <w:spacing w:val="4"/>
        </w:rPr>
        <w:t xml:space="preserve"> r. poz. </w:t>
      </w:r>
      <w:r w:rsidR="007C678D" w:rsidRPr="00A868F0">
        <w:rPr>
          <w:rFonts w:ascii="Lato" w:hAnsi="Lato" w:cs="Arial"/>
          <w:iCs/>
          <w:spacing w:val="4"/>
        </w:rPr>
        <w:t>551</w:t>
      </w:r>
      <w:r w:rsidRPr="00A868F0">
        <w:rPr>
          <w:rFonts w:ascii="Lato" w:hAnsi="Lato" w:cs="Arial"/>
          <w:iCs/>
          <w:spacing w:val="4"/>
        </w:rPr>
        <w:t xml:space="preserve">, z </w:t>
      </w:r>
      <w:proofErr w:type="spellStart"/>
      <w:r w:rsidRPr="00A868F0">
        <w:rPr>
          <w:rFonts w:ascii="Lato" w:hAnsi="Lato" w:cs="Arial"/>
          <w:iCs/>
          <w:spacing w:val="4"/>
        </w:rPr>
        <w:t>późn</w:t>
      </w:r>
      <w:proofErr w:type="spellEnd"/>
      <w:r w:rsidRPr="00A868F0">
        <w:rPr>
          <w:rFonts w:ascii="Lato" w:hAnsi="Lato" w:cs="Arial"/>
          <w:iCs/>
          <w:spacing w:val="4"/>
        </w:rPr>
        <w:t>. zm.</w:t>
      </w:r>
      <w:r w:rsidRPr="00A868F0">
        <w:rPr>
          <w:rFonts w:ascii="Lato" w:hAnsi="Lato" w:cs="Arial"/>
          <w:bCs/>
          <w:iCs/>
          <w:spacing w:val="4"/>
        </w:rPr>
        <w:t>),</w:t>
      </w:r>
      <w:r w:rsidRPr="00A868F0">
        <w:rPr>
          <w:rFonts w:ascii="Lato" w:hAnsi="Lato" w:cs="Arial"/>
          <w:iCs/>
          <w:spacing w:val="4"/>
        </w:rPr>
        <w:t xml:space="preserve"> </w:t>
      </w:r>
      <w:r w:rsidRPr="00A868F0">
        <w:rPr>
          <w:rFonts w:ascii="Lato" w:hAnsi="Lato" w:cs="Arial"/>
          <w:spacing w:val="4"/>
        </w:rPr>
        <w:t>zwanej dalej „</w:t>
      </w:r>
      <w:r w:rsidRPr="00A868F0">
        <w:rPr>
          <w:rFonts w:ascii="Lato" w:hAnsi="Lato" w:cs="Arial"/>
          <w:i/>
          <w:spacing w:val="4"/>
        </w:rPr>
        <w:t>specustawą gazową</w:t>
      </w:r>
      <w:r w:rsidRPr="00A868F0">
        <w:rPr>
          <w:rFonts w:ascii="Lato" w:hAnsi="Lato" w:cs="Arial"/>
          <w:spacing w:val="4"/>
        </w:rPr>
        <w:t>”, po zapoznaniu się z odwołaniem</w:t>
      </w:r>
      <w:r w:rsidR="007C678D" w:rsidRPr="00A868F0">
        <w:rPr>
          <w:rFonts w:ascii="Lato" w:hAnsi="Lato" w:cs="Arial"/>
          <w:spacing w:val="4"/>
        </w:rPr>
        <w:t xml:space="preserve"> Pana A</w:t>
      </w:r>
      <w:r w:rsidR="00003FAD">
        <w:rPr>
          <w:rFonts w:ascii="Lato" w:hAnsi="Lato" w:cs="Arial"/>
          <w:spacing w:val="4"/>
        </w:rPr>
        <w:t>.</w:t>
      </w:r>
      <w:r w:rsidR="007C678D" w:rsidRPr="00A868F0">
        <w:rPr>
          <w:rFonts w:ascii="Lato" w:hAnsi="Lato" w:cs="Arial"/>
          <w:spacing w:val="4"/>
        </w:rPr>
        <w:t xml:space="preserve"> C</w:t>
      </w:r>
      <w:r w:rsidR="00003FAD">
        <w:rPr>
          <w:rFonts w:ascii="Lato" w:hAnsi="Lato" w:cs="Arial"/>
          <w:spacing w:val="4"/>
        </w:rPr>
        <w:t>.</w:t>
      </w:r>
      <w:r w:rsidRPr="00A868F0">
        <w:rPr>
          <w:rFonts w:ascii="Lato" w:hAnsi="Lato" w:cs="Arial"/>
          <w:spacing w:val="4"/>
        </w:rPr>
        <w:t xml:space="preserve">, od decyzji </w:t>
      </w:r>
      <w:r w:rsidR="007C678D" w:rsidRPr="00A868F0">
        <w:rPr>
          <w:rFonts w:ascii="Lato" w:hAnsi="Lato" w:cs="Arial"/>
          <w:spacing w:val="4"/>
        </w:rPr>
        <w:t xml:space="preserve">Wojewody Warmińsko-Mazurskiego Nr G-1/2023 z dnia 6 marca 2023 r., znak: WIN-I.747.4.1.2023, o ustaleniu lokalizacji inwestycji towarzyszącej inwestycjom w zakresie terminalu </w:t>
      </w:r>
      <w:proofErr w:type="spellStart"/>
      <w:r w:rsidR="007C678D" w:rsidRPr="00A868F0">
        <w:rPr>
          <w:rFonts w:ascii="Lato" w:hAnsi="Lato" w:cs="Arial"/>
          <w:spacing w:val="4"/>
        </w:rPr>
        <w:t>regazyfikacyjnego</w:t>
      </w:r>
      <w:proofErr w:type="spellEnd"/>
      <w:r w:rsidR="007C678D" w:rsidRPr="00A868F0">
        <w:rPr>
          <w:rFonts w:ascii="Lato" w:hAnsi="Lato" w:cs="Arial"/>
          <w:spacing w:val="4"/>
        </w:rPr>
        <w:t xml:space="preserve"> skroplonego gazu ziemnego </w:t>
      </w:r>
      <w:r w:rsidR="00003FAD">
        <w:rPr>
          <w:rFonts w:ascii="Lato" w:hAnsi="Lato" w:cs="Arial"/>
          <w:spacing w:val="4"/>
        </w:rPr>
        <w:br/>
      </w:r>
      <w:r w:rsidR="007C678D" w:rsidRPr="00A868F0">
        <w:rPr>
          <w:rFonts w:ascii="Lato" w:hAnsi="Lato" w:cs="Arial"/>
          <w:spacing w:val="4"/>
        </w:rPr>
        <w:t>w Świnoujściu dla inwestycji pn.: „Budowa gazociągu Konopki – Ełk – Mrągowo wraz</w:t>
      </w:r>
      <w:r w:rsidR="00003FAD">
        <w:rPr>
          <w:rFonts w:ascii="Lato" w:hAnsi="Lato" w:cs="Arial"/>
          <w:spacing w:val="4"/>
        </w:rPr>
        <w:br/>
      </w:r>
      <w:r w:rsidR="007C678D" w:rsidRPr="00A868F0">
        <w:rPr>
          <w:rFonts w:ascii="Lato" w:hAnsi="Lato" w:cs="Arial"/>
          <w:spacing w:val="4"/>
        </w:rPr>
        <w:t>z infrastrukturą niezbędną do jego obsługi na terenie województw mazowieckiego, podlaskiego i warmińsko-mazurskiego”, na odcinku od granicy województwa podlaskiego do obiektu sieci gazowej – ZZUP Orzysz wraz z zespołem śluz (włącznie) w obrębie Aleksandrowo w gminie Orzysz w województwie warmińsko-mazurskim,</w:t>
      </w:r>
      <w:bookmarkStart w:id="0" w:name="_Hlk110340068"/>
    </w:p>
    <w:bookmarkEnd w:id="0"/>
    <w:p w14:paraId="2E6F4BE3" w14:textId="77777777" w:rsidR="003E4FA6" w:rsidRPr="00A868F0" w:rsidRDefault="003E4FA6" w:rsidP="003E4FA6">
      <w:pPr>
        <w:spacing w:after="120" w:line="240" w:lineRule="exact"/>
        <w:jc w:val="center"/>
        <w:rPr>
          <w:rFonts w:ascii="Lato" w:hAnsi="Lato" w:cs="Arial"/>
          <w:b/>
          <w:spacing w:val="4"/>
        </w:rPr>
      </w:pPr>
      <w:r w:rsidRPr="00A868F0">
        <w:rPr>
          <w:rFonts w:ascii="Lato" w:hAnsi="Lato" w:cs="Arial"/>
          <w:b/>
          <w:spacing w:val="4"/>
        </w:rPr>
        <w:t>uchylam zaskarżoną decyzję w całości</w:t>
      </w:r>
    </w:p>
    <w:p w14:paraId="7EBF0F5D" w14:textId="77777777" w:rsidR="003E4FA6" w:rsidRPr="00A868F0" w:rsidRDefault="003E4FA6" w:rsidP="003E4FA6">
      <w:pPr>
        <w:spacing w:after="120" w:line="240" w:lineRule="exact"/>
        <w:jc w:val="center"/>
        <w:rPr>
          <w:rFonts w:ascii="Lato" w:hAnsi="Lato" w:cs="Arial"/>
          <w:b/>
          <w:bCs/>
          <w:spacing w:val="4"/>
        </w:rPr>
      </w:pPr>
      <w:r w:rsidRPr="00A868F0">
        <w:rPr>
          <w:rFonts w:ascii="Lato" w:hAnsi="Lato" w:cs="Arial"/>
          <w:b/>
          <w:spacing w:val="4"/>
        </w:rPr>
        <w:t xml:space="preserve">i umarzam w całości postępowanie organu pierwszej instancji. </w:t>
      </w:r>
    </w:p>
    <w:p w14:paraId="02BD6311" w14:textId="77777777" w:rsidR="003E4FA6" w:rsidRPr="00A868F0" w:rsidRDefault="003E4FA6" w:rsidP="003E4FA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</w:p>
    <w:p w14:paraId="368E3574" w14:textId="77777777" w:rsidR="003E4FA6" w:rsidRPr="00A868F0" w:rsidRDefault="003E4FA6" w:rsidP="003E4FA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A868F0">
        <w:rPr>
          <w:rFonts w:ascii="Lato" w:hAnsi="Lato" w:cs="Arial"/>
          <w:b/>
          <w:spacing w:val="4"/>
        </w:rPr>
        <w:t>UZASADNIENIE</w:t>
      </w:r>
    </w:p>
    <w:p w14:paraId="17C00C20" w14:textId="6E3A9436" w:rsidR="002130E3" w:rsidRDefault="00327A17" w:rsidP="00327A17">
      <w:pPr>
        <w:tabs>
          <w:tab w:val="left" w:pos="284"/>
        </w:tabs>
        <w:suppressAutoHyphens/>
        <w:spacing w:after="0" w:line="240" w:lineRule="exact"/>
        <w:contextualSpacing/>
        <w:jc w:val="both"/>
        <w:rPr>
          <w:rFonts w:ascii="Lato" w:eastAsia="Arial Unicode MS" w:hAnsi="Lato" w:cs="Arial"/>
          <w:spacing w:val="4"/>
        </w:rPr>
      </w:pPr>
      <w:r>
        <w:rPr>
          <w:rFonts w:ascii="Lato" w:eastAsia="Arial Unicode MS" w:hAnsi="Lato" w:cs="Arial"/>
          <w:spacing w:val="4"/>
        </w:rPr>
        <w:t>Po rozpatrzeniu w</w:t>
      </w:r>
      <w:r w:rsidR="003E4FA6" w:rsidRPr="00A868F0">
        <w:rPr>
          <w:rFonts w:ascii="Lato" w:eastAsia="Arial Unicode MS" w:hAnsi="Lato" w:cs="Arial"/>
          <w:spacing w:val="4"/>
        </w:rPr>
        <w:t>niosk</w:t>
      </w:r>
      <w:r>
        <w:rPr>
          <w:rFonts w:ascii="Lato" w:eastAsia="Arial Unicode MS" w:hAnsi="Lato" w:cs="Arial"/>
          <w:spacing w:val="4"/>
        </w:rPr>
        <w:t>u</w:t>
      </w:r>
      <w:r w:rsidR="003E4FA6" w:rsidRPr="00A868F0">
        <w:rPr>
          <w:rFonts w:ascii="Lato" w:eastAsia="Arial Unicode MS" w:hAnsi="Lato" w:cs="Arial"/>
          <w:spacing w:val="4"/>
        </w:rPr>
        <w:t xml:space="preserve"> z dnia</w:t>
      </w:r>
      <w:r w:rsidR="007C678D" w:rsidRPr="00A868F0">
        <w:rPr>
          <w:rFonts w:ascii="Lato" w:eastAsia="Arial Unicode MS" w:hAnsi="Lato" w:cs="Arial"/>
          <w:spacing w:val="4"/>
        </w:rPr>
        <w:t xml:space="preserve"> 1 lutego</w:t>
      </w:r>
      <w:r w:rsidR="00E42426" w:rsidRPr="00A868F0">
        <w:rPr>
          <w:rFonts w:ascii="Lato" w:eastAsia="Arial Unicode MS" w:hAnsi="Lato" w:cs="Arial"/>
          <w:spacing w:val="4"/>
        </w:rPr>
        <w:t xml:space="preserve"> 2023 r., znak: PSGOW.INWD.430.011.2023</w:t>
      </w:r>
      <w:r w:rsidR="003E4FA6" w:rsidRPr="00A868F0">
        <w:rPr>
          <w:rFonts w:ascii="Lato" w:eastAsia="Arial Unicode MS" w:hAnsi="Lato" w:cs="Arial"/>
          <w:spacing w:val="4"/>
        </w:rPr>
        <w:t xml:space="preserve">, </w:t>
      </w:r>
      <w:r w:rsidR="00E42426" w:rsidRPr="00A868F0">
        <w:rPr>
          <w:rFonts w:ascii="Lato" w:hAnsi="Lato" w:cs="Arial"/>
          <w:bCs/>
          <w:spacing w:val="4"/>
        </w:rPr>
        <w:t>Polsk</w:t>
      </w:r>
      <w:r>
        <w:rPr>
          <w:rFonts w:ascii="Lato" w:hAnsi="Lato" w:cs="Arial"/>
          <w:bCs/>
          <w:spacing w:val="4"/>
        </w:rPr>
        <w:t>iej</w:t>
      </w:r>
      <w:r w:rsidR="00E42426" w:rsidRPr="00A868F0">
        <w:rPr>
          <w:rFonts w:ascii="Lato" w:hAnsi="Lato" w:cs="Arial"/>
          <w:bCs/>
          <w:spacing w:val="4"/>
        </w:rPr>
        <w:t xml:space="preserve"> Spółk</w:t>
      </w:r>
      <w:r>
        <w:rPr>
          <w:rFonts w:ascii="Lato" w:hAnsi="Lato" w:cs="Arial"/>
          <w:bCs/>
          <w:spacing w:val="4"/>
        </w:rPr>
        <w:t>i</w:t>
      </w:r>
      <w:r w:rsidR="00E42426" w:rsidRPr="00A868F0">
        <w:rPr>
          <w:rFonts w:ascii="Lato" w:hAnsi="Lato" w:cs="Arial"/>
          <w:bCs/>
          <w:spacing w:val="4"/>
        </w:rPr>
        <w:t xml:space="preserve"> Gazownictwa Sp. z.o.o. z siedzibą w Tarnowie, </w:t>
      </w:r>
      <w:r w:rsidR="00504B3E" w:rsidRPr="00A868F0">
        <w:rPr>
          <w:rFonts w:ascii="Lato" w:hAnsi="Lato" w:cstheme="minorHAnsi"/>
          <w:spacing w:val="4"/>
        </w:rPr>
        <w:t>zwan</w:t>
      </w:r>
      <w:r>
        <w:rPr>
          <w:rFonts w:ascii="Lato" w:hAnsi="Lato" w:cstheme="minorHAnsi"/>
          <w:spacing w:val="4"/>
        </w:rPr>
        <w:t>ej</w:t>
      </w:r>
      <w:r w:rsidR="00504B3E" w:rsidRPr="00A868F0">
        <w:rPr>
          <w:rFonts w:ascii="Lato" w:hAnsi="Lato" w:cstheme="minorHAnsi"/>
          <w:spacing w:val="4"/>
        </w:rPr>
        <w:t xml:space="preserve"> dalej </w:t>
      </w:r>
      <w:r w:rsidR="00504B3E" w:rsidRPr="00A868F0">
        <w:rPr>
          <w:rFonts w:ascii="Lato" w:hAnsi="Lato" w:cstheme="minorHAnsi"/>
          <w:i/>
          <w:iCs/>
          <w:spacing w:val="4"/>
        </w:rPr>
        <w:t xml:space="preserve">„inwestorem”, </w:t>
      </w:r>
      <w:r w:rsidR="00E42426" w:rsidRPr="00A868F0">
        <w:rPr>
          <w:rFonts w:ascii="Lato" w:hAnsi="Lato" w:cs="Arial"/>
          <w:bCs/>
          <w:spacing w:val="4"/>
        </w:rPr>
        <w:t>reprezentowan</w:t>
      </w:r>
      <w:r>
        <w:rPr>
          <w:rFonts w:ascii="Lato" w:hAnsi="Lato" w:cs="Arial"/>
          <w:bCs/>
          <w:spacing w:val="4"/>
        </w:rPr>
        <w:t>ej</w:t>
      </w:r>
      <w:r w:rsidR="00E42426" w:rsidRPr="00A868F0">
        <w:rPr>
          <w:rFonts w:ascii="Lato" w:hAnsi="Lato" w:cs="Arial"/>
          <w:bCs/>
          <w:spacing w:val="4"/>
        </w:rPr>
        <w:t xml:space="preserve"> przez Panią </w:t>
      </w:r>
      <w:r w:rsidR="00003FAD">
        <w:rPr>
          <w:rFonts w:ascii="Lato" w:hAnsi="Lato" w:cs="Arial"/>
          <w:bCs/>
          <w:spacing w:val="4"/>
        </w:rPr>
        <w:t>A.</w:t>
      </w:r>
      <w:r w:rsidR="000A7C1D" w:rsidRPr="00A868F0">
        <w:rPr>
          <w:rFonts w:ascii="Lato" w:hAnsi="Lato" w:cs="Arial"/>
          <w:bCs/>
          <w:spacing w:val="4"/>
        </w:rPr>
        <w:t xml:space="preserve"> Ł</w:t>
      </w:r>
      <w:r w:rsidR="00003FAD">
        <w:rPr>
          <w:rFonts w:ascii="Lato" w:hAnsi="Lato" w:cs="Arial"/>
          <w:bCs/>
          <w:spacing w:val="4"/>
        </w:rPr>
        <w:t>.</w:t>
      </w:r>
      <w:r w:rsidR="000A7C1D" w:rsidRPr="00A868F0">
        <w:rPr>
          <w:rFonts w:ascii="Lato" w:hAnsi="Lato" w:cs="Arial"/>
          <w:bCs/>
          <w:spacing w:val="4"/>
        </w:rPr>
        <w:t xml:space="preserve"> </w:t>
      </w:r>
      <w:r w:rsidR="00E42426" w:rsidRPr="00A868F0">
        <w:rPr>
          <w:rFonts w:ascii="Lato" w:hAnsi="Lato" w:cs="Arial"/>
          <w:bCs/>
          <w:spacing w:val="4"/>
        </w:rPr>
        <w:t>oraz Pana S</w:t>
      </w:r>
      <w:r w:rsidR="00003FAD">
        <w:rPr>
          <w:rFonts w:ascii="Lato" w:hAnsi="Lato" w:cs="Arial"/>
          <w:bCs/>
          <w:spacing w:val="4"/>
        </w:rPr>
        <w:t>.</w:t>
      </w:r>
      <w:r w:rsidR="00E42426" w:rsidRPr="00A868F0">
        <w:rPr>
          <w:rFonts w:ascii="Lato" w:hAnsi="Lato" w:cs="Arial"/>
          <w:bCs/>
          <w:spacing w:val="4"/>
        </w:rPr>
        <w:t xml:space="preserve"> K</w:t>
      </w:r>
      <w:r w:rsidR="00003FAD">
        <w:rPr>
          <w:rFonts w:ascii="Lato" w:hAnsi="Lato" w:cs="Arial"/>
          <w:bCs/>
          <w:spacing w:val="4"/>
        </w:rPr>
        <w:t>.</w:t>
      </w:r>
      <w:r w:rsidR="00E42426" w:rsidRPr="00A868F0">
        <w:rPr>
          <w:rFonts w:ascii="Lato" w:hAnsi="Lato" w:cs="Arial"/>
          <w:bCs/>
          <w:spacing w:val="4"/>
        </w:rPr>
        <w:t xml:space="preserve">, </w:t>
      </w:r>
      <w:bookmarkStart w:id="1" w:name="_Hlk172808730"/>
      <w:r w:rsidR="003E4FA6" w:rsidRPr="00A868F0">
        <w:rPr>
          <w:rFonts w:ascii="Lato" w:eastAsia="Arial Unicode MS" w:hAnsi="Lato" w:cs="Arial"/>
          <w:spacing w:val="4"/>
        </w:rPr>
        <w:t xml:space="preserve">o wydanie decyzji </w:t>
      </w:r>
      <w:bookmarkStart w:id="2" w:name="_Hlk110340657"/>
      <w:r w:rsidR="00E42426" w:rsidRPr="00A868F0">
        <w:rPr>
          <w:rFonts w:ascii="Lato" w:hAnsi="Lato" w:cstheme="minorHAnsi"/>
          <w:spacing w:val="4"/>
        </w:rPr>
        <w:t xml:space="preserve">o ustaleniu lokalizacji inwestycji towarzyszącej inwestycjom w zakresie terminalu </w:t>
      </w:r>
      <w:proofErr w:type="spellStart"/>
      <w:r w:rsidR="00E42426" w:rsidRPr="00A868F0">
        <w:rPr>
          <w:rFonts w:ascii="Lato" w:hAnsi="Lato" w:cstheme="minorHAnsi"/>
          <w:spacing w:val="4"/>
        </w:rPr>
        <w:t>regazyfikacyjnego</w:t>
      </w:r>
      <w:proofErr w:type="spellEnd"/>
      <w:r w:rsidR="00E42426" w:rsidRPr="00A868F0">
        <w:rPr>
          <w:rFonts w:ascii="Lato" w:hAnsi="Lato" w:cstheme="minorHAnsi"/>
          <w:spacing w:val="4"/>
        </w:rPr>
        <w:t xml:space="preserve"> skroplonego gazu ziemnego w Świnoujściu dla przedsięwzięcia </w:t>
      </w:r>
      <w:r w:rsidR="00E42426" w:rsidRPr="00A868F0">
        <w:rPr>
          <w:rFonts w:ascii="Lato" w:hAnsi="Lato" w:cs="Arial"/>
          <w:spacing w:val="4"/>
        </w:rPr>
        <w:t xml:space="preserve">pn.: „Budowa gazociągu Konopki – Ełk – Mrągowo wraz z infrastrukturą niezbędną do jego obsługi na terenie województw mazowieckiego, podlaskiego i warmińsko-mazurskiego”, na odcinku </w:t>
      </w:r>
      <w:r w:rsidR="00003FAD">
        <w:rPr>
          <w:rFonts w:ascii="Lato" w:hAnsi="Lato" w:cs="Arial"/>
          <w:spacing w:val="4"/>
        </w:rPr>
        <w:br/>
      </w:r>
      <w:r w:rsidR="00E42426" w:rsidRPr="00A868F0">
        <w:rPr>
          <w:rFonts w:ascii="Lato" w:hAnsi="Lato" w:cs="Arial"/>
          <w:spacing w:val="4"/>
        </w:rPr>
        <w:t xml:space="preserve">od granicy województwa podlaskiego do obiektu sieci gazowej – ZZUP Orzysz wraz </w:t>
      </w:r>
      <w:r w:rsidR="00003FAD">
        <w:rPr>
          <w:rFonts w:ascii="Lato" w:hAnsi="Lato" w:cs="Arial"/>
          <w:spacing w:val="4"/>
        </w:rPr>
        <w:br/>
      </w:r>
      <w:r w:rsidR="00E42426" w:rsidRPr="00A868F0">
        <w:rPr>
          <w:rFonts w:ascii="Lato" w:hAnsi="Lato" w:cs="Arial"/>
          <w:spacing w:val="4"/>
        </w:rPr>
        <w:t>z zespołem śluz (włącznie) w obrębie Aleksandrowo w gminie Orzysz w województwie warmińsko-mazurskim</w:t>
      </w:r>
      <w:bookmarkEnd w:id="1"/>
      <w:bookmarkEnd w:id="2"/>
      <w:r w:rsidR="003E4FA6" w:rsidRPr="00A868F0">
        <w:rPr>
          <w:rFonts w:ascii="Lato" w:eastAsia="Arial Unicode MS" w:hAnsi="Lato" w:cs="Arial"/>
          <w:spacing w:val="4"/>
        </w:rPr>
        <w:t xml:space="preserve">, Wojewoda </w:t>
      </w:r>
      <w:r w:rsidR="00E42426" w:rsidRPr="00A868F0">
        <w:rPr>
          <w:rFonts w:ascii="Lato" w:eastAsia="Arial Unicode MS" w:hAnsi="Lato" w:cs="Arial"/>
          <w:spacing w:val="4"/>
        </w:rPr>
        <w:t>Warmińsko-Mazurski wydał w dniu 6 marca 2023 r., decyzję Nr G-1/2023, znak: WIN-I.747.4.1.202</w:t>
      </w:r>
      <w:r w:rsidR="002130E3" w:rsidRPr="00A868F0">
        <w:rPr>
          <w:rFonts w:ascii="Lato" w:eastAsia="Arial Unicode MS" w:hAnsi="Lato" w:cs="Arial"/>
          <w:spacing w:val="4"/>
        </w:rPr>
        <w:t>3</w:t>
      </w:r>
      <w:r w:rsidR="003E4FA6" w:rsidRPr="00A868F0">
        <w:rPr>
          <w:rFonts w:ascii="Lato" w:hAnsi="Lato" w:cs="Arial"/>
          <w:spacing w:val="4"/>
        </w:rPr>
        <w:t xml:space="preserve">, </w:t>
      </w:r>
      <w:r>
        <w:rPr>
          <w:rFonts w:ascii="Lato" w:hAnsi="Lato" w:cs="Arial"/>
          <w:spacing w:val="4"/>
        </w:rPr>
        <w:t xml:space="preserve">o ustaleniu lokalizacji ww. inwestycji gazowej, </w:t>
      </w:r>
      <w:r w:rsidR="003E4FA6" w:rsidRPr="00A868F0">
        <w:rPr>
          <w:rFonts w:ascii="Lato" w:eastAsia="Arial Unicode MS" w:hAnsi="Lato" w:cs="Arial"/>
          <w:spacing w:val="4"/>
        </w:rPr>
        <w:t>zwaną dalej „</w:t>
      </w:r>
      <w:r w:rsidR="003E4FA6" w:rsidRPr="00A868F0">
        <w:rPr>
          <w:rFonts w:ascii="Lato" w:eastAsia="Arial Unicode MS" w:hAnsi="Lato" w:cs="Arial"/>
          <w:i/>
          <w:spacing w:val="4"/>
        </w:rPr>
        <w:t>decyzją Wojewody</w:t>
      </w:r>
      <w:r w:rsidR="002130E3" w:rsidRPr="00A868F0">
        <w:rPr>
          <w:rFonts w:ascii="Lato" w:eastAsia="Arial Unicode MS" w:hAnsi="Lato" w:cs="Arial"/>
          <w:i/>
          <w:spacing w:val="4"/>
        </w:rPr>
        <w:t xml:space="preserve"> Warmińsko-Mazurskiego</w:t>
      </w:r>
      <w:r w:rsidR="003E4FA6" w:rsidRPr="00A868F0">
        <w:rPr>
          <w:rFonts w:ascii="Lato" w:eastAsia="Arial Unicode MS" w:hAnsi="Lato" w:cs="Arial"/>
          <w:i/>
          <w:spacing w:val="4"/>
        </w:rPr>
        <w:t>”</w:t>
      </w:r>
      <w:r>
        <w:rPr>
          <w:rFonts w:ascii="Lato" w:eastAsia="Arial Unicode MS" w:hAnsi="Lato" w:cs="Arial"/>
          <w:spacing w:val="4"/>
        </w:rPr>
        <w:t>.</w:t>
      </w:r>
    </w:p>
    <w:p w14:paraId="3B622579" w14:textId="77777777" w:rsidR="00327A17" w:rsidRPr="00A868F0" w:rsidRDefault="00327A17" w:rsidP="00A74D09">
      <w:pPr>
        <w:tabs>
          <w:tab w:val="left" w:pos="284"/>
        </w:tabs>
        <w:suppressAutoHyphens/>
        <w:spacing w:after="0" w:line="240" w:lineRule="exact"/>
        <w:contextualSpacing/>
        <w:jc w:val="both"/>
        <w:rPr>
          <w:rFonts w:ascii="Lato" w:hAnsi="Lato" w:cs="Arial"/>
          <w:spacing w:val="4"/>
        </w:rPr>
      </w:pPr>
    </w:p>
    <w:p w14:paraId="2482A35C" w14:textId="0033682D" w:rsidR="00752A0E" w:rsidRPr="00003FAD" w:rsidRDefault="00752A0E" w:rsidP="00003FAD">
      <w:pPr>
        <w:tabs>
          <w:tab w:val="left" w:pos="851"/>
        </w:tabs>
        <w:spacing w:before="120"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868F0">
        <w:rPr>
          <w:rFonts w:ascii="Lato" w:eastAsia="Times New Roman" w:hAnsi="Lato" w:cs="Arial"/>
          <w:spacing w:val="4"/>
          <w:lang w:eastAsia="pl-PL"/>
        </w:rPr>
        <w:t xml:space="preserve">Od </w:t>
      </w:r>
      <w:r w:rsidRPr="00A868F0">
        <w:rPr>
          <w:rFonts w:ascii="Lato" w:eastAsia="Times New Roman" w:hAnsi="Lato" w:cs="Arial"/>
          <w:i/>
          <w:spacing w:val="4"/>
          <w:lang w:eastAsia="pl-PL"/>
        </w:rPr>
        <w:t xml:space="preserve">decyzji Wojewody Warmińsko-Mazurskiego </w:t>
      </w:r>
      <w:r w:rsidRPr="00A868F0">
        <w:rPr>
          <w:rFonts w:ascii="Lato" w:eastAsia="Times New Roman" w:hAnsi="Lato" w:cs="Arial"/>
          <w:spacing w:val="4"/>
          <w:lang w:eastAsia="pl-PL"/>
        </w:rPr>
        <w:t xml:space="preserve">odwołanie, za pośrednictwem organu </w:t>
      </w:r>
      <w:r w:rsidRPr="00A868F0">
        <w:rPr>
          <w:rFonts w:ascii="Lato" w:eastAsia="Times New Roman" w:hAnsi="Lato" w:cs="Arial"/>
          <w:spacing w:val="4"/>
          <w:lang w:eastAsia="pl-PL"/>
        </w:rPr>
        <w:br/>
        <w:t>I instancji wniósł Pan A</w:t>
      </w:r>
      <w:r w:rsidR="00003FAD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A868F0">
        <w:rPr>
          <w:rFonts w:ascii="Lato" w:eastAsia="Times New Roman" w:hAnsi="Lato" w:cs="Arial"/>
          <w:spacing w:val="4"/>
          <w:lang w:eastAsia="pl-PL"/>
        </w:rPr>
        <w:t>C</w:t>
      </w:r>
      <w:r w:rsidR="00003FAD">
        <w:rPr>
          <w:rFonts w:ascii="Lato" w:eastAsia="Times New Roman" w:hAnsi="Lato" w:cs="Arial"/>
          <w:spacing w:val="4"/>
          <w:lang w:eastAsia="pl-PL"/>
        </w:rPr>
        <w:t>.</w:t>
      </w:r>
      <w:r w:rsidRPr="00A868F0">
        <w:rPr>
          <w:rFonts w:ascii="Lato" w:eastAsia="Times New Roman" w:hAnsi="Lato" w:cs="Arial"/>
          <w:spacing w:val="4"/>
          <w:lang w:eastAsia="pl-PL"/>
        </w:rPr>
        <w:t xml:space="preserve"> [pismo z dnia 31 marca 2023 r. nadane </w:t>
      </w:r>
      <w:r w:rsidR="000A7C1D" w:rsidRPr="00A868F0">
        <w:rPr>
          <w:rFonts w:ascii="Lato" w:eastAsia="Times New Roman" w:hAnsi="Lato" w:cs="Arial"/>
          <w:spacing w:val="4"/>
          <w:lang w:eastAsia="pl-PL"/>
        </w:rPr>
        <w:t xml:space="preserve">3 kwietnia 2023 r., </w:t>
      </w:r>
      <w:r w:rsidR="00003FAD">
        <w:rPr>
          <w:rFonts w:ascii="Lato" w:eastAsia="Times New Roman" w:hAnsi="Lato" w:cs="Arial"/>
          <w:spacing w:val="4"/>
          <w:lang w:eastAsia="pl-PL"/>
        </w:rPr>
        <w:br/>
      </w:r>
      <w:r w:rsidRPr="00A868F0">
        <w:rPr>
          <w:rFonts w:ascii="Lato" w:eastAsia="Times New Roman" w:hAnsi="Lato" w:cs="Arial"/>
          <w:spacing w:val="4"/>
          <w:lang w:eastAsia="pl-PL"/>
        </w:rPr>
        <w:t xml:space="preserve">w polskiej placówce pocztowej operatora wyznaczonego w rozumieniu ustawy z dnia </w:t>
      </w:r>
      <w:r w:rsidR="00003FAD">
        <w:rPr>
          <w:rFonts w:ascii="Lato" w:eastAsia="Times New Roman" w:hAnsi="Lato" w:cs="Arial"/>
          <w:spacing w:val="4"/>
          <w:lang w:eastAsia="pl-PL"/>
        </w:rPr>
        <w:br/>
      </w:r>
      <w:r w:rsidRPr="00A868F0">
        <w:rPr>
          <w:rFonts w:ascii="Lato" w:eastAsia="Times New Roman" w:hAnsi="Lato" w:cs="Arial"/>
          <w:spacing w:val="4"/>
          <w:lang w:eastAsia="pl-PL"/>
        </w:rPr>
        <w:t>23 listopada 2012 r. – Prawo pocztowe (</w:t>
      </w:r>
      <w:proofErr w:type="spellStart"/>
      <w:r w:rsidRPr="00A868F0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A868F0">
        <w:rPr>
          <w:rFonts w:ascii="Lato" w:eastAsia="Times New Roman" w:hAnsi="Lato" w:cs="Arial"/>
          <w:spacing w:val="4"/>
          <w:lang w:eastAsia="pl-PL"/>
        </w:rPr>
        <w:t xml:space="preserve">. Dz. U. z 2023 r. poz. 1640, z </w:t>
      </w:r>
      <w:proofErr w:type="spellStart"/>
      <w:r w:rsidRPr="00A868F0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A868F0">
        <w:rPr>
          <w:rFonts w:ascii="Lato" w:eastAsia="Times New Roman" w:hAnsi="Lato" w:cs="Arial"/>
          <w:spacing w:val="4"/>
          <w:lang w:eastAsia="pl-PL"/>
        </w:rPr>
        <w:t xml:space="preserve">. zm.), </w:t>
      </w:r>
      <w:r w:rsidR="000A7C1D" w:rsidRPr="00A868F0">
        <w:rPr>
          <w:rFonts w:ascii="Lato" w:eastAsia="Times New Roman" w:hAnsi="Lato" w:cs="Arial"/>
          <w:spacing w:val="4"/>
          <w:lang w:eastAsia="pl-PL"/>
        </w:rPr>
        <w:t>uzupełnione pismami z dnia 7 lipca 2023 r. oraz 14 listopada 2023 r.</w:t>
      </w:r>
    </w:p>
    <w:p w14:paraId="072FA492" w14:textId="0149455C" w:rsidR="003E4FA6" w:rsidRDefault="003E4FA6" w:rsidP="00200D82">
      <w:pPr>
        <w:spacing w:after="240" w:line="240" w:lineRule="exact"/>
        <w:jc w:val="both"/>
        <w:rPr>
          <w:rFonts w:ascii="Lato" w:eastAsia="Arial Unicode MS" w:hAnsi="Lato" w:cs="Arial"/>
          <w:spacing w:val="4"/>
        </w:rPr>
      </w:pPr>
      <w:r w:rsidRPr="00A868F0">
        <w:rPr>
          <w:rFonts w:ascii="Lato" w:eastAsia="Arial Unicode MS" w:hAnsi="Lato" w:cs="Arial"/>
          <w:spacing w:val="4"/>
        </w:rPr>
        <w:t xml:space="preserve">W odwołaniu, wniesionym w terminie, skarżąca strona podniosła zarzuty dotyczące </w:t>
      </w:r>
      <w:r w:rsidRPr="00A868F0">
        <w:rPr>
          <w:rFonts w:ascii="Lato" w:eastAsia="Arial Unicode MS" w:hAnsi="Lato" w:cs="Arial"/>
          <w:i/>
          <w:iCs/>
          <w:spacing w:val="4"/>
        </w:rPr>
        <w:t>decyzji Wojewody</w:t>
      </w:r>
      <w:r w:rsidR="000A7C1D" w:rsidRPr="00A868F0">
        <w:rPr>
          <w:rFonts w:ascii="Lato" w:eastAsia="Arial Unicode MS" w:hAnsi="Lato" w:cs="Arial"/>
          <w:i/>
          <w:iCs/>
          <w:spacing w:val="4"/>
        </w:rPr>
        <w:t xml:space="preserve"> Warmińsko-Mazurskiego</w:t>
      </w:r>
      <w:r w:rsidRPr="00A868F0">
        <w:rPr>
          <w:rFonts w:ascii="Lato" w:eastAsia="Arial Unicode MS" w:hAnsi="Lato" w:cs="Arial"/>
          <w:spacing w:val="4"/>
        </w:rPr>
        <w:t xml:space="preserve">, jak i postępowania zakończonego wydaniem tej decyzji. </w:t>
      </w:r>
    </w:p>
    <w:p w14:paraId="0DA48018" w14:textId="7577D7D5" w:rsidR="00200D82" w:rsidRPr="00200D82" w:rsidRDefault="00200D82" w:rsidP="00200D82">
      <w:pPr>
        <w:tabs>
          <w:tab w:val="left" w:pos="851"/>
        </w:tabs>
        <w:spacing w:before="120"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200D82">
        <w:rPr>
          <w:rFonts w:ascii="Lato" w:eastAsia="Times New Roman" w:hAnsi="Lato" w:cs="Arial"/>
          <w:bCs/>
          <w:spacing w:val="4"/>
          <w:lang w:eastAsia="pl-PL"/>
        </w:rPr>
        <w:t>Ponadto, pis</w:t>
      </w:r>
      <w:r>
        <w:rPr>
          <w:rFonts w:ascii="Lato" w:eastAsia="Times New Roman" w:hAnsi="Lato" w:cs="Arial"/>
          <w:bCs/>
          <w:spacing w:val="4"/>
          <w:lang w:eastAsia="pl-PL"/>
        </w:rPr>
        <w:t>mem</w:t>
      </w:r>
      <w:r w:rsidRPr="00200D82">
        <w:rPr>
          <w:rFonts w:ascii="Lato" w:eastAsia="Times New Roman" w:hAnsi="Lato" w:cs="Arial"/>
          <w:bCs/>
          <w:spacing w:val="4"/>
          <w:lang w:eastAsia="pl-PL"/>
        </w:rPr>
        <w:t xml:space="preserve"> z dnia 28 czerwca 2023 r., znak: DLI-I.7620.1</w:t>
      </w:r>
      <w:r>
        <w:rPr>
          <w:rFonts w:ascii="Lato" w:eastAsia="Times New Roman" w:hAnsi="Lato" w:cs="Arial"/>
          <w:bCs/>
          <w:spacing w:val="4"/>
          <w:lang w:eastAsia="pl-PL"/>
        </w:rPr>
        <w:t>5</w:t>
      </w:r>
      <w:r w:rsidRPr="00200D82">
        <w:rPr>
          <w:rFonts w:ascii="Lato" w:eastAsia="Times New Roman" w:hAnsi="Lato" w:cs="Arial"/>
          <w:bCs/>
          <w:spacing w:val="4"/>
          <w:lang w:eastAsia="pl-PL"/>
        </w:rPr>
        <w:t>.2023.LB.</w:t>
      </w:r>
      <w:r>
        <w:rPr>
          <w:rFonts w:ascii="Lato" w:eastAsia="Times New Roman" w:hAnsi="Lato" w:cs="Arial"/>
          <w:bCs/>
          <w:spacing w:val="4"/>
          <w:lang w:eastAsia="pl-PL"/>
        </w:rPr>
        <w:t>4</w:t>
      </w:r>
      <w:r w:rsidRPr="00200D82">
        <w:rPr>
          <w:rFonts w:ascii="Lato" w:eastAsia="Times New Roman" w:hAnsi="Lato" w:cs="Arial"/>
          <w:bCs/>
          <w:spacing w:val="4"/>
          <w:lang w:eastAsia="pl-PL"/>
        </w:rPr>
        <w:t>, organ odwoławczy pozostawił bez rozpoznania odwołani</w:t>
      </w:r>
      <w:r>
        <w:rPr>
          <w:rFonts w:ascii="Lato" w:eastAsia="Times New Roman" w:hAnsi="Lato" w:cs="Arial"/>
          <w:bCs/>
          <w:spacing w:val="4"/>
          <w:lang w:eastAsia="pl-PL"/>
        </w:rPr>
        <w:t>e</w:t>
      </w:r>
      <w:r w:rsidRPr="00200D82">
        <w:rPr>
          <w:rFonts w:ascii="Lato" w:eastAsia="Times New Roman" w:hAnsi="Lato" w:cs="Arial"/>
          <w:bCs/>
          <w:spacing w:val="4"/>
          <w:lang w:eastAsia="pl-PL"/>
        </w:rPr>
        <w:t xml:space="preserve"> wniesione przez </w:t>
      </w:r>
      <w:r>
        <w:rPr>
          <w:rFonts w:ascii="Lato" w:eastAsia="Times New Roman" w:hAnsi="Lato" w:cs="Arial"/>
          <w:bCs/>
          <w:spacing w:val="4"/>
          <w:lang w:eastAsia="pl-PL"/>
        </w:rPr>
        <w:t>Pana M</w:t>
      </w:r>
      <w:r w:rsidR="00003FAD">
        <w:rPr>
          <w:rFonts w:ascii="Lato" w:eastAsia="Times New Roman" w:hAnsi="Lato" w:cs="Arial"/>
          <w:bCs/>
          <w:spacing w:val="4"/>
          <w:lang w:eastAsia="pl-PL"/>
        </w:rPr>
        <w:t xml:space="preserve">. 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J. </w:t>
      </w:r>
    </w:p>
    <w:p w14:paraId="6279E9AC" w14:textId="1C294019" w:rsidR="007A3F84" w:rsidRPr="00A868F0" w:rsidRDefault="003E4FA6" w:rsidP="00200D82">
      <w:pPr>
        <w:tabs>
          <w:tab w:val="left" w:pos="284"/>
        </w:tabs>
        <w:suppressAutoHyphens/>
        <w:spacing w:after="240" w:line="240" w:lineRule="exact"/>
        <w:contextualSpacing/>
        <w:jc w:val="both"/>
        <w:rPr>
          <w:rFonts w:ascii="Lato" w:eastAsia="Arial Unicode MS" w:hAnsi="Lato" w:cs="Arial"/>
          <w:spacing w:val="4"/>
        </w:rPr>
      </w:pPr>
      <w:r w:rsidRPr="00A868F0">
        <w:rPr>
          <w:rFonts w:ascii="Lato" w:eastAsia="Arial Unicode MS" w:hAnsi="Lato" w:cs="Arial"/>
          <w:spacing w:val="4"/>
        </w:rPr>
        <w:lastRenderedPageBreak/>
        <w:t xml:space="preserve">Następnie, pismem z dnia </w:t>
      </w:r>
      <w:r w:rsidR="00504B3E" w:rsidRPr="00A868F0">
        <w:rPr>
          <w:rFonts w:ascii="Lato" w:eastAsia="Arial Unicode MS" w:hAnsi="Lato" w:cs="Arial"/>
          <w:spacing w:val="4"/>
        </w:rPr>
        <w:t>1</w:t>
      </w:r>
      <w:r w:rsidR="00292173">
        <w:rPr>
          <w:rFonts w:ascii="Lato" w:eastAsia="Arial Unicode MS" w:hAnsi="Lato" w:cs="Arial"/>
          <w:spacing w:val="4"/>
        </w:rPr>
        <w:t>9</w:t>
      </w:r>
      <w:r w:rsidR="00504B3E" w:rsidRPr="00A868F0">
        <w:rPr>
          <w:rFonts w:ascii="Lato" w:eastAsia="Arial Unicode MS" w:hAnsi="Lato" w:cs="Arial"/>
          <w:spacing w:val="4"/>
        </w:rPr>
        <w:t xml:space="preserve"> lipca 2024 r., znak: PSGOW.INWD.430.016.2024, </w:t>
      </w:r>
      <w:r w:rsidR="00504B3E" w:rsidRPr="00A868F0">
        <w:rPr>
          <w:rFonts w:ascii="Lato" w:eastAsia="Arial Unicode MS" w:hAnsi="Lato" w:cs="Arial"/>
          <w:i/>
          <w:iCs/>
          <w:spacing w:val="4"/>
        </w:rPr>
        <w:t>inwestor</w:t>
      </w:r>
      <w:r w:rsidRPr="00A868F0">
        <w:rPr>
          <w:rFonts w:ascii="Lato" w:eastAsia="Arial Unicode MS" w:hAnsi="Lato" w:cs="Arial"/>
          <w:i/>
          <w:spacing w:val="4"/>
        </w:rPr>
        <w:t>,</w:t>
      </w:r>
      <w:r w:rsidRPr="00A868F0">
        <w:rPr>
          <w:rFonts w:ascii="Lato" w:eastAsia="Arial Unicode MS" w:hAnsi="Lato" w:cs="Arial"/>
          <w:iCs/>
          <w:spacing w:val="4"/>
        </w:rPr>
        <w:t xml:space="preserve"> reprezentowany przez </w:t>
      </w:r>
      <w:r w:rsidR="00A45734" w:rsidRPr="00A868F0">
        <w:rPr>
          <w:rFonts w:ascii="Lato" w:eastAsia="Arial Unicode MS" w:hAnsi="Lato" w:cs="Arial"/>
          <w:iCs/>
          <w:spacing w:val="4"/>
        </w:rPr>
        <w:t xml:space="preserve">Panią </w:t>
      </w:r>
      <w:r w:rsidR="007A3F84" w:rsidRPr="00A868F0">
        <w:rPr>
          <w:rFonts w:ascii="Lato" w:eastAsia="Arial Unicode MS" w:hAnsi="Lato" w:cs="Arial"/>
          <w:iCs/>
          <w:spacing w:val="4"/>
        </w:rPr>
        <w:t>B</w:t>
      </w:r>
      <w:r w:rsidR="00003FAD">
        <w:rPr>
          <w:rFonts w:ascii="Lato" w:eastAsia="Arial Unicode MS" w:hAnsi="Lato" w:cs="Arial"/>
          <w:iCs/>
          <w:spacing w:val="4"/>
        </w:rPr>
        <w:t>.</w:t>
      </w:r>
      <w:r w:rsidR="007A3F84" w:rsidRPr="00A868F0">
        <w:rPr>
          <w:rFonts w:ascii="Lato" w:eastAsia="Arial Unicode MS" w:hAnsi="Lato" w:cs="Arial"/>
          <w:iCs/>
          <w:spacing w:val="4"/>
        </w:rPr>
        <w:t xml:space="preserve"> K</w:t>
      </w:r>
      <w:r w:rsidR="00003FAD">
        <w:rPr>
          <w:rFonts w:ascii="Lato" w:eastAsia="Arial Unicode MS" w:hAnsi="Lato" w:cs="Arial"/>
          <w:iCs/>
          <w:spacing w:val="4"/>
        </w:rPr>
        <w:t>.</w:t>
      </w:r>
      <w:r w:rsidR="006B0C87">
        <w:rPr>
          <w:rFonts w:ascii="Lato" w:eastAsia="Arial Unicode MS" w:hAnsi="Lato" w:cs="Arial"/>
          <w:iCs/>
          <w:spacing w:val="4"/>
        </w:rPr>
        <w:t xml:space="preserve"> oraz Pana A</w:t>
      </w:r>
      <w:r w:rsidR="00003FAD">
        <w:rPr>
          <w:rFonts w:ascii="Lato" w:eastAsia="Arial Unicode MS" w:hAnsi="Lato" w:cs="Arial"/>
          <w:iCs/>
          <w:spacing w:val="4"/>
        </w:rPr>
        <w:t xml:space="preserve">. </w:t>
      </w:r>
      <w:r w:rsidR="00BA3DB5">
        <w:rPr>
          <w:rFonts w:ascii="Lato" w:eastAsia="Arial Unicode MS" w:hAnsi="Lato" w:cs="Arial"/>
          <w:iCs/>
          <w:spacing w:val="4"/>
        </w:rPr>
        <w:t>K</w:t>
      </w:r>
      <w:r w:rsidR="00003FAD">
        <w:rPr>
          <w:rFonts w:ascii="Lato" w:eastAsia="Arial Unicode MS" w:hAnsi="Lato" w:cs="Arial"/>
          <w:iCs/>
          <w:spacing w:val="4"/>
        </w:rPr>
        <w:t>.</w:t>
      </w:r>
      <w:r w:rsidR="007A3F84" w:rsidRPr="00A868F0">
        <w:rPr>
          <w:rFonts w:ascii="Lato" w:eastAsia="Arial Unicode MS" w:hAnsi="Lato" w:cs="Arial"/>
          <w:iCs/>
          <w:spacing w:val="4"/>
        </w:rPr>
        <w:t xml:space="preserve">, </w:t>
      </w:r>
      <w:r w:rsidR="00402735" w:rsidRPr="00A868F0">
        <w:rPr>
          <w:rFonts w:ascii="Lato" w:eastAsia="Arial Unicode MS" w:hAnsi="Lato" w:cs="Arial"/>
          <w:iCs/>
          <w:spacing w:val="4"/>
        </w:rPr>
        <w:t>cofnął</w:t>
      </w:r>
      <w:r w:rsidR="007A3F84" w:rsidRPr="00A868F0">
        <w:rPr>
          <w:rFonts w:ascii="Lato" w:eastAsia="Arial Unicode MS" w:hAnsi="Lato" w:cs="Arial"/>
          <w:iCs/>
          <w:spacing w:val="4"/>
        </w:rPr>
        <w:t xml:space="preserve"> </w:t>
      </w:r>
      <w:r w:rsidRPr="00A868F0">
        <w:rPr>
          <w:rFonts w:ascii="Lato" w:eastAsia="Arial Unicode MS" w:hAnsi="Lato" w:cs="Arial"/>
          <w:spacing w:val="4"/>
        </w:rPr>
        <w:t xml:space="preserve">wniosek </w:t>
      </w:r>
      <w:r w:rsidR="007A3F84" w:rsidRPr="00A868F0">
        <w:rPr>
          <w:rFonts w:ascii="Lato" w:eastAsia="Arial Unicode MS" w:hAnsi="Lato" w:cs="Arial"/>
          <w:spacing w:val="4"/>
        </w:rPr>
        <w:t xml:space="preserve">z dnia 1 lutego </w:t>
      </w:r>
      <w:r w:rsidR="00003FAD">
        <w:rPr>
          <w:rFonts w:ascii="Lato" w:eastAsia="Arial Unicode MS" w:hAnsi="Lato" w:cs="Arial"/>
          <w:spacing w:val="4"/>
        </w:rPr>
        <w:br/>
      </w:r>
      <w:r w:rsidR="007A3F84" w:rsidRPr="00A868F0">
        <w:rPr>
          <w:rFonts w:ascii="Lato" w:eastAsia="Arial Unicode MS" w:hAnsi="Lato" w:cs="Arial"/>
          <w:spacing w:val="4"/>
        </w:rPr>
        <w:t xml:space="preserve">2023 r., znak: PSGOW.INWD.430.011.2023, o wydanie decyzji </w:t>
      </w:r>
      <w:r w:rsidR="007A3F84" w:rsidRPr="00A868F0">
        <w:rPr>
          <w:rFonts w:ascii="Lato" w:hAnsi="Lato" w:cstheme="minorHAnsi"/>
          <w:spacing w:val="4"/>
        </w:rPr>
        <w:t xml:space="preserve">o ustaleniu lokalizacji inwestycji towarzyszącej inwestycjom w zakresie terminalu </w:t>
      </w:r>
      <w:proofErr w:type="spellStart"/>
      <w:r w:rsidR="007A3F84" w:rsidRPr="00A868F0">
        <w:rPr>
          <w:rFonts w:ascii="Lato" w:hAnsi="Lato" w:cstheme="minorHAnsi"/>
          <w:spacing w:val="4"/>
        </w:rPr>
        <w:t>regazyfikacyjnego</w:t>
      </w:r>
      <w:proofErr w:type="spellEnd"/>
      <w:r w:rsidR="007A3F84" w:rsidRPr="00A868F0">
        <w:rPr>
          <w:rFonts w:ascii="Lato" w:hAnsi="Lato" w:cstheme="minorHAnsi"/>
          <w:spacing w:val="4"/>
        </w:rPr>
        <w:t xml:space="preserve"> skroplonego gazu ziemnego w Świnoujściu dla przedsięwzięcia </w:t>
      </w:r>
      <w:r w:rsidR="007A3F84" w:rsidRPr="00A868F0">
        <w:rPr>
          <w:rFonts w:ascii="Lato" w:hAnsi="Lato" w:cs="Arial"/>
          <w:spacing w:val="4"/>
        </w:rPr>
        <w:t xml:space="preserve">pn.: „Budowa gazociągu Konopki – Ełk – Mrągowo wraz z infrastrukturą niezbędną do jego obsługi na terenie województw mazowieckiego, podlaskiego i warmińsko-mazurskiego”, na odcinku </w:t>
      </w:r>
      <w:r w:rsidR="00003FAD">
        <w:rPr>
          <w:rFonts w:ascii="Lato" w:hAnsi="Lato" w:cs="Arial"/>
          <w:spacing w:val="4"/>
        </w:rPr>
        <w:br/>
      </w:r>
      <w:r w:rsidR="007A3F84" w:rsidRPr="00A868F0">
        <w:rPr>
          <w:rFonts w:ascii="Lato" w:hAnsi="Lato" w:cs="Arial"/>
          <w:spacing w:val="4"/>
        </w:rPr>
        <w:t xml:space="preserve">od granicy województwa podlaskiego do obiektu sieci gazowej – ZZUP Orzysz wraz </w:t>
      </w:r>
      <w:r w:rsidR="00003FAD">
        <w:rPr>
          <w:rFonts w:ascii="Lato" w:hAnsi="Lato" w:cs="Arial"/>
          <w:spacing w:val="4"/>
        </w:rPr>
        <w:br/>
      </w:r>
      <w:r w:rsidR="007A3F84" w:rsidRPr="00A868F0">
        <w:rPr>
          <w:rFonts w:ascii="Lato" w:hAnsi="Lato" w:cs="Arial"/>
          <w:spacing w:val="4"/>
        </w:rPr>
        <w:t>z zespołem śluz (włącznie) w obrębie Aleksandrowo w gminie Orzysz w województwie warmińsko-mazurskim.</w:t>
      </w:r>
    </w:p>
    <w:p w14:paraId="73A00A59" w14:textId="1E7D724E" w:rsidR="007A3F84" w:rsidRPr="00A868F0" w:rsidRDefault="009E4D4B" w:rsidP="003E4FA6">
      <w:pPr>
        <w:spacing w:after="240" w:line="240" w:lineRule="exact"/>
        <w:jc w:val="both"/>
        <w:rPr>
          <w:rFonts w:ascii="Lato" w:hAnsi="Lato"/>
          <w:spacing w:val="4"/>
        </w:rPr>
      </w:pPr>
      <w:r w:rsidRPr="00A868F0">
        <w:rPr>
          <w:rFonts w:ascii="Lato" w:eastAsia="Arial Unicode MS" w:hAnsi="Lato" w:cs="Arial"/>
          <w:spacing w:val="4"/>
        </w:rPr>
        <w:br/>
      </w:r>
      <w:r w:rsidRPr="00A868F0">
        <w:rPr>
          <w:rFonts w:ascii="Lato" w:hAnsi="Lato" w:cs="Arial"/>
          <w:color w:val="00000A"/>
          <w:spacing w:val="4"/>
        </w:rPr>
        <w:t xml:space="preserve">Uwzględniając fakt, iż właściwym w przedmiotowej sprawie - stosownie do treści rozporządzenia Prezesa Rady Ministrów z </w:t>
      </w:r>
      <w:r w:rsidRPr="00A868F0">
        <w:rPr>
          <w:rFonts w:ascii="Lato" w:hAnsi="Lato" w:cs="Noto Serif"/>
          <w:color w:val="000000"/>
          <w:spacing w:val="4"/>
          <w:shd w:val="clear" w:color="auto" w:fill="FFFFFF"/>
        </w:rPr>
        <w:t>dnia 16 maja 2024 r. </w:t>
      </w:r>
      <w:r w:rsidRPr="00A868F0">
        <w:rPr>
          <w:rFonts w:ascii="Lato" w:hAnsi="Lato" w:cs="Arial"/>
          <w:bCs/>
          <w:color w:val="00000A"/>
          <w:spacing w:val="4"/>
        </w:rPr>
        <w:t>w sprawie szczegółowego zakresu działania Ministra Rozwoju</w:t>
      </w:r>
      <w:r w:rsidRPr="00A868F0">
        <w:rPr>
          <w:rFonts w:ascii="Lato" w:hAnsi="Lato" w:cs="Arial"/>
          <w:color w:val="00000A"/>
          <w:spacing w:val="4"/>
        </w:rPr>
        <w:t xml:space="preserve"> i Technologii </w:t>
      </w:r>
      <w:hyperlink r:id="rId8" w:history="1">
        <w:r w:rsidRPr="00A868F0">
          <w:rPr>
            <w:rStyle w:val="Hipercze"/>
            <w:rFonts w:ascii="Lato" w:eastAsiaTheme="majorEastAsia" w:hAnsi="Lato" w:cs="Noto Serif"/>
            <w:color w:val="000000"/>
            <w:spacing w:val="4"/>
            <w:u w:val="none"/>
            <w:shd w:val="clear" w:color="auto" w:fill="FFFFFF"/>
          </w:rPr>
          <w:t>(Dz. U. z 2024 r. poz. 739)</w:t>
        </w:r>
      </w:hyperlink>
      <w:r w:rsidRPr="00A868F0">
        <w:rPr>
          <w:rFonts w:ascii="Lato" w:hAnsi="Lato"/>
          <w:spacing w:val="4"/>
        </w:rPr>
        <w:t xml:space="preserve"> </w:t>
      </w:r>
      <w:r w:rsidRPr="00A868F0">
        <w:rPr>
          <w:rFonts w:ascii="Lato" w:hAnsi="Lato" w:cs="Arial"/>
          <w:color w:val="00000A"/>
          <w:spacing w:val="4"/>
        </w:rPr>
        <w:t>- jest obecnie Minister Rozwoju i Technologii, zwany dalej „</w:t>
      </w:r>
      <w:r w:rsidRPr="00A868F0">
        <w:rPr>
          <w:rFonts w:ascii="Lato" w:hAnsi="Lato" w:cs="Arial"/>
          <w:i/>
          <w:iCs/>
          <w:color w:val="00000A"/>
          <w:spacing w:val="4"/>
        </w:rPr>
        <w:t>Ministrem</w:t>
      </w:r>
      <w:r w:rsidRPr="00A868F0">
        <w:rPr>
          <w:rFonts w:ascii="Lato" w:hAnsi="Lato" w:cs="Arial"/>
          <w:color w:val="00000A"/>
          <w:spacing w:val="4"/>
        </w:rPr>
        <w:t xml:space="preserve">”, stwierdzono, co </w:t>
      </w:r>
      <w:r w:rsidRPr="00A868F0">
        <w:rPr>
          <w:rFonts w:ascii="Lato" w:hAnsi="Lato" w:cs="Arial"/>
          <w:color w:val="000000"/>
          <w:spacing w:val="4"/>
        </w:rPr>
        <w:t>następuje.</w:t>
      </w:r>
    </w:p>
    <w:p w14:paraId="64790689" w14:textId="7A64EA43" w:rsidR="002E5860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Zgodnie z regułą zawartą w art. 61 § 1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 postępowanie administracyjne wszczyna się na żądanie strony lub z urzędu. W przedmiotowej sprawie mamy do czynienia </w:t>
      </w:r>
      <w:r w:rsidR="002E5860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z postępowaniem wszczynanym na wniosek, stosownie do przepisu art. </w:t>
      </w:r>
      <w:r w:rsidR="002E5860" w:rsidRPr="00A868F0">
        <w:rPr>
          <w:rFonts w:ascii="Lato" w:hAnsi="Lato" w:cs="Arial"/>
          <w:spacing w:val="4"/>
        </w:rPr>
        <w:t>5</w:t>
      </w:r>
      <w:r w:rsidRPr="00A868F0">
        <w:rPr>
          <w:rFonts w:ascii="Lato" w:hAnsi="Lato" w:cs="Arial"/>
          <w:spacing w:val="4"/>
        </w:rPr>
        <w:t xml:space="preserve"> ust. 1 </w:t>
      </w:r>
      <w:r w:rsidRPr="00A868F0">
        <w:rPr>
          <w:rFonts w:ascii="Lato" w:hAnsi="Lato" w:cs="Arial"/>
          <w:i/>
          <w:spacing w:val="4"/>
        </w:rPr>
        <w:t>specustawy gazowej</w:t>
      </w:r>
      <w:r w:rsidRPr="00A868F0">
        <w:rPr>
          <w:rFonts w:ascii="Lato" w:hAnsi="Lato" w:cs="Arial"/>
          <w:spacing w:val="4"/>
        </w:rPr>
        <w:t>, w myśl którego</w:t>
      </w:r>
      <w:r w:rsidRPr="00A868F0">
        <w:rPr>
          <w:rFonts w:ascii="Lato" w:hAnsi="Lato"/>
          <w:spacing w:val="4"/>
        </w:rPr>
        <w:t xml:space="preserve"> </w:t>
      </w:r>
      <w:r w:rsidR="002E5860" w:rsidRPr="00A868F0">
        <w:rPr>
          <w:rFonts w:ascii="Lato" w:hAnsi="Lato" w:cs="Arial"/>
          <w:spacing w:val="4"/>
        </w:rPr>
        <w:t>–</w:t>
      </w:r>
      <w:r w:rsidRPr="00A868F0">
        <w:rPr>
          <w:rFonts w:ascii="Lato" w:hAnsi="Lato" w:cs="Arial"/>
          <w:spacing w:val="4"/>
        </w:rPr>
        <w:t xml:space="preserve"> </w:t>
      </w:r>
      <w:r w:rsidR="002E5860" w:rsidRPr="00A868F0">
        <w:rPr>
          <w:rFonts w:ascii="Lato" w:hAnsi="Lato" w:cs="Arial"/>
          <w:spacing w:val="4"/>
        </w:rPr>
        <w:t xml:space="preserve">decyzję o ustaleniu lokalizacji inwestycji w zakresie terminalu, na wniosek inwestora, wydaje właściwy miejscowo wojewoda. Wniosek </w:t>
      </w:r>
      <w:r w:rsidR="002E5860" w:rsidRPr="00A868F0">
        <w:rPr>
          <w:rFonts w:ascii="Lato" w:hAnsi="Lato" w:cs="Arial"/>
          <w:spacing w:val="4"/>
        </w:rPr>
        <w:br/>
        <w:t xml:space="preserve">o wydanie decyzji o ustaleniu lokalizacji inwestycji w zakresie terminalu może odnosić się do całości lub części zadania inwestycyjnego, o którym mowa w </w:t>
      </w:r>
      <w:hyperlink r:id="rId9" w:history="1">
        <w:r w:rsidR="002E5860" w:rsidRPr="00A868F0">
          <w:rPr>
            <w:rStyle w:val="Hipercze"/>
            <w:rFonts w:ascii="Lato" w:hAnsi="Lato" w:cs="Arial"/>
            <w:color w:val="auto"/>
            <w:spacing w:val="4"/>
            <w:u w:val="none"/>
          </w:rPr>
          <w:t>art. 2 ust. 2</w:t>
        </w:r>
      </w:hyperlink>
      <w:r w:rsidR="002E5860" w:rsidRPr="00A868F0">
        <w:rPr>
          <w:rFonts w:ascii="Lato" w:hAnsi="Lato" w:cs="Arial"/>
          <w:spacing w:val="4"/>
        </w:rPr>
        <w:t>.</w:t>
      </w:r>
    </w:p>
    <w:p w14:paraId="08BB1E1C" w14:textId="0E8D504B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Specyfika takiego rodzaju postępowania przejawia się w fakcie, iż może zostać ono zainicjowane tylko przez określone podmioty – organ nie może działać z urzędu, jak również inne strony nie mają możliwości wpływu na wszczęcie postępowania.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W postępowaniu o wydanie decyzji </w:t>
      </w:r>
      <w:r w:rsidR="006B616E" w:rsidRPr="00A868F0">
        <w:rPr>
          <w:rFonts w:ascii="Lato" w:hAnsi="Lato" w:cs="Arial"/>
          <w:spacing w:val="4"/>
        </w:rPr>
        <w:t>o ustaleniu lokalizacji inwestycji w zakresie terminalu</w:t>
      </w:r>
      <w:r w:rsidRPr="00A868F0">
        <w:rPr>
          <w:rFonts w:ascii="Lato" w:hAnsi="Lato" w:cs="Arial"/>
          <w:bCs/>
          <w:spacing w:val="4"/>
        </w:rPr>
        <w:t>,</w:t>
      </w:r>
      <w:r w:rsidRPr="00A868F0">
        <w:rPr>
          <w:rFonts w:ascii="Lato" w:hAnsi="Lato" w:cs="Arial"/>
          <w:spacing w:val="4"/>
        </w:rPr>
        <w:t xml:space="preserve"> wniosek nie tylko inicjuje postępowanie, ale wyraża wolę </w:t>
      </w:r>
      <w:r w:rsidRPr="00A868F0">
        <w:rPr>
          <w:rFonts w:ascii="Lato" w:hAnsi="Lato" w:cs="Arial"/>
          <w:i/>
          <w:spacing w:val="4"/>
        </w:rPr>
        <w:t>inwestora</w:t>
      </w:r>
      <w:r w:rsidRPr="00A868F0">
        <w:rPr>
          <w:rFonts w:ascii="Lato" w:hAnsi="Lato" w:cs="Arial"/>
          <w:spacing w:val="4"/>
        </w:rPr>
        <w:t xml:space="preserve"> odnośnie rozstrzygnięcia sprawy. Wola ta musi istnieć przez cały tok postępowania, aby można było mówić, że postępowanie ma przedmiot. Tylko istnienie woli </w:t>
      </w:r>
      <w:r w:rsidRPr="00A868F0">
        <w:rPr>
          <w:rFonts w:ascii="Lato" w:hAnsi="Lato" w:cs="Arial"/>
          <w:i/>
          <w:spacing w:val="4"/>
        </w:rPr>
        <w:t>inwestora</w:t>
      </w:r>
      <w:r w:rsidRPr="00A868F0">
        <w:rPr>
          <w:rFonts w:ascii="Lato" w:hAnsi="Lato" w:cs="Arial"/>
          <w:spacing w:val="4"/>
        </w:rPr>
        <w:t xml:space="preserve"> pozwala doprowadzić sprawę do rozstrzygnięcia merytorycznego. Bez względu na to, w jakiej formie </w:t>
      </w:r>
      <w:r w:rsidRPr="00A868F0">
        <w:rPr>
          <w:rFonts w:ascii="Lato" w:hAnsi="Lato" w:cs="Arial"/>
          <w:i/>
          <w:spacing w:val="4"/>
        </w:rPr>
        <w:t>inwestor</w:t>
      </w:r>
      <w:r w:rsidRPr="00A868F0">
        <w:rPr>
          <w:rFonts w:ascii="Lato" w:hAnsi="Lato" w:cs="Arial"/>
          <w:spacing w:val="4"/>
        </w:rPr>
        <w:t xml:space="preserve"> wyrazi brak woli kontynuowania postępowania (wycofa wniosek, zażąda umorzenia postępowania), sytuację taką należy oceniać jednolicie – jako brak wniosku (rozumianego nie literalnie, jako pismo inicjujące postępowanie, ale jako wola uzyskania rozstrzygnięcia). W taki sposób </w:t>
      </w:r>
      <w:r w:rsidRPr="00A868F0">
        <w:rPr>
          <w:rFonts w:ascii="Lato" w:hAnsi="Lato" w:cs="Arial"/>
          <w:i/>
          <w:spacing w:val="4"/>
        </w:rPr>
        <w:t>inwestor</w:t>
      </w:r>
      <w:r w:rsidRPr="00A868F0">
        <w:rPr>
          <w:rFonts w:ascii="Lato" w:hAnsi="Lato" w:cs="Arial"/>
          <w:spacing w:val="4"/>
        </w:rPr>
        <w:t xml:space="preserve"> neguje istnienie wniosku, a więc wskazuje,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>że postępowanie jest bezprzedmiotowe z uwagi na brak jednego z elementów warunkujących wszczęcie i prowadzenie postępowania.</w:t>
      </w:r>
    </w:p>
    <w:p w14:paraId="0D7EC402" w14:textId="71B43DE0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Zgodnie z art. 105 § 1 </w:t>
      </w:r>
      <w:r w:rsidRPr="00A868F0">
        <w:rPr>
          <w:rFonts w:ascii="Lato" w:hAnsi="Lato" w:cs="Arial"/>
          <w:i/>
          <w:spacing w:val="4"/>
        </w:rPr>
        <w:t xml:space="preserve">kpa, </w:t>
      </w:r>
      <w:r w:rsidRPr="00A868F0">
        <w:rPr>
          <w:rFonts w:ascii="Lato" w:hAnsi="Lato" w:cs="Arial"/>
          <w:spacing w:val="4"/>
        </w:rPr>
        <w:t xml:space="preserve">gdy postępowanie z jakiejkolwiek przyczyny stało się bezprzedmiotowe w całości albo w części, organ administracji publicznej wydaje decyzję o umorzeniu postępowania odpowiednio w całości albo w części. </w:t>
      </w:r>
    </w:p>
    <w:p w14:paraId="53323E2B" w14:textId="53DE6906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Bezprzedmiotowość postępowania administracyjnego, o której mowa w art. 105 § 1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, to brak przedmiotu postępowania. Tym przedmiotem jest zaś konkretna sprawa, w której organ administracji publicznej jest władny i jednocześnie zobowiązany rozstrzygnąć na podstawie przepisów prawa materialnego o uprawnieniach lub obowiązkach indywidualnego podmiotu. Sprawa administracyjna jest konsekwencją istnienia stosunku administracyjnego, czyli takiej sytuacji prawnej, w której strona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>ma prawo żądać od organu administracyjnego skonkretyzowania jej indywidualnych uprawnień wynikających z prawa materialnego. Postępowanie w takiej sprawie staje się bezprzedmiotowe, jeżeli brakuje któregokolwiek z elementów stosunku</w:t>
      </w:r>
      <w:r w:rsidR="006B616E" w:rsidRPr="00A868F0">
        <w:rPr>
          <w:rFonts w:ascii="Lato" w:hAnsi="Lato" w:cs="Arial"/>
          <w:spacing w:val="4"/>
        </w:rPr>
        <w:t xml:space="preserve"> </w:t>
      </w:r>
      <w:r w:rsidRPr="00A868F0">
        <w:rPr>
          <w:rFonts w:ascii="Lato" w:hAnsi="Lato" w:cs="Arial"/>
          <w:spacing w:val="4"/>
        </w:rPr>
        <w:t xml:space="preserve">materialnoprawnego, a zatem, gdy brak było podstaw prawnych do merytorycznego rozstrzygnięcia danej sprawy, gdy przyznanie określonego uprawnienia stało się zbędne </w:t>
      </w:r>
      <w:r w:rsidRPr="00A868F0">
        <w:rPr>
          <w:rFonts w:ascii="Lato" w:hAnsi="Lato" w:cs="Arial"/>
          <w:spacing w:val="4"/>
        </w:rPr>
        <w:lastRenderedPageBreak/>
        <w:t>lub gdy organ administracyjny stwierdzi oczywisty brak podstaw prawnych i faktycznych do merytorycznego rozpatrzenia sprawy (vide: postanowienie Naczelnego Sądu Administracyjnego w Warszawie z dnia 7 czerwca 2011 r., sygn. akt I OSK 1458/10, wyrok Wojewódzkiego Sądu Administracyjnego w Warszawie z dnia 12 grudnia 2011 r., sygn. akt VII SA/</w:t>
      </w:r>
      <w:proofErr w:type="spellStart"/>
      <w:r w:rsidRPr="00A868F0">
        <w:rPr>
          <w:rFonts w:ascii="Lato" w:hAnsi="Lato" w:cs="Arial"/>
          <w:spacing w:val="4"/>
        </w:rPr>
        <w:t>Wa</w:t>
      </w:r>
      <w:proofErr w:type="spellEnd"/>
      <w:r w:rsidRPr="00A868F0">
        <w:rPr>
          <w:rFonts w:ascii="Lato" w:hAnsi="Lato" w:cs="Arial"/>
          <w:spacing w:val="4"/>
        </w:rPr>
        <w:t xml:space="preserve"> 1015/11, wyrok Wojewódzkiego Sądu Administracyjnego </w:t>
      </w:r>
      <w:r w:rsidR="00C1022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w Olsztynie z dnia 14 lipca 2011 r., sygn. akt II SA/Ol 412/11). </w:t>
      </w:r>
    </w:p>
    <w:p w14:paraId="4987CF5D" w14:textId="77777777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Zatem brak któregoś z elementów materialnego stosunku prawnego powoduje, że nie można wydać decyzji załatwiającej sprawę przez jej rozstrzygnięcie co do istoty, tym samym jakiekolwiek rozstrzygnięcie merytoryczne, pozytywne czy też negatywne, staje się w tym przypadku prawnie niedopuszczalne. </w:t>
      </w:r>
    </w:p>
    <w:p w14:paraId="7A2AF128" w14:textId="27D622CF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Umorzenie postępowania zamyka więc drogę do konkretyzacji praw i obowiązków strony oraz kończy postępowanie w danej instancji (por. wyrok Naczelnego Sądu Administracyjnego w Warszawie z dnia 29 marca 2011 r., sygn. akt I OSK 791/10). Przyczyna bezprzedmiotowości może istnieć przed wszczęciem postępowania, jak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i pojawić się po jego wszczęciu a przed jego zakończeniem. W każdym </w:t>
      </w:r>
      <w:r w:rsidRPr="00A868F0">
        <w:rPr>
          <w:rFonts w:ascii="Lato" w:hAnsi="Lato" w:cs="Arial"/>
          <w:spacing w:val="4"/>
        </w:rPr>
        <w:br/>
        <w:t xml:space="preserve">z tych przypadków stwierdzenie bezprzedmiotowości, na jakimkolwiek etapie postępowania, obliguje organ do umorzenia postępowania w oparciu o art. 105 § 1 </w:t>
      </w:r>
      <w:r w:rsidRPr="00A868F0">
        <w:rPr>
          <w:rFonts w:ascii="Lato" w:hAnsi="Lato" w:cs="Arial"/>
          <w:i/>
          <w:spacing w:val="4"/>
        </w:rPr>
        <w:t xml:space="preserve">kpa. </w:t>
      </w:r>
      <w:r w:rsidRPr="00A868F0">
        <w:rPr>
          <w:rFonts w:ascii="Lato" w:hAnsi="Lato" w:cs="Arial"/>
          <w:spacing w:val="4"/>
        </w:rPr>
        <w:t>Niezależnie jednak od tego, w jakim czasie okoliczność ta zaistnieje, organ rozpoznający sprawę ma obowiązek ją uwzględnić.</w:t>
      </w:r>
    </w:p>
    <w:p w14:paraId="5C728B95" w14:textId="2378561B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W omawianym przypadku bezprzedmiotowość postępowania ujawniła się w toku postępowania odwoławczego. Wskazać należy, iż w przypadku, gdy okoliczności wskazane w art. 105 § 1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 występują na etapie postępowania odwoławczego, organ wydaje, w granicach uprawnień przypisanych mu przez art. 138 § 1 pkt 2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, decyzję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o uchyleniu rozstrzygnięcia organu pierwszej instancji i umorzeniu postępowania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(por. wyrok Wojewódzkiego Sądu Administracyjnego w Warszawie w wyroku z dnia </w:t>
      </w:r>
      <w:r w:rsidR="005B1469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>25 czerwca 2008 r., sygn. akt VII SA/</w:t>
      </w:r>
      <w:proofErr w:type="spellStart"/>
      <w:r w:rsidRPr="00A868F0">
        <w:rPr>
          <w:rFonts w:ascii="Lato" w:hAnsi="Lato" w:cs="Arial"/>
          <w:spacing w:val="4"/>
        </w:rPr>
        <w:t>Wa</w:t>
      </w:r>
      <w:proofErr w:type="spellEnd"/>
      <w:r w:rsidRPr="00A868F0">
        <w:rPr>
          <w:rFonts w:ascii="Lato" w:hAnsi="Lato" w:cs="Arial"/>
          <w:spacing w:val="4"/>
        </w:rPr>
        <w:t xml:space="preserve"> 528/08). W sytuacji, kiedy strona cofa wniosek </w:t>
      </w:r>
      <w:r w:rsidRPr="00A868F0">
        <w:rPr>
          <w:rFonts w:ascii="Lato" w:hAnsi="Lato" w:cs="Arial"/>
          <w:spacing w:val="4"/>
        </w:rPr>
        <w:br/>
        <w:t xml:space="preserve">o wydanie decyzji na etapie postępowania odwoławczego, organ odwoławczy nie może oceniać merytorycznie decyzji organu pierwszej instancji, ale ma obowiązek wydać decyzję na podstawie art. 138 § 1 pkt 2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>, tzn. uchylić decyzję organu pierwszej instancji i umorzyć postępowanie wobec jego bezprzedmiotowości (por. wyrok Wojewódzkiego Sądu Administracyjnego w Warszawie z dnia 9 grudnia 2008 r., sygn. akt VI SA/</w:t>
      </w:r>
      <w:proofErr w:type="spellStart"/>
      <w:r w:rsidRPr="00A868F0">
        <w:rPr>
          <w:rFonts w:ascii="Lato" w:hAnsi="Lato" w:cs="Arial"/>
          <w:spacing w:val="4"/>
        </w:rPr>
        <w:t>Wa</w:t>
      </w:r>
      <w:proofErr w:type="spellEnd"/>
      <w:r w:rsidRPr="00A868F0">
        <w:rPr>
          <w:rFonts w:ascii="Lato" w:hAnsi="Lato" w:cs="Arial"/>
          <w:spacing w:val="4"/>
        </w:rPr>
        <w:t xml:space="preserve"> 1937/08).</w:t>
      </w:r>
    </w:p>
    <w:p w14:paraId="3161BD4E" w14:textId="1C8F5BEE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Cofnięcie wniosku o wszczęcie postępowania administracyjnego jest równoznaczne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z brakiem żądania uprawnionego podmiotu do rozpoznania konkretnej sprawy administracyjnej, co oznacza, że przedmiot postępowania, oznaczony we wniosku, przestaje istnieć. Inaczej rzecz ujmując, z chwilą cofnięcia wniosku odpada jeden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z koniecznych elementów sprawy administracyjnej (przedmiot), co obliguje organ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do umorzenia postępowania (tzw. obiektywna konieczność umorzenia postępowania)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na podstawie art. 105 § 1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. Nie mają przy tym znaczenia przyczyny dla jakich doszło do cofnięcia wniosku (por. wyrok Naczelnego Sądu Administracyjnego z dnia 9 marca 2012 r., sygn. akt I OSK 394/11, wyrok Wojewódzkiego Sądu Administracyjnego </w:t>
      </w:r>
      <w:r w:rsidR="006B616E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>w Warszawie z dnia 23 listopada 2012 r., sygn. akt VII SA/</w:t>
      </w:r>
      <w:proofErr w:type="spellStart"/>
      <w:r w:rsidRPr="00A868F0">
        <w:rPr>
          <w:rFonts w:ascii="Lato" w:hAnsi="Lato" w:cs="Arial"/>
          <w:spacing w:val="4"/>
        </w:rPr>
        <w:t>Wa</w:t>
      </w:r>
      <w:proofErr w:type="spellEnd"/>
      <w:r w:rsidRPr="00A868F0">
        <w:rPr>
          <w:rFonts w:ascii="Lato" w:hAnsi="Lato" w:cs="Arial"/>
          <w:spacing w:val="4"/>
        </w:rPr>
        <w:t xml:space="preserve"> 1369/12, wyrok Naczelnego Sądu Administracyjnego z dnia 14 grudnia 2010 r., sygn. akt I OSK 254/10, </w:t>
      </w:r>
      <w:proofErr w:type="spellStart"/>
      <w:r w:rsidRPr="00A868F0">
        <w:rPr>
          <w:rFonts w:ascii="Lato" w:hAnsi="Lato" w:cs="Arial"/>
          <w:spacing w:val="4"/>
        </w:rPr>
        <w:t>niepubl</w:t>
      </w:r>
      <w:proofErr w:type="spellEnd"/>
      <w:r w:rsidRPr="00A868F0">
        <w:rPr>
          <w:rFonts w:ascii="Lato" w:hAnsi="Lato" w:cs="Arial"/>
          <w:spacing w:val="4"/>
        </w:rPr>
        <w:t>., wyrok Naczelnego Sądu Administracyjnego z 24 listopada 2006 r., sygn. akt II OSK 1436/05).</w:t>
      </w:r>
    </w:p>
    <w:p w14:paraId="0DA81B93" w14:textId="691B96E6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A868F0">
        <w:rPr>
          <w:rFonts w:ascii="Lato" w:hAnsi="Lato" w:cs="Arial"/>
          <w:spacing w:val="4"/>
        </w:rPr>
        <w:t xml:space="preserve">W niniejszej sprawie </w:t>
      </w:r>
      <w:r w:rsidRPr="00A868F0">
        <w:rPr>
          <w:rFonts w:ascii="Lato" w:hAnsi="Lato" w:cs="Arial"/>
          <w:i/>
          <w:spacing w:val="4"/>
        </w:rPr>
        <w:t>inwestor</w:t>
      </w:r>
      <w:r w:rsidRPr="00A868F0">
        <w:rPr>
          <w:rFonts w:ascii="Lato" w:hAnsi="Lato" w:cs="Arial"/>
          <w:spacing w:val="4"/>
        </w:rPr>
        <w:t xml:space="preserve"> jest podmiotem, któremu przysługuje uprawnienie </w:t>
      </w:r>
      <w:r w:rsidR="007D1BA9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do złożenia wniosku o wydanie decyzji </w:t>
      </w:r>
      <w:r w:rsidR="008D557C" w:rsidRPr="00A868F0">
        <w:rPr>
          <w:rFonts w:ascii="Lato" w:hAnsi="Lato" w:cs="Arial"/>
          <w:spacing w:val="4"/>
        </w:rPr>
        <w:t>o ustaleniu lokalizacji inwestycji towarzyszącej inwestycjom w zakresie terminalu</w:t>
      </w:r>
      <w:r w:rsidR="00610C13" w:rsidRPr="00A868F0">
        <w:rPr>
          <w:rFonts w:ascii="Lato" w:hAnsi="Lato" w:cs="Arial"/>
          <w:spacing w:val="4"/>
        </w:rPr>
        <w:t xml:space="preserve">, </w:t>
      </w:r>
      <w:r w:rsidRPr="00A868F0">
        <w:rPr>
          <w:rFonts w:ascii="Lato" w:hAnsi="Lato" w:cs="Arial"/>
          <w:spacing w:val="4"/>
        </w:rPr>
        <w:t>a co za tym idzie jest także podmiotem, któremu przysługuje uprawnienie do cofnięcia takiego wniosku. Uznać zatem należy, że</w:t>
      </w:r>
      <w:r w:rsidR="0028580B" w:rsidRPr="00A868F0">
        <w:rPr>
          <w:rFonts w:ascii="Lato" w:hAnsi="Lato" w:cs="Arial"/>
          <w:spacing w:val="4"/>
        </w:rPr>
        <w:t xml:space="preserve"> </w:t>
      </w:r>
      <w:r w:rsidRPr="00A868F0">
        <w:rPr>
          <w:rFonts w:ascii="Lato" w:hAnsi="Lato" w:cs="Arial"/>
          <w:spacing w:val="4"/>
        </w:rPr>
        <w:t xml:space="preserve">pismo </w:t>
      </w:r>
      <w:r w:rsidRPr="00A868F0">
        <w:rPr>
          <w:rFonts w:ascii="Lato" w:hAnsi="Lato" w:cs="Arial"/>
          <w:i/>
          <w:spacing w:val="4"/>
        </w:rPr>
        <w:lastRenderedPageBreak/>
        <w:t>inwestora</w:t>
      </w:r>
      <w:r w:rsidRPr="00A868F0">
        <w:rPr>
          <w:rFonts w:ascii="Lato" w:hAnsi="Lato" w:cs="Arial"/>
          <w:spacing w:val="4"/>
        </w:rPr>
        <w:t xml:space="preserve"> z </w:t>
      </w:r>
      <w:r w:rsidR="00610C13" w:rsidRPr="00A868F0">
        <w:rPr>
          <w:rFonts w:ascii="Lato" w:eastAsia="Arial Unicode MS" w:hAnsi="Lato" w:cs="Arial"/>
          <w:spacing w:val="4"/>
        </w:rPr>
        <w:t>dnia 1</w:t>
      </w:r>
      <w:r w:rsidR="00A76908">
        <w:rPr>
          <w:rFonts w:ascii="Lato" w:eastAsia="Arial Unicode MS" w:hAnsi="Lato" w:cs="Arial"/>
          <w:spacing w:val="4"/>
        </w:rPr>
        <w:t>9</w:t>
      </w:r>
      <w:r w:rsidR="00610C13" w:rsidRPr="00A868F0">
        <w:rPr>
          <w:rFonts w:ascii="Lato" w:eastAsia="Arial Unicode MS" w:hAnsi="Lato" w:cs="Arial"/>
          <w:spacing w:val="4"/>
        </w:rPr>
        <w:t xml:space="preserve"> lipca 2024 r., znak: PSGOW.INWD.430.016.2024</w:t>
      </w:r>
      <w:r w:rsidRPr="00A868F0">
        <w:rPr>
          <w:rFonts w:ascii="Lato" w:hAnsi="Lato" w:cs="Arial"/>
          <w:bCs/>
          <w:spacing w:val="4"/>
        </w:rPr>
        <w:t xml:space="preserve">, w którym </w:t>
      </w:r>
      <w:r w:rsidR="0028580B" w:rsidRPr="00A868F0">
        <w:rPr>
          <w:rFonts w:ascii="Lato" w:hAnsi="Lato" w:cs="Arial"/>
          <w:bCs/>
          <w:spacing w:val="4"/>
        </w:rPr>
        <w:br/>
      </w:r>
      <w:r w:rsidRPr="00A868F0">
        <w:rPr>
          <w:rFonts w:ascii="Lato" w:hAnsi="Lato" w:cs="Arial"/>
          <w:bCs/>
          <w:spacing w:val="4"/>
        </w:rPr>
        <w:t xml:space="preserve">to piśmie </w:t>
      </w:r>
      <w:r w:rsidRPr="00A868F0">
        <w:rPr>
          <w:rFonts w:ascii="Lato" w:hAnsi="Lato" w:cs="Arial"/>
          <w:bCs/>
          <w:i/>
          <w:spacing w:val="4"/>
        </w:rPr>
        <w:t>inwestor</w:t>
      </w:r>
      <w:r w:rsidRPr="00A868F0">
        <w:rPr>
          <w:rFonts w:ascii="Lato" w:hAnsi="Lato" w:cs="Arial"/>
          <w:bCs/>
          <w:spacing w:val="4"/>
        </w:rPr>
        <w:t xml:space="preserve"> oświadczył, iż cofa ww. wniosek o wydanie decyzji </w:t>
      </w:r>
      <w:r w:rsidR="00610C13" w:rsidRPr="00A868F0">
        <w:rPr>
          <w:rFonts w:ascii="Lato" w:hAnsi="Lato" w:cs="Arial"/>
          <w:spacing w:val="4"/>
        </w:rPr>
        <w:t xml:space="preserve">o ustaleniu lokalizacji inwestycji towarzyszącej inwestycjom w zakresie terminalu, </w:t>
      </w:r>
      <w:r w:rsidRPr="00A868F0">
        <w:rPr>
          <w:rFonts w:ascii="Lato" w:hAnsi="Lato" w:cs="Arial"/>
          <w:spacing w:val="4"/>
        </w:rPr>
        <w:t xml:space="preserve">świadczy </w:t>
      </w:r>
      <w:r w:rsidR="0028580B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o bezprzedmiotowości tegoż postępowania. Koniecznym jest zatem w tej sytuacji zastosowanie przepisu art. 105 § 1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, czyli podstawy obligatoryjnego umorzenia postępowania administracyjnego. Decyzja ta nie stworzy dla żadnej ze stron żadnych praw i obowiązków, a co istotne, w żaden sposób nie naruszy interesu żadnej ze stron. </w:t>
      </w:r>
      <w:r w:rsidRPr="00A868F0">
        <w:rPr>
          <w:rFonts w:ascii="Lato" w:hAnsi="Lato" w:cs="Arial"/>
          <w:i/>
          <w:spacing w:val="4"/>
        </w:rPr>
        <w:t>Inwestor</w:t>
      </w:r>
      <w:r w:rsidRPr="00A868F0">
        <w:rPr>
          <w:rFonts w:ascii="Lato" w:hAnsi="Lato" w:cs="Arial"/>
          <w:spacing w:val="4"/>
        </w:rPr>
        <w:t xml:space="preserve"> nie jest zainteresowany otrzymaniem decyzji merytorycznej, natomiast pozostałe strony nie doznają żadnych ograniczeń w swoich prawach.</w:t>
      </w:r>
    </w:p>
    <w:p w14:paraId="05369FC3" w14:textId="1F5424AA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 xml:space="preserve">Biorąc pod uwagę przedstawione wyjaśnienia, </w:t>
      </w:r>
      <w:r w:rsidRPr="00A868F0">
        <w:rPr>
          <w:rFonts w:ascii="Lato" w:hAnsi="Lato" w:cs="Arial"/>
          <w:i/>
          <w:spacing w:val="4"/>
        </w:rPr>
        <w:t>Minister</w:t>
      </w:r>
      <w:r w:rsidRPr="00A868F0">
        <w:rPr>
          <w:rFonts w:ascii="Lato" w:hAnsi="Lato" w:cs="Arial"/>
          <w:spacing w:val="4"/>
        </w:rPr>
        <w:t xml:space="preserve"> stwierdził, że w przedmiotowej sprawie zaistniała faktyczna podstawa do obligatoryjnego umorzenia postępowania organu pierwszej instancji na podstawie art. 105 § 1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, a organ odwoławczy, działając w granicach uprawnień przyznanych mu przez art. 138 § 1 pkt 2 </w:t>
      </w:r>
      <w:r w:rsidRPr="00A868F0">
        <w:rPr>
          <w:rFonts w:ascii="Lato" w:hAnsi="Lato" w:cs="Arial"/>
          <w:i/>
          <w:spacing w:val="4"/>
        </w:rPr>
        <w:t>kpa</w:t>
      </w:r>
      <w:r w:rsidRPr="00A868F0">
        <w:rPr>
          <w:rFonts w:ascii="Lato" w:hAnsi="Lato" w:cs="Arial"/>
          <w:spacing w:val="4"/>
        </w:rPr>
        <w:t xml:space="preserve">, obowiązany był </w:t>
      </w:r>
      <w:r w:rsidR="00E967F0" w:rsidRPr="00A868F0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 xml:space="preserve">tę okoliczność uwzględnić.  Wobec powyższego, </w:t>
      </w:r>
      <w:r w:rsidR="006B6D37" w:rsidRPr="006B6D37">
        <w:rPr>
          <w:rFonts w:ascii="Lato" w:hAnsi="Lato" w:cs="Arial"/>
          <w:iCs/>
          <w:spacing w:val="4"/>
        </w:rPr>
        <w:t>bezcelowe jest rozpatrzenie</w:t>
      </w:r>
      <w:r w:rsidR="006B6D37">
        <w:rPr>
          <w:rFonts w:ascii="Lato" w:hAnsi="Lato" w:cs="Arial"/>
          <w:i/>
          <w:spacing w:val="4"/>
        </w:rPr>
        <w:t xml:space="preserve"> </w:t>
      </w:r>
      <w:r w:rsidRPr="00A868F0">
        <w:rPr>
          <w:rFonts w:ascii="Lato" w:hAnsi="Lato" w:cs="Arial"/>
          <w:spacing w:val="4"/>
        </w:rPr>
        <w:t>zarzutów zawartych w odwołaniu</w:t>
      </w:r>
      <w:r w:rsidRPr="00A868F0">
        <w:rPr>
          <w:rFonts w:ascii="Lato" w:hAnsi="Lato" w:cs="Arial"/>
          <w:i/>
          <w:spacing w:val="4"/>
        </w:rPr>
        <w:t>.</w:t>
      </w:r>
    </w:p>
    <w:p w14:paraId="1B9BA8A6" w14:textId="77777777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>Biorąc powyższe pod uwagę, orzeczono jak w rozstrzygnięciu.</w:t>
      </w:r>
    </w:p>
    <w:p w14:paraId="3DA1B39C" w14:textId="77777777" w:rsidR="003E4FA6" w:rsidRPr="00A868F0" w:rsidRDefault="003E4FA6" w:rsidP="003E4FA6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A868F0">
        <w:rPr>
          <w:rFonts w:ascii="Lato" w:hAnsi="Lato" w:cs="Arial"/>
          <w:bCs/>
          <w:iCs/>
          <w:spacing w:val="4"/>
          <w:lang w:bidi="pl-PL"/>
        </w:rPr>
        <w:t xml:space="preserve">Niniejsza decyzja jest ostateczna. </w:t>
      </w:r>
    </w:p>
    <w:p w14:paraId="7F743033" w14:textId="0A9642CB" w:rsidR="003E4FA6" w:rsidRPr="00A868F0" w:rsidRDefault="003E4FA6" w:rsidP="003E4FA6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</w:rPr>
      </w:pPr>
      <w:r w:rsidRPr="00A868F0">
        <w:rPr>
          <w:rFonts w:ascii="Lato" w:hAnsi="Lato" w:cs="Arial"/>
          <w:spacing w:val="4"/>
        </w:rPr>
        <w:t>Na decyzję, na podstawie art. 53 § 1 i art. 54 § 1 ustawy z dnia 30 sierpnia 2002 r. – Prawo o postępowaniu przed sądami administracyjnymi (</w:t>
      </w:r>
      <w:proofErr w:type="spellStart"/>
      <w:r w:rsidRPr="00A868F0">
        <w:rPr>
          <w:rFonts w:ascii="Lato" w:hAnsi="Lato" w:cs="Arial"/>
          <w:spacing w:val="4"/>
        </w:rPr>
        <w:t>t.j</w:t>
      </w:r>
      <w:proofErr w:type="spellEnd"/>
      <w:r w:rsidRPr="00A868F0">
        <w:rPr>
          <w:rFonts w:ascii="Lato" w:hAnsi="Lato" w:cs="Arial"/>
          <w:spacing w:val="4"/>
        </w:rPr>
        <w:t>. Dz. U. z 202</w:t>
      </w:r>
      <w:r w:rsidR="00BA7890" w:rsidRPr="00A868F0">
        <w:rPr>
          <w:rFonts w:ascii="Lato" w:hAnsi="Lato" w:cs="Arial"/>
          <w:spacing w:val="4"/>
        </w:rPr>
        <w:t>4</w:t>
      </w:r>
      <w:r w:rsidRPr="00A868F0">
        <w:rPr>
          <w:rFonts w:ascii="Lato" w:hAnsi="Lato" w:cs="Arial"/>
          <w:spacing w:val="4"/>
        </w:rPr>
        <w:t xml:space="preserve"> r. poz. </w:t>
      </w:r>
      <w:r w:rsidR="00BA7890" w:rsidRPr="00A868F0">
        <w:rPr>
          <w:rFonts w:ascii="Lato" w:hAnsi="Lato" w:cs="Arial"/>
          <w:spacing w:val="4"/>
        </w:rPr>
        <w:t>935</w:t>
      </w:r>
      <w:r w:rsidRPr="00A868F0">
        <w:rPr>
          <w:rFonts w:ascii="Lato" w:hAnsi="Lato" w:cs="Arial"/>
          <w:spacing w:val="4"/>
        </w:rPr>
        <w:t xml:space="preserve">), zwanej dalej </w:t>
      </w:r>
      <w:r w:rsidRPr="00A868F0">
        <w:rPr>
          <w:rFonts w:ascii="Lato" w:hAnsi="Lato" w:cs="Arial"/>
          <w:i/>
          <w:spacing w:val="4"/>
        </w:rPr>
        <w:t>„</w:t>
      </w:r>
      <w:proofErr w:type="spellStart"/>
      <w:r w:rsidRPr="00A868F0">
        <w:rPr>
          <w:rFonts w:ascii="Lato" w:hAnsi="Lato" w:cs="Arial"/>
          <w:i/>
          <w:spacing w:val="4"/>
        </w:rPr>
        <w:t>ppsa</w:t>
      </w:r>
      <w:proofErr w:type="spellEnd"/>
      <w:r w:rsidRPr="00A868F0">
        <w:rPr>
          <w:rFonts w:ascii="Lato" w:hAnsi="Lato" w:cs="Arial"/>
          <w:i/>
          <w:spacing w:val="4"/>
        </w:rPr>
        <w:t xml:space="preserve">”, </w:t>
      </w:r>
      <w:r w:rsidRPr="00A868F0">
        <w:rPr>
          <w:rFonts w:ascii="Lato" w:hAnsi="Lato" w:cs="Arial"/>
          <w:spacing w:val="4"/>
        </w:rPr>
        <w:t xml:space="preserve">przysługuje skarga do Wojewódzkiego Sądu Administracyjnego </w:t>
      </w:r>
      <w:r w:rsidR="0025730A">
        <w:rPr>
          <w:rFonts w:ascii="Lato" w:hAnsi="Lato" w:cs="Arial"/>
          <w:spacing w:val="4"/>
        </w:rPr>
        <w:br/>
      </w:r>
      <w:r w:rsidRPr="00A868F0">
        <w:rPr>
          <w:rFonts w:ascii="Lato" w:hAnsi="Lato" w:cs="Arial"/>
          <w:spacing w:val="4"/>
        </w:rPr>
        <w:t>Warszawie, wnoszona za pośrednictwem Ministra Rozwoju i Technologii, w terminie 30 dni od dnia doręczenia decyzji.</w:t>
      </w:r>
    </w:p>
    <w:p w14:paraId="36F7A344" w14:textId="553F30AF" w:rsidR="00D51FB5" w:rsidRPr="00A868F0" w:rsidRDefault="003E4FA6" w:rsidP="003E4FA6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A868F0">
        <w:rPr>
          <w:rFonts w:ascii="Lato" w:hAnsi="Lato" w:cs="Arial"/>
          <w:bCs/>
          <w:iCs/>
          <w:spacing w:val="4"/>
          <w:lang w:bidi="pl-PL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A868F0">
        <w:rPr>
          <w:rFonts w:ascii="Lato" w:hAnsi="Lato" w:cs="Arial"/>
          <w:bCs/>
          <w:i/>
          <w:iCs/>
          <w:spacing w:val="4"/>
          <w:lang w:bidi="pl-PL"/>
        </w:rPr>
        <w:t>http://bip.warszawa.wsa.gov.pl</w:t>
      </w:r>
      <w:r w:rsidRPr="00A868F0">
        <w:rPr>
          <w:rFonts w:ascii="Lato" w:hAnsi="Lato" w:cs="Arial"/>
          <w:bCs/>
          <w:iCs/>
          <w:spacing w:val="4"/>
          <w:lang w:bidi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A868F0">
        <w:rPr>
          <w:rFonts w:ascii="Lato" w:hAnsi="Lato" w:cs="Arial"/>
          <w:bCs/>
          <w:i/>
          <w:iCs/>
          <w:spacing w:val="4"/>
          <w:lang w:bidi="pl-PL"/>
        </w:rPr>
        <w:t>ppsa</w:t>
      </w:r>
      <w:proofErr w:type="spellEnd"/>
      <w:r w:rsidRPr="00A868F0">
        <w:rPr>
          <w:rFonts w:ascii="Lato" w:hAnsi="Lato" w:cs="Arial"/>
          <w:bCs/>
          <w:iCs/>
          <w:spacing w:val="4"/>
          <w:lang w:bidi="pl-PL"/>
        </w:rPr>
        <w:t>.</w:t>
      </w:r>
    </w:p>
    <w:p w14:paraId="59A2760B" w14:textId="77777777" w:rsidR="005F7D66" w:rsidRDefault="005F7D66" w:rsidP="005F7D66">
      <w:pPr>
        <w:spacing w:after="120" w:line="240" w:lineRule="exact"/>
        <w:ind w:left="4253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Z upoważnienia</w:t>
      </w:r>
    </w:p>
    <w:p w14:paraId="48975BBD" w14:textId="77777777" w:rsidR="005F7D66" w:rsidRDefault="005F7D66" w:rsidP="005F7D66">
      <w:pPr>
        <w:spacing w:after="120" w:line="240" w:lineRule="exact"/>
        <w:ind w:left="4253"/>
        <w:rPr>
          <w:rFonts w:ascii="Lato" w:hAnsi="Lato"/>
        </w:rPr>
      </w:pPr>
      <w:r>
        <w:rPr>
          <w:rFonts w:ascii="Lato" w:hAnsi="Lato"/>
        </w:rPr>
        <w:t>Marta Maikowska</w:t>
      </w:r>
    </w:p>
    <w:p w14:paraId="71A73008" w14:textId="77777777" w:rsidR="005F7D66" w:rsidRDefault="005F7D66" w:rsidP="005F7D66">
      <w:pPr>
        <w:spacing w:after="120" w:line="240" w:lineRule="exact"/>
        <w:ind w:left="4253"/>
        <w:rPr>
          <w:rFonts w:ascii="Lato" w:hAnsi="Lato"/>
        </w:rPr>
      </w:pPr>
      <w:r>
        <w:rPr>
          <w:rFonts w:ascii="Lato" w:hAnsi="Lato"/>
        </w:rPr>
        <w:t>zastępca dyrektora departamentu</w:t>
      </w:r>
    </w:p>
    <w:p w14:paraId="61D33F87" w14:textId="7B8A6C75" w:rsidR="00200D82" w:rsidRPr="005F7D66" w:rsidRDefault="005F7D66" w:rsidP="005F7D66">
      <w:pPr>
        <w:spacing w:after="120" w:line="240" w:lineRule="exact"/>
        <w:ind w:left="4253"/>
        <w:rPr>
          <w:rFonts w:ascii="Lato" w:hAnsi="Lato"/>
        </w:rPr>
      </w:pPr>
      <w:r>
        <w:rPr>
          <w:rFonts w:ascii="Lato" w:hAnsi="Lato"/>
        </w:rPr>
        <w:t xml:space="preserve">/ kwalifikowany podpis elektroniczny / </w:t>
      </w:r>
    </w:p>
    <w:p w14:paraId="26F5796E" w14:textId="02395210" w:rsidR="00BC018B" w:rsidRPr="00A868F0" w:rsidRDefault="00BC018B" w:rsidP="007A6A7A">
      <w:pPr>
        <w:spacing w:after="240" w:line="240" w:lineRule="exact"/>
        <w:jc w:val="center"/>
        <w:rPr>
          <w:rFonts w:ascii="Lato" w:hAnsi="Lato" w:cstheme="minorHAnsi"/>
          <w:spacing w:val="4"/>
        </w:rPr>
      </w:pPr>
    </w:p>
    <w:sectPr w:rsidR="00BC018B" w:rsidRPr="00A868F0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181D7" w14:textId="77777777" w:rsidR="00546EB5" w:rsidRDefault="00546EB5" w:rsidP="009276B2">
      <w:pPr>
        <w:spacing w:after="0" w:line="240" w:lineRule="auto"/>
      </w:pPr>
      <w:r>
        <w:separator/>
      </w:r>
    </w:p>
  </w:endnote>
  <w:endnote w:type="continuationSeparator" w:id="0">
    <w:p w14:paraId="4E410F35" w14:textId="77777777" w:rsidR="00546EB5" w:rsidRDefault="00546EB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0D6892E-6601-40E0-BC06-A7DDA79EC1C1}"/>
    <w:embedBold r:id="rId2" w:fontKey="{FE5A183D-DE2F-4A72-964E-C36A7699669F}"/>
    <w:embedItalic r:id="rId3" w:fontKey="{DC7F1862-23DC-4AA4-922E-E7054D9B5F3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43776E8-B639-4FC3-9ECE-7FB03F008D09}"/>
    <w:embedBold r:id="rId5" w:fontKey="{2DC205A0-AD7D-428D-9B95-D8B4F6BC5201}"/>
    <w:embedItalic r:id="rId6" w:fontKey="{E2567DC6-C4B1-4D2A-B172-B0C57D58420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7" w:fontKey="{86A91C77-6CFC-4501-AFF3-0FE9C79771F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93143DDD-95EE-41A8-AEB6-627A55E11A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7957008"/>
      <w:docPartObj>
        <w:docPartGallery w:val="Page Numbers (Bottom of Page)"/>
        <w:docPartUnique/>
      </w:docPartObj>
    </w:sdtPr>
    <w:sdtContent>
      <w:p w14:paraId="7EA4DEA2" w14:textId="1B5670C2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A86B01">
          <w:rPr>
            <w:rFonts w:ascii="Lato" w:hAnsi="Lato"/>
            <w:sz w:val="18"/>
            <w:szCs w:val="18"/>
          </w:rPr>
          <w:t>5</w:t>
        </w:r>
        <w:r w:rsidR="00313932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8D4A07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821124"/>
      <w:docPartObj>
        <w:docPartGallery w:val="Page Numbers (Bottom of Page)"/>
        <w:docPartUnique/>
      </w:docPartObj>
    </w:sdtPr>
    <w:sdtContent>
      <w:p w14:paraId="65C9010A" w14:textId="3BA01EF1" w:rsidR="00600F0A" w:rsidRDefault="00600F0A">
        <w:pPr>
          <w:pStyle w:val="Stopka"/>
          <w:jc w:val="center"/>
        </w:pPr>
        <w:r w:rsidRPr="00600F0A">
          <w:rPr>
            <w:rFonts w:ascii="Lato" w:hAnsi="Lato"/>
            <w:sz w:val="18"/>
            <w:szCs w:val="18"/>
          </w:rPr>
          <w:fldChar w:fldCharType="begin"/>
        </w:r>
        <w:r w:rsidRPr="00600F0A">
          <w:rPr>
            <w:rFonts w:ascii="Lato" w:hAnsi="Lato"/>
            <w:sz w:val="18"/>
            <w:szCs w:val="18"/>
          </w:rPr>
          <w:instrText>PAGE   \* MERGEFORMAT</w:instrText>
        </w:r>
        <w:r w:rsidRPr="00600F0A">
          <w:rPr>
            <w:rFonts w:ascii="Lato" w:hAnsi="Lato"/>
            <w:sz w:val="18"/>
            <w:szCs w:val="18"/>
          </w:rPr>
          <w:fldChar w:fldCharType="separate"/>
        </w:r>
        <w:r w:rsidRPr="00600F0A">
          <w:rPr>
            <w:rFonts w:ascii="Lato" w:hAnsi="Lato"/>
            <w:sz w:val="18"/>
            <w:szCs w:val="18"/>
          </w:rPr>
          <w:t>2</w:t>
        </w:r>
        <w:r w:rsidRPr="00600F0A">
          <w:rPr>
            <w:rFonts w:ascii="Lato" w:hAnsi="Lato"/>
            <w:sz w:val="18"/>
            <w:szCs w:val="18"/>
          </w:rPr>
          <w:fldChar w:fldCharType="end"/>
        </w:r>
        <w:r w:rsidRPr="00600F0A">
          <w:rPr>
            <w:rFonts w:ascii="Lato" w:hAnsi="Lato"/>
            <w:sz w:val="18"/>
            <w:szCs w:val="18"/>
          </w:rPr>
          <w:t>(</w:t>
        </w:r>
        <w:r w:rsidR="00A86B01">
          <w:rPr>
            <w:rFonts w:ascii="Lato" w:hAnsi="Lato"/>
            <w:sz w:val="18"/>
            <w:szCs w:val="18"/>
          </w:rPr>
          <w:t>5</w:t>
        </w:r>
        <w:r w:rsidRPr="00600F0A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109BDA0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23092" w14:textId="77777777" w:rsidR="00546EB5" w:rsidRDefault="00546EB5" w:rsidP="009276B2">
      <w:pPr>
        <w:spacing w:after="0" w:line="240" w:lineRule="auto"/>
      </w:pPr>
      <w:r>
        <w:separator/>
      </w:r>
    </w:p>
  </w:footnote>
  <w:footnote w:type="continuationSeparator" w:id="0">
    <w:p w14:paraId="55D58F7A" w14:textId="77777777" w:rsidR="00546EB5" w:rsidRDefault="00546EB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D08AF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96178"/>
    <w:multiLevelType w:val="hybridMultilevel"/>
    <w:tmpl w:val="E7F42672"/>
    <w:lvl w:ilvl="0" w:tplc="5C50D44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C45567"/>
    <w:multiLevelType w:val="hybridMultilevel"/>
    <w:tmpl w:val="14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45ED0"/>
    <w:multiLevelType w:val="hybridMultilevel"/>
    <w:tmpl w:val="1C540FA0"/>
    <w:lvl w:ilvl="0" w:tplc="18049AB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B42A26"/>
    <w:multiLevelType w:val="hybridMultilevel"/>
    <w:tmpl w:val="4C34CA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A6C1A"/>
    <w:multiLevelType w:val="hybridMultilevel"/>
    <w:tmpl w:val="FFE6C41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9290938"/>
    <w:multiLevelType w:val="hybridMultilevel"/>
    <w:tmpl w:val="6712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2683F"/>
    <w:multiLevelType w:val="hybridMultilevel"/>
    <w:tmpl w:val="35EA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773B4"/>
    <w:multiLevelType w:val="hybridMultilevel"/>
    <w:tmpl w:val="5596B1E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21177"/>
    <w:multiLevelType w:val="hybridMultilevel"/>
    <w:tmpl w:val="4A4A7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CF84C4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309CF"/>
    <w:multiLevelType w:val="hybridMultilevel"/>
    <w:tmpl w:val="A0CADA10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88A266D"/>
    <w:multiLevelType w:val="hybridMultilevel"/>
    <w:tmpl w:val="A47A4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9E1D90"/>
    <w:multiLevelType w:val="hybridMultilevel"/>
    <w:tmpl w:val="BD90BD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4"/>
  </w:num>
  <w:num w:numId="3" w16cid:durableId="3154937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210776">
    <w:abstractNumId w:val="10"/>
  </w:num>
  <w:num w:numId="5" w16cid:durableId="1457600862">
    <w:abstractNumId w:val="12"/>
  </w:num>
  <w:num w:numId="6" w16cid:durableId="699277268">
    <w:abstractNumId w:val="2"/>
  </w:num>
  <w:num w:numId="7" w16cid:durableId="5444902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58206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09957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81393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27283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83681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963861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241759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4256190">
    <w:abstractNumId w:val="6"/>
  </w:num>
  <w:num w:numId="16" w16cid:durableId="151071065">
    <w:abstractNumId w:val="18"/>
  </w:num>
  <w:num w:numId="17" w16cid:durableId="1280839918">
    <w:abstractNumId w:val="3"/>
  </w:num>
  <w:num w:numId="18" w16cid:durableId="943078372">
    <w:abstractNumId w:val="1"/>
  </w:num>
  <w:num w:numId="19" w16cid:durableId="597442249">
    <w:abstractNumId w:val="13"/>
  </w:num>
  <w:num w:numId="20" w16cid:durableId="1310133204">
    <w:abstractNumId w:val="0"/>
  </w:num>
  <w:num w:numId="21" w16cid:durableId="326246296">
    <w:abstractNumId w:val="8"/>
  </w:num>
  <w:num w:numId="22" w16cid:durableId="1058045191">
    <w:abstractNumId w:val="11"/>
  </w:num>
  <w:num w:numId="23" w16cid:durableId="1318608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FAD"/>
    <w:rsid w:val="000114E5"/>
    <w:rsid w:val="00017032"/>
    <w:rsid w:val="00022860"/>
    <w:rsid w:val="0002639D"/>
    <w:rsid w:val="00031F38"/>
    <w:rsid w:val="00033AA9"/>
    <w:rsid w:val="0003445B"/>
    <w:rsid w:val="000345DD"/>
    <w:rsid w:val="00035B83"/>
    <w:rsid w:val="000429CA"/>
    <w:rsid w:val="00051165"/>
    <w:rsid w:val="00054185"/>
    <w:rsid w:val="00055F10"/>
    <w:rsid w:val="00056C21"/>
    <w:rsid w:val="000607DE"/>
    <w:rsid w:val="0006770B"/>
    <w:rsid w:val="000706AE"/>
    <w:rsid w:val="00071F13"/>
    <w:rsid w:val="00080B14"/>
    <w:rsid w:val="00097E37"/>
    <w:rsid w:val="000A51EC"/>
    <w:rsid w:val="000A7C1D"/>
    <w:rsid w:val="000B5BF5"/>
    <w:rsid w:val="000C1975"/>
    <w:rsid w:val="000C25E1"/>
    <w:rsid w:val="000C2F44"/>
    <w:rsid w:val="000C5042"/>
    <w:rsid w:val="000F3923"/>
    <w:rsid w:val="00100315"/>
    <w:rsid w:val="001038DE"/>
    <w:rsid w:val="001058A1"/>
    <w:rsid w:val="00113528"/>
    <w:rsid w:val="00115EDA"/>
    <w:rsid w:val="00121DCE"/>
    <w:rsid w:val="0012214A"/>
    <w:rsid w:val="001236B0"/>
    <w:rsid w:val="001303BB"/>
    <w:rsid w:val="0013158C"/>
    <w:rsid w:val="0013210D"/>
    <w:rsid w:val="00136ACA"/>
    <w:rsid w:val="00141D51"/>
    <w:rsid w:val="00165ECD"/>
    <w:rsid w:val="00166A88"/>
    <w:rsid w:val="00167630"/>
    <w:rsid w:val="00171B11"/>
    <w:rsid w:val="001731B4"/>
    <w:rsid w:val="00183B62"/>
    <w:rsid w:val="001A1F4A"/>
    <w:rsid w:val="001B3786"/>
    <w:rsid w:val="001B70EB"/>
    <w:rsid w:val="001B7D0B"/>
    <w:rsid w:val="001C622F"/>
    <w:rsid w:val="001D0E4F"/>
    <w:rsid w:val="001E4DC5"/>
    <w:rsid w:val="001F253C"/>
    <w:rsid w:val="001F312E"/>
    <w:rsid w:val="001F47D7"/>
    <w:rsid w:val="001F57CD"/>
    <w:rsid w:val="001F6B96"/>
    <w:rsid w:val="001F6CDD"/>
    <w:rsid w:val="00200D82"/>
    <w:rsid w:val="002130E3"/>
    <w:rsid w:val="002239CF"/>
    <w:rsid w:val="0022467F"/>
    <w:rsid w:val="00227D24"/>
    <w:rsid w:val="00231A7E"/>
    <w:rsid w:val="00232ECC"/>
    <w:rsid w:val="00244AD4"/>
    <w:rsid w:val="00252D85"/>
    <w:rsid w:val="002533A4"/>
    <w:rsid w:val="0025730A"/>
    <w:rsid w:val="00263071"/>
    <w:rsid w:val="00274D44"/>
    <w:rsid w:val="002768DA"/>
    <w:rsid w:val="002830CF"/>
    <w:rsid w:val="0028580B"/>
    <w:rsid w:val="00292173"/>
    <w:rsid w:val="002940B6"/>
    <w:rsid w:val="00294A5C"/>
    <w:rsid w:val="002B4499"/>
    <w:rsid w:val="002B63DD"/>
    <w:rsid w:val="002B7A7F"/>
    <w:rsid w:val="002C14C7"/>
    <w:rsid w:val="002D31D8"/>
    <w:rsid w:val="002D5E02"/>
    <w:rsid w:val="002E0582"/>
    <w:rsid w:val="002E0C9D"/>
    <w:rsid w:val="002E0F5C"/>
    <w:rsid w:val="002E5860"/>
    <w:rsid w:val="002E6183"/>
    <w:rsid w:val="002F3740"/>
    <w:rsid w:val="003032E7"/>
    <w:rsid w:val="00304E58"/>
    <w:rsid w:val="00305DD9"/>
    <w:rsid w:val="00313932"/>
    <w:rsid w:val="003140BD"/>
    <w:rsid w:val="00317674"/>
    <w:rsid w:val="00324DE0"/>
    <w:rsid w:val="00325056"/>
    <w:rsid w:val="00326EFE"/>
    <w:rsid w:val="00327A17"/>
    <w:rsid w:val="003309D3"/>
    <w:rsid w:val="0033359C"/>
    <w:rsid w:val="00343A14"/>
    <w:rsid w:val="00356175"/>
    <w:rsid w:val="00362CAD"/>
    <w:rsid w:val="00364993"/>
    <w:rsid w:val="00364EEE"/>
    <w:rsid w:val="00370767"/>
    <w:rsid w:val="00380757"/>
    <w:rsid w:val="003814B1"/>
    <w:rsid w:val="003A1976"/>
    <w:rsid w:val="003A2F19"/>
    <w:rsid w:val="003A450C"/>
    <w:rsid w:val="003A5397"/>
    <w:rsid w:val="003B7ADF"/>
    <w:rsid w:val="003C0D47"/>
    <w:rsid w:val="003C123B"/>
    <w:rsid w:val="003C35AB"/>
    <w:rsid w:val="003C61EF"/>
    <w:rsid w:val="003D1E70"/>
    <w:rsid w:val="003D2AD6"/>
    <w:rsid w:val="003D3C70"/>
    <w:rsid w:val="003D5C4D"/>
    <w:rsid w:val="003E26D0"/>
    <w:rsid w:val="003E4FA6"/>
    <w:rsid w:val="003E630A"/>
    <w:rsid w:val="003F01CA"/>
    <w:rsid w:val="003F0446"/>
    <w:rsid w:val="003F2EA3"/>
    <w:rsid w:val="003F5A34"/>
    <w:rsid w:val="003F728C"/>
    <w:rsid w:val="00402735"/>
    <w:rsid w:val="00405AE4"/>
    <w:rsid w:val="004116FD"/>
    <w:rsid w:val="004162B7"/>
    <w:rsid w:val="004166A1"/>
    <w:rsid w:val="00416FAC"/>
    <w:rsid w:val="00417630"/>
    <w:rsid w:val="00422330"/>
    <w:rsid w:val="0043653C"/>
    <w:rsid w:val="00436641"/>
    <w:rsid w:val="004425AC"/>
    <w:rsid w:val="00443FB2"/>
    <w:rsid w:val="0045592B"/>
    <w:rsid w:val="00467DDE"/>
    <w:rsid w:val="00467EEC"/>
    <w:rsid w:val="00471E88"/>
    <w:rsid w:val="004744CD"/>
    <w:rsid w:val="00475A9A"/>
    <w:rsid w:val="004873FA"/>
    <w:rsid w:val="0048750D"/>
    <w:rsid w:val="0048772C"/>
    <w:rsid w:val="004A2223"/>
    <w:rsid w:val="004B174B"/>
    <w:rsid w:val="004C4798"/>
    <w:rsid w:val="004D3F97"/>
    <w:rsid w:val="004E7646"/>
    <w:rsid w:val="004F4504"/>
    <w:rsid w:val="004F5D02"/>
    <w:rsid w:val="00504B3E"/>
    <w:rsid w:val="00517BDF"/>
    <w:rsid w:val="00520327"/>
    <w:rsid w:val="00521ACB"/>
    <w:rsid w:val="00532A1D"/>
    <w:rsid w:val="00535963"/>
    <w:rsid w:val="00546EB5"/>
    <w:rsid w:val="00551FED"/>
    <w:rsid w:val="00557D28"/>
    <w:rsid w:val="00562328"/>
    <w:rsid w:val="00564614"/>
    <w:rsid w:val="005653C3"/>
    <w:rsid w:val="00565D32"/>
    <w:rsid w:val="005741E2"/>
    <w:rsid w:val="005765E0"/>
    <w:rsid w:val="00580155"/>
    <w:rsid w:val="0058249F"/>
    <w:rsid w:val="00584CC7"/>
    <w:rsid w:val="00590C4E"/>
    <w:rsid w:val="0059434A"/>
    <w:rsid w:val="005B1469"/>
    <w:rsid w:val="005B4889"/>
    <w:rsid w:val="005B5455"/>
    <w:rsid w:val="005C1F27"/>
    <w:rsid w:val="005C2C60"/>
    <w:rsid w:val="005C2D94"/>
    <w:rsid w:val="005C3A66"/>
    <w:rsid w:val="005C5491"/>
    <w:rsid w:val="005C5510"/>
    <w:rsid w:val="005D01A8"/>
    <w:rsid w:val="005D58C2"/>
    <w:rsid w:val="005D73A3"/>
    <w:rsid w:val="005E56C6"/>
    <w:rsid w:val="005E6853"/>
    <w:rsid w:val="005F0DC7"/>
    <w:rsid w:val="005F1080"/>
    <w:rsid w:val="005F61F4"/>
    <w:rsid w:val="005F7D66"/>
    <w:rsid w:val="00600F0A"/>
    <w:rsid w:val="006021CA"/>
    <w:rsid w:val="00610C13"/>
    <w:rsid w:val="0061163A"/>
    <w:rsid w:val="0061227C"/>
    <w:rsid w:val="00617A41"/>
    <w:rsid w:val="00625B62"/>
    <w:rsid w:val="00625E3E"/>
    <w:rsid w:val="00632D11"/>
    <w:rsid w:val="006410DE"/>
    <w:rsid w:val="006422AD"/>
    <w:rsid w:val="00646FE4"/>
    <w:rsid w:val="0064778F"/>
    <w:rsid w:val="00647AF4"/>
    <w:rsid w:val="00653764"/>
    <w:rsid w:val="00661FA4"/>
    <w:rsid w:val="00662E3B"/>
    <w:rsid w:val="00662E44"/>
    <w:rsid w:val="006630AB"/>
    <w:rsid w:val="00673592"/>
    <w:rsid w:val="00673779"/>
    <w:rsid w:val="00673E82"/>
    <w:rsid w:val="00680BEB"/>
    <w:rsid w:val="00682C94"/>
    <w:rsid w:val="00686ABA"/>
    <w:rsid w:val="0068706C"/>
    <w:rsid w:val="00694C5B"/>
    <w:rsid w:val="006A5438"/>
    <w:rsid w:val="006B0C87"/>
    <w:rsid w:val="006B54F6"/>
    <w:rsid w:val="006B616E"/>
    <w:rsid w:val="006B6D37"/>
    <w:rsid w:val="006D2B46"/>
    <w:rsid w:val="006E0140"/>
    <w:rsid w:val="006E5844"/>
    <w:rsid w:val="007011CE"/>
    <w:rsid w:val="0070631E"/>
    <w:rsid w:val="0071137B"/>
    <w:rsid w:val="00716214"/>
    <w:rsid w:val="00721082"/>
    <w:rsid w:val="007229AF"/>
    <w:rsid w:val="00736E0B"/>
    <w:rsid w:val="007475AB"/>
    <w:rsid w:val="00752A0E"/>
    <w:rsid w:val="007704FF"/>
    <w:rsid w:val="00773F53"/>
    <w:rsid w:val="007828F9"/>
    <w:rsid w:val="0078499F"/>
    <w:rsid w:val="00791592"/>
    <w:rsid w:val="007925C9"/>
    <w:rsid w:val="00797577"/>
    <w:rsid w:val="007A192F"/>
    <w:rsid w:val="007A2D11"/>
    <w:rsid w:val="007A3F84"/>
    <w:rsid w:val="007A6A7A"/>
    <w:rsid w:val="007A6A93"/>
    <w:rsid w:val="007A73E3"/>
    <w:rsid w:val="007A7DF9"/>
    <w:rsid w:val="007B1451"/>
    <w:rsid w:val="007C0044"/>
    <w:rsid w:val="007C678D"/>
    <w:rsid w:val="007D0039"/>
    <w:rsid w:val="007D1BA9"/>
    <w:rsid w:val="007D2BC8"/>
    <w:rsid w:val="007D6127"/>
    <w:rsid w:val="007E61CC"/>
    <w:rsid w:val="007F5542"/>
    <w:rsid w:val="00801074"/>
    <w:rsid w:val="00805BC8"/>
    <w:rsid w:val="00814EB8"/>
    <w:rsid w:val="008223A3"/>
    <w:rsid w:val="008267F3"/>
    <w:rsid w:val="00862279"/>
    <w:rsid w:val="00874807"/>
    <w:rsid w:val="00875D28"/>
    <w:rsid w:val="00877181"/>
    <w:rsid w:val="0088269F"/>
    <w:rsid w:val="008A12EA"/>
    <w:rsid w:val="008A7422"/>
    <w:rsid w:val="008B10E0"/>
    <w:rsid w:val="008B3D4A"/>
    <w:rsid w:val="008B4F33"/>
    <w:rsid w:val="008D3EAC"/>
    <w:rsid w:val="008D557C"/>
    <w:rsid w:val="008E1788"/>
    <w:rsid w:val="008F517F"/>
    <w:rsid w:val="008F7FB6"/>
    <w:rsid w:val="00903E14"/>
    <w:rsid w:val="00914F67"/>
    <w:rsid w:val="00915829"/>
    <w:rsid w:val="00926D2E"/>
    <w:rsid w:val="009276B2"/>
    <w:rsid w:val="00927CD4"/>
    <w:rsid w:val="00935256"/>
    <w:rsid w:val="0093525C"/>
    <w:rsid w:val="009352D1"/>
    <w:rsid w:val="009353A9"/>
    <w:rsid w:val="00935CD0"/>
    <w:rsid w:val="00946407"/>
    <w:rsid w:val="00947F4D"/>
    <w:rsid w:val="00950B85"/>
    <w:rsid w:val="00950C0B"/>
    <w:rsid w:val="00951DC7"/>
    <w:rsid w:val="00952BA0"/>
    <w:rsid w:val="009623AD"/>
    <w:rsid w:val="0096788A"/>
    <w:rsid w:val="00974019"/>
    <w:rsid w:val="00975E1D"/>
    <w:rsid w:val="009873F7"/>
    <w:rsid w:val="009A22A0"/>
    <w:rsid w:val="009A597E"/>
    <w:rsid w:val="009C267C"/>
    <w:rsid w:val="009E4D4B"/>
    <w:rsid w:val="009E6AB9"/>
    <w:rsid w:val="009E7525"/>
    <w:rsid w:val="00A03FD2"/>
    <w:rsid w:val="00A04A9D"/>
    <w:rsid w:val="00A05A09"/>
    <w:rsid w:val="00A06D8E"/>
    <w:rsid w:val="00A16E2F"/>
    <w:rsid w:val="00A2588A"/>
    <w:rsid w:val="00A262FB"/>
    <w:rsid w:val="00A33B4E"/>
    <w:rsid w:val="00A370F4"/>
    <w:rsid w:val="00A41124"/>
    <w:rsid w:val="00A41565"/>
    <w:rsid w:val="00A45734"/>
    <w:rsid w:val="00A50D34"/>
    <w:rsid w:val="00A56078"/>
    <w:rsid w:val="00A6674A"/>
    <w:rsid w:val="00A67776"/>
    <w:rsid w:val="00A7098C"/>
    <w:rsid w:val="00A74D09"/>
    <w:rsid w:val="00A76908"/>
    <w:rsid w:val="00A8111C"/>
    <w:rsid w:val="00A84AF8"/>
    <w:rsid w:val="00A85465"/>
    <w:rsid w:val="00A868F0"/>
    <w:rsid w:val="00A86B01"/>
    <w:rsid w:val="00AA2A35"/>
    <w:rsid w:val="00AA667A"/>
    <w:rsid w:val="00AA72AD"/>
    <w:rsid w:val="00AC58D7"/>
    <w:rsid w:val="00AD5D73"/>
    <w:rsid w:val="00AD6984"/>
    <w:rsid w:val="00AE3C68"/>
    <w:rsid w:val="00AE6415"/>
    <w:rsid w:val="00B02E27"/>
    <w:rsid w:val="00B03A5F"/>
    <w:rsid w:val="00B06E81"/>
    <w:rsid w:val="00B07038"/>
    <w:rsid w:val="00B20AD8"/>
    <w:rsid w:val="00B3267F"/>
    <w:rsid w:val="00B36262"/>
    <w:rsid w:val="00B45055"/>
    <w:rsid w:val="00B461DA"/>
    <w:rsid w:val="00B60F1F"/>
    <w:rsid w:val="00B614CB"/>
    <w:rsid w:val="00B62651"/>
    <w:rsid w:val="00B64518"/>
    <w:rsid w:val="00B72426"/>
    <w:rsid w:val="00B810AC"/>
    <w:rsid w:val="00B84D3E"/>
    <w:rsid w:val="00B872B6"/>
    <w:rsid w:val="00B87744"/>
    <w:rsid w:val="00B96DFB"/>
    <w:rsid w:val="00BA0BEF"/>
    <w:rsid w:val="00BA3DB5"/>
    <w:rsid w:val="00BA477B"/>
    <w:rsid w:val="00BA7890"/>
    <w:rsid w:val="00BC018B"/>
    <w:rsid w:val="00BD1152"/>
    <w:rsid w:val="00BD1CB4"/>
    <w:rsid w:val="00BD692B"/>
    <w:rsid w:val="00BD6E8E"/>
    <w:rsid w:val="00BE6444"/>
    <w:rsid w:val="00C053C4"/>
    <w:rsid w:val="00C1022E"/>
    <w:rsid w:val="00C2061A"/>
    <w:rsid w:val="00C24D57"/>
    <w:rsid w:val="00C26BB4"/>
    <w:rsid w:val="00C2735F"/>
    <w:rsid w:val="00C300F2"/>
    <w:rsid w:val="00C33695"/>
    <w:rsid w:val="00C3619A"/>
    <w:rsid w:val="00C44F50"/>
    <w:rsid w:val="00C52239"/>
    <w:rsid w:val="00C53987"/>
    <w:rsid w:val="00C60349"/>
    <w:rsid w:val="00C608B3"/>
    <w:rsid w:val="00C63AA8"/>
    <w:rsid w:val="00C658A9"/>
    <w:rsid w:val="00C77B36"/>
    <w:rsid w:val="00C8064A"/>
    <w:rsid w:val="00C85D56"/>
    <w:rsid w:val="00C87576"/>
    <w:rsid w:val="00C94743"/>
    <w:rsid w:val="00CA1779"/>
    <w:rsid w:val="00CB37AA"/>
    <w:rsid w:val="00CB55C1"/>
    <w:rsid w:val="00CC69CD"/>
    <w:rsid w:val="00CD3FA2"/>
    <w:rsid w:val="00CF1D4C"/>
    <w:rsid w:val="00CF21C3"/>
    <w:rsid w:val="00CF75DD"/>
    <w:rsid w:val="00D11763"/>
    <w:rsid w:val="00D132C0"/>
    <w:rsid w:val="00D13D86"/>
    <w:rsid w:val="00D1401A"/>
    <w:rsid w:val="00D1547D"/>
    <w:rsid w:val="00D2621E"/>
    <w:rsid w:val="00D27F31"/>
    <w:rsid w:val="00D3227E"/>
    <w:rsid w:val="00D32697"/>
    <w:rsid w:val="00D36F7B"/>
    <w:rsid w:val="00D50422"/>
    <w:rsid w:val="00D51D51"/>
    <w:rsid w:val="00D51FB5"/>
    <w:rsid w:val="00D540AD"/>
    <w:rsid w:val="00D55AD4"/>
    <w:rsid w:val="00D61726"/>
    <w:rsid w:val="00D64D58"/>
    <w:rsid w:val="00D711B0"/>
    <w:rsid w:val="00D723B5"/>
    <w:rsid w:val="00D73437"/>
    <w:rsid w:val="00D74441"/>
    <w:rsid w:val="00D95918"/>
    <w:rsid w:val="00DA1157"/>
    <w:rsid w:val="00DA46CC"/>
    <w:rsid w:val="00DA4CA8"/>
    <w:rsid w:val="00DB56EB"/>
    <w:rsid w:val="00DB7121"/>
    <w:rsid w:val="00DE1C93"/>
    <w:rsid w:val="00DE74E8"/>
    <w:rsid w:val="00DF1194"/>
    <w:rsid w:val="00DF24EA"/>
    <w:rsid w:val="00DF34D7"/>
    <w:rsid w:val="00E04982"/>
    <w:rsid w:val="00E10558"/>
    <w:rsid w:val="00E138B3"/>
    <w:rsid w:val="00E2029E"/>
    <w:rsid w:val="00E2225D"/>
    <w:rsid w:val="00E23F79"/>
    <w:rsid w:val="00E261C7"/>
    <w:rsid w:val="00E3400A"/>
    <w:rsid w:val="00E349F4"/>
    <w:rsid w:val="00E359B8"/>
    <w:rsid w:val="00E42426"/>
    <w:rsid w:val="00E43031"/>
    <w:rsid w:val="00E4359B"/>
    <w:rsid w:val="00E54240"/>
    <w:rsid w:val="00E55E00"/>
    <w:rsid w:val="00E608D5"/>
    <w:rsid w:val="00E61D90"/>
    <w:rsid w:val="00E66BE8"/>
    <w:rsid w:val="00E967F0"/>
    <w:rsid w:val="00EA48FD"/>
    <w:rsid w:val="00EA5223"/>
    <w:rsid w:val="00EA6FBC"/>
    <w:rsid w:val="00EB1035"/>
    <w:rsid w:val="00EB2F5D"/>
    <w:rsid w:val="00EB4EA7"/>
    <w:rsid w:val="00ED49CC"/>
    <w:rsid w:val="00EE0511"/>
    <w:rsid w:val="00EE34A9"/>
    <w:rsid w:val="00EE7B5F"/>
    <w:rsid w:val="00EF389D"/>
    <w:rsid w:val="00EF7956"/>
    <w:rsid w:val="00EF7D06"/>
    <w:rsid w:val="00F0152C"/>
    <w:rsid w:val="00F05081"/>
    <w:rsid w:val="00F05F16"/>
    <w:rsid w:val="00F12AB5"/>
    <w:rsid w:val="00F13890"/>
    <w:rsid w:val="00F23623"/>
    <w:rsid w:val="00F321F5"/>
    <w:rsid w:val="00F322CE"/>
    <w:rsid w:val="00F40743"/>
    <w:rsid w:val="00F60C83"/>
    <w:rsid w:val="00F67BA9"/>
    <w:rsid w:val="00F7526C"/>
    <w:rsid w:val="00F80AC2"/>
    <w:rsid w:val="00F84440"/>
    <w:rsid w:val="00F86B14"/>
    <w:rsid w:val="00F93517"/>
    <w:rsid w:val="00F93D58"/>
    <w:rsid w:val="00F963BB"/>
    <w:rsid w:val="00FA6BD4"/>
    <w:rsid w:val="00FA76E5"/>
    <w:rsid w:val="00FB2C42"/>
    <w:rsid w:val="00FB53DB"/>
    <w:rsid w:val="00FB6C32"/>
    <w:rsid w:val="00FB7754"/>
    <w:rsid w:val="00FC113A"/>
    <w:rsid w:val="00FC66CB"/>
    <w:rsid w:val="00FC74E2"/>
    <w:rsid w:val="00FD234C"/>
    <w:rsid w:val="00FE033F"/>
    <w:rsid w:val="00FF5903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B614C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B614CB"/>
    <w:rPr>
      <w:rFonts w:ascii="Arial" w:eastAsia="Times New Roman" w:hAnsi="Arial" w:cs="Times New Roman"/>
      <w:sz w:val="20"/>
      <w:szCs w:val="24"/>
      <w:lang w:eastAsia="pl-PL"/>
    </w:rPr>
  </w:style>
  <w:style w:type="paragraph" w:styleId="Bezodstpw">
    <w:name w:val="No Spacing"/>
    <w:uiPriority w:val="1"/>
    <w:qFormat/>
    <w:rsid w:val="00DF34D7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27D2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03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3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3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3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327"/>
    <w:rPr>
      <w:b/>
      <w:bCs/>
      <w:sz w:val="20"/>
      <w:szCs w:val="20"/>
    </w:rPr>
  </w:style>
  <w:style w:type="character" w:customStyle="1" w:styleId="Teksttreci3">
    <w:name w:val="Tekst treści (3)_"/>
    <w:link w:val="Teksttreci30"/>
    <w:rsid w:val="00136AC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6ACA"/>
    <w:pPr>
      <w:widowControl w:val="0"/>
      <w:shd w:val="clear" w:color="auto" w:fill="FFFFFF"/>
      <w:spacing w:after="60" w:line="0" w:lineRule="atLeast"/>
      <w:ind w:hanging="360"/>
      <w:jc w:val="center"/>
    </w:pPr>
    <w:rPr>
      <w:rFonts w:ascii="Arial" w:eastAsia="Arial" w:hAnsi="Arial" w:cs="Arial"/>
      <w:b/>
      <w:bCs/>
    </w:rPr>
  </w:style>
  <w:style w:type="paragraph" w:styleId="Listapunktowana">
    <w:name w:val="List Bullet"/>
    <w:basedOn w:val="Normalny"/>
    <w:uiPriority w:val="99"/>
    <w:unhideWhenUsed/>
    <w:rsid w:val="000A7C1D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njsgezd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ojxg43dqltqmfyc4njqgizdqnjxgy&amp;refSource=hyp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1858</Words>
  <Characters>11152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14</cp:revision>
  <cp:lastPrinted>2023-06-22T08:20:00Z</cp:lastPrinted>
  <dcterms:created xsi:type="dcterms:W3CDTF">2024-08-22T12:15:00Z</dcterms:created>
  <dcterms:modified xsi:type="dcterms:W3CDTF">2024-10-09T09:02:00Z</dcterms:modified>
</cp:coreProperties>
</file>