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2.4.0 -->
  <w:body>
    <w:p w:rsidR="00A77B3E">
      <w:pPr>
        <w:spacing w:line="240" w:lineRule="auto"/>
        <w:ind w:left="0"/>
        <w:jc w:val="center"/>
        <w:rPr>
          <w:rFonts w:ascii="Times New Roman" w:eastAsia="Times New Roman" w:hAnsi="Times New Roman" w:cs="Times New Roman"/>
          <w:b/>
          <w:caps/>
          <w:sz w:val="24"/>
        </w:rPr>
      </w:pPr>
      <w:r>
        <w:rPr>
          <w:rFonts w:ascii="Times New Roman" w:eastAsia="Times New Roman" w:hAnsi="Times New Roman" w:cs="Times New Roman"/>
          <w:b/>
          <w:caps/>
          <w:sz w:val="24"/>
        </w:rPr>
        <w:t>Zarządzenie</w:t>
      </w:r>
      <w:r>
        <w:rPr>
          <w:rFonts w:ascii="Times New Roman" w:eastAsia="Times New Roman" w:hAnsi="Times New Roman" w:cs="Times New Roman"/>
          <w:b/>
          <w:caps/>
          <w:sz w:val="24"/>
        </w:rPr>
        <w:br/>
      </w:r>
      <w:r>
        <w:rPr>
          <w:rFonts w:ascii="Times New Roman" w:eastAsia="Times New Roman" w:hAnsi="Times New Roman" w:cs="Times New Roman"/>
          <w:b/>
          <w:caps/>
          <w:sz w:val="24"/>
        </w:rPr>
        <w:t>Regionalnego Dyrektora Ochrony Środowiska w Bydgoszczy</w:t>
      </w:r>
    </w:p>
    <w:p w:rsidR="00A77B3E">
      <w:pPr>
        <w:spacing w:before="280" w:after="280" w:line="240" w:lineRule="auto"/>
        <w:ind w:left="0"/>
        <w:jc w:val="center"/>
        <w:rPr>
          <w:rFonts w:ascii="Times New Roman" w:eastAsia="Times New Roman" w:hAnsi="Times New Roman" w:cs="Times New Roman"/>
          <w:b/>
          <w:caps/>
          <w:sz w:val="24"/>
        </w:rPr>
      </w:pPr>
      <w:r>
        <w:rPr>
          <w:rFonts w:ascii="Times New Roman" w:eastAsia="Times New Roman" w:hAnsi="Times New Roman" w:cs="Times New Roman"/>
          <w:b w:val="0"/>
          <w:caps w:val="0"/>
          <w:sz w:val="24"/>
        </w:rPr>
        <w:t>z dnia 20 grudnia 2024 r.</w:t>
      </w:r>
    </w:p>
    <w:p w:rsidR="00A77B3E">
      <w:pPr>
        <w:spacing w:before="280" w:after="280" w:line="240" w:lineRule="auto"/>
        <w:ind w:left="0"/>
        <w:jc w:val="center"/>
        <w:rPr>
          <w:rFonts w:ascii="Times New Roman" w:eastAsia="Times New Roman" w:hAnsi="Times New Roman" w:cs="Times New Roman"/>
          <w:b w:val="0"/>
          <w:caps w:val="0"/>
          <w:sz w:val="22"/>
        </w:rPr>
      </w:pPr>
    </w:p>
    <w:p w:rsidR="00A77B3E">
      <w:pPr>
        <w:keepNext/>
        <w:spacing w:before="0" w:after="480" w:line="240" w:lineRule="auto"/>
        <w:ind w:left="0" w:right="0" w:firstLine="0"/>
        <w:jc w:val="center"/>
        <w:rPr>
          <w:rFonts w:ascii="Times New Roman" w:eastAsia="Times New Roman" w:hAnsi="Times New Roman" w:cs="Times New Roman"/>
          <w:b w:val="0"/>
          <w:caps w:val="0"/>
          <w:strike w:val="0"/>
          <w:color w:val="auto"/>
          <w:sz w:val="24"/>
          <w:u w:val="none"/>
        </w:rPr>
      </w:pPr>
      <w:r>
        <w:rPr>
          <w:rFonts w:ascii="Times New Roman" w:eastAsia="Times New Roman" w:hAnsi="Times New Roman" w:cs="Times New Roman"/>
          <w:b/>
          <w:caps w:val="0"/>
          <w:sz w:val="24"/>
        </w:rPr>
        <w:t>w sprawie uznania za rezerwat przyrody „Bruchniewska Ostoja”</w:t>
      </w:r>
    </w:p>
    <w:p w:rsidR="00A77B3E">
      <w:pPr>
        <w:keepNext w:val="0"/>
        <w:keepLines/>
        <w:spacing w:before="120" w:after="120" w:line="240" w:lineRule="auto"/>
        <w:ind w:left="0" w:right="0" w:firstLine="227"/>
        <w:jc w:val="both"/>
        <w:rPr>
          <w:rFonts w:ascii="Times New Roman" w:eastAsia="Times New Roman" w:hAnsi="Times New Roman" w:cs="Times New Roman"/>
          <w:b w:val="0"/>
          <w:caps w:val="0"/>
          <w:strike w:val="0"/>
          <w:color w:val="auto"/>
          <w:sz w:val="24"/>
          <w:u w:val="none"/>
        </w:rPr>
      </w:pPr>
      <w:r>
        <w:rPr>
          <w:rFonts w:ascii="Times New Roman" w:eastAsia="Times New Roman" w:hAnsi="Times New Roman" w:cs="Times New Roman"/>
          <w:b w:val="0"/>
          <w:caps w:val="0"/>
          <w:strike w:val="0"/>
          <w:color w:val="auto"/>
          <w:sz w:val="24"/>
          <w:u w:val="none"/>
        </w:rPr>
        <w:t>Na podstawie art.</w:t>
      </w:r>
      <w:r>
        <w:rPr>
          <w:rFonts w:ascii="Times New Roman" w:eastAsia="Times New Roman" w:hAnsi="Times New Roman" w:cs="Times New Roman"/>
          <w:b w:val="0"/>
          <w:caps w:val="0"/>
          <w:strike w:val="0"/>
          <w:color w:val="auto"/>
          <w:sz w:val="24"/>
          <w:u w:val="none"/>
        </w:rPr>
        <w:t> </w:t>
      </w:r>
      <w:r>
        <w:rPr>
          <w:rFonts w:ascii="Times New Roman" w:eastAsia="Times New Roman" w:hAnsi="Times New Roman" w:cs="Times New Roman"/>
          <w:b w:val="0"/>
          <w:caps w:val="0"/>
          <w:strike w:val="0"/>
          <w:color w:val="auto"/>
          <w:sz w:val="24"/>
          <w:u w:val="none"/>
        </w:rPr>
        <w:t>13</w:t>
      </w:r>
      <w:r>
        <w:rPr>
          <w:rFonts w:ascii="Times New Roman" w:eastAsia="Times New Roman" w:hAnsi="Times New Roman" w:cs="Times New Roman"/>
          <w:b w:val="0"/>
          <w:caps w:val="0"/>
          <w:strike w:val="0"/>
          <w:color w:val="auto"/>
          <w:sz w:val="24"/>
          <w:u w:val="none"/>
        </w:rPr>
        <w:t> </w:t>
      </w:r>
      <w:r>
        <w:rPr>
          <w:rFonts w:ascii="Times New Roman" w:eastAsia="Times New Roman" w:hAnsi="Times New Roman" w:cs="Times New Roman"/>
          <w:b w:val="0"/>
          <w:caps w:val="0"/>
          <w:strike w:val="0"/>
          <w:color w:val="auto"/>
          <w:sz w:val="24"/>
          <w:u w:val="none"/>
        </w:rPr>
        <w:t>ust.</w:t>
      </w:r>
      <w:r>
        <w:rPr>
          <w:rFonts w:ascii="Times New Roman" w:eastAsia="Times New Roman" w:hAnsi="Times New Roman" w:cs="Times New Roman"/>
          <w:b w:val="0"/>
          <w:caps w:val="0"/>
          <w:strike w:val="0"/>
          <w:color w:val="auto"/>
          <w:sz w:val="24"/>
          <w:u w:val="none"/>
        </w:rPr>
        <w:t> </w:t>
      </w:r>
      <w:r>
        <w:rPr>
          <w:rFonts w:ascii="Times New Roman" w:eastAsia="Times New Roman" w:hAnsi="Times New Roman" w:cs="Times New Roman"/>
          <w:b w:val="0"/>
          <w:caps w:val="0"/>
          <w:strike w:val="0"/>
          <w:color w:val="auto"/>
          <w:sz w:val="24"/>
          <w:u w:val="none"/>
        </w:rPr>
        <w:t>3</w:t>
      </w:r>
      <w:r>
        <w:rPr>
          <w:rFonts w:ascii="Times New Roman" w:eastAsia="Times New Roman" w:hAnsi="Times New Roman" w:cs="Times New Roman"/>
          <w:b w:val="0"/>
          <w:caps w:val="0"/>
          <w:strike w:val="0"/>
          <w:color w:val="auto"/>
          <w:sz w:val="24"/>
          <w:u w:val="none"/>
        </w:rPr>
        <w:t> </w:t>
      </w:r>
      <w:r>
        <w:rPr>
          <w:rFonts w:ascii="Times New Roman" w:eastAsia="Times New Roman" w:hAnsi="Times New Roman" w:cs="Times New Roman"/>
          <w:b w:val="0"/>
          <w:caps w:val="0"/>
          <w:strike w:val="0"/>
          <w:color w:val="auto"/>
          <w:sz w:val="24"/>
          <w:u w:val="none"/>
        </w:rPr>
        <w:t>ustawy z</w:t>
      </w:r>
      <w:r>
        <w:rPr>
          <w:rFonts w:ascii="Times New Roman" w:eastAsia="Times New Roman" w:hAnsi="Times New Roman" w:cs="Times New Roman"/>
          <w:b w:val="0"/>
          <w:caps w:val="0"/>
          <w:strike w:val="0"/>
          <w:color w:val="auto"/>
          <w:sz w:val="24"/>
          <w:u w:val="none"/>
        </w:rPr>
        <w:t> </w:t>
      </w:r>
      <w:r>
        <w:rPr>
          <w:rFonts w:ascii="Times New Roman" w:eastAsia="Times New Roman" w:hAnsi="Times New Roman" w:cs="Times New Roman"/>
          <w:b w:val="0"/>
          <w:caps w:val="0"/>
          <w:strike w:val="0"/>
          <w:color w:val="auto"/>
          <w:sz w:val="24"/>
          <w:u w:val="none"/>
        </w:rPr>
        <w:t>dnia 16</w:t>
      </w:r>
      <w:r>
        <w:rPr>
          <w:rFonts w:ascii="Times New Roman" w:eastAsia="Times New Roman" w:hAnsi="Times New Roman" w:cs="Times New Roman"/>
          <w:b w:val="0"/>
          <w:caps w:val="0"/>
          <w:strike w:val="0"/>
          <w:color w:val="auto"/>
          <w:sz w:val="24"/>
          <w:u w:val="none"/>
        </w:rPr>
        <w:t> </w:t>
      </w:r>
      <w:r>
        <w:rPr>
          <w:rFonts w:ascii="Times New Roman" w:eastAsia="Times New Roman" w:hAnsi="Times New Roman" w:cs="Times New Roman"/>
          <w:b w:val="0"/>
          <w:caps w:val="0"/>
          <w:strike w:val="0"/>
          <w:color w:val="auto"/>
          <w:sz w:val="24"/>
          <w:u w:val="none"/>
        </w:rPr>
        <w:t>kwietnia 2004</w:t>
      </w:r>
      <w:r>
        <w:rPr>
          <w:rFonts w:ascii="Times New Roman" w:eastAsia="Times New Roman" w:hAnsi="Times New Roman" w:cs="Times New Roman"/>
          <w:b w:val="0"/>
          <w:caps w:val="0"/>
          <w:strike w:val="0"/>
          <w:color w:val="auto"/>
          <w:sz w:val="24"/>
          <w:u w:val="none"/>
        </w:rPr>
        <w:t> </w:t>
      </w:r>
      <w:r>
        <w:rPr>
          <w:rFonts w:ascii="Times New Roman" w:eastAsia="Times New Roman" w:hAnsi="Times New Roman" w:cs="Times New Roman"/>
          <w:b w:val="0"/>
          <w:caps w:val="0"/>
          <w:strike w:val="0"/>
          <w:color w:val="auto"/>
          <w:sz w:val="24"/>
          <w:u w:val="none"/>
        </w:rPr>
        <w:t>roku o</w:t>
      </w:r>
      <w:r>
        <w:rPr>
          <w:rFonts w:ascii="Times New Roman" w:eastAsia="Times New Roman" w:hAnsi="Times New Roman" w:cs="Times New Roman"/>
          <w:b w:val="0"/>
          <w:caps w:val="0"/>
          <w:strike w:val="0"/>
          <w:color w:val="auto"/>
          <w:sz w:val="24"/>
          <w:u w:val="none"/>
        </w:rPr>
        <w:t> </w:t>
      </w:r>
      <w:r>
        <w:rPr>
          <w:rFonts w:ascii="Times New Roman" w:eastAsia="Times New Roman" w:hAnsi="Times New Roman" w:cs="Times New Roman"/>
          <w:b w:val="0"/>
          <w:caps w:val="0"/>
          <w:strike w:val="0"/>
          <w:color w:val="auto"/>
          <w:sz w:val="24"/>
          <w:u w:val="none"/>
        </w:rPr>
        <w:t>ochronie przyrody</w:t>
      </w:r>
      <w:r>
        <w:rPr>
          <w:rFonts w:ascii="Times New Roman" w:eastAsia="Times New Roman" w:hAnsi="Times New Roman" w:cs="Times New Roman"/>
          <w:b w:val="0"/>
          <w:caps w:val="0"/>
          <w:strike w:val="0"/>
          <w:color w:val="auto"/>
          <w:sz w:val="24"/>
          <w:u w:val="none"/>
        </w:rPr>
        <w:br/>
      </w:r>
      <w:r>
        <w:rPr>
          <w:rFonts w:ascii="Times New Roman" w:eastAsia="Times New Roman" w:hAnsi="Times New Roman" w:cs="Times New Roman"/>
          <w:b w:val="0"/>
          <w:caps w:val="0"/>
          <w:strike w:val="0"/>
          <w:color w:val="auto"/>
          <w:sz w:val="24"/>
          <w:u w:val="none"/>
        </w:rPr>
        <w:t>(t.j. Dz. U. z 2024 r. poz. 1478) zarządza się, co następuje:</w:t>
      </w:r>
    </w:p>
    <w:p w:rsidR="00A77B3E">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b/>
          <w:sz w:val="24"/>
        </w:rPr>
        <w:t>§ 1. </w:t>
      </w:r>
      <w:r>
        <w:rPr>
          <w:rFonts w:ascii="Times New Roman" w:eastAsia="Times New Roman" w:hAnsi="Times New Roman" w:cs="Times New Roman"/>
          <w:sz w:val="24"/>
        </w:rPr>
        <w:t>1. </w:t>
      </w:r>
      <w:r>
        <w:rPr>
          <w:rFonts w:ascii="Times New Roman" w:eastAsia="Times New Roman" w:hAnsi="Times New Roman" w:cs="Times New Roman"/>
          <w:b w:val="0"/>
          <w:i w:val="0"/>
          <w:caps w:val="0"/>
          <w:strike w:val="0"/>
          <w:color w:val="auto"/>
          <w:sz w:val="24"/>
          <w:u w:val="none"/>
          <w:vertAlign w:val="baseline"/>
        </w:rPr>
        <w:t xml:space="preserve">Uznaje  się  za  rezerwat  przyrody  pod  nazwą  „Bruchniewska  Ostoja”,  zwany  dalej „rezerwatem”,  obszar  o powierzchni  43,30  ha,  położony  na  terenie  gminy  Lubiewo,  w powiecie tucholskim, w województwie kujawsko-pomorskim. </w:t>
      </w:r>
    </w:p>
    <w:p w:rsidR="00A77B3E">
      <w:pPr>
        <w:keepNext w:val="0"/>
        <w:keepLines/>
        <w:spacing w:before="120" w:after="120" w:line="240" w:lineRule="auto"/>
        <w:ind w:left="0" w:right="0" w:firstLine="340"/>
        <w:jc w:val="left"/>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sz w:val="24"/>
        </w:rPr>
        <w:t>2. </w:t>
      </w:r>
      <w:r>
        <w:rPr>
          <w:rFonts w:ascii="Times New Roman" w:eastAsia="Times New Roman" w:hAnsi="Times New Roman" w:cs="Times New Roman"/>
          <w:b w:val="0"/>
          <w:i w:val="0"/>
          <w:caps w:val="0"/>
          <w:strike w:val="0"/>
          <w:color w:val="000000"/>
          <w:sz w:val="24"/>
          <w:u w:val="none" w:color="000000"/>
          <w:vertAlign w:val="baseline"/>
        </w:rPr>
        <w:t>Na obszarach graniczących z rezerwatem wyznacza się otulinę o powierzchni 32,88 ha, położoną na terenie gminy Lubiewo, w powiecie tucholskim, w województwie kujawsko-pomorskim.</w:t>
      </w:r>
    </w:p>
    <w:p w:rsidR="00A77B3E">
      <w:pPr>
        <w:keepNext w:val="0"/>
        <w:keepLines/>
        <w:spacing w:before="120" w:after="120" w:line="240" w:lineRule="auto"/>
        <w:ind w:left="0" w:right="0" w:firstLine="340"/>
        <w:jc w:val="left"/>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sz w:val="24"/>
        </w:rPr>
        <w:t>3. </w:t>
      </w:r>
      <w:r>
        <w:rPr>
          <w:rFonts w:ascii="Times New Roman" w:eastAsia="Times New Roman" w:hAnsi="Times New Roman" w:cs="Times New Roman"/>
          <w:b w:val="0"/>
          <w:i w:val="0"/>
          <w:caps w:val="0"/>
          <w:strike w:val="0"/>
          <w:color w:val="000000"/>
          <w:sz w:val="24"/>
          <w:u w:val="none" w:color="000000"/>
          <w:vertAlign w:val="baseline"/>
        </w:rPr>
        <w:t>Położenie i przebieg granicy rezerwatu oraz jego otuliny w postaci mapy są określone</w:t>
      </w:r>
      <w:r>
        <w:rPr>
          <w:rFonts w:ascii="Times New Roman" w:eastAsia="Times New Roman" w:hAnsi="Times New Roman" w:cs="Times New Roman"/>
          <w:b w:val="0"/>
          <w:i w:val="0"/>
          <w:caps w:val="0"/>
          <w:strike w:val="0"/>
          <w:color w:val="000000"/>
          <w:sz w:val="24"/>
          <w:u w:val="none" w:color="000000"/>
          <w:vertAlign w:val="baseline"/>
        </w:rPr>
        <w:br/>
      </w:r>
      <w:r>
        <w:rPr>
          <w:rFonts w:ascii="Times New Roman" w:eastAsia="Times New Roman" w:hAnsi="Times New Roman" w:cs="Times New Roman"/>
          <w:b w:val="0"/>
          <w:i w:val="0"/>
          <w:caps w:val="0"/>
          <w:strike w:val="0"/>
          <w:color w:val="000000"/>
          <w:sz w:val="24"/>
          <w:u w:val="none" w:color="000000"/>
          <w:vertAlign w:val="baseline"/>
        </w:rPr>
        <w:t>w załączniku nr 1 do zarządzenia.</w:t>
      </w:r>
    </w:p>
    <w:p w:rsidR="00A77B3E">
      <w:pPr>
        <w:keepNext w:val="0"/>
        <w:keepLines/>
        <w:spacing w:before="120" w:after="120" w:line="240" w:lineRule="auto"/>
        <w:ind w:left="0" w:right="0" w:firstLine="340"/>
        <w:jc w:val="left"/>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sz w:val="24"/>
        </w:rPr>
        <w:t>4. </w:t>
      </w:r>
      <w:r>
        <w:rPr>
          <w:rFonts w:ascii="Times New Roman" w:eastAsia="Times New Roman" w:hAnsi="Times New Roman" w:cs="Times New Roman"/>
          <w:b w:val="0"/>
          <w:i w:val="0"/>
          <w:caps w:val="0"/>
          <w:strike w:val="0"/>
          <w:color w:val="000000"/>
          <w:sz w:val="24"/>
          <w:u w:val="none" w:color="000000"/>
          <w:vertAlign w:val="baseline"/>
        </w:rPr>
        <w:t>Położenie i</w:t>
      </w:r>
      <w:r>
        <w:rPr>
          <w:rFonts w:ascii="Times New Roman" w:eastAsia="Times New Roman" w:hAnsi="Times New Roman" w:cs="Times New Roman"/>
          <w:b w:val="0"/>
          <w:i w:val="0"/>
          <w:caps w:val="0"/>
          <w:strike w:val="0"/>
          <w:color w:val="000000"/>
          <w:sz w:val="24"/>
          <w:u w:val="none" w:color="000000"/>
          <w:vertAlign w:val="baseline"/>
        </w:rPr>
        <w:t> </w:t>
      </w:r>
      <w:r>
        <w:rPr>
          <w:rFonts w:ascii="Times New Roman" w:eastAsia="Times New Roman" w:hAnsi="Times New Roman" w:cs="Times New Roman"/>
          <w:b w:val="0"/>
          <w:i w:val="0"/>
          <w:caps w:val="0"/>
          <w:strike w:val="0"/>
          <w:color w:val="000000"/>
          <w:sz w:val="24"/>
          <w:u w:val="none" w:color="000000"/>
          <w:vertAlign w:val="baseline"/>
        </w:rPr>
        <w:t>przebieg granicy rezerwatu w</w:t>
      </w:r>
      <w:r>
        <w:rPr>
          <w:rFonts w:ascii="Times New Roman" w:eastAsia="Times New Roman" w:hAnsi="Times New Roman" w:cs="Times New Roman"/>
          <w:b w:val="0"/>
          <w:i w:val="0"/>
          <w:caps w:val="0"/>
          <w:strike w:val="0"/>
          <w:color w:val="000000"/>
          <w:sz w:val="24"/>
          <w:u w:val="none" w:color="000000"/>
          <w:vertAlign w:val="baseline"/>
        </w:rPr>
        <w:t> </w:t>
      </w:r>
      <w:r>
        <w:rPr>
          <w:rFonts w:ascii="Times New Roman" w:eastAsia="Times New Roman" w:hAnsi="Times New Roman" w:cs="Times New Roman"/>
          <w:b w:val="0"/>
          <w:i w:val="0"/>
          <w:caps w:val="0"/>
          <w:strike w:val="0"/>
          <w:color w:val="000000"/>
          <w:sz w:val="24"/>
          <w:u w:val="none" w:color="000000"/>
          <w:vertAlign w:val="baseline"/>
        </w:rPr>
        <w:t>postaci wykazu współrzędnych punktów załamania granicy są określone w załączniku nr 2</w:t>
      </w:r>
      <w:r>
        <w:rPr>
          <w:rFonts w:ascii="Times New Roman" w:eastAsia="Times New Roman" w:hAnsi="Times New Roman" w:cs="Times New Roman"/>
          <w:b w:val="0"/>
          <w:i w:val="0"/>
          <w:caps w:val="0"/>
          <w:strike w:val="0"/>
          <w:color w:val="000000"/>
          <w:sz w:val="24"/>
          <w:u w:val="none" w:color="000000"/>
          <w:vertAlign w:val="baseline"/>
        </w:rPr>
        <w:t> </w:t>
      </w:r>
      <w:r>
        <w:rPr>
          <w:rFonts w:ascii="Times New Roman" w:eastAsia="Times New Roman" w:hAnsi="Times New Roman" w:cs="Times New Roman"/>
          <w:b w:val="0"/>
          <w:i w:val="0"/>
          <w:caps w:val="0"/>
          <w:strike w:val="0"/>
          <w:color w:val="000000"/>
          <w:sz w:val="24"/>
          <w:u w:val="none" w:color="000000"/>
          <w:vertAlign w:val="baseline"/>
        </w:rPr>
        <w:t>do zarządzenia.</w:t>
      </w:r>
    </w:p>
    <w:p w:rsidR="00A77B3E">
      <w:pPr>
        <w:keepNext w:val="0"/>
        <w:keepLines/>
        <w:spacing w:before="120" w:after="120" w:line="240" w:lineRule="auto"/>
        <w:ind w:left="0" w:right="0" w:firstLine="340"/>
        <w:jc w:val="left"/>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sz w:val="24"/>
        </w:rPr>
        <w:t>5. </w:t>
      </w:r>
      <w:r>
        <w:rPr>
          <w:rFonts w:ascii="Times New Roman" w:eastAsia="Times New Roman" w:hAnsi="Times New Roman" w:cs="Times New Roman"/>
          <w:b w:val="0"/>
          <w:i w:val="0"/>
          <w:caps w:val="0"/>
          <w:strike w:val="0"/>
          <w:color w:val="000000"/>
          <w:sz w:val="24"/>
          <w:u w:val="none" w:color="000000"/>
          <w:vertAlign w:val="baseline"/>
        </w:rPr>
        <w:t>Położenie i przebieg granicy otuliny rezerwatu w postaci wykazu współrzędnych punktów załamania granicy są określone w załączniku nr 3 do zarządzenia</w:t>
      </w:r>
    </w:p>
    <w:p w:rsidR="00A77B3E">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b/>
          <w:sz w:val="24"/>
        </w:rPr>
        <w:t>§ 2. </w:t>
      </w:r>
      <w:r>
        <w:rPr>
          <w:rFonts w:ascii="Times New Roman" w:eastAsia="Times New Roman" w:hAnsi="Times New Roman" w:cs="Times New Roman"/>
          <w:b w:val="0"/>
          <w:i w:val="0"/>
          <w:caps w:val="0"/>
          <w:strike w:val="0"/>
          <w:color w:val="000000"/>
          <w:sz w:val="24"/>
          <w:u w:val="none" w:color="000000"/>
          <w:vertAlign w:val="baseline"/>
        </w:rPr>
        <w:t>Celem  ochrony  rezerwatu  jest  zachowanie  kompleksu  złożonych  ekosystemów</w:t>
      </w:r>
      <w:r>
        <w:rPr>
          <w:rFonts w:ascii="Times New Roman" w:eastAsia="Times New Roman" w:hAnsi="Times New Roman" w:cs="Times New Roman"/>
          <w:b w:val="0"/>
          <w:i w:val="0"/>
          <w:caps w:val="0"/>
          <w:strike w:val="0"/>
          <w:color w:val="000000"/>
          <w:sz w:val="24"/>
          <w:u w:val="none" w:color="000000"/>
          <w:vertAlign w:val="baseline"/>
        </w:rPr>
        <w:br/>
      </w:r>
      <w:r>
        <w:rPr>
          <w:rFonts w:ascii="Times New Roman" w:eastAsia="Times New Roman" w:hAnsi="Times New Roman" w:cs="Times New Roman"/>
          <w:b w:val="0"/>
          <w:i w:val="0"/>
          <w:caps w:val="0"/>
          <w:strike w:val="0"/>
          <w:color w:val="000000"/>
          <w:sz w:val="24"/>
          <w:u w:val="none" w:color="000000"/>
          <w:vertAlign w:val="baseline"/>
        </w:rPr>
        <w:t>leśnych, stanowiących ostoję zwierząt.</w:t>
      </w:r>
    </w:p>
    <w:p w:rsidR="00A77B3E">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b/>
          <w:sz w:val="24"/>
        </w:rPr>
        <w:t>§ 3. </w:t>
      </w:r>
      <w:r>
        <w:rPr>
          <w:rFonts w:ascii="Times New Roman" w:eastAsia="Times New Roman" w:hAnsi="Times New Roman" w:cs="Times New Roman"/>
          <w:sz w:val="24"/>
        </w:rPr>
        <w:t>1. </w:t>
      </w:r>
      <w:r>
        <w:rPr>
          <w:rFonts w:ascii="Times New Roman" w:eastAsia="Times New Roman" w:hAnsi="Times New Roman" w:cs="Times New Roman"/>
          <w:b w:val="0"/>
          <w:i w:val="0"/>
          <w:caps w:val="0"/>
          <w:strike w:val="0"/>
          <w:color w:val="000000"/>
          <w:sz w:val="24"/>
          <w:u w:val="none" w:color="000000"/>
          <w:vertAlign w:val="baseline"/>
        </w:rPr>
        <w:t>Dla rezerwatu określa się rodzaj - Leśny (L).</w:t>
      </w:r>
    </w:p>
    <w:p w:rsidR="00A77B3E">
      <w:pPr>
        <w:keepNext w:val="0"/>
        <w:keepLines/>
        <w:spacing w:before="120" w:after="120" w:line="240" w:lineRule="auto"/>
        <w:ind w:left="0" w:right="0" w:firstLine="340"/>
        <w:jc w:val="left"/>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sz w:val="24"/>
        </w:rPr>
        <w:t>2. </w:t>
      </w:r>
      <w:r>
        <w:rPr>
          <w:rFonts w:ascii="Times New Roman" w:eastAsia="Times New Roman" w:hAnsi="Times New Roman" w:cs="Times New Roman"/>
          <w:b w:val="0"/>
          <w:i w:val="0"/>
          <w:caps w:val="0"/>
          <w:strike w:val="0"/>
          <w:color w:val="000000"/>
          <w:sz w:val="24"/>
          <w:u w:val="none" w:color="000000"/>
          <w:vertAlign w:val="baseline"/>
        </w:rPr>
        <w:t>Dla rezerwatu określa się typ i podtyp:</w:t>
      </w:r>
    </w:p>
    <w:p w:rsidR="00A77B3E">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sz w:val="24"/>
        </w:rPr>
        <w:t>1) </w:t>
      </w:r>
      <w:r>
        <w:rPr>
          <w:rFonts w:ascii="Times New Roman" w:eastAsia="Times New Roman" w:hAnsi="Times New Roman" w:cs="Times New Roman"/>
          <w:b w:val="0"/>
          <w:i w:val="0"/>
          <w:caps w:val="0"/>
          <w:strike w:val="0"/>
          <w:color w:val="000000"/>
          <w:sz w:val="24"/>
          <w:u w:val="none" w:color="000000"/>
          <w:vertAlign w:val="baseline"/>
        </w:rPr>
        <w:t>ze  względu  na  dominujący  przedmiot  ochrony:  typ  -  Biocenotyczny  i fizjocenotyczny (PBf), podtyp - biocenoz naturalnych i półnaturalnych (bp);</w:t>
      </w:r>
    </w:p>
    <w:p w:rsidR="00A77B3E">
      <w:pPr>
        <w:keepNext w:val="0"/>
        <w:keepLines w:val="0"/>
        <w:spacing w:before="120" w:after="120" w:line="240" w:lineRule="auto"/>
        <w:ind w:left="340" w:right="0" w:hanging="227"/>
        <w:jc w:val="both"/>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sz w:val="24"/>
        </w:rPr>
        <w:t>2) </w:t>
      </w:r>
      <w:r>
        <w:rPr>
          <w:rFonts w:ascii="Times New Roman" w:eastAsia="Times New Roman" w:hAnsi="Times New Roman" w:cs="Times New Roman"/>
          <w:b w:val="0"/>
          <w:i w:val="0"/>
          <w:caps w:val="0"/>
          <w:strike w:val="0"/>
          <w:color w:val="000000"/>
          <w:sz w:val="24"/>
          <w:u w:val="none" w:color="000000"/>
          <w:vertAlign w:val="baseline"/>
        </w:rPr>
        <w:t>ze  względu  na  główny  typ  ekosystemu:  typ  –  Leśny  i borowy  (EL),  podtyp  –  lasów nizinnych (lni). ze względu na główny typ ekosystemu: typ – Różnych ekosystemów (EE), podtyp - mozaiki różnych ekosystemów (me).</w:t>
      </w:r>
    </w:p>
    <w:p w:rsidR="00A77B3E">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b/>
          <w:sz w:val="24"/>
        </w:rPr>
        <w:t>§ 4. </w:t>
      </w:r>
      <w:r>
        <w:rPr>
          <w:rFonts w:ascii="Times New Roman" w:eastAsia="Times New Roman" w:hAnsi="Times New Roman" w:cs="Times New Roman"/>
          <w:b w:val="0"/>
          <w:i w:val="0"/>
          <w:caps w:val="0"/>
          <w:strike w:val="0"/>
          <w:color w:val="000000"/>
          <w:sz w:val="24"/>
          <w:u w:val="none" w:color="000000"/>
          <w:vertAlign w:val="baseline"/>
        </w:rPr>
        <w:t>Nadzór nad rezerwatem sprawuje Regionalny Dyrektor Ochrony Środowiska w</w:t>
      </w:r>
      <w:r>
        <w:rPr>
          <w:rFonts w:ascii="Times New Roman" w:eastAsia="Times New Roman" w:hAnsi="Times New Roman" w:cs="Times New Roman"/>
          <w:b w:val="0"/>
          <w:i w:val="0"/>
          <w:caps w:val="0"/>
          <w:strike w:val="0"/>
          <w:color w:val="000000"/>
          <w:sz w:val="24"/>
          <w:u w:val="none" w:color="000000"/>
          <w:vertAlign w:val="baseline"/>
        </w:rPr>
        <w:t> </w:t>
      </w:r>
      <w:r>
        <w:rPr>
          <w:rFonts w:ascii="Times New Roman" w:eastAsia="Times New Roman" w:hAnsi="Times New Roman" w:cs="Times New Roman"/>
          <w:b w:val="0"/>
          <w:i w:val="0"/>
          <w:caps w:val="0"/>
          <w:strike w:val="0"/>
          <w:color w:val="000000"/>
          <w:sz w:val="24"/>
          <w:u w:val="none" w:color="000000"/>
          <w:vertAlign w:val="baseline"/>
        </w:rPr>
        <w:t>Bydgoszczy.</w:t>
      </w:r>
    </w:p>
    <w:p w:rsidR="00A77B3E">
      <w:pPr>
        <w:keepNext w:val="0"/>
        <w:keepLines/>
        <w:spacing w:before="120" w:after="120" w:line="240" w:lineRule="auto"/>
        <w:ind w:left="0" w:right="0" w:firstLine="340"/>
        <w:jc w:val="both"/>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b/>
          <w:sz w:val="24"/>
        </w:rPr>
        <w:t>§ 5. </w:t>
      </w:r>
      <w:r>
        <w:rPr>
          <w:rFonts w:ascii="Times New Roman" w:eastAsia="Times New Roman" w:hAnsi="Times New Roman" w:cs="Times New Roman"/>
          <w:b w:val="0"/>
          <w:i w:val="0"/>
          <w:caps w:val="0"/>
          <w:strike w:val="0"/>
          <w:color w:val="000000"/>
          <w:sz w:val="24"/>
          <w:u w:val="none" w:color="000000"/>
          <w:vertAlign w:val="baseline"/>
        </w:rPr>
        <w:t>Zarządzenie wchodzi w życie po upływie 14 dni od dnia ogłoszenia.</w:t>
      </w:r>
    </w:p>
    <w:p w:rsidR="00A77B3E">
      <w:pPr>
        <w:keepNext w:val="0"/>
        <w:keepLines w:val="0"/>
        <w:spacing w:before="120" w:after="120" w:line="240" w:lineRule="auto"/>
        <w:ind w:left="283" w:right="0" w:firstLine="227"/>
        <w:jc w:val="right"/>
        <w:rPr>
          <w:rFonts w:ascii="Times New Roman" w:eastAsia="Times New Roman" w:hAnsi="Times New Roman" w:cs="Times New Roman"/>
          <w:b w:val="0"/>
          <w:i w:val="0"/>
          <w:caps w:val="0"/>
          <w:strike w:val="0"/>
          <w:color w:val="000000"/>
          <w:sz w:val="24"/>
          <w:u w:val="none" w:color="000000"/>
          <w:vertAlign w:val="baseline"/>
        </w:rPr>
      </w:pPr>
      <w:r>
        <w:rPr>
          <w:rFonts w:ascii="Times New Roman" w:eastAsia="Times New Roman" w:hAnsi="Times New Roman" w:cs="Times New Roman"/>
          <w:b w:val="0"/>
          <w:i w:val="0"/>
          <w:caps w:val="0"/>
          <w:strike w:val="0"/>
          <w:color w:val="000000"/>
          <w:sz w:val="24"/>
          <w:u w:val="none" w:color="000000"/>
          <w:vertAlign w:val="baseline"/>
        </w:rPr>
        <w:drawing>
          <wp:inline>
            <wp:extent cx="2639568" cy="1042416"/>
            <wp:docPr id="100001" name=""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r:link="rId6"/>
                    <a:stretch>
                      <a:fillRect/>
                    </a:stretch>
                  </pic:blipFill>
                  <pic:spPr>
                    <a:xfrm>
                      <a:off x="0" y="0"/>
                      <a:ext cx="2639568" cy="1042416"/>
                    </a:xfrm>
                    <a:prstGeom prst="rect">
                      <a:avLst/>
                    </a:prstGeom>
                  </pic:spPr>
                </pic:pic>
              </a:graphicData>
            </a:graphic>
          </wp:inline>
        </w:drawing>
      </w:r>
    </w:p>
    <w:p w:rsidR="00A77B3E">
      <w:pPr>
        <w:keepNext w:val="0"/>
        <w:keepLines w:val="0"/>
        <w:spacing w:before="120" w:after="120" w:line="240" w:lineRule="auto"/>
        <w:ind w:left="283" w:right="0" w:firstLine="227"/>
        <w:jc w:val="right"/>
        <w:rPr>
          <w:rFonts w:ascii="Times New Roman" w:eastAsia="Times New Roman" w:hAnsi="Times New Roman" w:cs="Times New Roman"/>
          <w:b w:val="0"/>
          <w:i w:val="0"/>
          <w:caps w:val="0"/>
          <w:strike w:val="0"/>
          <w:color w:val="000000"/>
          <w:sz w:val="24"/>
          <w:u w:val="none" w:color="000000"/>
          <w:vertAlign w:val="baseline"/>
        </w:rPr>
        <w:sectPr>
          <w:footerReference w:type="default" r:id="rId7"/>
          <w:endnotePr>
            <w:numFmt w:val="decimal"/>
          </w:endnotePr>
          <w:pgSz w:w="11906" w:h="16838"/>
          <w:pgMar w:top="992" w:right="1020" w:bottom="992" w:left="1020" w:header="708" w:footer="708" w:gutter="0"/>
          <w:cols w:space="708"/>
          <w:docGrid w:linePitch="360"/>
        </w:sectPr>
      </w:pPr>
    </w:p>
    <w:p w:rsidR="00A77B3E">
      <w:pPr>
        <w:keepNext/>
        <w:spacing w:before="120" w:after="120" w:line="360" w:lineRule="auto"/>
        <w:ind w:left="3634" w:right="0" w:firstLine="0"/>
        <w:jc w:val="left"/>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4"/>
          <w:u w:val="none" w:color="000000"/>
          <w:vertAlign w:val="baseline"/>
        </w:rPr>
        <w:fldChar w:fldCharType="begin"/>
      </w:r>
      <w:r>
        <w:rPr>
          <w:rFonts w:ascii="Times New Roman" w:eastAsia="Times New Roman" w:hAnsi="Times New Roman" w:cs="Times New Roman"/>
          <w:b w:val="0"/>
          <w:i w:val="0"/>
          <w:caps w:val="0"/>
          <w:strike w:val="0"/>
          <w:color w:val="000000"/>
          <w:sz w:val="24"/>
          <w:u w:val="none" w:color="000000"/>
          <w:vertAlign w:val="baseline"/>
        </w:rPr>
        <w:fldChar w:fldCharType="separate"/>
      </w:r>
      <w:r>
        <w:rPr>
          <w:rFonts w:ascii="Times New Roman" w:eastAsia="Times New Roman" w:hAnsi="Times New Roman" w:cs="Times New Roman"/>
          <w:b w:val="0"/>
          <w:i w:val="0"/>
          <w:caps w:val="0"/>
          <w:strike w:val="0"/>
          <w:color w:val="000000"/>
          <w:sz w:val="24"/>
          <w:u w:val="none" w:color="000000"/>
          <w:vertAlign w:val="baseline"/>
        </w:rPr>
        <w:fldChar w:fldCharType="end"/>
      </w:r>
      <w:r>
        <w:rPr>
          <w:rFonts w:ascii="Times New Roman" w:eastAsia="Times New Roman" w:hAnsi="Times New Roman" w:cs="Times New Roman"/>
          <w:b w:val="0"/>
          <w:i w:val="0"/>
          <w:caps w:val="0"/>
          <w:strike w:val="0"/>
          <w:color w:val="000000"/>
          <w:sz w:val="22"/>
          <w:u w:val="none" w:color="000000"/>
          <w:vertAlign w:val="baseline"/>
        </w:rPr>
        <w:t>Załącznik Nr</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1</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do zarządzenia</w:t>
      </w:r>
      <w:r>
        <w:rPr>
          <w:rFonts w:ascii="Times New Roman" w:eastAsia="Times New Roman" w:hAnsi="Times New Roman" w:cs="Times New Roman"/>
          <w:b w:val="0"/>
          <w:i w:val="0"/>
          <w:caps w:val="0"/>
          <w:strike w:val="0"/>
          <w:color w:val="000000"/>
          <w:sz w:val="22"/>
          <w:u w:val="none" w:color="000000"/>
          <w:vertAlign w:val="baseline"/>
        </w:rPr>
        <w:br/>
      </w:r>
      <w:r>
        <w:rPr>
          <w:rFonts w:ascii="Times New Roman" w:eastAsia="Times New Roman" w:hAnsi="Times New Roman" w:cs="Times New Roman"/>
          <w:b w:val="0"/>
          <w:i w:val="0"/>
          <w:caps w:val="0"/>
          <w:strike w:val="0"/>
          <w:color w:val="000000"/>
          <w:sz w:val="22"/>
          <w:u w:val="none" w:color="000000"/>
          <w:vertAlign w:val="baseline"/>
        </w:rPr>
        <w:t>Regionalnego Dyrektora Ochrony Środowiska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Bydgoszczy</w:t>
      </w:r>
      <w:r>
        <w:rPr>
          <w:rFonts w:ascii="Times New Roman" w:eastAsia="Times New Roman" w:hAnsi="Times New Roman" w:cs="Times New Roman"/>
          <w:b w:val="0"/>
          <w:i w:val="0"/>
          <w:caps w:val="0"/>
          <w:strike w:val="0"/>
          <w:color w:val="000000"/>
          <w:sz w:val="22"/>
          <w:u w:val="none" w:color="000000"/>
          <w:vertAlign w:val="baseline"/>
        </w:rPr>
        <w:br/>
      </w:r>
      <w:r>
        <w:rPr>
          <w:rFonts w:ascii="Times New Roman" w:eastAsia="Times New Roman" w:hAnsi="Times New Roman" w:cs="Times New Roman"/>
          <w:b w:val="0"/>
          <w:i w:val="0"/>
          <w:caps w:val="0"/>
          <w:strike w:val="0"/>
          <w:color w:val="000000"/>
          <w:sz w:val="22"/>
          <w:u w:val="none" w:color="000000"/>
          <w:vertAlign w:val="baseline"/>
        </w:rPr>
        <w:t>z dnia 20</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grudnia 2024</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r.</w:t>
      </w:r>
    </w:p>
    <w:p w:rsidR="00A77B3E">
      <w:pPr>
        <w:keepNext/>
        <w:spacing w:before="0" w:after="480" w:line="240" w:lineRule="auto"/>
        <w:ind w:left="0" w:right="0" w:firstLine="0"/>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i w:val="0"/>
          <w:caps w:val="0"/>
          <w:strike w:val="0"/>
          <w:color w:val="000000"/>
          <w:sz w:val="22"/>
          <w:u w:val="none" w:color="000000"/>
          <w:vertAlign w:val="baseline"/>
        </w:rPr>
        <w:t>Położenie i</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przebieg granicy rezerwatu i</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jego otuliny w</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postaci mapy</w:t>
      </w:r>
    </w:p>
    <w:p w:rsidR="00A77B3E">
      <w:pPr>
        <w:keepNext w:val="0"/>
        <w:keepLines w:val="0"/>
        <w:spacing w:before="120" w:after="120" w:line="240" w:lineRule="auto"/>
        <w:ind w:left="283" w:right="0" w:firstLine="227"/>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2"/>
          <w:u w:val="none" w:color="000000"/>
          <w:vertAlign w:val="baseline"/>
        </w:rPr>
        <w:drawing>
          <wp:inline>
            <wp:extent cx="6166485" cy="7592485"/>
            <wp:docPr id="100003" name=""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8" r:link="rId9"/>
                    <a:stretch>
                      <a:fillRect/>
                    </a:stretch>
                  </pic:blipFill>
                  <pic:spPr>
                    <a:xfrm>
                      <a:off x="0" y="0"/>
                      <a:ext cx="6166485" cy="7592485"/>
                    </a:xfrm>
                    <a:prstGeom prst="rect">
                      <a:avLst/>
                    </a:prstGeom>
                  </pic:spPr>
                </pic:pic>
              </a:graphicData>
            </a:graphic>
          </wp:inline>
        </w:drawing>
      </w:r>
    </w:p>
    <w:p w:rsidR="00A77B3E">
      <w:pPr>
        <w:keepNext w:val="0"/>
        <w:keepLines w:val="0"/>
        <w:spacing w:before="120" w:after="120" w:line="240" w:lineRule="auto"/>
        <w:ind w:left="283" w:right="0" w:firstLine="227"/>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2"/>
          <w:u w:val="none" w:color="000000"/>
          <w:vertAlign w:val="baseline"/>
        </w:rPr>
        <w:drawing>
          <wp:inline>
            <wp:extent cx="6166485" cy="7592485"/>
            <wp:docPr id="100005" name=""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0" r:link="rId11"/>
                    <a:stretch>
                      <a:fillRect/>
                    </a:stretch>
                  </pic:blipFill>
                  <pic:spPr>
                    <a:xfrm>
                      <a:off x="0" y="0"/>
                      <a:ext cx="6166485" cy="7592485"/>
                    </a:xfrm>
                    <a:prstGeom prst="rect">
                      <a:avLst/>
                    </a:prstGeom>
                  </pic:spPr>
                </pic:pic>
              </a:graphicData>
            </a:graphic>
          </wp:inline>
        </w:drawing>
      </w:r>
    </w:p>
    <w:p w:rsidR="00A77B3E">
      <w:pPr>
        <w:keepNext w:val="0"/>
        <w:keepLines w:val="0"/>
        <w:spacing w:before="120" w:after="120" w:line="240" w:lineRule="auto"/>
        <w:ind w:left="283" w:right="0" w:firstLine="227"/>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2"/>
          <w:u w:val="none" w:color="000000"/>
          <w:vertAlign w:val="baseline"/>
        </w:rPr>
        <w:drawing>
          <wp:inline>
            <wp:extent cx="6166485" cy="7592485"/>
            <wp:docPr id="100007" name=""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2" r:link="rId13"/>
                    <a:stretch>
                      <a:fillRect/>
                    </a:stretch>
                  </pic:blipFill>
                  <pic:spPr>
                    <a:xfrm>
                      <a:off x="0" y="0"/>
                      <a:ext cx="6166485" cy="7592485"/>
                    </a:xfrm>
                    <a:prstGeom prst="rect">
                      <a:avLst/>
                    </a:prstGeom>
                  </pic:spPr>
                </pic:pic>
              </a:graphicData>
            </a:graphic>
          </wp:inline>
        </w:drawing>
      </w:r>
    </w:p>
    <w:p w:rsidR="00A77B3E">
      <w:pPr>
        <w:keepNext w:val="0"/>
        <w:keepLines w:val="0"/>
        <w:spacing w:before="120" w:after="120" w:line="240" w:lineRule="auto"/>
        <w:ind w:left="283" w:right="0" w:firstLine="227"/>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2"/>
          <w:u w:val="none" w:color="000000"/>
          <w:vertAlign w:val="baseline"/>
        </w:rPr>
        <w:drawing>
          <wp:inline>
            <wp:extent cx="5818315" cy="7163800"/>
            <wp:docPr id="100009" name=""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4" r:link="rId15"/>
                    <a:stretch>
                      <a:fillRect/>
                    </a:stretch>
                  </pic:blipFill>
                  <pic:spPr>
                    <a:xfrm>
                      <a:off x="0" y="0"/>
                      <a:ext cx="5818315" cy="7163800"/>
                    </a:xfrm>
                    <a:prstGeom prst="rect">
                      <a:avLst/>
                    </a:prstGeom>
                  </pic:spPr>
                </pic:pic>
              </a:graphicData>
            </a:graphic>
          </wp:inline>
        </w:drawing>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5041"/>
        <w:gridCol w:w="504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Ex>
        <w:trPr>
          <w:trHeight w:val="105"/>
        </w:trPr>
        <w:tc>
          <w:tcPr>
            <w:tcW w:w="5040" w:type="dxa"/>
            <w:tcBorders>
              <w:top w:val="nil"/>
              <w:left w:val="nil"/>
              <w:bottom w:val="nil"/>
              <w:right w:val="nil"/>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p>
        </w:tc>
        <w:tc>
          <w:tcPr>
            <w:tcW w:w="5040" w:type="dxa"/>
            <w:tcBorders>
              <w:top w:val="nil"/>
              <w:left w:val="nil"/>
              <w:bottom w:val="nil"/>
              <w:right w:val="nil"/>
            </w:tcBorders>
            <w:noWrap w:val="0"/>
            <w:tcMar>
              <w:top w:w="100" w:type="dxa"/>
            </w:tcMar>
            <w:textDirection w:val="lrTb"/>
            <w:vAlign w:val="top"/>
          </w:tcPr>
          <w:p w:rsidR="00A77B3E">
            <w:pPr>
              <w:spacing w:before="0" w:after="0"/>
              <w:jc w:val="center"/>
              <w:rPr>
                <w:rFonts w:ascii="Times New Roman" w:eastAsia="Times New Roman" w:hAnsi="Times New Roman" w:cs="Times New Roman"/>
                <w:b w:val="0"/>
                <w:i w:val="0"/>
                <w:caps w:val="0"/>
                <w:strike w:val="0"/>
                <w:color w:val="000000"/>
                <w:sz w:val="22"/>
                <w:u w:val="none" w:color="000000"/>
                <w:vertAlign w:val="baseline"/>
              </w:rPr>
            </w:pPr>
          </w:p>
        </w:tc>
      </w:tr>
    </w:tbl>
    <w:p w:rsidR="00A77B3E">
      <w:pPr>
        <w:keepNext w:val="0"/>
        <w:keepLines w:val="0"/>
        <w:spacing w:before="120" w:after="120" w:line="240" w:lineRule="auto"/>
        <w:ind w:left="283" w:right="0" w:firstLine="227"/>
        <w:jc w:val="right"/>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2"/>
          <w:u w:val="none" w:color="000000"/>
          <w:vertAlign w:val="baseline"/>
        </w:rPr>
        <w:drawing>
          <wp:inline>
            <wp:extent cx="2639568" cy="1042416"/>
            <wp:docPr id="100011" name=""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5" r:link="rId16"/>
                    <a:stretch>
                      <a:fillRect/>
                    </a:stretch>
                  </pic:blipFill>
                  <pic:spPr>
                    <a:xfrm>
                      <a:off x="0" y="0"/>
                      <a:ext cx="2639568" cy="1042416"/>
                    </a:xfrm>
                    <a:prstGeom prst="rect">
                      <a:avLst/>
                    </a:prstGeom>
                  </pic:spPr>
                </pic:pic>
              </a:graphicData>
            </a:graphic>
          </wp:inline>
        </w:drawing>
      </w:r>
    </w:p>
    <w:p w:rsidR="00A77B3E">
      <w:pPr>
        <w:keepNext w:val="0"/>
        <w:keepLines w:val="0"/>
        <w:spacing w:before="120" w:after="120" w:line="240" w:lineRule="auto"/>
        <w:ind w:left="283" w:right="0" w:firstLine="227"/>
        <w:jc w:val="right"/>
        <w:rPr>
          <w:rFonts w:ascii="Times New Roman" w:eastAsia="Times New Roman" w:hAnsi="Times New Roman" w:cs="Times New Roman"/>
          <w:b w:val="0"/>
          <w:i w:val="0"/>
          <w:caps w:val="0"/>
          <w:strike w:val="0"/>
          <w:color w:val="000000"/>
          <w:sz w:val="22"/>
          <w:u w:val="none" w:color="000000"/>
          <w:vertAlign w:val="baseline"/>
        </w:rPr>
        <w:sectPr>
          <w:footerReference w:type="default" r:id="rId17"/>
          <w:endnotePr>
            <w:numFmt w:val="decimal"/>
          </w:endnotePr>
          <w:type w:val="nextPage"/>
          <w:pgSz w:w="11906" w:h="16838"/>
          <w:pgMar w:top="992" w:right="1020" w:bottom="992" w:left="1020" w:header="708" w:footer="708" w:gutter="0"/>
          <w:pgNumType w:start="1"/>
          <w:cols w:space="708"/>
          <w:docGrid w:linePitch="360"/>
        </w:sectPr>
      </w:pPr>
    </w:p>
    <w:p w:rsidR="00A77B3E">
      <w:pPr>
        <w:keepNext/>
        <w:spacing w:before="120" w:after="120" w:line="360" w:lineRule="auto"/>
        <w:ind w:left="3634" w:right="0" w:firstLine="0"/>
        <w:jc w:val="left"/>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2"/>
          <w:u w:val="none" w:color="000000"/>
          <w:vertAlign w:val="baseline"/>
        </w:rPr>
        <w:fldChar w:fldCharType="begin"/>
      </w:r>
      <w:r>
        <w:rPr>
          <w:rFonts w:ascii="Times New Roman" w:eastAsia="Times New Roman" w:hAnsi="Times New Roman" w:cs="Times New Roman"/>
          <w:b w:val="0"/>
          <w:i w:val="0"/>
          <w:caps w:val="0"/>
          <w:strike w:val="0"/>
          <w:color w:val="000000"/>
          <w:sz w:val="22"/>
          <w:u w:val="none" w:color="000000"/>
          <w:vertAlign w:val="baseline"/>
        </w:rPr>
        <w:fldChar w:fldCharType="separate"/>
      </w:r>
      <w:r>
        <w:rPr>
          <w:rFonts w:ascii="Times New Roman" w:eastAsia="Times New Roman" w:hAnsi="Times New Roman" w:cs="Times New Roman"/>
          <w:b w:val="0"/>
          <w:i w:val="0"/>
          <w:caps w:val="0"/>
          <w:strike w:val="0"/>
          <w:color w:val="000000"/>
          <w:sz w:val="22"/>
          <w:u w:val="none" w:color="000000"/>
          <w:vertAlign w:val="baseline"/>
        </w:rPr>
        <w:fldChar w:fldCharType="end"/>
      </w:r>
      <w:r>
        <w:rPr>
          <w:rFonts w:ascii="Times New Roman" w:eastAsia="Times New Roman" w:hAnsi="Times New Roman" w:cs="Times New Roman"/>
          <w:b w:val="0"/>
          <w:i w:val="0"/>
          <w:caps w:val="0"/>
          <w:strike w:val="0"/>
          <w:color w:val="000000"/>
          <w:sz w:val="22"/>
          <w:u w:val="none" w:color="000000"/>
          <w:vertAlign w:val="baseline"/>
        </w:rPr>
        <w:t>Załącznik Nr</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2</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do zarządzenia</w:t>
      </w:r>
      <w:r>
        <w:rPr>
          <w:rFonts w:ascii="Times New Roman" w:eastAsia="Times New Roman" w:hAnsi="Times New Roman" w:cs="Times New Roman"/>
          <w:b w:val="0"/>
          <w:i w:val="0"/>
          <w:caps w:val="0"/>
          <w:strike w:val="0"/>
          <w:color w:val="000000"/>
          <w:sz w:val="22"/>
          <w:u w:val="none" w:color="000000"/>
          <w:vertAlign w:val="baseline"/>
        </w:rPr>
        <w:br/>
      </w:r>
      <w:r>
        <w:rPr>
          <w:rFonts w:ascii="Times New Roman" w:eastAsia="Times New Roman" w:hAnsi="Times New Roman" w:cs="Times New Roman"/>
          <w:b w:val="0"/>
          <w:i w:val="0"/>
          <w:caps w:val="0"/>
          <w:strike w:val="0"/>
          <w:color w:val="000000"/>
          <w:sz w:val="22"/>
          <w:u w:val="none" w:color="000000"/>
          <w:vertAlign w:val="baseline"/>
        </w:rPr>
        <w:t>Regionalnego Dyrektora Ochrony Środowiska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Bydgoszczy</w:t>
      </w:r>
      <w:r>
        <w:rPr>
          <w:rFonts w:ascii="Times New Roman" w:eastAsia="Times New Roman" w:hAnsi="Times New Roman" w:cs="Times New Roman"/>
          <w:b w:val="0"/>
          <w:i w:val="0"/>
          <w:caps w:val="0"/>
          <w:strike w:val="0"/>
          <w:color w:val="000000"/>
          <w:sz w:val="22"/>
          <w:u w:val="none" w:color="000000"/>
          <w:vertAlign w:val="baseline"/>
        </w:rPr>
        <w:br/>
      </w:r>
      <w:r>
        <w:rPr>
          <w:rFonts w:ascii="Times New Roman" w:eastAsia="Times New Roman" w:hAnsi="Times New Roman" w:cs="Times New Roman"/>
          <w:b w:val="0"/>
          <w:i w:val="0"/>
          <w:caps w:val="0"/>
          <w:strike w:val="0"/>
          <w:color w:val="000000"/>
          <w:sz w:val="22"/>
          <w:u w:val="none" w:color="000000"/>
          <w:vertAlign w:val="baseline"/>
        </w:rPr>
        <w:t>z dnia 20</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grudnia 2024</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r.</w:t>
      </w:r>
    </w:p>
    <w:p w:rsidR="00A77B3E">
      <w:pPr>
        <w:keepNext/>
        <w:spacing w:before="0" w:after="480" w:line="240" w:lineRule="auto"/>
        <w:ind w:left="0" w:right="0" w:firstLine="0"/>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i w:val="0"/>
          <w:caps w:val="0"/>
          <w:strike w:val="0"/>
          <w:color w:val="000000"/>
          <w:sz w:val="22"/>
          <w:u w:val="none" w:color="000000"/>
          <w:vertAlign w:val="baseline"/>
        </w:rPr>
        <w:t>Położenie i</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przebieg granicy rezerwatu w</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postaci wykazu współrzędnych punktów załamania granicy w</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układzie współrzędnych płaskich prostokątnych</w:t>
      </w:r>
      <w:r>
        <w:rPr>
          <w:rFonts w:ascii="Times New Roman" w:eastAsia="Times New Roman" w:hAnsi="Times New Roman" w:cs="Times New Roman"/>
          <w:b/>
          <w:i w:val="0"/>
          <w:caps w:val="0"/>
          <w:strike w:val="0"/>
          <w:color w:val="000000"/>
          <w:sz w:val="22"/>
          <w:u w:val="none" w:color="000000"/>
          <w:vertAlign w:val="baseline"/>
        </w:rPr>
        <w:br/>
      </w:r>
      <w:r>
        <w:rPr>
          <w:rFonts w:ascii="Times New Roman" w:eastAsia="Times New Roman" w:hAnsi="Times New Roman" w:cs="Times New Roman"/>
          <w:b/>
          <w:i w:val="0"/>
          <w:caps w:val="0"/>
          <w:strike w:val="0"/>
          <w:color w:val="000000"/>
          <w:sz w:val="22"/>
          <w:u w:val="none" w:color="000000"/>
          <w:vertAlign w:val="baseline"/>
        </w:rPr>
        <w:t>PL-1992</w:t>
      </w:r>
      <w:r>
        <w:rPr>
          <w:rStyle w:val="FootnoteReference"/>
          <w:rFonts w:ascii="Times New Roman" w:eastAsia="Times New Roman" w:hAnsi="Times New Roman" w:cs="Times New Roman"/>
          <w:b/>
          <w:i w:val="0"/>
          <w:caps w:val="0"/>
          <w:strike w:val="0"/>
          <w:color w:val="000000"/>
          <w:sz w:val="20"/>
          <w:u w:val="none" w:color="000000"/>
          <w:vertAlign w:val="superscript"/>
        </w:rPr>
        <w:footnoteReference w:customMarkFollows="1" w:id="2"/>
        <w:t xml:space="preserve">1)</w:t>
      </w:r>
      <w:r>
        <w:rPr>
          <w:rFonts w:ascii="Times New Roman" w:eastAsia="Times New Roman" w:hAnsi="Times New Roman" w:cs="Times New Roman"/>
          <w:b w:val="0"/>
          <w:i w:val="0"/>
          <w:caps w:val="0"/>
          <w:strike w:val="0"/>
          <w:color w:val="000000"/>
          <w:sz w:val="22"/>
          <w:u w:val="none" w:color="000000"/>
          <w:vertAlign w:val="baseline"/>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3360"/>
        <w:gridCol w:w="3361"/>
        <w:gridCol w:w="336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rPr>
                <w:b/>
                <w:sz w:val="20"/>
              </w:rPr>
              <w:t>Nr</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rPr>
                <w:b/>
                <w:sz w:val="20"/>
              </w:rPr>
              <w:t>X</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rPr>
                <w:b/>
                <w:sz w:val="20"/>
              </w:rPr>
              <w:t>Y</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617910,19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435003,40</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618000,29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434901,74</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3</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618010,95</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434906,06</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618052,62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434900,34</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5</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618091,60</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434896,77</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618128,24</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434901,77</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7</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618160,01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434913,23</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8</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618191,39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434918,03</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618233,86</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434933,55</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10</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618228,71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434954,32</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11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618231,77</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434956,20</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12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618260,72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434973,98</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13</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618291,96</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434983,88</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14</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618319,76</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435024,98</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15</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618363,30</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435058,85</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16</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618403,81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435083,33</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17</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618453,78</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435087,54</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18</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618506,57</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435069,71</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19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618580,12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435037,28</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20</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618599,97</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435042,96</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21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618604,17</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435087,74</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22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618597,99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435128,03</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23</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618590,29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435178,88</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24</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618601,02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435224,10</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25</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618599,14</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435282,75</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26</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618603,62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435304,94</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27</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618565,87</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435329,22</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28</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618536,01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435359,59</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29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618319,11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435486,51</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30</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618221,18</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435543,81</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31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618092,02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435616,72</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32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618046,10</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435595,08</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33</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618005,23</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435576,51</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34</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617911,83</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435547,85</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35</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617855,05</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435516,01</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36</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617773,32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435461,88</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37</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617758,89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435450,10</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38</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617727,61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435419,06</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39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617671,59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435363,48</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40</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617643,88</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435336,00</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617630,97</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435314,70</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617635,91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435310,71</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617711,98</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435225,67</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44</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617743,30</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435190,60</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45</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617786,10</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435142,69</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46</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617861,02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435057,95</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47</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617910,19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20"/>
              </w:rPr>
              <w:t>435003,40</w:t>
            </w:r>
          </w:p>
        </w:tc>
      </w:tr>
    </w:tbl>
    <w:p w:rsidR="00A77B3E">
      <w:pPr>
        <w:keepNext w:val="0"/>
        <w:keepLines w:val="0"/>
        <w:spacing w:before="120" w:after="120" w:line="240" w:lineRule="auto"/>
        <w:ind w:left="283" w:right="0" w:firstLine="227"/>
        <w:jc w:val="right"/>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2"/>
          <w:u w:val="none" w:color="000000"/>
          <w:vertAlign w:val="baseline"/>
        </w:rPr>
        <w:drawing>
          <wp:inline>
            <wp:extent cx="2639568" cy="1042416"/>
            <wp:docPr id="100013" name=""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5" r:link="rId18"/>
                    <a:stretch>
                      <a:fillRect/>
                    </a:stretch>
                  </pic:blipFill>
                  <pic:spPr>
                    <a:xfrm>
                      <a:off x="0" y="0"/>
                      <a:ext cx="2639568" cy="1042416"/>
                    </a:xfrm>
                    <a:prstGeom prst="rect">
                      <a:avLst/>
                    </a:prstGeom>
                  </pic:spPr>
                </pic:pic>
              </a:graphicData>
            </a:graphic>
          </wp:inline>
        </w:drawing>
      </w:r>
    </w:p>
    <w:p w:rsidR="00A77B3E">
      <w:pPr>
        <w:keepNext w:val="0"/>
        <w:keepLines w:val="0"/>
        <w:spacing w:before="120" w:after="120" w:line="240" w:lineRule="auto"/>
        <w:ind w:left="283" w:right="0" w:firstLine="227"/>
        <w:jc w:val="right"/>
        <w:rPr>
          <w:rFonts w:ascii="Times New Roman" w:eastAsia="Times New Roman" w:hAnsi="Times New Roman" w:cs="Times New Roman"/>
          <w:b w:val="0"/>
          <w:i w:val="0"/>
          <w:caps w:val="0"/>
          <w:strike w:val="0"/>
          <w:color w:val="000000"/>
          <w:sz w:val="22"/>
          <w:u w:val="none" w:color="000000"/>
          <w:vertAlign w:val="baseline"/>
        </w:rPr>
        <w:sectPr>
          <w:footerReference w:type="default" r:id="rId19"/>
          <w:endnotePr>
            <w:numFmt w:val="decimal"/>
          </w:endnotePr>
          <w:type w:val="nextPage"/>
          <w:pgSz w:w="11906" w:h="16838"/>
          <w:pgMar w:top="992" w:right="1020" w:bottom="992" w:left="1020" w:header="708" w:footer="708" w:gutter="0"/>
          <w:pgNumType w:start="1"/>
          <w:cols w:space="708"/>
          <w:docGrid w:linePitch="360"/>
        </w:sectPr>
      </w:pPr>
    </w:p>
    <w:p w:rsidR="00A77B3E">
      <w:pPr>
        <w:keepNext/>
        <w:spacing w:before="120" w:after="120" w:line="360" w:lineRule="auto"/>
        <w:ind w:left="3634" w:right="0" w:firstLine="0"/>
        <w:jc w:val="left"/>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2"/>
          <w:u w:val="none" w:color="000000"/>
          <w:vertAlign w:val="baseline"/>
        </w:rPr>
        <w:fldChar w:fldCharType="begin"/>
      </w:r>
      <w:r>
        <w:rPr>
          <w:rFonts w:ascii="Times New Roman" w:eastAsia="Times New Roman" w:hAnsi="Times New Roman" w:cs="Times New Roman"/>
          <w:b w:val="0"/>
          <w:i w:val="0"/>
          <w:caps w:val="0"/>
          <w:strike w:val="0"/>
          <w:color w:val="000000"/>
          <w:sz w:val="22"/>
          <w:u w:val="none" w:color="000000"/>
          <w:vertAlign w:val="baseline"/>
        </w:rPr>
        <w:fldChar w:fldCharType="separate"/>
      </w:r>
      <w:r>
        <w:rPr>
          <w:rFonts w:ascii="Times New Roman" w:eastAsia="Times New Roman" w:hAnsi="Times New Roman" w:cs="Times New Roman"/>
          <w:b w:val="0"/>
          <w:i w:val="0"/>
          <w:caps w:val="0"/>
          <w:strike w:val="0"/>
          <w:color w:val="000000"/>
          <w:sz w:val="22"/>
          <w:u w:val="none" w:color="000000"/>
          <w:vertAlign w:val="baseline"/>
        </w:rPr>
        <w:fldChar w:fldCharType="end"/>
      </w:r>
      <w:r>
        <w:rPr>
          <w:rFonts w:ascii="Times New Roman" w:eastAsia="Times New Roman" w:hAnsi="Times New Roman" w:cs="Times New Roman"/>
          <w:b w:val="0"/>
          <w:i w:val="0"/>
          <w:caps w:val="0"/>
          <w:strike w:val="0"/>
          <w:color w:val="000000"/>
          <w:sz w:val="22"/>
          <w:u w:val="none" w:color="000000"/>
          <w:vertAlign w:val="baseline"/>
        </w:rPr>
        <w:t>Załącznik Nr</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3</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do zarządzenia</w:t>
      </w:r>
      <w:r>
        <w:rPr>
          <w:rFonts w:ascii="Times New Roman" w:eastAsia="Times New Roman" w:hAnsi="Times New Roman" w:cs="Times New Roman"/>
          <w:b w:val="0"/>
          <w:i w:val="0"/>
          <w:caps w:val="0"/>
          <w:strike w:val="0"/>
          <w:color w:val="000000"/>
          <w:sz w:val="22"/>
          <w:u w:val="none" w:color="000000"/>
          <w:vertAlign w:val="baseline"/>
        </w:rPr>
        <w:br/>
      </w:r>
      <w:r>
        <w:rPr>
          <w:rFonts w:ascii="Times New Roman" w:eastAsia="Times New Roman" w:hAnsi="Times New Roman" w:cs="Times New Roman"/>
          <w:b w:val="0"/>
          <w:i w:val="0"/>
          <w:caps w:val="0"/>
          <w:strike w:val="0"/>
          <w:color w:val="000000"/>
          <w:sz w:val="22"/>
          <w:u w:val="none" w:color="000000"/>
          <w:vertAlign w:val="baseline"/>
        </w:rPr>
        <w:t>Regionalnego Dyrektora Ochrony Środowiska w</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Bydgoszczy</w:t>
      </w:r>
      <w:r>
        <w:rPr>
          <w:rFonts w:ascii="Times New Roman" w:eastAsia="Times New Roman" w:hAnsi="Times New Roman" w:cs="Times New Roman"/>
          <w:b w:val="0"/>
          <w:i w:val="0"/>
          <w:caps w:val="0"/>
          <w:strike w:val="0"/>
          <w:color w:val="000000"/>
          <w:sz w:val="22"/>
          <w:u w:val="none" w:color="000000"/>
          <w:vertAlign w:val="baseline"/>
        </w:rPr>
        <w:br/>
      </w:r>
      <w:r>
        <w:rPr>
          <w:rFonts w:ascii="Times New Roman" w:eastAsia="Times New Roman" w:hAnsi="Times New Roman" w:cs="Times New Roman"/>
          <w:b w:val="0"/>
          <w:i w:val="0"/>
          <w:caps w:val="0"/>
          <w:strike w:val="0"/>
          <w:color w:val="000000"/>
          <w:sz w:val="22"/>
          <w:u w:val="none" w:color="000000"/>
          <w:vertAlign w:val="baseline"/>
        </w:rPr>
        <w:t>z dnia 20</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grudnia 2024</w:t>
      </w:r>
      <w:r>
        <w:rPr>
          <w:rFonts w:ascii="Times New Roman" w:eastAsia="Times New Roman" w:hAnsi="Times New Roman" w:cs="Times New Roman"/>
          <w:b w:val="0"/>
          <w:i w:val="0"/>
          <w:caps w:val="0"/>
          <w:strike w:val="0"/>
          <w:color w:val="000000"/>
          <w:sz w:val="22"/>
          <w:u w:val="none" w:color="000000"/>
          <w:vertAlign w:val="baseline"/>
        </w:rPr>
        <w:t> </w:t>
      </w:r>
      <w:r>
        <w:rPr>
          <w:rFonts w:ascii="Times New Roman" w:eastAsia="Times New Roman" w:hAnsi="Times New Roman" w:cs="Times New Roman"/>
          <w:b w:val="0"/>
          <w:i w:val="0"/>
          <w:caps w:val="0"/>
          <w:strike w:val="0"/>
          <w:color w:val="000000"/>
          <w:sz w:val="22"/>
          <w:u w:val="none" w:color="000000"/>
          <w:vertAlign w:val="baseline"/>
        </w:rPr>
        <w:t>r.</w:t>
      </w:r>
    </w:p>
    <w:p w:rsidR="00A77B3E">
      <w:pPr>
        <w:keepNext/>
        <w:spacing w:before="0" w:after="480" w:line="240" w:lineRule="auto"/>
        <w:ind w:left="0" w:right="0" w:firstLine="0"/>
        <w:jc w:val="center"/>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i w:val="0"/>
          <w:caps w:val="0"/>
          <w:strike w:val="0"/>
          <w:color w:val="000000"/>
          <w:sz w:val="22"/>
          <w:u w:val="none" w:color="000000"/>
          <w:vertAlign w:val="baseline"/>
        </w:rPr>
        <w:t>Położenie i</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przebieg granicy otuliny rezerwatu w</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postaci wykazu współrzędnych punktów załamania granicy w</w:t>
      </w:r>
      <w:r>
        <w:rPr>
          <w:rFonts w:ascii="Times New Roman" w:eastAsia="Times New Roman" w:hAnsi="Times New Roman" w:cs="Times New Roman"/>
          <w:b/>
          <w:i w:val="0"/>
          <w:caps w:val="0"/>
          <w:strike w:val="0"/>
          <w:color w:val="000000"/>
          <w:sz w:val="22"/>
          <w:u w:val="none" w:color="000000"/>
          <w:vertAlign w:val="baseline"/>
        </w:rPr>
        <w:t> </w:t>
      </w:r>
      <w:r>
        <w:rPr>
          <w:rFonts w:ascii="Times New Roman" w:eastAsia="Times New Roman" w:hAnsi="Times New Roman" w:cs="Times New Roman"/>
          <w:b/>
          <w:i w:val="0"/>
          <w:caps w:val="0"/>
          <w:strike w:val="0"/>
          <w:color w:val="000000"/>
          <w:sz w:val="22"/>
          <w:u w:val="none" w:color="000000"/>
          <w:vertAlign w:val="baseline"/>
        </w:rPr>
        <w:t>układzie współrzędnych płaskich prostokątnych</w:t>
      </w:r>
      <w:r>
        <w:rPr>
          <w:rFonts w:ascii="Times New Roman" w:eastAsia="Times New Roman" w:hAnsi="Times New Roman" w:cs="Times New Roman"/>
          <w:b/>
          <w:i w:val="0"/>
          <w:caps w:val="0"/>
          <w:strike w:val="0"/>
          <w:color w:val="000000"/>
          <w:sz w:val="22"/>
          <w:u w:val="none" w:color="000000"/>
          <w:vertAlign w:val="baseline"/>
        </w:rPr>
        <w:br/>
      </w:r>
      <w:r>
        <w:rPr>
          <w:rFonts w:ascii="Times New Roman" w:eastAsia="Times New Roman" w:hAnsi="Times New Roman" w:cs="Times New Roman"/>
          <w:b/>
          <w:i w:val="0"/>
          <w:caps w:val="0"/>
          <w:strike w:val="0"/>
          <w:color w:val="000000"/>
          <w:sz w:val="22"/>
          <w:u w:val="none" w:color="000000"/>
          <w:vertAlign w:val="baseline"/>
        </w:rPr>
        <w:t>PL-1992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
      <w:tblGrid>
        <w:gridCol w:w="2520"/>
        <w:gridCol w:w="2520"/>
        <w:gridCol w:w="2521"/>
        <w:gridCol w:w="252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rPr>
                <w:b/>
                <w:sz w:val="18"/>
              </w:rPr>
              <w:t>Obiekt</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rPr>
                <w:b/>
                <w:sz w:val="18"/>
              </w:rPr>
              <w:t>Nr</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rPr>
                <w:b/>
                <w:sz w:val="18"/>
              </w:rPr>
              <w:t>X</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left"/>
              <w:rPr>
                <w:rFonts w:ascii="Times New Roman" w:eastAsia="Times New Roman" w:hAnsi="Times New Roman" w:cs="Times New Roman"/>
                <w:b w:val="0"/>
                <w:i w:val="0"/>
                <w:caps w:val="0"/>
                <w:strike w:val="0"/>
                <w:color w:val="000000"/>
                <w:sz w:val="22"/>
                <w:u w:val="none" w:color="000000"/>
                <w:vertAlign w:val="baseline"/>
              </w:rPr>
            </w:pPr>
            <w:r>
              <w:rPr>
                <w:b/>
                <w:sz w:val="18"/>
              </w:rPr>
              <w:t>Y</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618092,02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435616,72</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618221,18</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435543,81</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3</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618319,11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435486,51</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618536,01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435359,59</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5</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618565,87</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435329,22</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618603,62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435304,94</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7</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618610,65</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435326,96</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8</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618646,63</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435344,32</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618662,51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435337,23</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10</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618679,08</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435484,81</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618685,69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435543,68</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618683,05</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435546,36</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13</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618638,85</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435608,42</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14</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618647,83</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435609,34</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15</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618694,54</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435596,08</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16</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618703,85</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435623,35</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17</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618699,75</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435643,96</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18</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618656,07</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435674,34</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618602,27</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435636,36</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20</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618453,51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435706,63</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618351,40</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435770,10</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618326,87</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435727,45</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23</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618310,45</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435698,94</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24</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618202,93</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435761,70</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25</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618187,89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435761,18</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26</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618132,38</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435793,86</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27</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618095,55</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435733,69</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28</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618056,65</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435675,07</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618031,09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435651,11</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30</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617771,25</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435797,78</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31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617750,99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435721,62</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32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617750,76</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435720,80</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33</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617735,73</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435666,62</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34</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617721,84</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435616,53</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35</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617704,49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435548,80</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36</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617689,54</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435489,48</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37</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617665,60</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435405,86</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38</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617650,71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435355,80</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39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617643,88</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435336,00</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40</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617671,59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435363,48</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617727,61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435419,06</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617758,89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435450,10</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617773,32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435461,88</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44</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617855,05</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435516,01</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45</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617911,83</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435547,85</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46</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618005,23</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435576,51</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47</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618046,10</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435595,08</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48</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618092,02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435616,72</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617570,83</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435220,34</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617566,55</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435213,61</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3</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617557,95</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435200,13</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617516,82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435135,63</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5</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617566,81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435098,09</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617594,65</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435067,25</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7</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617624,68</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435026,34</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8</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617649,70</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435006,27</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617674,72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434986,19</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10</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617689,48</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434971,21</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617701,56</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434954,05</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617725,80</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434894,43</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13</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617741,46</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434869,35</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14</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617763,80</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434854,58</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15</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617781,88</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434848,76</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16</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617842,69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434853,62</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17</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617915,06</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434806,20</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18</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617941,31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434847,94</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19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617953,39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434869,24</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20</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617957,50</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434876,49</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617970,95</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434884,42</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617974,07</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434886,27</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23</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617976,48</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434887,69</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24</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617978,90</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434889,11</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25</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618000,29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434901,74</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26</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618000,29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434901,74</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27</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618000,29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434901,74</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28</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617910,19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435003,40</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617861,02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435057,95</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30</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617803,80</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435122,67</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31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617802,42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435124,20</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32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617786,89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435141,32</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33</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617781,64</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435147,25</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34</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617747,34</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435186,05</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35</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617744,84</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435188,87</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36</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617743,30</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435190,60</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37</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617711,98</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435225,67</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38</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617635,91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435310,71</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39</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617631,46</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435314,30</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40</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617630,96</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435314,67</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41</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617583,73</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435240,56</w:t>
            </w:r>
          </w:p>
        </w:tc>
      </w:tr>
      <w:tr>
        <w:tblPrEx>
          <w:tblW w:w="5000" w:type="pct"/>
          <w:tblLayout w:type="fixed"/>
          <w:tblCellMar>
            <w:left w:w="108" w:type="dxa"/>
            <w:right w:w="108" w:type="dxa"/>
          </w:tblCellMar>
        </w:tblPrEx>
        <w:trPr>
          <w:trHeight w:val="264"/>
        </w:trPr>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top"/>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42</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617570,83</w:t>
            </w:r>
          </w:p>
        </w:tc>
        <w:tc>
          <w:tcPr>
            <w:tcW w:w="1620" w:type="dxa"/>
            <w:tcBorders>
              <w:top w:val="single" w:sz="2" w:space="0" w:color="auto"/>
              <w:left w:val="single" w:sz="2" w:space="0" w:color="auto"/>
              <w:bottom w:val="single" w:sz="2" w:space="0" w:color="auto"/>
              <w:right w:val="single" w:sz="2" w:space="0" w:color="auto"/>
            </w:tcBorders>
            <w:noWrap w:val="0"/>
            <w:tcMar>
              <w:top w:w="100" w:type="dxa"/>
            </w:tcMar>
            <w:textDirection w:val="lrTb"/>
            <w:vAlign w:val="bottom"/>
          </w:tcPr>
          <w:p w:rsidR="00A77B3E">
            <w:pPr>
              <w:spacing w:before="0" w:after="0"/>
              <w:jc w:val="right"/>
              <w:rPr>
                <w:rFonts w:ascii="Times New Roman" w:eastAsia="Times New Roman" w:hAnsi="Times New Roman" w:cs="Times New Roman"/>
                <w:b w:val="0"/>
                <w:i w:val="0"/>
                <w:caps w:val="0"/>
                <w:strike w:val="0"/>
                <w:color w:val="000000"/>
                <w:sz w:val="22"/>
                <w:u w:val="none" w:color="000000"/>
                <w:vertAlign w:val="baseline"/>
              </w:rPr>
            </w:pPr>
            <w:r>
              <w:rPr>
                <w:sz w:val="18"/>
              </w:rPr>
              <w:t>435220,34</w:t>
            </w:r>
          </w:p>
        </w:tc>
      </w:tr>
    </w:tbl>
    <w:p w:rsidR="00A77B3E">
      <w:pPr>
        <w:keepNext w:val="0"/>
        <w:keepLines w:val="0"/>
        <w:spacing w:before="120" w:after="120" w:line="240" w:lineRule="auto"/>
        <w:ind w:left="283" w:right="0" w:firstLine="227"/>
        <w:jc w:val="right"/>
        <w:rPr>
          <w:rFonts w:ascii="Times New Roman" w:eastAsia="Times New Roman" w:hAnsi="Times New Roman" w:cs="Times New Roman"/>
          <w:b w:val="0"/>
          <w:i w:val="0"/>
          <w:caps w:val="0"/>
          <w:strike w:val="0"/>
          <w:color w:val="000000"/>
          <w:sz w:val="22"/>
          <w:u w:val="none" w:color="000000"/>
          <w:vertAlign w:val="baseline"/>
        </w:rPr>
      </w:pPr>
      <w:r>
        <w:rPr>
          <w:rFonts w:ascii="Times New Roman" w:eastAsia="Times New Roman" w:hAnsi="Times New Roman" w:cs="Times New Roman"/>
          <w:b w:val="0"/>
          <w:i w:val="0"/>
          <w:caps w:val="0"/>
          <w:strike w:val="0"/>
          <w:color w:val="000000"/>
          <w:sz w:val="22"/>
          <w:u w:val="none" w:color="000000"/>
          <w:vertAlign w:val="baseline"/>
        </w:rPr>
        <w:drawing>
          <wp:inline>
            <wp:extent cx="2639568" cy="1042416"/>
            <wp:docPr id="100015" name="" descr="Obraz w treści dokumen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5" r:link="rId20"/>
                    <a:stretch>
                      <a:fillRect/>
                    </a:stretch>
                  </pic:blipFill>
                  <pic:spPr>
                    <a:xfrm>
                      <a:off x="0" y="0"/>
                      <a:ext cx="2639568" cy="1042416"/>
                    </a:xfrm>
                    <a:prstGeom prst="rect">
                      <a:avLst/>
                    </a:prstGeom>
                  </pic:spPr>
                </pic:pic>
              </a:graphicData>
            </a:graphic>
          </wp:inline>
        </w:drawing>
      </w:r>
    </w:p>
    <w:p w:rsidR="00A77B3E">
      <w:pPr>
        <w:keepNext w:val="0"/>
        <w:keepLines w:val="0"/>
        <w:spacing w:before="120" w:after="120" w:line="240" w:lineRule="auto"/>
        <w:ind w:left="283" w:right="0" w:firstLine="227"/>
        <w:jc w:val="right"/>
        <w:rPr>
          <w:rFonts w:ascii="Times New Roman" w:eastAsia="Times New Roman" w:hAnsi="Times New Roman" w:cs="Times New Roman"/>
          <w:b w:val="0"/>
          <w:i w:val="0"/>
          <w:caps w:val="0"/>
          <w:strike w:val="0"/>
          <w:color w:val="000000"/>
          <w:sz w:val="22"/>
          <w:u w:val="none" w:color="000000"/>
          <w:vertAlign w:val="baseline"/>
        </w:rPr>
        <w:sectPr>
          <w:footerReference w:type="default" r:id="rId21"/>
          <w:endnotePr>
            <w:numFmt w:val="decimal"/>
          </w:endnotePr>
          <w:type w:val="nextPage"/>
          <w:pgSz w:w="11906" w:h="16838"/>
          <w:pgMar w:top="992" w:right="1020" w:bottom="992" w:left="1020" w:header="708" w:footer="708" w:gutter="0"/>
          <w:pgNumType w:start="1"/>
          <w:cols w:space="708"/>
          <w:docGrid w:linePitch="360"/>
        </w:sectPr>
      </w:pPr>
    </w:p>
    <w:p>
      <w:pPr>
        <w:keepNext w:val="0"/>
        <w:keepLines w:val="0"/>
        <w:widowControl/>
        <w:suppressLineNumbers w:val="0"/>
        <w:shd w:val="clear" w:color="auto" w:fill="auto"/>
        <w:suppressAutoHyphens w:val="0"/>
        <w:spacing w:before="0" w:beforeAutospacing="0" w:after="0" w:afterAutospacing="0" w:line="240" w:lineRule="auto"/>
        <w:ind w:left="0" w:right="0" w:firstLine="0"/>
        <w:contextualSpacing w:val="0"/>
        <w:jc w:val="left"/>
        <w:rPr>
          <w:color w:val="000000"/>
          <w:sz w:val="22"/>
          <w:szCs w:val="20"/>
          <w:shd w:val="clear" w:color="auto" w:fill="FFFFFF"/>
          <w:lang w:val="x-none" w:eastAsia="en-US" w:bidi="ar-SA"/>
        </w:rPr>
      </w:pPr>
    </w:p>
    <w:p>
      <w:pPr>
        <w:keepNext w:val="0"/>
        <w:keepLines w:val="0"/>
        <w:widowControl/>
        <w:suppressLineNumbers w:val="0"/>
        <w:shd w:val="clear" w:color="auto" w:fill="auto"/>
        <w:suppressAutoHyphens w:val="0"/>
        <w:spacing w:before="0" w:beforeAutospacing="0" w:after="0" w:afterAutospacing="0" w:line="360" w:lineRule="auto"/>
        <w:ind w:left="0" w:right="0" w:firstLine="0"/>
        <w:contextualSpacing w:val="0"/>
        <w:jc w:val="center"/>
        <w:rPr>
          <w:b/>
          <w:caps/>
          <w:color w:val="000000"/>
          <w:szCs w:val="20"/>
          <w:shd w:val="clear" w:color="auto" w:fill="FFFFFF"/>
          <w:lang w:val="x-none" w:eastAsia="en-US" w:bidi="ar-SA"/>
        </w:rPr>
      </w:pPr>
      <w:r>
        <w:rPr>
          <w:b/>
          <w:caps/>
          <w:color w:val="000000"/>
          <w:szCs w:val="20"/>
          <w:shd w:val="clear" w:color="auto" w:fill="FFFFFF"/>
          <w:lang w:val="x-none" w:eastAsia="en-US" w:bidi="ar-SA"/>
        </w:rPr>
        <w:t>u</w:t>
      </w:r>
      <w:r>
        <w:rPr>
          <w:b/>
          <w:caps/>
          <w:color w:val="000000"/>
          <w:szCs w:val="20"/>
          <w:shd w:val="clear" w:color="auto" w:fill="FFFFFF"/>
        </w:rPr>
        <w:t>ZASADNIENIE</w:t>
      </w:r>
    </w:p>
    <w:p>
      <w:pPr>
        <w:keepNext w:val="0"/>
        <w:keepLines w:val="0"/>
        <w:widowControl/>
        <w:suppressLineNumbers w:val="0"/>
        <w:shd w:val="clear" w:color="auto" w:fill="auto"/>
        <w:suppressAutoHyphens w:val="0"/>
        <w:spacing w:before="0" w:beforeAutospacing="0" w:after="0" w:afterAutospacing="0" w:line="276" w:lineRule="auto"/>
        <w:ind w:left="0" w:right="0" w:firstLine="0"/>
        <w:contextualSpacing w:val="0"/>
        <w:jc w:val="center"/>
        <w:rPr>
          <w:b/>
          <w:caps/>
          <w:color w:val="000000"/>
          <w:szCs w:val="20"/>
          <w:shd w:val="clear" w:color="auto" w:fill="FFFFFF"/>
          <w:lang w:val="x-none" w:eastAsia="en-US" w:bidi="ar-SA"/>
        </w:rPr>
      </w:pPr>
    </w:p>
    <w:p>
      <w:pPr>
        <w:keepNext w:val="0"/>
        <w:keepLines w:val="0"/>
        <w:widowControl/>
        <w:suppressLineNumbers w:val="0"/>
        <w:shd w:val="clear" w:color="auto" w:fill="auto"/>
        <w:suppressAutoHyphens w:val="0"/>
        <w:spacing w:before="0" w:beforeAutospacing="0" w:after="0" w:afterAutospacing="0" w:line="276" w:lineRule="auto"/>
        <w:ind w:left="0" w:right="0" w:firstLine="720"/>
        <w:contextualSpacing w:val="0"/>
        <w:rPr>
          <w:color w:val="000000"/>
          <w:szCs w:val="20"/>
          <w:u w:color="000000"/>
          <w:shd w:val="clear" w:color="auto" w:fill="FFFFFF"/>
          <w:lang w:val="x-none" w:eastAsia="en-US" w:bidi="ar-SA"/>
        </w:rPr>
      </w:pPr>
      <w:r>
        <w:rPr>
          <w:color w:val="000000"/>
          <w:szCs w:val="20"/>
          <w:u w:color="000000"/>
          <w:shd w:val="clear" w:color="auto" w:fill="FFFFFF"/>
          <w:lang w:val="x-none" w:eastAsia="en-US" w:bidi="ar-SA"/>
        </w:rPr>
        <w:t xml:space="preserve">Na  podstawie  art.  13  ust. 3 ustawy  z dnia  16 kwietnia  2004 roku  o ochronie  przyrody  </w:t>
      </w:r>
    </w:p>
    <w:p>
      <w:pPr>
        <w:keepNext w:val="0"/>
        <w:keepLines w:val="0"/>
        <w:widowControl/>
        <w:suppressLineNumbers w:val="0"/>
        <w:shd w:val="clear" w:color="auto" w:fill="auto"/>
        <w:suppressAutoHyphens w:val="0"/>
        <w:spacing w:before="0" w:beforeAutospacing="0" w:after="0" w:afterAutospacing="0" w:line="276" w:lineRule="auto"/>
        <w:ind w:left="0" w:right="0" w:firstLine="0"/>
        <w:contextualSpacing w:val="0"/>
        <w:rPr>
          <w:color w:val="000000"/>
          <w:szCs w:val="20"/>
          <w:u w:color="000000"/>
          <w:shd w:val="clear" w:color="auto" w:fill="FFFFFF"/>
          <w:lang w:val="x-none" w:eastAsia="en-US" w:bidi="ar-SA"/>
        </w:rPr>
      </w:pPr>
      <w:r>
        <w:rPr>
          <w:color w:val="000000"/>
          <w:szCs w:val="20"/>
          <w:u w:color="000000"/>
          <w:shd w:val="clear" w:color="auto" w:fill="FFFFFF"/>
          <w:lang w:val="x-none" w:eastAsia="en-US" w:bidi="ar-SA"/>
        </w:rPr>
        <w:t>(</w:t>
      </w:r>
      <w:r>
        <w:rPr>
          <w:color w:val="000000"/>
          <w:szCs w:val="20"/>
          <w:u w:color="000000"/>
          <w:shd w:val="clear" w:color="auto" w:fill="FFFFFF"/>
        </w:rPr>
        <w:t xml:space="preserve">t.j. </w:t>
      </w:r>
      <w:r>
        <w:rPr>
          <w:color w:val="000000"/>
          <w:szCs w:val="20"/>
          <w:u w:color="000000"/>
          <w:shd w:val="clear" w:color="auto" w:fill="FFFFFF"/>
          <w:lang w:val="x-none" w:eastAsia="en-US" w:bidi="ar-SA"/>
        </w:rPr>
        <w:t>Dz. U. z 202</w:t>
      </w:r>
      <w:r>
        <w:rPr>
          <w:color w:val="000000"/>
          <w:szCs w:val="20"/>
          <w:u w:color="000000"/>
          <w:shd w:val="clear" w:color="auto" w:fill="FFFFFF"/>
        </w:rPr>
        <w:t>4</w:t>
      </w:r>
      <w:r>
        <w:rPr>
          <w:color w:val="000000"/>
          <w:szCs w:val="20"/>
          <w:u w:color="000000"/>
          <w:shd w:val="clear" w:color="auto" w:fill="FFFFFF"/>
          <w:lang w:val="x-none" w:eastAsia="en-US" w:bidi="ar-SA"/>
        </w:rPr>
        <w:t xml:space="preserve"> r. poz. </w:t>
      </w:r>
      <w:r>
        <w:rPr>
          <w:color w:val="000000"/>
          <w:szCs w:val="20"/>
          <w:u w:color="000000"/>
          <w:shd w:val="clear" w:color="auto" w:fill="FFFFFF"/>
        </w:rPr>
        <w:t>1478</w:t>
      </w:r>
      <w:r>
        <w:rPr>
          <w:color w:val="000000"/>
          <w:szCs w:val="20"/>
          <w:u w:color="000000"/>
          <w:shd w:val="clear" w:color="auto" w:fill="FFFFFF"/>
          <w:lang w:val="x-none" w:eastAsia="en-US" w:bidi="ar-SA"/>
        </w:rPr>
        <w:t xml:space="preserve">) uznanie za rezerwat przyrody następuje w drodze aktu prawa miejscowego w formie zarządzenia regionalnego dyrektora ochrony środowiska, które określa jego nazwę,  położenie  lub  przebieg  granicy  i  otulinę,  jeżeli  została  wyznaczona,  cele  ochrony  </w:t>
      </w:r>
      <w:r>
        <w:rPr>
          <w:color w:val="000000"/>
          <w:szCs w:val="20"/>
          <w:u w:color="000000"/>
          <w:shd w:val="clear" w:color="auto" w:fill="FFFFFF"/>
        </w:rPr>
        <w:br/>
        <w:t>o</w:t>
      </w:r>
      <w:r>
        <w:rPr>
          <w:color w:val="000000"/>
          <w:szCs w:val="20"/>
          <w:u w:color="000000"/>
          <w:shd w:val="clear" w:color="auto" w:fill="FFFFFF"/>
          <w:lang w:val="x-none" w:eastAsia="en-US" w:bidi="ar-SA"/>
        </w:rPr>
        <w:t xml:space="preserve">raz rodzaj, typ i podtyp rezerwatu przyrody, a także sprawującego nadzór nad rezerwatem.  </w:t>
      </w:r>
    </w:p>
    <w:p>
      <w:pPr>
        <w:keepNext w:val="0"/>
        <w:keepLines w:val="0"/>
        <w:widowControl/>
        <w:suppressLineNumbers w:val="0"/>
        <w:shd w:val="clear" w:color="auto" w:fill="auto"/>
        <w:suppressAutoHyphens w:val="0"/>
        <w:spacing w:before="0" w:beforeAutospacing="0" w:after="0" w:afterAutospacing="0" w:line="276" w:lineRule="auto"/>
        <w:ind w:left="0" w:right="0" w:firstLine="720"/>
        <w:contextualSpacing w:val="0"/>
        <w:rPr>
          <w:color w:val="000000"/>
          <w:szCs w:val="20"/>
          <w:u w:color="000000"/>
          <w:shd w:val="clear" w:color="auto" w:fill="FFFFFF"/>
          <w:lang w:val="x-none" w:eastAsia="en-US" w:bidi="ar-SA"/>
        </w:rPr>
      </w:pPr>
      <w:r>
        <w:rPr>
          <w:color w:val="000000"/>
          <w:szCs w:val="20"/>
          <w:u w:color="000000"/>
          <w:shd w:val="clear" w:color="auto" w:fill="FFFFFF"/>
          <w:lang w:val="x-none" w:eastAsia="en-US" w:bidi="ar-SA"/>
        </w:rPr>
        <w:t xml:space="preserve">Rezerwat przyrody „Bruchniewska Ostoja” o powierzchni 43,30 ha zlokalizowany jest </w:t>
      </w:r>
      <w:r>
        <w:rPr>
          <w:color w:val="000000"/>
          <w:szCs w:val="20"/>
          <w:u w:color="000000"/>
          <w:shd w:val="clear" w:color="auto" w:fill="FFFFFF"/>
        </w:rPr>
        <w:br/>
      </w:r>
      <w:r>
        <w:rPr>
          <w:color w:val="000000"/>
          <w:szCs w:val="20"/>
          <w:u w:color="000000"/>
          <w:shd w:val="clear" w:color="auto" w:fill="FFFFFF"/>
          <w:lang w:val="x-none" w:eastAsia="en-US" w:bidi="ar-SA"/>
        </w:rPr>
        <w:t>na terenie gminy Lubiewo, w powiecie tucholskim, w województwie kujawsko-pomorskim. W dniu</w:t>
      </w:r>
      <w:r>
        <w:rPr>
          <w:color w:val="000000"/>
          <w:szCs w:val="20"/>
          <w:u w:color="000000"/>
          <w:shd w:val="clear" w:color="auto" w:fill="FFFFFF"/>
        </w:rPr>
        <w:t xml:space="preserve"> </w:t>
      </w:r>
      <w:r>
        <w:rPr>
          <w:color w:val="000000"/>
          <w:szCs w:val="20"/>
          <w:u w:color="000000"/>
          <w:shd w:val="clear" w:color="auto" w:fill="FFFFFF"/>
          <w:lang w:val="x-none" w:eastAsia="en-US" w:bidi="ar-SA"/>
        </w:rPr>
        <w:t xml:space="preserve">17 czerwca  2024 r.  do  Regionalnej  Dyrekcji  Ochrony  Środowiska  w  Bydgoszczy,  wpłynął wniosek  Nadleśnictwa  Zamrzenica,  o  utworzenie  powyższego  rezerwatu  przyrody.  Zgodnie  z otrzymanym wnioskiem proponowany do objęcia ochroną rezerwatową obszar stanowi mozaikę różnych zróżnicowanych wiekowo i gatunkowo lasów, pozostających w mniejszym lub większym stopniu pod wpływem wód Jeziora Suskiego Wielkiego. Na obszarach graniczących z rezerwatem wyznacza się otulinę o powierzchni </w:t>
      </w:r>
      <w:r>
        <w:rPr>
          <w:color w:val="000000"/>
          <w:szCs w:val="20"/>
          <w:u w:color="000000"/>
          <w:shd w:val="clear" w:color="auto" w:fill="FFFFFF"/>
        </w:rPr>
        <w:t>32,88</w:t>
      </w:r>
      <w:r>
        <w:rPr>
          <w:color w:val="000000"/>
          <w:szCs w:val="20"/>
          <w:u w:color="000000"/>
          <w:shd w:val="clear" w:color="auto" w:fill="FFFFFF"/>
          <w:lang w:val="x-none" w:eastAsia="en-US" w:bidi="ar-SA"/>
        </w:rPr>
        <w:t xml:space="preserve"> ha. </w:t>
      </w:r>
    </w:p>
    <w:p>
      <w:pPr>
        <w:keepNext w:val="0"/>
        <w:keepLines w:val="0"/>
        <w:widowControl/>
        <w:suppressLineNumbers w:val="0"/>
        <w:shd w:val="clear" w:color="auto" w:fill="auto"/>
        <w:suppressAutoHyphens w:val="0"/>
        <w:spacing w:before="0" w:beforeAutospacing="0" w:after="0" w:afterAutospacing="0" w:line="276" w:lineRule="auto"/>
        <w:ind w:left="0" w:right="0" w:firstLine="720"/>
        <w:contextualSpacing w:val="0"/>
        <w:rPr>
          <w:color w:val="000000"/>
          <w:szCs w:val="20"/>
          <w:u w:color="000000"/>
          <w:shd w:val="clear" w:color="auto" w:fill="FFFFFF"/>
          <w:lang w:val="x-none" w:eastAsia="en-US" w:bidi="ar-SA"/>
        </w:rPr>
      </w:pPr>
      <w:r>
        <w:rPr>
          <w:color w:val="000000"/>
          <w:szCs w:val="20"/>
          <w:u w:color="000000"/>
          <w:shd w:val="clear" w:color="auto" w:fill="FFFFFF"/>
          <w:lang w:val="x-none" w:eastAsia="en-US" w:bidi="ar-SA"/>
        </w:rPr>
        <w:t xml:space="preserve">Dane  o  proponowanym  rezerwacie  pochodzą,  między  innymi,  z  dokumentacji  związanej z Planem  Urządzenia  Lasu,  opracowanego  dla  Nadleśnictwa  Zamrzenica  na  lata  2016-2025, lustracji terenowej oraz wizji terenowych przeprowadzonych w kwietniu 2024 r. </w:t>
      </w:r>
    </w:p>
    <w:p>
      <w:pPr>
        <w:keepNext w:val="0"/>
        <w:keepLines w:val="0"/>
        <w:widowControl/>
        <w:suppressLineNumbers w:val="0"/>
        <w:shd w:val="clear" w:color="auto" w:fill="auto"/>
        <w:suppressAutoHyphens w:val="0"/>
        <w:spacing w:before="0" w:beforeAutospacing="0" w:after="0" w:afterAutospacing="0" w:line="276" w:lineRule="auto"/>
        <w:ind w:left="0" w:right="0" w:firstLine="720"/>
        <w:contextualSpacing w:val="0"/>
        <w:rPr>
          <w:color w:val="000000"/>
          <w:szCs w:val="20"/>
          <w:u w:color="000000"/>
          <w:shd w:val="clear" w:color="auto" w:fill="FFFFFF"/>
          <w:lang w:val="x-none" w:eastAsia="en-US" w:bidi="ar-SA"/>
        </w:rPr>
      </w:pPr>
      <w:r>
        <w:rPr>
          <w:color w:val="000000"/>
          <w:szCs w:val="20"/>
          <w:u w:color="000000"/>
          <w:shd w:val="clear" w:color="auto" w:fill="FFFFFF"/>
          <w:lang w:val="x-none" w:eastAsia="en-US" w:bidi="ar-SA"/>
        </w:rPr>
        <w:t xml:space="preserve">W    kontekście    siedliskowym,    największy    udział    w    powierzchni    proponowanego rezerwatu  ma  siedlisko  lasu  mieszanego  świeżego,  obecny  jest  także  większy  fragment siedliska  lasu  świeżego  oraz  płaty  olsów,  związanych  z  lokalnymi  zagłębieniami terenu. Drzewostany przedmiotowego obszaru zbudowane są z głównie sosny w wieku do 159 lat, dębu szypułkowego do 159 lat, buka pospolitego do 134 lat, modrzewia europejskiego do 134 lat, brzozy do  63  lat,  olszy  czarnej  do  134  lat,  grabu  pospolitego  do  101  lat,  jawora  do  63  lat. </w:t>
      </w:r>
      <w:r>
        <w:rPr>
          <w:color w:val="000000"/>
          <w:szCs w:val="20"/>
          <w:u w:color="000000"/>
          <w:shd w:val="clear" w:color="auto" w:fill="FFFFFF"/>
        </w:rPr>
        <w:br/>
      </w:r>
      <w:r>
        <w:rPr>
          <w:color w:val="000000"/>
          <w:szCs w:val="20"/>
          <w:u w:color="000000"/>
          <w:shd w:val="clear" w:color="auto" w:fill="FFFFFF"/>
          <w:lang w:val="x-none" w:eastAsia="en-US" w:bidi="ar-SA"/>
        </w:rPr>
        <w:t xml:space="preserve">W runie obecne są m.in. konwalijka dwulistna </w:t>
      </w:r>
      <w:r>
        <w:rPr>
          <w:i/>
          <w:color w:val="000000"/>
          <w:szCs w:val="20"/>
          <w:u w:color="000000"/>
          <w:shd w:val="clear" w:color="auto" w:fill="FFFFFF"/>
          <w:lang w:val="x-none" w:eastAsia="en-US" w:bidi="ar-SA"/>
        </w:rPr>
        <w:t>Maianthemum bifolium</w:t>
      </w:r>
      <w:r>
        <w:rPr>
          <w:color w:val="000000"/>
          <w:szCs w:val="20"/>
          <w:u w:color="000000"/>
          <w:shd w:val="clear" w:color="auto" w:fill="FFFFFF"/>
          <w:lang w:val="x-none" w:eastAsia="en-US" w:bidi="ar-SA"/>
        </w:rPr>
        <w:t xml:space="preserve">, zawilec gajowy </w:t>
      </w:r>
      <w:r>
        <w:rPr>
          <w:i/>
          <w:color w:val="000000"/>
          <w:szCs w:val="20"/>
          <w:u w:color="000000"/>
          <w:shd w:val="clear" w:color="auto" w:fill="FFFFFF"/>
          <w:lang w:val="x-none" w:eastAsia="en-US" w:bidi="ar-SA"/>
        </w:rPr>
        <w:t>Anemone nemorosa</w:t>
      </w:r>
      <w:r>
        <w:rPr>
          <w:color w:val="000000"/>
          <w:szCs w:val="20"/>
          <w:u w:color="000000"/>
          <w:shd w:val="clear" w:color="auto" w:fill="FFFFFF"/>
          <w:lang w:val="x-none" w:eastAsia="en-US" w:bidi="ar-SA"/>
        </w:rPr>
        <w:t xml:space="preserve">, ziarnopłon wiosenny </w:t>
      </w:r>
      <w:r>
        <w:rPr>
          <w:i/>
          <w:color w:val="000000"/>
          <w:szCs w:val="20"/>
          <w:u w:color="000000"/>
          <w:shd w:val="clear" w:color="auto" w:fill="FFFFFF"/>
          <w:lang w:val="x-none" w:eastAsia="en-US" w:bidi="ar-SA"/>
        </w:rPr>
        <w:t>Ficaria verna</w:t>
      </w:r>
      <w:r>
        <w:rPr>
          <w:color w:val="000000"/>
          <w:szCs w:val="20"/>
          <w:u w:color="000000"/>
          <w:shd w:val="clear" w:color="auto" w:fill="FFFFFF"/>
          <w:lang w:val="x-none" w:eastAsia="en-US" w:bidi="ar-SA"/>
        </w:rPr>
        <w:t xml:space="preserve">, czosnaczek pospolity </w:t>
      </w:r>
      <w:r>
        <w:rPr>
          <w:i/>
          <w:color w:val="000000"/>
          <w:szCs w:val="20"/>
          <w:u w:color="000000"/>
          <w:shd w:val="clear" w:color="auto" w:fill="FFFFFF"/>
          <w:lang w:val="x-none" w:eastAsia="en-US" w:bidi="ar-SA"/>
        </w:rPr>
        <w:t>Alliaria petiolata</w:t>
      </w:r>
      <w:r>
        <w:rPr>
          <w:color w:val="000000"/>
          <w:szCs w:val="20"/>
          <w:u w:color="000000"/>
          <w:shd w:val="clear" w:color="auto" w:fill="FFFFFF"/>
          <w:lang w:val="x-none" w:eastAsia="en-US" w:bidi="ar-SA"/>
        </w:rPr>
        <w:t xml:space="preserve">, pokrzywa zwyczajna </w:t>
      </w:r>
      <w:r>
        <w:rPr>
          <w:i/>
          <w:color w:val="000000"/>
          <w:szCs w:val="20"/>
          <w:u w:color="000000"/>
          <w:shd w:val="clear" w:color="auto" w:fill="FFFFFF"/>
          <w:lang w:val="x-none" w:eastAsia="en-US" w:bidi="ar-SA"/>
        </w:rPr>
        <w:t>Urtica dioica</w:t>
      </w:r>
      <w:r>
        <w:rPr>
          <w:color w:val="000000"/>
          <w:szCs w:val="20"/>
          <w:u w:color="000000"/>
          <w:shd w:val="clear" w:color="auto" w:fill="FFFFFF"/>
          <w:lang w:val="x-none" w:eastAsia="en-US" w:bidi="ar-SA"/>
        </w:rPr>
        <w:t xml:space="preserve">, podagrycznik pospolity </w:t>
      </w:r>
      <w:r>
        <w:rPr>
          <w:i/>
          <w:color w:val="000000"/>
          <w:szCs w:val="20"/>
          <w:u w:color="000000"/>
          <w:shd w:val="clear" w:color="auto" w:fill="FFFFFF"/>
          <w:lang w:val="x-none" w:eastAsia="en-US" w:bidi="ar-SA"/>
        </w:rPr>
        <w:t>Aegopodium podagraria,</w:t>
      </w:r>
      <w:r>
        <w:rPr>
          <w:color w:val="000000"/>
          <w:szCs w:val="20"/>
          <w:u w:color="000000"/>
          <w:shd w:val="clear" w:color="auto" w:fill="FFFFFF"/>
          <w:lang w:val="x-none" w:eastAsia="en-US" w:bidi="ar-SA"/>
        </w:rPr>
        <w:t xml:space="preserve"> wiechlina gajowa </w:t>
      </w:r>
      <w:r>
        <w:rPr>
          <w:color w:val="000000"/>
          <w:szCs w:val="20"/>
          <w:u w:color="000000"/>
          <w:shd w:val="clear" w:color="auto" w:fill="FFFFFF"/>
          <w:lang w:val="x-none" w:eastAsia="en-US" w:bidi="ar-SA"/>
        </w:rPr>
        <w:t>Poa nemoralis,</w:t>
      </w:r>
      <w:r>
        <w:rPr>
          <w:color w:val="000000"/>
          <w:szCs w:val="20"/>
          <w:u w:color="000000"/>
          <w:shd w:val="clear" w:color="auto" w:fill="FFFFFF"/>
          <w:lang w:val="x-none" w:eastAsia="en-US" w:bidi="ar-SA"/>
        </w:rPr>
        <w:t xml:space="preserve">  orlica  pospolita  </w:t>
      </w:r>
      <w:r>
        <w:rPr>
          <w:i/>
          <w:color w:val="000000"/>
          <w:szCs w:val="20"/>
          <w:u w:color="000000"/>
          <w:shd w:val="clear" w:color="auto" w:fill="FFFFFF"/>
          <w:lang w:val="x-none" w:eastAsia="en-US" w:bidi="ar-SA"/>
        </w:rPr>
        <w:t>Pteridium  aquilinum</w:t>
      </w:r>
      <w:r>
        <w:rPr>
          <w:color w:val="000000"/>
          <w:szCs w:val="20"/>
          <w:u w:color="000000"/>
          <w:shd w:val="clear" w:color="auto" w:fill="FFFFFF"/>
          <w:lang w:val="x-none" w:eastAsia="en-US" w:bidi="ar-SA"/>
        </w:rPr>
        <w:t xml:space="preserve">,  przytulia  czepna  </w:t>
      </w:r>
      <w:r>
        <w:rPr>
          <w:i/>
          <w:color w:val="000000"/>
          <w:szCs w:val="20"/>
          <w:u w:color="000000"/>
          <w:shd w:val="clear" w:color="auto" w:fill="FFFFFF"/>
          <w:lang w:val="x-none" w:eastAsia="en-US" w:bidi="ar-SA"/>
        </w:rPr>
        <w:t>Galium  aparine</w:t>
      </w:r>
      <w:r>
        <w:rPr>
          <w:color w:val="000000"/>
          <w:szCs w:val="20"/>
          <w:u w:color="000000"/>
          <w:shd w:val="clear" w:color="auto" w:fill="FFFFFF"/>
          <w:lang w:val="x-none" w:eastAsia="en-US" w:bidi="ar-SA"/>
        </w:rPr>
        <w:t xml:space="preserve">,  barwinek  pospolity  </w:t>
      </w:r>
      <w:r>
        <w:rPr>
          <w:i/>
          <w:color w:val="000000"/>
          <w:szCs w:val="20"/>
          <w:u w:color="000000"/>
          <w:shd w:val="clear" w:color="auto" w:fill="FFFFFF"/>
          <w:lang w:val="x-none" w:eastAsia="en-US" w:bidi="ar-SA"/>
        </w:rPr>
        <w:t>Vinca  minor</w:t>
      </w:r>
      <w:r>
        <w:rPr>
          <w:color w:val="000000"/>
          <w:szCs w:val="20"/>
          <w:u w:color="000000"/>
          <w:shd w:val="clear" w:color="auto" w:fill="FFFFFF"/>
          <w:lang w:val="x-none" w:eastAsia="en-US" w:bidi="ar-SA"/>
        </w:rPr>
        <w:t xml:space="preserve">,  </w:t>
      </w:r>
      <w:r>
        <w:rPr>
          <w:color w:val="000000"/>
          <w:szCs w:val="20"/>
          <w:u w:color="000000"/>
          <w:shd w:val="clear" w:color="auto" w:fill="FFFFFF"/>
        </w:rPr>
        <w:t>j</w:t>
      </w:r>
      <w:r>
        <w:rPr>
          <w:color w:val="000000"/>
          <w:szCs w:val="20"/>
          <w:u w:color="000000"/>
          <w:shd w:val="clear" w:color="auto" w:fill="FFFFFF"/>
          <w:lang w:val="x-none" w:eastAsia="en-US" w:bidi="ar-SA"/>
        </w:rPr>
        <w:t xml:space="preserve">eżyny  </w:t>
      </w:r>
      <w:r>
        <w:rPr>
          <w:i/>
          <w:color w:val="000000"/>
          <w:szCs w:val="20"/>
          <w:u w:color="000000"/>
          <w:shd w:val="clear" w:color="auto" w:fill="FFFFFF"/>
          <w:lang w:val="x-none" w:eastAsia="en-US" w:bidi="ar-SA"/>
        </w:rPr>
        <w:t>Rubus  sp</w:t>
      </w:r>
      <w:r>
        <w:rPr>
          <w:color w:val="000000"/>
          <w:szCs w:val="20"/>
          <w:u w:color="000000"/>
          <w:shd w:val="clear" w:color="auto" w:fill="FFFFFF"/>
          <w:lang w:val="x-none" w:eastAsia="en-US" w:bidi="ar-SA"/>
        </w:rPr>
        <w:t xml:space="preserve">.,  konwalia  majowa  </w:t>
      </w:r>
      <w:r>
        <w:rPr>
          <w:i/>
          <w:color w:val="000000"/>
          <w:szCs w:val="20"/>
          <w:u w:color="000000"/>
          <w:shd w:val="clear" w:color="auto" w:fill="FFFFFF"/>
          <w:lang w:val="x-none" w:eastAsia="en-US" w:bidi="ar-SA"/>
        </w:rPr>
        <w:t>Convallaria  majalis</w:t>
      </w:r>
      <w:r>
        <w:rPr>
          <w:color w:val="000000"/>
          <w:szCs w:val="20"/>
          <w:u w:color="000000"/>
          <w:shd w:val="clear" w:color="auto" w:fill="FFFFFF"/>
          <w:lang w:val="x-none" w:eastAsia="en-US" w:bidi="ar-SA"/>
        </w:rPr>
        <w:t xml:space="preserve">, perłówka zwisła </w:t>
      </w:r>
      <w:r>
        <w:rPr>
          <w:i/>
          <w:color w:val="000000"/>
          <w:szCs w:val="20"/>
          <w:u w:color="000000"/>
          <w:shd w:val="clear" w:color="auto" w:fill="FFFFFF"/>
          <w:lang w:val="x-none" w:eastAsia="en-US" w:bidi="ar-SA"/>
        </w:rPr>
        <w:t>Melica nutans</w:t>
      </w:r>
      <w:r>
        <w:rPr>
          <w:color w:val="000000"/>
          <w:szCs w:val="20"/>
          <w:u w:color="000000"/>
          <w:shd w:val="clear" w:color="auto" w:fill="FFFFFF"/>
          <w:lang w:val="x-none" w:eastAsia="en-US" w:bidi="ar-SA"/>
        </w:rPr>
        <w:t xml:space="preserve">.  </w:t>
      </w:r>
    </w:p>
    <w:p>
      <w:pPr>
        <w:keepNext w:val="0"/>
        <w:keepLines w:val="0"/>
        <w:widowControl/>
        <w:suppressLineNumbers w:val="0"/>
        <w:shd w:val="clear" w:color="auto" w:fill="auto"/>
        <w:suppressAutoHyphens w:val="0"/>
        <w:spacing w:before="0" w:beforeAutospacing="0" w:after="0" w:afterAutospacing="0" w:line="276" w:lineRule="auto"/>
        <w:ind w:left="0" w:right="0" w:firstLine="720"/>
        <w:contextualSpacing w:val="0"/>
        <w:rPr>
          <w:color w:val="000000"/>
          <w:szCs w:val="20"/>
          <w:u w:color="000000"/>
          <w:shd w:val="clear" w:color="auto" w:fill="FFFFFF"/>
          <w:lang w:val="x-none" w:eastAsia="en-US" w:bidi="ar-SA"/>
        </w:rPr>
      </w:pPr>
      <w:r>
        <w:rPr>
          <w:color w:val="000000"/>
          <w:szCs w:val="20"/>
          <w:u w:color="000000"/>
          <w:shd w:val="clear" w:color="auto" w:fill="FFFFFF"/>
          <w:lang w:val="x-none" w:eastAsia="en-US" w:bidi="ar-SA"/>
        </w:rPr>
        <w:t>Wspomniane wyżej zróżnicowane pod względem struktury gatunkowej oraz wiekowej lasy,  tworzą  bardzo  dobre  warunki  siedliskowe  dla  różnych  gatunków  zwierząt,  w  tym dziuplaków związanych ze środowiskiem wodnym,  bielika (cały rezerwat znajduje się w strefie</w:t>
      </w:r>
      <w:r>
        <w:rPr>
          <w:color w:val="000000"/>
          <w:szCs w:val="20"/>
          <w:u w:color="000000"/>
          <w:shd w:val="clear" w:color="auto" w:fill="FFFFFF"/>
        </w:rPr>
        <w:t xml:space="preserve"> </w:t>
      </w:r>
      <w:r>
        <w:rPr>
          <w:color w:val="000000"/>
          <w:szCs w:val="20"/>
          <w:u w:color="000000"/>
          <w:shd w:val="clear" w:color="auto" w:fill="FFFFFF"/>
          <w:lang w:val="x-none" w:eastAsia="en-US" w:bidi="ar-SA"/>
        </w:rPr>
        <w:t xml:space="preserve">ochrony dla </w:t>
      </w:r>
      <w:r>
        <w:rPr>
          <w:color w:val="000000"/>
          <w:szCs w:val="20"/>
          <w:u w:color="000000"/>
          <w:shd w:val="clear" w:color="auto" w:fill="FFFFFF"/>
        </w:rPr>
        <w:t xml:space="preserve">gatunku) </w:t>
      </w:r>
      <w:r>
        <w:rPr>
          <w:color w:val="000000"/>
          <w:szCs w:val="20"/>
          <w:u w:color="000000"/>
          <w:shd w:val="clear" w:color="auto" w:fill="FFFFFF"/>
          <w:lang w:val="x-none" w:eastAsia="en-US" w:bidi="ar-SA"/>
        </w:rPr>
        <w:t xml:space="preserve">oraz  wilka,  dla  których  zidentyfikowano  także  miejsca  rozrodu.  </w:t>
      </w:r>
      <w:r>
        <w:rPr>
          <w:color w:val="000000"/>
          <w:szCs w:val="20"/>
          <w:u w:color="000000"/>
          <w:shd w:val="clear" w:color="auto" w:fill="FFFFFF"/>
        </w:rPr>
        <w:br/>
      </w:r>
      <w:r>
        <w:rPr>
          <w:color w:val="000000"/>
          <w:szCs w:val="20"/>
          <w:u w:color="000000"/>
          <w:shd w:val="clear" w:color="auto" w:fill="FFFFFF"/>
          <w:lang w:val="x-none" w:eastAsia="en-US" w:bidi="ar-SA"/>
        </w:rPr>
        <w:t xml:space="preserve">Na  terenie proponowanego  rezerwatu  znajduje  się  pomnik  przyrody  –  wyróżniający  </w:t>
      </w:r>
      <w:r>
        <w:rPr>
          <w:color w:val="000000"/>
          <w:szCs w:val="20"/>
          <w:u w:color="000000"/>
          <w:shd w:val="clear" w:color="auto" w:fill="FFFFFF"/>
        </w:rPr>
        <w:br/>
      </w:r>
      <w:r>
        <w:rPr>
          <w:color w:val="000000"/>
          <w:szCs w:val="20"/>
          <w:u w:color="000000"/>
          <w:shd w:val="clear" w:color="auto" w:fill="FFFFFF"/>
          <w:lang w:val="x-none" w:eastAsia="en-US" w:bidi="ar-SA"/>
        </w:rPr>
        <w:t xml:space="preserve">się  szczególnymi wartościami  wiąz  szypułkowy </w:t>
      </w:r>
      <w:r>
        <w:rPr>
          <w:i/>
          <w:color w:val="000000"/>
          <w:szCs w:val="20"/>
          <w:u w:color="000000"/>
          <w:shd w:val="clear" w:color="auto" w:fill="FFFFFF"/>
          <w:lang w:val="x-none" w:eastAsia="en-US" w:bidi="ar-SA"/>
        </w:rPr>
        <w:t xml:space="preserve"> Ulmus  laevis</w:t>
      </w:r>
      <w:r>
        <w:rPr>
          <w:color w:val="000000"/>
          <w:szCs w:val="20"/>
          <w:u w:color="000000"/>
          <w:shd w:val="clear" w:color="auto" w:fill="FFFFFF"/>
          <w:lang w:val="x-none" w:eastAsia="en-US" w:bidi="ar-SA"/>
        </w:rPr>
        <w:t xml:space="preserve">.  Na  przedmiotowym  obszarze  znajdują  się  również dwa  użytki  ekologiczne  oraz  powierzchnie  podokapowe  reintrodukcji  cisa  pospolitego  </w:t>
      </w:r>
      <w:r>
        <w:rPr>
          <w:i/>
          <w:color w:val="000000"/>
          <w:szCs w:val="20"/>
          <w:u w:color="000000"/>
          <w:shd w:val="clear" w:color="auto" w:fill="FFFFFF"/>
          <w:lang w:val="x-none" w:eastAsia="en-US" w:bidi="ar-SA"/>
        </w:rPr>
        <w:t>Taxus baccata</w:t>
      </w:r>
      <w:r>
        <w:rPr>
          <w:color w:val="000000"/>
          <w:szCs w:val="20"/>
          <w:u w:color="000000"/>
          <w:shd w:val="clear" w:color="auto" w:fill="FFFFFF"/>
          <w:lang w:val="x-none" w:eastAsia="en-US" w:bidi="ar-SA"/>
        </w:rPr>
        <w:t xml:space="preserve">. </w:t>
      </w:r>
    </w:p>
    <w:p>
      <w:pPr>
        <w:keepNext w:val="0"/>
        <w:keepLines w:val="0"/>
        <w:widowControl/>
        <w:suppressLineNumbers w:val="0"/>
        <w:shd w:val="clear" w:color="auto" w:fill="auto"/>
        <w:suppressAutoHyphens w:val="0"/>
        <w:spacing w:before="0" w:beforeAutospacing="0" w:after="0" w:afterAutospacing="0" w:line="276" w:lineRule="auto"/>
        <w:ind w:left="0" w:right="0" w:firstLine="720"/>
        <w:contextualSpacing w:val="0"/>
        <w:rPr>
          <w:color w:val="000000"/>
          <w:szCs w:val="20"/>
          <w:u w:color="000000"/>
          <w:shd w:val="clear" w:color="auto" w:fill="FFFFFF"/>
          <w:lang w:val="x-none" w:eastAsia="en-US" w:bidi="ar-SA"/>
        </w:rPr>
      </w:pPr>
      <w:r>
        <w:rPr>
          <w:color w:val="000000"/>
          <w:szCs w:val="20"/>
          <w:u w:color="000000"/>
          <w:shd w:val="clear" w:color="auto" w:fill="FFFFFF"/>
          <w:lang w:val="x-none" w:eastAsia="en-US" w:bidi="ar-SA"/>
        </w:rPr>
        <w:t xml:space="preserve">Z  powyższych  względów,  warto  zachować  przedmiotowy  teren  dla  przyszłych  pokoleń,  a ochrona w formie rezerwatu przyrody zapewni trwanie terenów leśnych. Dodatkowo, tak duża powierzchnia  pozwoli  na  stworzenie  przestrzeni  i  warunków  do  obserwacji  zachodzących procesów  naturalnych  oraz  powolnego  ustępowania  sztucznie  wprowadzonej  na  te  tereny  sosny pospolitej na rzecz gatunków grądowych.  </w:t>
      </w:r>
    </w:p>
    <w:p>
      <w:pPr>
        <w:keepNext w:val="0"/>
        <w:keepLines w:val="0"/>
        <w:widowControl/>
        <w:suppressLineNumbers w:val="0"/>
        <w:shd w:val="clear" w:color="auto" w:fill="auto"/>
        <w:suppressAutoHyphens w:val="0"/>
        <w:spacing w:before="0" w:beforeAutospacing="0" w:after="0" w:afterAutospacing="0" w:line="276" w:lineRule="auto"/>
        <w:ind w:left="0" w:right="0" w:firstLine="720"/>
        <w:contextualSpacing w:val="0"/>
        <w:rPr>
          <w:color w:val="000000"/>
          <w:szCs w:val="20"/>
          <w:u w:color="000000"/>
          <w:shd w:val="clear" w:color="auto" w:fill="FFFFFF"/>
          <w:lang w:val="x-none" w:eastAsia="en-US" w:bidi="ar-SA"/>
        </w:rPr>
      </w:pPr>
      <w:r>
        <w:rPr>
          <w:color w:val="000000"/>
          <w:szCs w:val="20"/>
          <w:u w:color="000000"/>
          <w:shd w:val="clear" w:color="auto" w:fill="FFFFFF"/>
          <w:lang w:val="x-none" w:eastAsia="en-US" w:bidi="ar-SA"/>
        </w:rPr>
        <w:t xml:space="preserve">Ze względu na powyższe walory przyrodnicze, celem ochrony rezerwatu jest zachowanie mozaiki ekosystemów leśnych, stanowiących ostoję zwierząt. </w:t>
      </w:r>
    </w:p>
    <w:p>
      <w:pPr>
        <w:keepNext w:val="0"/>
        <w:keepLines w:val="0"/>
        <w:widowControl/>
        <w:suppressLineNumbers w:val="0"/>
        <w:shd w:val="clear" w:color="auto" w:fill="auto"/>
        <w:suppressAutoHyphens w:val="0"/>
        <w:spacing w:before="0" w:beforeAutospacing="0" w:after="0" w:afterAutospacing="0" w:line="276" w:lineRule="auto"/>
        <w:ind w:left="0" w:right="0" w:firstLine="720"/>
        <w:contextualSpacing w:val="0"/>
        <w:rPr>
          <w:color w:val="000000"/>
          <w:szCs w:val="20"/>
          <w:u w:color="000000"/>
          <w:shd w:val="clear" w:color="auto" w:fill="FFFFFF"/>
          <w:lang w:val="x-none" w:eastAsia="en-US" w:bidi="ar-SA"/>
        </w:rPr>
      </w:pPr>
      <w:r>
        <w:rPr>
          <w:color w:val="000000"/>
          <w:szCs w:val="20"/>
          <w:u w:color="000000"/>
          <w:shd w:val="clear" w:color="auto" w:fill="FFFFFF"/>
          <w:lang w:val="x-none" w:eastAsia="en-US" w:bidi="ar-SA"/>
        </w:rPr>
        <w:t xml:space="preserve">Zgodnie  z  rozporządzeniem  Ministra  Środowiska  z  dnia  30  marca  2005  r.  w  sprawie rodzajów, typów i podtypów rezerwatów przyrody (Dz. U. z 2005 r., Nr 60, poz. 533) dla rezerwatu przyrody  „Bruchniewska  Ostoja”  określono  rodzaj  rezerwatu  Leśny  (L)  </w:t>
      </w:r>
      <w:r>
        <w:rPr>
          <w:color w:val="000000"/>
          <w:szCs w:val="20"/>
          <w:u w:color="000000"/>
          <w:shd w:val="clear" w:color="auto" w:fill="FFFFFF"/>
        </w:rPr>
        <w:br/>
      </w:r>
      <w:r>
        <w:rPr>
          <w:color w:val="000000"/>
          <w:szCs w:val="20"/>
          <w:u w:color="000000"/>
          <w:shd w:val="clear" w:color="auto" w:fill="FFFFFF"/>
          <w:lang w:val="x-none" w:eastAsia="en-US" w:bidi="ar-SA"/>
        </w:rPr>
        <w:t xml:space="preserve">oraz  określono  typ  i podtyp: </w:t>
      </w:r>
    </w:p>
    <w:p>
      <w:pPr>
        <w:keepNext w:val="0"/>
        <w:keepLines w:val="0"/>
        <w:widowControl/>
        <w:suppressLineNumbers w:val="0"/>
        <w:shd w:val="clear" w:color="auto" w:fill="auto"/>
        <w:suppressAutoHyphens w:val="0"/>
        <w:spacing w:before="0" w:beforeAutospacing="0" w:after="0" w:afterAutospacing="0" w:line="276" w:lineRule="auto"/>
        <w:ind w:left="0" w:right="0" w:firstLine="720"/>
        <w:contextualSpacing w:val="0"/>
        <w:rPr>
          <w:color w:val="000000"/>
          <w:szCs w:val="20"/>
          <w:u w:color="000000"/>
          <w:shd w:val="clear" w:color="auto" w:fill="FFFFFF"/>
          <w:lang w:val="x-none" w:eastAsia="en-US" w:bidi="ar-SA"/>
        </w:rPr>
      </w:pPr>
      <w:r>
        <w:rPr>
          <w:color w:val="000000"/>
          <w:szCs w:val="20"/>
          <w:u w:color="000000"/>
          <w:shd w:val="clear" w:color="auto" w:fill="FFFFFF"/>
          <w:lang w:val="x-none" w:eastAsia="en-US" w:bidi="ar-SA"/>
        </w:rPr>
        <w:t xml:space="preserve">1) ze względu na dominujący przedmiot ochrony: typ - Biocenotyczny i fizjocenotyczny    </w:t>
      </w:r>
    </w:p>
    <w:p>
      <w:pPr>
        <w:keepNext w:val="0"/>
        <w:keepLines w:val="0"/>
        <w:widowControl/>
        <w:suppressLineNumbers w:val="0"/>
        <w:shd w:val="clear" w:color="auto" w:fill="auto"/>
        <w:suppressAutoHyphens w:val="0"/>
        <w:spacing w:before="0" w:beforeAutospacing="0" w:after="0" w:afterAutospacing="0" w:line="276" w:lineRule="auto"/>
        <w:ind w:left="0" w:right="0" w:firstLine="720"/>
        <w:contextualSpacing w:val="0"/>
        <w:rPr>
          <w:color w:val="000000"/>
          <w:szCs w:val="20"/>
          <w:u w:color="000000"/>
          <w:shd w:val="clear" w:color="auto" w:fill="FFFFFF"/>
          <w:lang w:val="x-none" w:eastAsia="en-US" w:bidi="ar-SA"/>
        </w:rPr>
      </w:pPr>
      <w:r>
        <w:rPr>
          <w:color w:val="000000"/>
          <w:szCs w:val="20"/>
          <w:u w:color="000000"/>
          <w:shd w:val="clear" w:color="auto" w:fill="FFFFFF"/>
          <w:lang w:val="x-none" w:eastAsia="en-US" w:bidi="ar-SA"/>
        </w:rPr>
        <w:t xml:space="preserve">(PBf), podtyp - biocenoz naturalnych i półnaturalnych (bp);  </w:t>
      </w:r>
    </w:p>
    <w:p>
      <w:pPr>
        <w:keepNext w:val="0"/>
        <w:keepLines w:val="0"/>
        <w:widowControl/>
        <w:suppressLineNumbers w:val="0"/>
        <w:shd w:val="clear" w:color="auto" w:fill="auto"/>
        <w:suppressAutoHyphens w:val="0"/>
        <w:spacing w:before="0" w:beforeAutospacing="0" w:after="0" w:afterAutospacing="0" w:line="276" w:lineRule="auto"/>
        <w:ind w:left="0" w:right="0" w:firstLine="720"/>
        <w:contextualSpacing w:val="0"/>
        <w:rPr>
          <w:color w:val="000000"/>
          <w:szCs w:val="20"/>
          <w:u w:color="000000"/>
          <w:shd w:val="clear" w:color="auto" w:fill="FFFFFF"/>
          <w:lang w:val="x-none" w:eastAsia="en-US" w:bidi="ar-SA"/>
        </w:rPr>
      </w:pPr>
      <w:r>
        <w:rPr>
          <w:color w:val="000000"/>
          <w:szCs w:val="20"/>
          <w:u w:color="000000"/>
          <w:shd w:val="clear" w:color="auto" w:fill="FFFFFF"/>
          <w:lang w:val="x-none" w:eastAsia="en-US" w:bidi="ar-SA"/>
        </w:rPr>
        <w:t xml:space="preserve">2) ze względu na główny typ ekosystemu: typ - Leśny i borowy (EL), lasów nizinnych (lni). </w:t>
      </w:r>
    </w:p>
    <w:p>
      <w:pPr>
        <w:keepNext w:val="0"/>
        <w:keepLines w:val="0"/>
        <w:widowControl/>
        <w:suppressLineNumbers w:val="0"/>
        <w:shd w:val="clear" w:color="auto" w:fill="auto"/>
        <w:suppressAutoHyphens w:val="0"/>
        <w:spacing w:before="0" w:beforeAutospacing="0" w:after="0" w:afterAutospacing="0" w:line="276" w:lineRule="auto"/>
        <w:ind w:left="0" w:right="0" w:firstLine="720"/>
        <w:contextualSpacing w:val="0"/>
        <w:rPr>
          <w:color w:val="000000"/>
          <w:szCs w:val="20"/>
          <w:u w:color="000000"/>
          <w:shd w:val="clear" w:color="auto" w:fill="FFFFFF"/>
          <w:lang w:val="x-none" w:eastAsia="en-US" w:bidi="ar-SA"/>
        </w:rPr>
      </w:pPr>
      <w:r>
        <w:rPr>
          <w:color w:val="000000"/>
          <w:szCs w:val="20"/>
          <w:u w:color="000000"/>
          <w:shd w:val="clear" w:color="auto" w:fill="FFFFFF"/>
          <w:lang w:val="x-none" w:eastAsia="en-US" w:bidi="ar-SA"/>
        </w:rPr>
        <w:t xml:space="preserve">W  niniejszym  akcie  prawnym,  wykorzystując  dane  systemu  informacji  przestrzennej, </w:t>
      </w:r>
    </w:p>
    <w:p>
      <w:pPr>
        <w:keepNext w:val="0"/>
        <w:keepLines w:val="0"/>
        <w:widowControl/>
        <w:suppressLineNumbers w:val="0"/>
        <w:shd w:val="clear" w:color="auto" w:fill="auto"/>
        <w:suppressAutoHyphens w:val="0"/>
        <w:spacing w:before="0" w:beforeAutospacing="0" w:after="0" w:afterAutospacing="0" w:line="276" w:lineRule="auto"/>
        <w:ind w:left="0" w:right="0" w:firstLine="0"/>
        <w:contextualSpacing w:val="0"/>
        <w:rPr>
          <w:color w:val="000000"/>
          <w:szCs w:val="20"/>
          <w:u w:color="000000"/>
          <w:shd w:val="clear" w:color="auto" w:fill="FFFFFF"/>
          <w:lang w:val="x-none" w:eastAsia="en-US" w:bidi="ar-SA"/>
        </w:rPr>
      </w:pPr>
      <w:r>
        <w:rPr>
          <w:color w:val="000000"/>
          <w:szCs w:val="20"/>
          <w:u w:color="000000"/>
          <w:shd w:val="clear" w:color="auto" w:fill="FFFFFF"/>
          <w:lang w:val="x-none" w:eastAsia="en-US" w:bidi="ar-SA"/>
        </w:rPr>
        <w:t xml:space="preserve">wprowadzono załączniki w postaci mapy obszaru rezerwatu oraz wykaz współrzędnych punktów załamania granic rezerwatu, sporządzonych w układzie współrzędnych płaskich prostokątnych </w:t>
      </w:r>
      <w:r>
        <w:rPr>
          <w:color w:val="000000"/>
          <w:szCs w:val="20"/>
          <w:u w:color="000000"/>
          <w:shd w:val="clear" w:color="auto" w:fill="FFFFFF"/>
        </w:rPr>
        <w:br/>
      </w:r>
      <w:r>
        <w:rPr>
          <w:color w:val="000000"/>
          <w:szCs w:val="20"/>
          <w:u w:color="000000"/>
          <w:shd w:val="clear" w:color="auto" w:fill="FFFFFF"/>
          <w:lang w:val="x-none" w:eastAsia="en-US" w:bidi="ar-SA"/>
        </w:rPr>
        <w:t xml:space="preserve">PL-1992, o których mowa w rozporządzeniu Rady Ministrów z dnia 15 października 2012 r. </w:t>
      </w:r>
      <w:r>
        <w:rPr>
          <w:color w:val="000000"/>
          <w:szCs w:val="20"/>
          <w:u w:color="000000"/>
          <w:shd w:val="clear" w:color="auto" w:fill="FFFFFF"/>
        </w:rPr>
        <w:br/>
      </w:r>
      <w:r>
        <w:rPr>
          <w:color w:val="000000"/>
          <w:szCs w:val="20"/>
          <w:u w:color="000000"/>
          <w:shd w:val="clear" w:color="auto" w:fill="FFFFFF"/>
          <w:lang w:val="x-none" w:eastAsia="en-US" w:bidi="ar-SA"/>
        </w:rPr>
        <w:t xml:space="preserve">w sprawie państwowego systemu odniesień przestrzennych </w:t>
      </w:r>
      <w:r>
        <w:rPr>
          <w:color w:val="000000"/>
          <w:szCs w:val="20"/>
          <w:shd w:val="clear" w:color="auto" w:fill="FFFFFF"/>
          <w:lang w:val="x-none" w:eastAsia="en-US" w:bidi="ar-SA"/>
        </w:rPr>
        <w:t>(</w:t>
      </w:r>
      <w:r>
        <w:rPr>
          <w:color w:val="000000"/>
          <w:szCs w:val="20"/>
          <w:shd w:val="clear" w:color="auto" w:fill="FFFFFF"/>
        </w:rPr>
        <w:t xml:space="preserve">t.j. </w:t>
      </w:r>
      <w:r>
        <w:rPr>
          <w:color w:val="000000"/>
          <w:szCs w:val="20"/>
          <w:shd w:val="clear" w:color="auto" w:fill="FFFFFF"/>
          <w:lang w:val="x-none" w:eastAsia="en-US" w:bidi="ar-SA"/>
        </w:rPr>
        <w:t>Dz.U z 20</w:t>
      </w:r>
      <w:r>
        <w:rPr>
          <w:color w:val="000000"/>
          <w:szCs w:val="20"/>
          <w:shd w:val="clear" w:color="auto" w:fill="FFFFFF"/>
        </w:rPr>
        <w:t>24</w:t>
      </w:r>
      <w:r>
        <w:rPr>
          <w:color w:val="000000"/>
          <w:szCs w:val="20"/>
          <w:shd w:val="clear" w:color="auto" w:fill="FFFFFF"/>
          <w:lang w:val="x-none" w:eastAsia="en-US" w:bidi="ar-SA"/>
        </w:rPr>
        <w:t xml:space="preserve"> r., poz. </w:t>
      </w:r>
      <w:r>
        <w:rPr>
          <w:color w:val="000000"/>
          <w:szCs w:val="20"/>
          <w:shd w:val="clear" w:color="auto" w:fill="FFFFFF"/>
        </w:rPr>
        <w:t>342</w:t>
      </w:r>
      <w:r>
        <w:rPr>
          <w:color w:val="000000"/>
          <w:szCs w:val="20"/>
          <w:shd w:val="clear" w:color="auto" w:fill="FFFFFF"/>
          <w:lang w:val="x-none" w:eastAsia="en-US" w:bidi="ar-SA"/>
        </w:rPr>
        <w:t>)</w:t>
      </w:r>
      <w:r>
        <w:rPr>
          <w:color w:val="000000"/>
          <w:szCs w:val="20"/>
          <w:u w:color="000000"/>
          <w:shd w:val="clear" w:color="auto" w:fill="FFFFFF"/>
          <w:lang w:val="x-none" w:eastAsia="en-US" w:bidi="ar-SA"/>
        </w:rPr>
        <w:t xml:space="preserve">. </w:t>
      </w:r>
    </w:p>
    <w:p>
      <w:pPr>
        <w:keepNext w:val="0"/>
        <w:keepLines w:val="0"/>
        <w:widowControl/>
        <w:suppressLineNumbers w:val="0"/>
        <w:shd w:val="clear" w:color="auto" w:fill="auto"/>
        <w:suppressAutoHyphens w:val="0"/>
        <w:spacing w:before="0" w:beforeAutospacing="0" w:after="0" w:afterAutospacing="0" w:line="276" w:lineRule="auto"/>
        <w:ind w:left="0" w:right="0" w:firstLine="720"/>
        <w:contextualSpacing w:val="0"/>
        <w:rPr>
          <w:color w:val="000000"/>
          <w:szCs w:val="20"/>
          <w:u w:color="000000"/>
          <w:shd w:val="clear" w:color="auto" w:fill="FFFFFF"/>
          <w:lang w:val="x-none" w:eastAsia="en-US" w:bidi="ar-SA"/>
        </w:rPr>
      </w:pPr>
      <w:r>
        <w:rPr>
          <w:color w:val="000000"/>
          <w:szCs w:val="20"/>
          <w:u w:color="000000"/>
          <w:shd w:val="clear" w:color="auto" w:fill="FFFFFF"/>
          <w:lang w:val="x-none" w:eastAsia="en-US" w:bidi="ar-SA"/>
        </w:rPr>
        <w:t xml:space="preserve">Rezerwat  przyrody  „Bruchniewska  Ostoja”  położony  jest  na  gruntach  należących  </w:t>
      </w:r>
      <w:r>
        <w:rPr>
          <w:color w:val="000000"/>
          <w:szCs w:val="20"/>
          <w:u w:color="000000"/>
          <w:shd w:val="clear" w:color="auto" w:fill="FFFFFF"/>
        </w:rPr>
        <w:br/>
      </w:r>
      <w:r>
        <w:rPr>
          <w:color w:val="000000"/>
          <w:szCs w:val="20"/>
          <w:u w:color="000000"/>
          <w:shd w:val="clear" w:color="auto" w:fill="FFFFFF"/>
          <w:lang w:val="x-none" w:eastAsia="en-US" w:bidi="ar-SA"/>
        </w:rPr>
        <w:t xml:space="preserve">do  Skarbu  Państwa,  zarządzanych  przez  Państwowe  Gospodarstwo  Leśne  Lasy  Państwowe Nadleśnictwo Zamrzenica. </w:t>
      </w:r>
    </w:p>
    <w:p>
      <w:pPr>
        <w:keepNext w:val="0"/>
        <w:keepLines w:val="0"/>
        <w:widowControl/>
        <w:suppressLineNumbers w:val="0"/>
        <w:shd w:val="clear" w:color="auto" w:fill="auto"/>
        <w:suppressAutoHyphens w:val="0"/>
        <w:spacing w:before="0" w:beforeAutospacing="0" w:after="0" w:afterAutospacing="0" w:line="276" w:lineRule="auto"/>
        <w:ind w:left="0" w:right="0" w:firstLine="720"/>
        <w:contextualSpacing w:val="0"/>
        <w:rPr>
          <w:color w:val="000000"/>
          <w:szCs w:val="20"/>
          <w:shd w:val="clear" w:color="auto" w:fill="FFFFFF"/>
        </w:rPr>
      </w:pPr>
      <w:r>
        <w:rPr>
          <w:color w:val="000000"/>
          <w:szCs w:val="20"/>
          <w:u w:color="000000"/>
          <w:shd w:val="clear" w:color="auto" w:fill="FFFFFF"/>
          <w:lang w:val="x-none" w:eastAsia="en-US" w:bidi="ar-SA"/>
        </w:rPr>
        <w:t xml:space="preserve">Państwowe Gospodarstwo Leśne Lasy Państwowe Nadleśnictwo </w:t>
      </w:r>
      <w:r>
        <w:rPr>
          <w:color w:val="000000"/>
          <w:szCs w:val="20"/>
          <w:u w:color="000000"/>
          <w:shd w:val="clear" w:color="auto" w:fill="FFFFFF"/>
        </w:rPr>
        <w:t>Zamrzenica, wyraziło zgodę na utworzenie rezerwatu przyrody „Bruchniewska Ostoja” i zaopiniowało projekt niniejszego zarządzenia pozytywnie pismem z dnia 10 czerwca 2024 r., znak ZG.7212.12.2024.</w:t>
      </w:r>
    </w:p>
    <w:p>
      <w:pPr>
        <w:keepNext w:val="0"/>
        <w:keepLines w:val="0"/>
        <w:widowControl/>
        <w:suppressLineNumbers w:val="0"/>
        <w:shd w:val="clear" w:color="auto" w:fill="auto"/>
        <w:suppressAutoHyphens w:val="0"/>
        <w:spacing w:before="0" w:beforeAutospacing="0" w:after="0" w:afterAutospacing="0" w:line="276" w:lineRule="auto"/>
        <w:ind w:left="0" w:right="0" w:firstLine="720"/>
        <w:contextualSpacing w:val="0"/>
        <w:rPr>
          <w:color w:val="000000"/>
          <w:szCs w:val="20"/>
          <w:shd w:val="clear" w:color="auto" w:fill="FFFFFF"/>
          <w:lang w:val="x-none" w:eastAsia="en-US" w:bidi="ar-SA"/>
        </w:rPr>
      </w:pPr>
      <w:r>
        <w:rPr>
          <w:color w:val="000000"/>
          <w:szCs w:val="20"/>
          <w:shd w:val="clear" w:color="auto" w:fill="FFFFFF"/>
          <w:lang w:val="x-none" w:eastAsia="en-US" w:bidi="ar-SA"/>
        </w:rPr>
        <w:t>Regionalna  Dyrekcja  Lasów  Państwowych</w:t>
      </w:r>
      <w:r>
        <w:rPr>
          <w:color w:val="000000"/>
          <w:szCs w:val="20"/>
          <w:shd w:val="clear" w:color="auto" w:fill="FFFFFF"/>
        </w:rPr>
        <w:t xml:space="preserve"> w Toruniu</w:t>
      </w:r>
      <w:r>
        <w:rPr>
          <w:color w:val="000000"/>
          <w:szCs w:val="20"/>
          <w:shd w:val="clear" w:color="auto" w:fill="FFFFFF"/>
          <w:lang w:val="x-none" w:eastAsia="en-US" w:bidi="ar-SA"/>
        </w:rPr>
        <w:t xml:space="preserve">  wyraziła  zgodę  na  utworzenie  rezerwatu przyrody „</w:t>
      </w:r>
      <w:r>
        <w:rPr>
          <w:color w:val="000000"/>
          <w:szCs w:val="20"/>
          <w:shd w:val="clear" w:color="auto" w:fill="FFFFFF"/>
        </w:rPr>
        <w:t>Bruchniewska Ostoja</w:t>
      </w:r>
      <w:r>
        <w:rPr>
          <w:color w:val="000000"/>
          <w:szCs w:val="20"/>
          <w:shd w:val="clear" w:color="auto" w:fill="FFFFFF"/>
          <w:lang w:val="x-none" w:eastAsia="en-US" w:bidi="ar-SA"/>
        </w:rPr>
        <w:t xml:space="preserve">”  pismem z dnia </w:t>
      </w:r>
      <w:r>
        <w:rPr>
          <w:color w:val="000000"/>
          <w:szCs w:val="20"/>
          <w:shd w:val="clear" w:color="auto" w:fill="FFFFFF"/>
        </w:rPr>
        <w:t xml:space="preserve">14 czerwca </w:t>
      </w:r>
      <w:r>
        <w:rPr>
          <w:color w:val="000000"/>
          <w:szCs w:val="20"/>
          <w:shd w:val="clear" w:color="auto" w:fill="FFFFFF"/>
          <w:lang w:val="x-none" w:eastAsia="en-US" w:bidi="ar-SA"/>
        </w:rPr>
        <w:t xml:space="preserve">2024 r., znak </w:t>
      </w:r>
      <w:r>
        <w:rPr>
          <w:color w:val="000000"/>
          <w:szCs w:val="20"/>
          <w:shd w:val="clear" w:color="auto" w:fill="FFFFFF"/>
        </w:rPr>
        <w:t>1ZO.7212.4.2024.</w:t>
      </w:r>
    </w:p>
    <w:p>
      <w:pPr>
        <w:keepNext w:val="0"/>
        <w:keepLines w:val="0"/>
        <w:widowControl/>
        <w:suppressLineNumbers w:val="0"/>
        <w:shd w:val="clear" w:color="auto" w:fill="auto"/>
        <w:suppressAutoHyphens w:val="0"/>
        <w:spacing w:before="0" w:beforeAutospacing="0" w:after="0" w:afterAutospacing="0" w:line="276" w:lineRule="auto"/>
        <w:ind w:left="0" w:right="0" w:firstLine="720"/>
        <w:contextualSpacing w:val="0"/>
        <w:rPr>
          <w:color w:val="000000"/>
          <w:szCs w:val="20"/>
          <w:shd w:val="clear" w:color="auto" w:fill="FFFFFF"/>
          <w:lang w:val="x-none" w:eastAsia="en-US" w:bidi="ar-SA"/>
        </w:rPr>
      </w:pPr>
      <w:r>
        <w:rPr>
          <w:color w:val="000000"/>
          <w:szCs w:val="20"/>
          <w:shd w:val="clear" w:color="auto" w:fill="FFFFFF"/>
          <w:lang w:val="x-none" w:eastAsia="en-US" w:bidi="ar-SA"/>
        </w:rPr>
        <w:t xml:space="preserve">Nadzór nad rezerwatem powierzony został </w:t>
      </w:r>
      <w:r>
        <w:rPr>
          <w:color w:val="000000"/>
          <w:szCs w:val="20"/>
          <w:shd w:val="clear" w:color="auto" w:fill="FFFFFF"/>
          <w:lang w:val="x-none" w:eastAsia="en-US" w:bidi="ar-SA"/>
        </w:rPr>
        <w:t>Regionaln</w:t>
      </w:r>
      <w:r>
        <w:rPr>
          <w:color w:val="000000"/>
          <w:szCs w:val="20"/>
          <w:shd w:val="clear" w:color="auto" w:fill="FFFFFF"/>
        </w:rPr>
        <w:t>emu</w:t>
      </w:r>
      <w:r>
        <w:rPr>
          <w:color w:val="000000"/>
          <w:szCs w:val="20"/>
          <w:shd w:val="clear" w:color="auto" w:fill="FFFFFF"/>
          <w:lang w:val="x-none" w:eastAsia="en-US" w:bidi="ar-SA"/>
        </w:rPr>
        <w:t xml:space="preserve"> Dyrektor</w:t>
      </w:r>
      <w:r>
        <w:rPr>
          <w:color w:val="000000"/>
          <w:szCs w:val="20"/>
          <w:shd w:val="clear" w:color="auto" w:fill="FFFFFF"/>
        </w:rPr>
        <w:t>owi</w:t>
      </w:r>
      <w:r>
        <w:rPr>
          <w:color w:val="000000"/>
          <w:szCs w:val="20"/>
          <w:shd w:val="clear" w:color="auto" w:fill="FFFFFF"/>
          <w:lang w:val="x-none" w:eastAsia="en-US" w:bidi="ar-SA"/>
        </w:rPr>
        <w:t xml:space="preserve"> Ochrony Środowiska w Bydgoszczy</w:t>
      </w:r>
      <w:r>
        <w:rPr>
          <w:color w:val="000000"/>
          <w:szCs w:val="20"/>
          <w:shd w:val="clear" w:color="auto" w:fill="FFFFFF"/>
          <w:lang w:val="x-none" w:eastAsia="en-US" w:bidi="ar-SA"/>
        </w:rPr>
        <w:t>.</w:t>
      </w:r>
    </w:p>
    <w:p>
      <w:pPr>
        <w:keepNext w:val="0"/>
        <w:keepLines w:val="0"/>
        <w:widowControl/>
        <w:suppressLineNumbers w:val="0"/>
        <w:shd w:val="clear" w:color="auto" w:fill="auto"/>
        <w:suppressAutoHyphens w:val="0"/>
        <w:spacing w:before="0" w:beforeAutospacing="0" w:after="0" w:afterAutospacing="0" w:line="276" w:lineRule="auto"/>
        <w:ind w:left="0" w:right="0" w:firstLine="720"/>
        <w:contextualSpacing w:val="0"/>
        <w:rPr>
          <w:color w:val="000000"/>
          <w:szCs w:val="20"/>
          <w:shd w:val="clear" w:color="auto" w:fill="FFFFFF"/>
        </w:rPr>
      </w:pPr>
      <w:r>
        <w:rPr>
          <w:color w:val="000000"/>
          <w:szCs w:val="20"/>
          <w:shd w:val="clear" w:color="auto" w:fill="FFFFFF"/>
        </w:rPr>
        <w:t xml:space="preserve">Projekt zarządzenia został zaopiniowany pozytywnie przez Regionalną Radę Ochrony Przyrody w Bydgoszczy  uchwałą nr 32/2024, z dnia 9 grudnia 2024 r. </w:t>
      </w:r>
    </w:p>
    <w:p>
      <w:pPr>
        <w:keepNext w:val="0"/>
        <w:keepLines w:val="0"/>
        <w:widowControl/>
        <w:suppressLineNumbers w:val="0"/>
        <w:shd w:val="clear" w:color="auto" w:fill="auto"/>
        <w:suppressAutoHyphens w:val="0"/>
        <w:spacing w:before="0" w:beforeAutospacing="0" w:after="0" w:afterAutospacing="0" w:line="276" w:lineRule="auto"/>
        <w:ind w:left="0" w:right="0" w:firstLine="720"/>
        <w:contextualSpacing w:val="0"/>
        <w:rPr>
          <w:color w:val="000000"/>
          <w:szCs w:val="20"/>
          <w:shd w:val="clear" w:color="auto" w:fill="FFFFFF"/>
        </w:rPr>
      </w:pPr>
      <w:r>
        <w:rPr>
          <w:color w:val="000000"/>
          <w:szCs w:val="20"/>
          <w:shd w:val="clear" w:color="auto" w:fill="FFFFFF"/>
          <w:lang w:val="en-US" w:eastAsia="en-US" w:bidi="en-US"/>
        </w:rPr>
        <w:t>Na podstawie art. 59 ust. 2 ustawy z dnia 23 stycznia 2009 r. o wojewodzie i administracji</w:t>
      </w:r>
      <w:r>
        <w:rPr>
          <w:color w:val="000000"/>
          <w:szCs w:val="20"/>
          <w:shd w:val="clear" w:color="auto" w:fill="FFFFFF"/>
        </w:rPr>
        <w:t xml:space="preserve"> </w:t>
      </w:r>
      <w:r>
        <w:rPr>
          <w:color w:val="000000"/>
          <w:szCs w:val="20"/>
          <w:shd w:val="clear" w:color="auto" w:fill="FFFFFF"/>
          <w:lang w:val="en-US" w:eastAsia="en-US" w:bidi="en-US"/>
        </w:rPr>
        <w:t xml:space="preserve">rządowej w województwie </w:t>
      </w:r>
      <w:r>
        <w:rPr>
          <w:color w:val="000000"/>
          <w:szCs w:val="20"/>
          <w:shd w:val="clear" w:color="auto" w:fill="FFFFFF"/>
        </w:rPr>
        <w:t>( t.j. Dz. U. z 2023 r. poz. 190)</w:t>
      </w:r>
      <w:r>
        <w:rPr>
          <w:color w:val="000000"/>
          <w:szCs w:val="20"/>
          <w:shd w:val="clear" w:color="auto" w:fill="FFFFFF"/>
          <w:lang w:val="en-US" w:eastAsia="en-US" w:bidi="en-US"/>
        </w:rPr>
        <w:t xml:space="preserve">, </w:t>
      </w:r>
      <w:r>
        <w:rPr>
          <w:color w:val="000000"/>
          <w:szCs w:val="20"/>
          <w:shd w:val="clear" w:color="auto" w:fill="FFFFFF"/>
        </w:rPr>
        <w:t xml:space="preserve">projekt zarządzenia </w:t>
      </w:r>
      <w:r>
        <w:rPr>
          <w:color w:val="000000"/>
          <w:szCs w:val="20"/>
          <w:shd w:val="clear" w:color="auto" w:fill="FFFFFF"/>
          <w:lang w:val="en-US" w:eastAsia="en-US" w:bidi="en-US"/>
        </w:rPr>
        <w:t xml:space="preserve">został uzgodniony </w:t>
      </w:r>
      <w:r>
        <w:rPr>
          <w:color w:val="000000"/>
          <w:szCs w:val="20"/>
          <w:shd w:val="clear" w:color="auto" w:fill="FFFFFF"/>
        </w:rPr>
        <w:br/>
      </w:r>
      <w:r>
        <w:rPr>
          <w:color w:val="000000"/>
          <w:szCs w:val="20"/>
          <w:shd w:val="clear" w:color="auto" w:fill="FFFFFF"/>
          <w:lang w:val="en-US" w:eastAsia="en-US" w:bidi="en-US"/>
        </w:rPr>
        <w:t xml:space="preserve">przez Wojewodę Kujawsko-Pomorskiego </w:t>
      </w:r>
      <w:r>
        <w:rPr>
          <w:color w:val="000000"/>
          <w:szCs w:val="20"/>
          <w:shd w:val="clear" w:color="auto" w:fill="FFFFFF"/>
        </w:rPr>
        <w:t xml:space="preserve">pismem znak: WRS.II.710.4.2.2024, z dnia 12 grudnia 2024 r. </w:t>
      </w:r>
    </w:p>
    <w:p>
      <w:pPr>
        <w:keepNext w:val="0"/>
        <w:keepLines w:val="0"/>
        <w:widowControl/>
        <w:suppressLineNumbers w:val="0"/>
        <w:shd w:val="clear" w:color="auto" w:fill="auto"/>
        <w:suppressAutoHyphens w:val="0"/>
        <w:spacing w:before="0" w:beforeAutospacing="0" w:after="0" w:afterAutospacing="0" w:line="360" w:lineRule="auto"/>
        <w:ind w:left="0" w:right="0" w:firstLine="0"/>
        <w:contextualSpacing w:val="0"/>
        <w:rPr>
          <w:color w:val="000000"/>
          <w:szCs w:val="20"/>
          <w:shd w:val="clear" w:color="auto" w:fill="FFFFFF"/>
        </w:rPr>
      </w:pPr>
    </w:p>
    <w:p>
      <w:pPr>
        <w:keepNext w:val="0"/>
        <w:keepLines w:val="0"/>
        <w:widowControl/>
        <w:suppressLineNumbers w:val="0"/>
        <w:shd w:val="clear" w:color="auto" w:fill="auto"/>
        <w:suppressAutoHyphens w:val="0"/>
        <w:spacing w:before="0" w:beforeAutospacing="0" w:after="0" w:afterAutospacing="0" w:line="360" w:lineRule="auto"/>
        <w:ind w:left="0" w:right="0" w:firstLine="0"/>
        <w:contextualSpacing w:val="0"/>
        <w:jc w:val="right"/>
        <w:rPr>
          <w:color w:val="000000"/>
          <w:szCs w:val="20"/>
          <w:shd w:val="clear" w:color="auto" w:fill="FFFFFF"/>
          <w:lang w:val="x-none" w:eastAsia="en-US" w:bidi="ar-SA"/>
        </w:rPr>
      </w:pPr>
      <w:r>
        <w:drawing>
          <wp:inline>
            <wp:extent cx="2639060" cy="104203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Id22"/>
                    <a:stretch>
                      <a:fillRect/>
                    </a:stretch>
                  </pic:blipFill>
                  <pic:spPr>
                    <a:xfrm>
                      <a:off x="0" y="0"/>
                      <a:ext cx="2639060" cy="1042035"/>
                    </a:xfrm>
                    <a:prstGeom prst="rect">
                      <a:avLst/>
                    </a:prstGeom>
                    <a:noFill/>
                  </pic:spPr>
                </pic:pic>
              </a:graphicData>
            </a:graphic>
          </wp:inline>
        </w:drawing>
      </w:r>
      <w:r>
        <w:rPr>
          <w:color w:val="000000"/>
          <w:szCs w:val="20"/>
          <w:shd w:val="clear" w:color="auto" w:fill="FFFFFF"/>
        </w:rPr>
        <w:t xml:space="preserve"> </w:t>
      </w:r>
    </w:p>
    <w:sectPr>
      <w:footerReference w:type="default" r:id="rId23"/>
      <w:type w:val="nextPage"/>
      <w:pgSz w:w="11907" w:h="16839" w:code="9"/>
      <w:pgMar w:top="1440" w:right="862"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6577" w:type="dxa"/>
          <w:tcBorders>
            <w:top w:val="single" w:sz="2" w:space="0" w:color="auto"/>
            <w:left w:val="nil"/>
            <w:bottom w:val="nil"/>
            <w:right w:val="nil"/>
          </w:tcBorders>
          <w:noWrap w:val="0"/>
          <w:tcMar>
            <w:top w:w="100" w:type="dxa"/>
          </w:tcMar>
          <w:textDirection w:val="lrTb"/>
          <w:vAlign w:val="bottom"/>
        </w:tcPr>
        <w:p>
          <w:pPr>
            <w:jc w:val="left"/>
            <w:rPr>
              <w:rFonts w:ascii="Times New Roman" w:eastAsia="Times New Roman" w:hAnsi="Times New Roman" w:cs="Times New Roman"/>
              <w:b w:val="0"/>
              <w:sz w:val="18"/>
            </w:rPr>
          </w:pPr>
          <w:r>
            <w:rPr>
              <w:rFonts w:ascii="Times New Roman" w:eastAsia="Times New Roman" w:hAnsi="Times New Roman" w:cs="Times New Roman"/>
              <w:b w:val="0"/>
              <w:sz w:val="18"/>
            </w:rPr>
            <w:t>Id: B78BD6FD-195C-438A-87B0-0B96B4F41394. Uchwalony</w:t>
          </w:r>
        </w:p>
      </w:tc>
      <w:tc>
        <w:tcPr>
          <w:tcW w:w="3289" w:type="dxa"/>
          <w:tcBorders>
            <w:top w:val="single" w:sz="2" w:space="0" w:color="auto"/>
            <w:left w:val="nil"/>
            <w:bottom w:val="nil"/>
            <w:right w:val="nil"/>
          </w:tcBorders>
          <w:noWrap w:val="0"/>
          <w:tcMar>
            <w:top w:w="100" w:type="dxa"/>
          </w:tcMar>
          <w:textDirection w:val="lrTb"/>
          <w:vAlign w:val="bottom"/>
        </w:tcPr>
        <w:p>
          <w:pPr>
            <w:jc w:val="right"/>
            <w:rPr>
              <w:rFonts w:ascii="Times New Roman" w:eastAsia="Times New Roman" w:hAnsi="Times New Roman" w:cs="Times New Roman"/>
              <w:b w:val="0"/>
              <w:sz w:val="18"/>
            </w:rPr>
          </w:pPr>
          <w:r>
            <w:rPr>
              <w:rFonts w:ascii="Times New Roman" w:eastAsia="Times New Roman" w:hAnsi="Times New Roman" w:cs="Times New Roman"/>
              <w:b w:val="0"/>
              <w:sz w:val="18"/>
            </w:rPr>
            <w:t xml:space="preserve">Strona </w:t>
          </w:r>
          <w:r>
            <w:rPr>
              <w:rFonts w:ascii="Times New Roman" w:eastAsia="Times New Roman" w:hAnsi="Times New Roman" w:cs="Times New Roman"/>
              <w:b w:val="0"/>
              <w:sz w:val="18"/>
            </w:rPr>
            <w:fldChar w:fldCharType="begin"/>
          </w:r>
          <w:r>
            <w:rPr>
              <w:rFonts w:ascii="Times New Roman" w:eastAsia="Times New Roman" w:hAnsi="Times New Roman" w:cs="Times New Roman"/>
              <w:b w:val="0"/>
              <w:sz w:val="18"/>
            </w:rPr>
            <w:instrText>PAGE</w:instrText>
          </w:r>
          <w:r>
            <w:rPr>
              <w:rFonts w:ascii="Times New Roman" w:eastAsia="Times New Roman" w:hAnsi="Times New Roman" w:cs="Times New Roman"/>
              <w:b w:val="0"/>
              <w:sz w:val="18"/>
            </w:rPr>
            <w:fldChar w:fldCharType="separate"/>
          </w:r>
          <w:r>
            <w:rPr>
              <w:rFonts w:ascii="Times New Roman" w:eastAsia="Times New Roman" w:hAnsi="Times New Roman" w:cs="Times New Roman"/>
              <w:b w:val="0"/>
              <w:sz w:val="18"/>
            </w:rPr>
            <w:fldChar w:fldCharType="end"/>
          </w:r>
        </w:p>
      </w:tc>
    </w:tr>
  </w:tbl>
  <w:p>
    <w:pPr>
      <w:rPr>
        <w:rFonts w:ascii="Times New Roman" w:eastAsia="Times New Roman" w:hAnsi="Times New Roman" w:cs="Times New Roman"/>
        <w:b w:val="0"/>
        <w:sz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6577" w:type="dxa"/>
          <w:tcBorders>
            <w:top w:val="single" w:sz="2" w:space="0" w:color="auto"/>
            <w:left w:val="nil"/>
            <w:bottom w:val="nil"/>
            <w:right w:val="nil"/>
          </w:tcBorders>
          <w:noWrap w:val="0"/>
          <w:tcMar>
            <w:top w:w="100" w:type="dxa"/>
          </w:tcMar>
          <w:textDirection w:val="lrTb"/>
          <w:vAlign w:val="bottom"/>
        </w:tcPr>
        <w:p>
          <w:pPr>
            <w:jc w:val="left"/>
            <w:rPr>
              <w:rFonts w:ascii="Times New Roman" w:eastAsia="Times New Roman" w:hAnsi="Times New Roman" w:cs="Times New Roman"/>
              <w:b w:val="0"/>
              <w:sz w:val="18"/>
            </w:rPr>
          </w:pPr>
          <w:r>
            <w:rPr>
              <w:rFonts w:ascii="Times New Roman" w:eastAsia="Times New Roman" w:hAnsi="Times New Roman" w:cs="Times New Roman"/>
              <w:b w:val="0"/>
              <w:sz w:val="18"/>
            </w:rPr>
            <w:t>Id: B78BD6FD-195C-438A-87B0-0B96B4F41394. Uchwalony</w:t>
          </w:r>
        </w:p>
      </w:tc>
      <w:tc>
        <w:tcPr>
          <w:tcW w:w="3289" w:type="dxa"/>
          <w:tcBorders>
            <w:top w:val="single" w:sz="2" w:space="0" w:color="auto"/>
            <w:left w:val="nil"/>
            <w:bottom w:val="nil"/>
            <w:right w:val="nil"/>
          </w:tcBorders>
          <w:noWrap w:val="0"/>
          <w:tcMar>
            <w:top w:w="100" w:type="dxa"/>
          </w:tcMar>
          <w:textDirection w:val="lrTb"/>
          <w:vAlign w:val="bottom"/>
        </w:tcPr>
        <w:p>
          <w:pPr>
            <w:jc w:val="right"/>
            <w:rPr>
              <w:rFonts w:ascii="Times New Roman" w:eastAsia="Times New Roman" w:hAnsi="Times New Roman" w:cs="Times New Roman"/>
              <w:b w:val="0"/>
              <w:sz w:val="18"/>
            </w:rPr>
          </w:pPr>
          <w:r>
            <w:rPr>
              <w:rFonts w:ascii="Times New Roman" w:eastAsia="Times New Roman" w:hAnsi="Times New Roman" w:cs="Times New Roman"/>
              <w:b w:val="0"/>
              <w:sz w:val="18"/>
            </w:rPr>
            <w:t xml:space="preserve">Strona </w:t>
          </w:r>
          <w:r>
            <w:rPr>
              <w:rFonts w:ascii="Times New Roman" w:eastAsia="Times New Roman" w:hAnsi="Times New Roman" w:cs="Times New Roman"/>
              <w:b w:val="0"/>
              <w:sz w:val="18"/>
            </w:rPr>
            <w:fldChar w:fldCharType="begin"/>
          </w:r>
          <w:r>
            <w:rPr>
              <w:rFonts w:ascii="Times New Roman" w:eastAsia="Times New Roman" w:hAnsi="Times New Roman" w:cs="Times New Roman"/>
              <w:b w:val="0"/>
              <w:sz w:val="18"/>
            </w:rPr>
            <w:instrText>PAGE</w:instrText>
          </w:r>
          <w:r>
            <w:rPr>
              <w:rFonts w:ascii="Times New Roman" w:eastAsia="Times New Roman" w:hAnsi="Times New Roman" w:cs="Times New Roman"/>
              <w:b w:val="0"/>
              <w:sz w:val="18"/>
            </w:rPr>
            <w:fldChar w:fldCharType="separate"/>
          </w:r>
          <w:r>
            <w:rPr>
              <w:rFonts w:ascii="Times New Roman" w:eastAsia="Times New Roman" w:hAnsi="Times New Roman" w:cs="Times New Roman"/>
              <w:b w:val="0"/>
              <w:sz w:val="18"/>
            </w:rPr>
            <w:fldChar w:fldCharType="end"/>
          </w:r>
        </w:p>
      </w:tc>
    </w:tr>
  </w:tbl>
  <w:p>
    <w:pPr>
      <w:rPr>
        <w:rFonts w:ascii="Times New Roman" w:eastAsia="Times New Roman" w:hAnsi="Times New Roman" w:cs="Times New Roman"/>
        <w:b w:val="0"/>
        <w:sz w:val="18"/>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6577" w:type="dxa"/>
          <w:tcBorders>
            <w:top w:val="single" w:sz="2" w:space="0" w:color="auto"/>
            <w:left w:val="nil"/>
            <w:bottom w:val="nil"/>
            <w:right w:val="nil"/>
          </w:tcBorders>
          <w:noWrap w:val="0"/>
          <w:tcMar>
            <w:top w:w="100" w:type="dxa"/>
          </w:tcMar>
          <w:textDirection w:val="lrTb"/>
          <w:vAlign w:val="bottom"/>
        </w:tcPr>
        <w:p>
          <w:pPr>
            <w:jc w:val="left"/>
            <w:rPr>
              <w:rFonts w:ascii="Times New Roman" w:eastAsia="Times New Roman" w:hAnsi="Times New Roman" w:cs="Times New Roman"/>
              <w:b w:val="0"/>
              <w:sz w:val="18"/>
            </w:rPr>
          </w:pPr>
          <w:r>
            <w:rPr>
              <w:rFonts w:ascii="Times New Roman" w:eastAsia="Times New Roman" w:hAnsi="Times New Roman" w:cs="Times New Roman"/>
              <w:b w:val="0"/>
              <w:sz w:val="18"/>
            </w:rPr>
            <w:t>Id: B78BD6FD-195C-438A-87B0-0B96B4F41394. Uchwalony</w:t>
          </w:r>
        </w:p>
      </w:tc>
      <w:tc>
        <w:tcPr>
          <w:tcW w:w="3289" w:type="dxa"/>
          <w:tcBorders>
            <w:top w:val="single" w:sz="2" w:space="0" w:color="auto"/>
            <w:left w:val="nil"/>
            <w:bottom w:val="nil"/>
            <w:right w:val="nil"/>
          </w:tcBorders>
          <w:noWrap w:val="0"/>
          <w:tcMar>
            <w:top w:w="100" w:type="dxa"/>
          </w:tcMar>
          <w:textDirection w:val="lrTb"/>
          <w:vAlign w:val="bottom"/>
        </w:tcPr>
        <w:p>
          <w:pPr>
            <w:jc w:val="right"/>
            <w:rPr>
              <w:rFonts w:ascii="Times New Roman" w:eastAsia="Times New Roman" w:hAnsi="Times New Roman" w:cs="Times New Roman"/>
              <w:b w:val="0"/>
              <w:sz w:val="18"/>
            </w:rPr>
          </w:pPr>
          <w:r>
            <w:rPr>
              <w:rFonts w:ascii="Times New Roman" w:eastAsia="Times New Roman" w:hAnsi="Times New Roman" w:cs="Times New Roman"/>
              <w:b w:val="0"/>
              <w:sz w:val="18"/>
            </w:rPr>
            <w:t xml:space="preserve">Strona </w:t>
          </w:r>
          <w:r>
            <w:rPr>
              <w:rFonts w:ascii="Times New Roman" w:eastAsia="Times New Roman" w:hAnsi="Times New Roman" w:cs="Times New Roman"/>
              <w:b w:val="0"/>
              <w:sz w:val="18"/>
            </w:rPr>
            <w:fldChar w:fldCharType="begin"/>
          </w:r>
          <w:r>
            <w:rPr>
              <w:rFonts w:ascii="Times New Roman" w:eastAsia="Times New Roman" w:hAnsi="Times New Roman" w:cs="Times New Roman"/>
              <w:b w:val="0"/>
              <w:sz w:val="18"/>
            </w:rPr>
            <w:instrText>PAGE</w:instrText>
          </w:r>
          <w:r>
            <w:rPr>
              <w:rFonts w:ascii="Times New Roman" w:eastAsia="Times New Roman" w:hAnsi="Times New Roman" w:cs="Times New Roman"/>
              <w:b w:val="0"/>
              <w:sz w:val="18"/>
            </w:rPr>
            <w:fldChar w:fldCharType="separate"/>
          </w:r>
          <w:r>
            <w:rPr>
              <w:rFonts w:ascii="Times New Roman" w:eastAsia="Times New Roman" w:hAnsi="Times New Roman" w:cs="Times New Roman"/>
              <w:b w:val="0"/>
              <w:sz w:val="18"/>
            </w:rPr>
            <w:fldChar w:fldCharType="end"/>
          </w:r>
        </w:p>
      </w:tc>
    </w:tr>
  </w:tbl>
  <w:p>
    <w:pPr>
      <w:rPr>
        <w:rFonts w:ascii="Times New Roman" w:eastAsia="Times New Roman" w:hAnsi="Times New Roman" w:cs="Times New Roman"/>
        <w:b w:val="0"/>
        <w:sz w:val="18"/>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77"/>
      <w:gridCol w:w="3289"/>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6577" w:type="dxa"/>
          <w:tcBorders>
            <w:top w:val="single" w:sz="2" w:space="0" w:color="auto"/>
            <w:left w:val="nil"/>
            <w:bottom w:val="nil"/>
            <w:right w:val="nil"/>
          </w:tcBorders>
          <w:noWrap w:val="0"/>
          <w:tcMar>
            <w:top w:w="100" w:type="dxa"/>
          </w:tcMar>
          <w:textDirection w:val="lrTb"/>
          <w:vAlign w:val="bottom"/>
        </w:tcPr>
        <w:p>
          <w:pPr>
            <w:jc w:val="left"/>
            <w:rPr>
              <w:rFonts w:ascii="Times New Roman" w:eastAsia="Times New Roman" w:hAnsi="Times New Roman" w:cs="Times New Roman"/>
              <w:b w:val="0"/>
              <w:sz w:val="18"/>
            </w:rPr>
          </w:pPr>
          <w:r>
            <w:rPr>
              <w:rFonts w:ascii="Times New Roman" w:eastAsia="Times New Roman" w:hAnsi="Times New Roman" w:cs="Times New Roman"/>
              <w:b w:val="0"/>
              <w:sz w:val="18"/>
            </w:rPr>
            <w:t>Id: B78BD6FD-195C-438A-87B0-0B96B4F41394. Uchwalony</w:t>
          </w:r>
        </w:p>
      </w:tc>
      <w:tc>
        <w:tcPr>
          <w:tcW w:w="3289" w:type="dxa"/>
          <w:tcBorders>
            <w:top w:val="single" w:sz="2" w:space="0" w:color="auto"/>
            <w:left w:val="nil"/>
            <w:bottom w:val="nil"/>
            <w:right w:val="nil"/>
          </w:tcBorders>
          <w:noWrap w:val="0"/>
          <w:tcMar>
            <w:top w:w="100" w:type="dxa"/>
          </w:tcMar>
          <w:textDirection w:val="lrTb"/>
          <w:vAlign w:val="bottom"/>
        </w:tcPr>
        <w:p>
          <w:pPr>
            <w:jc w:val="right"/>
            <w:rPr>
              <w:rFonts w:ascii="Times New Roman" w:eastAsia="Times New Roman" w:hAnsi="Times New Roman" w:cs="Times New Roman"/>
              <w:b w:val="0"/>
              <w:sz w:val="18"/>
            </w:rPr>
          </w:pPr>
          <w:r>
            <w:rPr>
              <w:rFonts w:ascii="Times New Roman" w:eastAsia="Times New Roman" w:hAnsi="Times New Roman" w:cs="Times New Roman"/>
              <w:b w:val="0"/>
              <w:sz w:val="18"/>
            </w:rPr>
            <w:t xml:space="preserve">Strona </w:t>
          </w:r>
          <w:r>
            <w:rPr>
              <w:rFonts w:ascii="Times New Roman" w:eastAsia="Times New Roman" w:hAnsi="Times New Roman" w:cs="Times New Roman"/>
              <w:b w:val="0"/>
              <w:sz w:val="18"/>
            </w:rPr>
            <w:fldChar w:fldCharType="begin"/>
          </w:r>
          <w:r>
            <w:rPr>
              <w:rFonts w:ascii="Times New Roman" w:eastAsia="Times New Roman" w:hAnsi="Times New Roman" w:cs="Times New Roman"/>
              <w:b w:val="0"/>
              <w:sz w:val="18"/>
            </w:rPr>
            <w:instrText>PAGE</w:instrText>
          </w:r>
          <w:r>
            <w:rPr>
              <w:rFonts w:ascii="Times New Roman" w:eastAsia="Times New Roman" w:hAnsi="Times New Roman" w:cs="Times New Roman"/>
              <w:b w:val="0"/>
              <w:sz w:val="18"/>
            </w:rPr>
            <w:fldChar w:fldCharType="separate"/>
          </w:r>
          <w:r>
            <w:rPr>
              <w:rFonts w:ascii="Times New Roman" w:eastAsia="Times New Roman" w:hAnsi="Times New Roman" w:cs="Times New Roman"/>
              <w:b w:val="0"/>
              <w:sz w:val="18"/>
            </w:rPr>
            <w:fldChar w:fldCharType="end"/>
          </w:r>
        </w:p>
      </w:tc>
    </w:tr>
  </w:tbl>
  <w:p>
    <w:pPr>
      <w:rPr>
        <w:rFonts w:ascii="Times New Roman" w:eastAsia="Times New Roman" w:hAnsi="Times New Roman" w:cs="Times New Roman"/>
        <w:b w:val="0"/>
        <w:sz w:val="18"/>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403"/>
      <w:gridCol w:w="3202"/>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6403" w:type="dxa"/>
          <w:tcBorders>
            <w:top w:val="single" w:sz="2" w:space="0" w:color="auto"/>
            <w:left w:val="nil"/>
            <w:bottom w:val="nil"/>
            <w:right w:val="nil"/>
          </w:tcBorders>
          <w:noWrap w:val="0"/>
          <w:tcMar>
            <w:top w:w="100" w:type="dxa"/>
          </w:tcMar>
          <w:textDirection w:val="lrTb"/>
          <w:vAlign w:val="bottom"/>
        </w:tcPr>
        <w:p>
          <w:pPr>
            <w:jc w:val="left"/>
            <w:rPr>
              <w:rFonts w:ascii="Times New Roman" w:eastAsia="Times New Roman" w:hAnsi="Times New Roman" w:cs="Times New Roman"/>
              <w:b w:val="0"/>
              <w:sz w:val="18"/>
            </w:rPr>
          </w:pPr>
          <w:r>
            <w:rPr>
              <w:rFonts w:ascii="Times New Roman" w:eastAsia="Times New Roman" w:hAnsi="Times New Roman" w:cs="Times New Roman"/>
              <w:b w:val="0"/>
              <w:sz w:val="18"/>
            </w:rPr>
            <w:t>Id: B78BD6FD-195C-438A-87B0-0B96B4F41394. Uchwalony</w:t>
          </w:r>
        </w:p>
      </w:tc>
      <w:tc>
        <w:tcPr>
          <w:tcW w:w="3202" w:type="dxa"/>
          <w:tcBorders>
            <w:top w:val="single" w:sz="2" w:space="0" w:color="auto"/>
            <w:left w:val="nil"/>
            <w:bottom w:val="nil"/>
            <w:right w:val="nil"/>
          </w:tcBorders>
          <w:noWrap w:val="0"/>
          <w:tcMar>
            <w:top w:w="100" w:type="dxa"/>
          </w:tcMar>
          <w:textDirection w:val="lrTb"/>
          <w:vAlign w:val="bottom"/>
        </w:tcPr>
        <w:p>
          <w:pPr>
            <w:jc w:val="right"/>
            <w:rPr>
              <w:rFonts w:ascii="Times New Roman" w:eastAsia="Times New Roman" w:hAnsi="Times New Roman" w:cs="Times New Roman"/>
              <w:b w:val="0"/>
              <w:sz w:val="18"/>
            </w:rPr>
          </w:pPr>
          <w:r>
            <w:rPr>
              <w:rFonts w:ascii="Times New Roman" w:eastAsia="Times New Roman" w:hAnsi="Times New Roman" w:cs="Times New Roman"/>
              <w:b w:val="0"/>
              <w:sz w:val="18"/>
            </w:rPr>
            <w:t xml:space="preserve">Strona </w:t>
          </w:r>
          <w:r>
            <w:rPr>
              <w:rFonts w:ascii="Times New Roman" w:eastAsia="Times New Roman" w:hAnsi="Times New Roman" w:cs="Times New Roman"/>
              <w:b w:val="0"/>
              <w:sz w:val="18"/>
            </w:rPr>
            <w:fldChar w:fldCharType="begin"/>
          </w:r>
          <w:r>
            <w:rPr>
              <w:rFonts w:ascii="Times New Roman" w:eastAsia="Times New Roman" w:hAnsi="Times New Roman" w:cs="Times New Roman"/>
              <w:b w:val="0"/>
              <w:sz w:val="18"/>
            </w:rPr>
            <w:instrText>PAGE</w:instrText>
          </w:r>
          <w:r>
            <w:rPr>
              <w:rFonts w:ascii="Times New Roman" w:eastAsia="Times New Roman" w:hAnsi="Times New Roman" w:cs="Times New Roman"/>
              <w:b w:val="0"/>
              <w:sz w:val="18"/>
            </w:rPr>
            <w:fldChar w:fldCharType="separate"/>
          </w:r>
          <w:r>
            <w:rPr>
              <w:rFonts w:ascii="Times New Roman" w:eastAsia="Times New Roman" w:hAnsi="Times New Roman" w:cs="Times New Roman"/>
              <w:b w:val="0"/>
              <w:sz w:val="18"/>
            </w:rPr>
            <w:fldChar w:fldCharType="end"/>
          </w:r>
        </w:p>
      </w:tc>
    </w:tr>
  </w:tbl>
  <w:p>
    <w:pPr>
      <w:rPr>
        <w:rFonts w:ascii="Times New Roman" w:eastAsia="Times New Roman" w:hAnsi="Times New Roman" w:cs="Times New Roman"/>
        <w:b w:val="0"/>
        <w:sz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keepNext w:val="0"/>
        <w:keepLines/>
        <w:spacing w:before="0" w:after="0" w:line="240" w:lineRule="auto"/>
        <w:ind w:left="170" w:right="0" w:hanging="170"/>
        <w:jc w:val="both"/>
        <w:rPr>
          <w:rFonts w:ascii="Times New Roman" w:eastAsia="Times New Roman" w:hAnsi="Times New Roman" w:cs="Times New Roman"/>
          <w:sz w:val="20"/>
        </w:rPr>
      </w:pPr>
      <w:r>
        <w:rPr>
          <w:rStyle w:val="FootnoteReference"/>
          <w:b w:val="0"/>
          <w:caps w:val="0"/>
        </w:rPr>
        <w:t>1) </w:t>
      </w:r>
      <w:r>
        <w:rPr>
          <w:rFonts w:ascii="Times New Roman" w:eastAsia="Times New Roman" w:hAnsi="Times New Roman" w:cs="Times New Roman"/>
          <w:b w:val="0"/>
          <w:caps w:val="0"/>
          <w:sz w:val="20"/>
        </w:rPr>
        <w:t>Układ współrzędnych płaskich prostokątnych PL-1992 jest jednym z układów tworzących państwowy system odniesień przestrzennych, o którym mowa w przepisach wydanych na podstawie art. 3 ust. 5 ustawy z dnia 17 maja 1989 r. – Prawo geodezyjne i kartograficzne (Dz. U. z 2024 r. poz. 1151 ze zm.).</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footnotePr>
    <w:footnote w:id="0"/>
    <w:footnote w:id="1"/>
  </w:footnotePr>
  <w:endnotePr>
    <w:numFmt w:val="decimal"/>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both"/>
    </w:pPr>
    <w:rPr>
      <w:rFonts w:ascii="Times New Roman" w:eastAsia="Times New Roman" w:hAnsi="Times New Roman" w:cs="Times New Roman"/>
      <w:sz w:val="24"/>
      <w:szCs w:val="24"/>
      <w:lang w:val="pl-PL" w:eastAsia="pl-PL" w:bidi="pl-PL"/>
    </w:rPr>
  </w:style>
  <w:style w:type="character" w:default="1" w:styleId="DefaultParagraphFont">
    <w:name w:val="Default Paragraph Font"/>
    <w:semiHidden/>
    <w:rPr>
      <w:lang w:val="pl-PL" w:eastAsia="pl-PL" w:bidi="pl-PL"/>
    </w:rPr>
  </w:style>
  <w:style w:type="table" w:default="1" w:styleId="TableNormal">
    <w:name w:val="Normal Table"/>
    <w:semiHidden/>
    <w:rPr>
      <w:lang w:val="pl-PL" w:eastAsia="pl-PL" w:bidi="pl-PL"/>
    </w:rPr>
    <w:tblPr>
      <w:tblInd w:w="0" w:type="dxa"/>
      <w:tblCellMar>
        <w:top w:w="0" w:type="dxa"/>
        <w:left w:w="108" w:type="dxa"/>
        <w:bottom w:w="0" w:type="dxa"/>
        <w:right w:w="108" w:type="dxa"/>
      </w:tblCellMar>
    </w:tblPr>
  </w:style>
  <w:style w:type="numbering" w:default="1" w:styleId="NoList">
    <w:name w:val="No List"/>
    <w:semiHidden/>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3.png" /><Relationship Id="rId11" Type="http://schemas.openxmlformats.org/officeDocument/2006/relationships/image" Target="Zalacznik66981847-8E5B-48B6-9496-8C4A74A5BC75.png" TargetMode="External" /><Relationship Id="rId12" Type="http://schemas.openxmlformats.org/officeDocument/2006/relationships/image" Target="media/image4.png" /><Relationship Id="rId13" Type="http://schemas.openxmlformats.org/officeDocument/2006/relationships/image" Target="ZalacznikB8FAEF9B-CA3E-4193-BCCF-971B2572ADFB.png" TargetMode="External" /><Relationship Id="rId14" Type="http://schemas.openxmlformats.org/officeDocument/2006/relationships/image" Target="media/image5.png" /><Relationship Id="rId15" Type="http://schemas.openxmlformats.org/officeDocument/2006/relationships/image" Target="Zalacznik540CCA29-D6C5-4F88-B47D-50C33A9333EE.png" TargetMode="External" /><Relationship Id="rId16" Type="http://schemas.openxmlformats.org/officeDocument/2006/relationships/image" Target="ZalacznikC4819B9B-6592-4F8D-A548-0FD57C8E6EF1.jpg" TargetMode="External" /><Relationship Id="rId17" Type="http://schemas.openxmlformats.org/officeDocument/2006/relationships/footer" Target="footer2.xml" /><Relationship Id="rId18" Type="http://schemas.openxmlformats.org/officeDocument/2006/relationships/image" Target="Zalacznik12526797-CFE1-4B45-B0B2-BE3A0BD2BF25.jpg" TargetMode="External" /><Relationship Id="rId19" Type="http://schemas.openxmlformats.org/officeDocument/2006/relationships/footer" Target="footer3.xml" /><Relationship Id="rId2" Type="http://schemas.openxmlformats.org/officeDocument/2006/relationships/settings" Target="settings.xml" /><Relationship Id="rId20" Type="http://schemas.openxmlformats.org/officeDocument/2006/relationships/image" Target="Zalacznik648230BF-87AC-40BE-A727-9FFD2CFE9799.jpg" TargetMode="External" /><Relationship Id="rId21" Type="http://schemas.openxmlformats.org/officeDocument/2006/relationships/footer" Target="footer4.xml" /><Relationship Id="rId22" Type="http://schemas.openxmlformats.org/officeDocument/2006/relationships/image" Target="media/image6.jpeg" /><Relationship Id="rId23" Type="http://schemas.openxmlformats.org/officeDocument/2006/relationships/footer" Target="footer5.xml" /><Relationship Id="rId24" Type="http://schemas.openxmlformats.org/officeDocument/2006/relationships/theme" Target="theme/theme1.xml" /><Relationship Id="rId25"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jpeg" /><Relationship Id="rId6" Type="http://schemas.openxmlformats.org/officeDocument/2006/relationships/image" Target="Zalacznik3CF07BF9-A5CF-4290-B150-D87F349AE68F.jpg" TargetMode="External" /><Relationship Id="rId7" Type="http://schemas.openxmlformats.org/officeDocument/2006/relationships/footer" Target="footer1.xml" /><Relationship Id="rId8" Type="http://schemas.openxmlformats.org/officeDocument/2006/relationships/image" Target="media/image2.png" /><Relationship Id="rId9" Type="http://schemas.openxmlformats.org/officeDocument/2006/relationships/image" Target="Zalacznik14B2ACB1-6690-4E61-B711-5079D0549375.png" TargetMode="External" /></Relationships>
</file>

<file path=word/theme/theme1.xml><?xml version="1.0" encoding="utf-8"?>
<a:theme xmlns:a="http://schemas.openxmlformats.org/drawingml/2006/main" name="Office Theme">
  <a:themeElements>
    <a:clrScheme name="Office">
      <a:dk1>
        <a:sysClr val="windowText"/>
      </a:dk1>
      <a:lt1>
        <a:sysClr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Regionalny Dyrektor Ochrony Środowiska w Bydgoszczy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z dnia 20 grudnia 2024 r.</dc:title>
  <dc:subject>w^sprawie uznania za rezerwat przyrody „Bruchniewska Ostoja”</dc:subject>
  <dc:creator>kleszczynska</dc:creator>
  <cp:lastModifiedBy>kleszczynska</cp:lastModifiedBy>
  <cp:revision>1</cp:revision>
  <dcterms:created xsi:type="dcterms:W3CDTF">2024-12-23T12:58:09Z</dcterms:created>
  <dcterms:modified xsi:type="dcterms:W3CDTF">2024-12-23T12:58:09Z</dcterms:modified>
  <cp:category>Akt prawny</cp:category>
</cp:coreProperties>
</file>