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2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3.xml" ContentType="application/vnd.openxmlformats-officedocument.themeOverrid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5428D" w14:textId="51C11264" w:rsidR="005B269E" w:rsidRPr="004D77E0" w:rsidRDefault="005B269E" w:rsidP="005B269E">
      <w:pPr>
        <w:tabs>
          <w:tab w:val="left" w:pos="1800"/>
        </w:tabs>
        <w:jc w:val="center"/>
        <w:rPr>
          <w:rFonts w:ascii="Lato" w:hAnsi="Lato"/>
          <w:b/>
          <w:bCs/>
          <w:color w:val="00B0F0"/>
          <w:sz w:val="36"/>
          <w:szCs w:val="36"/>
          <w:u w:val="single"/>
        </w:rPr>
      </w:pPr>
      <w:r w:rsidRPr="004D77E0">
        <w:rPr>
          <w:rFonts w:ascii="Lato" w:hAnsi="Lato"/>
          <w:b/>
          <w:bCs/>
          <w:color w:val="00B0F0"/>
          <w:sz w:val="36"/>
          <w:szCs w:val="36"/>
          <w:u w:val="single"/>
        </w:rPr>
        <w:t>OBWIESZCZENI</w:t>
      </w:r>
      <w:r>
        <w:rPr>
          <w:rFonts w:ascii="Lato" w:hAnsi="Lato"/>
          <w:b/>
          <w:bCs/>
          <w:color w:val="00B0F0"/>
          <w:sz w:val="36"/>
          <w:szCs w:val="36"/>
          <w:u w:val="single"/>
        </w:rPr>
        <w:t xml:space="preserve">E </w:t>
      </w:r>
      <w:r w:rsidRPr="004D77E0">
        <w:rPr>
          <w:rFonts w:ascii="Lato" w:hAnsi="Lato"/>
          <w:b/>
          <w:bCs/>
          <w:color w:val="00B0F0"/>
          <w:sz w:val="36"/>
          <w:szCs w:val="36"/>
          <w:u w:val="single"/>
        </w:rPr>
        <w:t>REFUNDACYJNE NR 8</w:t>
      </w:r>
      <w:r w:rsidR="00880AF5">
        <w:rPr>
          <w:rFonts w:ascii="Lato" w:hAnsi="Lato"/>
          <w:b/>
          <w:bCs/>
          <w:color w:val="00B0F0"/>
          <w:sz w:val="36"/>
          <w:szCs w:val="36"/>
          <w:u w:val="single"/>
        </w:rPr>
        <w:t>1</w:t>
      </w:r>
      <w:r w:rsidRPr="004D77E0">
        <w:rPr>
          <w:rFonts w:ascii="Lato" w:hAnsi="Lato"/>
          <w:b/>
          <w:bCs/>
          <w:color w:val="00B0F0"/>
          <w:sz w:val="36"/>
          <w:szCs w:val="36"/>
          <w:u w:val="single"/>
        </w:rPr>
        <w:t xml:space="preserve"> (1 </w:t>
      </w:r>
      <w:r w:rsidR="00880AF5">
        <w:rPr>
          <w:rFonts w:ascii="Lato" w:hAnsi="Lato"/>
          <w:b/>
          <w:bCs/>
          <w:color w:val="00B0F0"/>
          <w:sz w:val="36"/>
          <w:szCs w:val="36"/>
          <w:u w:val="single"/>
        </w:rPr>
        <w:t>STYCZNIA</w:t>
      </w:r>
      <w:r w:rsidRPr="004D77E0">
        <w:rPr>
          <w:rFonts w:ascii="Lato" w:hAnsi="Lato"/>
          <w:b/>
          <w:bCs/>
          <w:color w:val="00B0F0"/>
          <w:sz w:val="36"/>
          <w:szCs w:val="36"/>
          <w:u w:val="single"/>
        </w:rPr>
        <w:t xml:space="preserve"> 202</w:t>
      </w:r>
      <w:r w:rsidR="00880AF5">
        <w:rPr>
          <w:rFonts w:ascii="Lato" w:hAnsi="Lato"/>
          <w:b/>
          <w:bCs/>
          <w:color w:val="00B0F0"/>
          <w:sz w:val="36"/>
          <w:szCs w:val="36"/>
          <w:u w:val="single"/>
        </w:rPr>
        <w:t>6</w:t>
      </w:r>
      <w:r w:rsidRPr="004D77E0">
        <w:rPr>
          <w:rFonts w:ascii="Lato" w:hAnsi="Lato"/>
          <w:b/>
          <w:bCs/>
          <w:color w:val="00B0F0"/>
          <w:sz w:val="36"/>
          <w:szCs w:val="36"/>
          <w:u w:val="single"/>
        </w:rPr>
        <w:t xml:space="preserve"> r.)</w:t>
      </w:r>
    </w:p>
    <w:p w14:paraId="07B6E242" w14:textId="6D0C5925" w:rsidR="005B269E" w:rsidRPr="0058562B" w:rsidRDefault="005B269E" w:rsidP="005B269E">
      <w:pPr>
        <w:spacing w:before="240" w:after="120" w:line="276" w:lineRule="auto"/>
        <w:jc w:val="both"/>
        <w:rPr>
          <w:rFonts w:ascii="Lato" w:hAnsi="Lato"/>
        </w:rPr>
      </w:pPr>
      <w:r w:rsidRPr="0058562B">
        <w:rPr>
          <w:rFonts w:ascii="Lato" w:hAnsi="Lato"/>
        </w:rPr>
        <w:t xml:space="preserve">W ramach </w:t>
      </w:r>
      <w:r>
        <w:rPr>
          <w:rFonts w:ascii="Lato" w:hAnsi="Lato"/>
        </w:rPr>
        <w:t>pierwszego</w:t>
      </w:r>
      <w:r w:rsidRPr="0058562B">
        <w:rPr>
          <w:rFonts w:ascii="Lato" w:hAnsi="Lato"/>
        </w:rPr>
        <w:t xml:space="preserve"> wykazu w roku 202</w:t>
      </w:r>
      <w:r w:rsidR="00880AF5">
        <w:rPr>
          <w:rFonts w:ascii="Lato" w:hAnsi="Lato"/>
        </w:rPr>
        <w:t>6</w:t>
      </w:r>
      <w:r w:rsidRPr="0058562B">
        <w:rPr>
          <w:rFonts w:ascii="Lato" w:hAnsi="Lato"/>
        </w:rPr>
        <w:t xml:space="preserve">, finansowaniem ze środków publicznych zostało objętych </w:t>
      </w:r>
      <w:r w:rsidR="00880AF5">
        <w:rPr>
          <w:rFonts w:ascii="Lato" w:hAnsi="Lato"/>
          <w:b/>
          <w:bCs/>
        </w:rPr>
        <w:t>24</w:t>
      </w:r>
      <w:r w:rsidRPr="0058562B">
        <w:rPr>
          <w:rFonts w:ascii="Lato" w:hAnsi="Lato"/>
          <w:b/>
          <w:bCs/>
        </w:rPr>
        <w:t xml:space="preserve"> now</w:t>
      </w:r>
      <w:r w:rsidR="00880AF5">
        <w:rPr>
          <w:rFonts w:ascii="Lato" w:hAnsi="Lato"/>
          <w:b/>
          <w:bCs/>
        </w:rPr>
        <w:t>e</w:t>
      </w:r>
      <w:r w:rsidRPr="0058562B">
        <w:rPr>
          <w:rFonts w:ascii="Lato" w:hAnsi="Lato"/>
          <w:b/>
          <w:bCs/>
        </w:rPr>
        <w:t xml:space="preserve"> cząsteczko – wskaza</w:t>
      </w:r>
      <w:r w:rsidR="00880AF5">
        <w:rPr>
          <w:rFonts w:ascii="Lato" w:hAnsi="Lato"/>
          <w:b/>
          <w:bCs/>
        </w:rPr>
        <w:t>nia</w:t>
      </w:r>
      <w:r w:rsidRPr="0058562B">
        <w:rPr>
          <w:rFonts w:ascii="Lato" w:hAnsi="Lato"/>
        </w:rPr>
        <w:t>, w tym:</w:t>
      </w:r>
    </w:p>
    <w:p w14:paraId="0E12B8F3" w14:textId="08373797" w:rsidR="005B269E" w:rsidRPr="008D723E" w:rsidRDefault="00880AF5" w:rsidP="005B269E">
      <w:pPr>
        <w:pStyle w:val="Akapitzlist"/>
        <w:numPr>
          <w:ilvl w:val="0"/>
          <w:numId w:val="25"/>
        </w:numPr>
        <w:spacing w:before="240" w:after="120" w:line="276" w:lineRule="auto"/>
        <w:jc w:val="both"/>
        <w:rPr>
          <w:rFonts w:ascii="Lato" w:hAnsi="Lato"/>
        </w:rPr>
      </w:pPr>
      <w:r>
        <w:rPr>
          <w:rFonts w:ascii="Lato" w:hAnsi="Lato"/>
        </w:rPr>
        <w:t>9</w:t>
      </w:r>
      <w:r w:rsidR="005B269E" w:rsidRPr="008D723E">
        <w:rPr>
          <w:rFonts w:ascii="Lato" w:hAnsi="Lato"/>
        </w:rPr>
        <w:t xml:space="preserve"> cząsteczko – wskaza</w:t>
      </w:r>
      <w:r>
        <w:rPr>
          <w:rFonts w:ascii="Lato" w:hAnsi="Lato"/>
        </w:rPr>
        <w:t>ń</w:t>
      </w:r>
      <w:r w:rsidR="005B269E" w:rsidRPr="008D723E">
        <w:rPr>
          <w:rFonts w:ascii="Lato" w:hAnsi="Lato"/>
        </w:rPr>
        <w:t xml:space="preserve"> onkologiczn</w:t>
      </w:r>
      <w:r>
        <w:rPr>
          <w:rFonts w:ascii="Lato" w:hAnsi="Lato"/>
        </w:rPr>
        <w:t>ych</w:t>
      </w:r>
      <w:r w:rsidR="005B269E" w:rsidRPr="008D723E">
        <w:rPr>
          <w:rFonts w:ascii="Lato" w:hAnsi="Lato"/>
        </w:rPr>
        <w:t>,</w:t>
      </w:r>
    </w:p>
    <w:p w14:paraId="7F4DF3E0" w14:textId="47CC690D" w:rsidR="005B269E" w:rsidRPr="008D723E" w:rsidRDefault="00880AF5" w:rsidP="005B269E">
      <w:pPr>
        <w:pStyle w:val="Akapitzlist"/>
        <w:numPr>
          <w:ilvl w:val="0"/>
          <w:numId w:val="25"/>
        </w:numPr>
        <w:spacing w:before="240" w:after="120" w:line="276" w:lineRule="auto"/>
        <w:jc w:val="both"/>
        <w:rPr>
          <w:rFonts w:ascii="Lato" w:hAnsi="Lato"/>
        </w:rPr>
      </w:pPr>
      <w:r>
        <w:rPr>
          <w:rFonts w:ascii="Lato" w:hAnsi="Lato"/>
        </w:rPr>
        <w:t>15</w:t>
      </w:r>
      <w:r w:rsidR="005B269E" w:rsidRPr="008D723E">
        <w:rPr>
          <w:rFonts w:ascii="Lato" w:hAnsi="Lato"/>
        </w:rPr>
        <w:t xml:space="preserve"> cząsteczko - wskazań nieonkologicznych,</w:t>
      </w:r>
    </w:p>
    <w:p w14:paraId="6C91E204" w14:textId="4371A01A" w:rsidR="005B269E" w:rsidRPr="008D723E" w:rsidRDefault="00880AF5" w:rsidP="005B269E">
      <w:pPr>
        <w:pStyle w:val="Akapitzlist"/>
        <w:numPr>
          <w:ilvl w:val="0"/>
          <w:numId w:val="25"/>
        </w:numPr>
        <w:spacing w:before="240" w:after="120" w:line="276" w:lineRule="auto"/>
        <w:jc w:val="both"/>
        <w:rPr>
          <w:rFonts w:ascii="Lato" w:hAnsi="Lato"/>
        </w:rPr>
      </w:pPr>
      <w:r>
        <w:rPr>
          <w:rFonts w:ascii="Lato" w:hAnsi="Lato"/>
        </w:rPr>
        <w:t>8</w:t>
      </w:r>
      <w:r w:rsidR="005B269E" w:rsidRPr="008D723E">
        <w:rPr>
          <w:rFonts w:ascii="Lato" w:hAnsi="Lato"/>
        </w:rPr>
        <w:t xml:space="preserve"> cząsteczko - wskazań dedykowanych chorobom rzadkim.</w:t>
      </w:r>
    </w:p>
    <w:p w14:paraId="3398A738" w14:textId="52E64EBC" w:rsidR="005B269E" w:rsidRPr="0058562B" w:rsidRDefault="005B269E" w:rsidP="005B269E">
      <w:pPr>
        <w:spacing w:before="240" w:after="120" w:line="276" w:lineRule="auto"/>
        <w:jc w:val="both"/>
        <w:rPr>
          <w:rFonts w:ascii="Lato" w:hAnsi="Lato"/>
        </w:rPr>
      </w:pPr>
      <w:r w:rsidRPr="0058562B">
        <w:rPr>
          <w:rFonts w:ascii="Lato" w:hAnsi="Lato"/>
        </w:rPr>
        <w:t xml:space="preserve">Obwieszczenie refundacyjne obowiązujące od 1 </w:t>
      </w:r>
      <w:r w:rsidR="004B17A5">
        <w:rPr>
          <w:rFonts w:ascii="Lato" w:hAnsi="Lato"/>
        </w:rPr>
        <w:t>stycznia</w:t>
      </w:r>
      <w:r w:rsidRPr="0058562B">
        <w:rPr>
          <w:rFonts w:ascii="Lato" w:hAnsi="Lato"/>
        </w:rPr>
        <w:t xml:space="preserve"> 202</w:t>
      </w:r>
      <w:r w:rsidR="004B17A5">
        <w:rPr>
          <w:rFonts w:ascii="Lato" w:hAnsi="Lato"/>
        </w:rPr>
        <w:t>6</w:t>
      </w:r>
      <w:r w:rsidRPr="0058562B">
        <w:rPr>
          <w:rFonts w:ascii="Lato" w:hAnsi="Lato"/>
        </w:rPr>
        <w:t xml:space="preserve"> r. (nr 8</w:t>
      </w:r>
      <w:r w:rsidR="00880AF5">
        <w:rPr>
          <w:rFonts w:ascii="Lato" w:hAnsi="Lato"/>
        </w:rPr>
        <w:t>1</w:t>
      </w:r>
      <w:r w:rsidRPr="0058562B">
        <w:rPr>
          <w:rFonts w:ascii="Lato" w:hAnsi="Lato"/>
        </w:rPr>
        <w:t xml:space="preserve">), w porównaniu do obwieszczenia </w:t>
      </w:r>
      <w:r w:rsidR="00880AF5">
        <w:rPr>
          <w:rFonts w:ascii="Lato" w:hAnsi="Lato"/>
        </w:rPr>
        <w:t>80</w:t>
      </w:r>
      <w:r w:rsidRPr="0058562B">
        <w:rPr>
          <w:rFonts w:ascii="Lato" w:hAnsi="Lato"/>
        </w:rPr>
        <w:t xml:space="preserve"> zawiera następujące zmiany:</w:t>
      </w:r>
    </w:p>
    <w:p w14:paraId="0253DB40" w14:textId="65FB20CE" w:rsidR="005B269E" w:rsidRPr="00152FD7" w:rsidRDefault="005B269E" w:rsidP="005B269E">
      <w:pPr>
        <w:numPr>
          <w:ilvl w:val="0"/>
          <w:numId w:val="4"/>
        </w:numPr>
        <w:spacing w:before="240" w:after="120" w:line="276" w:lineRule="auto"/>
        <w:jc w:val="both"/>
        <w:rPr>
          <w:rFonts w:ascii="Lato" w:hAnsi="Lato"/>
        </w:rPr>
      </w:pPr>
      <w:r w:rsidRPr="00152FD7">
        <w:rPr>
          <w:rFonts w:ascii="Lato" w:hAnsi="Lato"/>
        </w:rPr>
        <w:t>W związku z wydaniem pozytywnych decyzji o objęciu refundacją ogółem do wykazu zostało dodanych 1</w:t>
      </w:r>
      <w:r w:rsidR="00F84011" w:rsidRPr="00152FD7">
        <w:rPr>
          <w:rFonts w:ascii="Lato" w:hAnsi="Lato"/>
        </w:rPr>
        <w:t>3</w:t>
      </w:r>
      <w:r w:rsidR="00B50E80">
        <w:rPr>
          <w:rFonts w:ascii="Lato" w:hAnsi="Lato"/>
        </w:rPr>
        <w:t>9</w:t>
      </w:r>
      <w:r w:rsidRPr="00152FD7">
        <w:rPr>
          <w:rFonts w:ascii="Lato" w:hAnsi="Lato"/>
        </w:rPr>
        <w:t xml:space="preserve"> produktów bądź nowych wskazań.</w:t>
      </w:r>
    </w:p>
    <w:p w14:paraId="660ED9CC" w14:textId="26074D1F" w:rsidR="005B269E" w:rsidRPr="00152FD7" w:rsidRDefault="005B269E" w:rsidP="005B269E">
      <w:pPr>
        <w:numPr>
          <w:ilvl w:val="0"/>
          <w:numId w:val="4"/>
        </w:numPr>
        <w:spacing w:before="240" w:after="120" w:line="276" w:lineRule="auto"/>
        <w:jc w:val="both"/>
        <w:rPr>
          <w:rFonts w:ascii="Lato" w:hAnsi="Lato"/>
        </w:rPr>
      </w:pPr>
      <w:r w:rsidRPr="00152FD7">
        <w:rPr>
          <w:rFonts w:ascii="Lato" w:hAnsi="Lato"/>
        </w:rPr>
        <w:t xml:space="preserve">Dla </w:t>
      </w:r>
      <w:r w:rsidR="00F84011" w:rsidRPr="00152FD7">
        <w:rPr>
          <w:rFonts w:ascii="Lato" w:hAnsi="Lato"/>
        </w:rPr>
        <w:t>211</w:t>
      </w:r>
      <w:r w:rsidRPr="00152FD7">
        <w:rPr>
          <w:rFonts w:ascii="Lato" w:hAnsi="Lato"/>
        </w:rPr>
        <w:t xml:space="preserve"> produktów wprowadzono obniżki cen zbytu netto (od 0,01 zł do </w:t>
      </w:r>
      <w:r w:rsidR="00F84011" w:rsidRPr="00152FD7">
        <w:rPr>
          <w:rFonts w:ascii="Lato" w:hAnsi="Lato"/>
        </w:rPr>
        <w:t>15 050</w:t>
      </w:r>
      <w:r w:rsidRPr="00152FD7">
        <w:rPr>
          <w:rFonts w:ascii="Lato" w:hAnsi="Lato"/>
        </w:rPr>
        <w:t>,00 zł).</w:t>
      </w:r>
    </w:p>
    <w:p w14:paraId="62C6661D" w14:textId="2F677B50" w:rsidR="005B269E" w:rsidRPr="00152FD7" w:rsidRDefault="005B269E" w:rsidP="005B269E">
      <w:pPr>
        <w:numPr>
          <w:ilvl w:val="0"/>
          <w:numId w:val="4"/>
        </w:numPr>
        <w:spacing w:before="240" w:after="120" w:line="276" w:lineRule="auto"/>
        <w:jc w:val="both"/>
        <w:rPr>
          <w:rFonts w:ascii="Lato" w:hAnsi="Lato"/>
        </w:rPr>
      </w:pPr>
      <w:r w:rsidRPr="00152FD7">
        <w:rPr>
          <w:rFonts w:ascii="Lato" w:hAnsi="Lato"/>
        </w:rPr>
        <w:t xml:space="preserve">Dla </w:t>
      </w:r>
      <w:r w:rsidR="00F84011" w:rsidRPr="00152FD7">
        <w:rPr>
          <w:rFonts w:ascii="Lato" w:hAnsi="Lato"/>
        </w:rPr>
        <w:t>6</w:t>
      </w:r>
      <w:r w:rsidRPr="00152FD7">
        <w:rPr>
          <w:rFonts w:ascii="Lato" w:hAnsi="Lato"/>
        </w:rPr>
        <w:t xml:space="preserve"> produktów wprowadzono podwyżki cen zbytu netto (od </w:t>
      </w:r>
      <w:r w:rsidR="00F84011" w:rsidRPr="00152FD7">
        <w:rPr>
          <w:rFonts w:ascii="Lato" w:hAnsi="Lato"/>
        </w:rPr>
        <w:t>4,01</w:t>
      </w:r>
      <w:r w:rsidRPr="00152FD7">
        <w:rPr>
          <w:rFonts w:ascii="Lato" w:hAnsi="Lato"/>
        </w:rPr>
        <w:t xml:space="preserve"> zł do </w:t>
      </w:r>
      <w:r w:rsidR="00F84011" w:rsidRPr="00152FD7">
        <w:rPr>
          <w:rFonts w:ascii="Lato" w:hAnsi="Lato"/>
        </w:rPr>
        <w:t>51,15</w:t>
      </w:r>
      <w:r w:rsidRPr="00152FD7">
        <w:rPr>
          <w:rFonts w:ascii="Lato" w:hAnsi="Lato"/>
        </w:rPr>
        <w:t xml:space="preserve"> zł).</w:t>
      </w:r>
    </w:p>
    <w:p w14:paraId="704852CE" w14:textId="5565F9FE" w:rsidR="005B269E" w:rsidRPr="00152FD7" w:rsidRDefault="005B269E" w:rsidP="005B269E">
      <w:pPr>
        <w:numPr>
          <w:ilvl w:val="0"/>
          <w:numId w:val="4"/>
        </w:numPr>
        <w:spacing w:before="240" w:after="120" w:line="276" w:lineRule="auto"/>
        <w:jc w:val="both"/>
        <w:rPr>
          <w:rFonts w:ascii="Lato" w:hAnsi="Lato"/>
        </w:rPr>
      </w:pPr>
      <w:r w:rsidRPr="00152FD7">
        <w:rPr>
          <w:rFonts w:ascii="Lato" w:hAnsi="Lato"/>
        </w:rPr>
        <w:t xml:space="preserve">Dla </w:t>
      </w:r>
      <w:r w:rsidR="00F84011" w:rsidRPr="00152FD7">
        <w:rPr>
          <w:rFonts w:ascii="Lato" w:hAnsi="Lato"/>
        </w:rPr>
        <w:t>39</w:t>
      </w:r>
      <w:r w:rsidR="00B50E80">
        <w:rPr>
          <w:rFonts w:ascii="Lato" w:hAnsi="Lato"/>
        </w:rPr>
        <w:t>5</w:t>
      </w:r>
      <w:r w:rsidR="00F84011" w:rsidRPr="00152FD7">
        <w:rPr>
          <w:rFonts w:ascii="Lato" w:hAnsi="Lato"/>
        </w:rPr>
        <w:t xml:space="preserve"> </w:t>
      </w:r>
      <w:r w:rsidRPr="00152FD7">
        <w:rPr>
          <w:rFonts w:ascii="Lato" w:hAnsi="Lato"/>
        </w:rPr>
        <w:t xml:space="preserve">pozycji w obwieszczeniu spadnie dopłata pacjenta (od 0,01 zł do </w:t>
      </w:r>
      <w:r w:rsidR="00F84011" w:rsidRPr="00152FD7">
        <w:rPr>
          <w:rFonts w:ascii="Lato" w:hAnsi="Lato"/>
        </w:rPr>
        <w:t>19,91</w:t>
      </w:r>
      <w:r w:rsidRPr="00152FD7">
        <w:rPr>
          <w:rFonts w:ascii="Lato" w:hAnsi="Lato"/>
        </w:rPr>
        <w:t xml:space="preserve"> zł).</w:t>
      </w:r>
    </w:p>
    <w:p w14:paraId="219D94BC" w14:textId="141C09CA" w:rsidR="005B269E" w:rsidRPr="00152FD7" w:rsidRDefault="005B269E" w:rsidP="005B269E">
      <w:pPr>
        <w:numPr>
          <w:ilvl w:val="0"/>
          <w:numId w:val="4"/>
        </w:numPr>
        <w:spacing w:before="240" w:after="120" w:line="276" w:lineRule="auto"/>
        <w:jc w:val="both"/>
        <w:rPr>
          <w:rFonts w:ascii="Lato" w:hAnsi="Lato"/>
        </w:rPr>
      </w:pPr>
      <w:r w:rsidRPr="00152FD7">
        <w:rPr>
          <w:rFonts w:ascii="Lato" w:hAnsi="Lato"/>
        </w:rPr>
        <w:t xml:space="preserve">Dla </w:t>
      </w:r>
      <w:r w:rsidR="00F84011" w:rsidRPr="00152FD7">
        <w:rPr>
          <w:rFonts w:ascii="Lato" w:hAnsi="Lato"/>
        </w:rPr>
        <w:t>37</w:t>
      </w:r>
      <w:r w:rsidR="00B50E80">
        <w:rPr>
          <w:rFonts w:ascii="Lato" w:hAnsi="Lato"/>
        </w:rPr>
        <w:t>9</w:t>
      </w:r>
      <w:r w:rsidRPr="00152FD7">
        <w:rPr>
          <w:rFonts w:ascii="Lato" w:hAnsi="Lato"/>
        </w:rPr>
        <w:t xml:space="preserve"> pozycji w obwieszczeniu wzrośnie dopłata pacjenta (od 0,01 zł do </w:t>
      </w:r>
      <w:r w:rsidR="00F84011" w:rsidRPr="00152FD7">
        <w:rPr>
          <w:rFonts w:ascii="Lato" w:hAnsi="Lato"/>
        </w:rPr>
        <w:t>209,9</w:t>
      </w:r>
      <w:r w:rsidR="00B50E80">
        <w:rPr>
          <w:rFonts w:ascii="Lato" w:hAnsi="Lato"/>
        </w:rPr>
        <w:t>7</w:t>
      </w:r>
      <w:r w:rsidRPr="00152FD7">
        <w:rPr>
          <w:rFonts w:ascii="Lato" w:hAnsi="Lato"/>
        </w:rPr>
        <w:t xml:space="preserve"> zł).</w:t>
      </w:r>
    </w:p>
    <w:p w14:paraId="355FB95A" w14:textId="285E5301" w:rsidR="005B269E" w:rsidRPr="00152FD7" w:rsidRDefault="005B269E" w:rsidP="005B269E">
      <w:pPr>
        <w:numPr>
          <w:ilvl w:val="0"/>
          <w:numId w:val="4"/>
        </w:numPr>
        <w:spacing w:before="240" w:after="120" w:line="276" w:lineRule="auto"/>
        <w:jc w:val="both"/>
        <w:rPr>
          <w:rFonts w:ascii="Lato" w:hAnsi="Lato"/>
        </w:rPr>
      </w:pPr>
      <w:r w:rsidRPr="00152FD7">
        <w:rPr>
          <w:rFonts w:ascii="Lato" w:hAnsi="Lato"/>
        </w:rPr>
        <w:t xml:space="preserve">Dla </w:t>
      </w:r>
      <w:r w:rsidR="00F84011" w:rsidRPr="00152FD7">
        <w:rPr>
          <w:rFonts w:ascii="Lato" w:hAnsi="Lato"/>
        </w:rPr>
        <w:t>387</w:t>
      </w:r>
      <w:r w:rsidRPr="00152FD7">
        <w:rPr>
          <w:rFonts w:ascii="Lato" w:hAnsi="Lato"/>
        </w:rPr>
        <w:t xml:space="preserve"> produktów ulegną obniżeniu ceny detaliczne (od 0,01 zł do </w:t>
      </w:r>
      <w:r w:rsidR="00F84011" w:rsidRPr="00152FD7">
        <w:rPr>
          <w:rFonts w:ascii="Lato" w:hAnsi="Lato"/>
        </w:rPr>
        <w:t>543,78</w:t>
      </w:r>
      <w:r w:rsidRPr="00152FD7">
        <w:rPr>
          <w:rFonts w:ascii="Lato" w:hAnsi="Lato"/>
        </w:rPr>
        <w:t xml:space="preserve"> zł).</w:t>
      </w:r>
    </w:p>
    <w:p w14:paraId="34568F5B" w14:textId="7B00A1FD" w:rsidR="005B269E" w:rsidRPr="00152FD7" w:rsidRDefault="005B269E" w:rsidP="005B269E">
      <w:pPr>
        <w:numPr>
          <w:ilvl w:val="0"/>
          <w:numId w:val="4"/>
        </w:numPr>
        <w:spacing w:before="240" w:after="120" w:line="276" w:lineRule="auto"/>
        <w:jc w:val="both"/>
        <w:rPr>
          <w:rFonts w:ascii="Lato" w:hAnsi="Lato"/>
        </w:rPr>
      </w:pPr>
      <w:r w:rsidRPr="00152FD7">
        <w:rPr>
          <w:rFonts w:ascii="Lato" w:hAnsi="Lato"/>
        </w:rPr>
        <w:t xml:space="preserve">Dla </w:t>
      </w:r>
      <w:r w:rsidR="00F84011" w:rsidRPr="00152FD7">
        <w:rPr>
          <w:rFonts w:ascii="Lato" w:hAnsi="Lato"/>
        </w:rPr>
        <w:t>406</w:t>
      </w:r>
      <w:r w:rsidRPr="00152FD7">
        <w:rPr>
          <w:rFonts w:ascii="Lato" w:hAnsi="Lato"/>
        </w:rPr>
        <w:t xml:space="preserve"> produktów wzrosną ceny detaliczne (od 0,01 zł do 1</w:t>
      </w:r>
      <w:r w:rsidR="00F84011" w:rsidRPr="00152FD7">
        <w:rPr>
          <w:rFonts w:ascii="Lato" w:hAnsi="Lato"/>
        </w:rPr>
        <w:t xml:space="preserve">,50 </w:t>
      </w:r>
      <w:r w:rsidRPr="00152FD7">
        <w:rPr>
          <w:rFonts w:ascii="Lato" w:hAnsi="Lato"/>
        </w:rPr>
        <w:t>zł).</w:t>
      </w:r>
    </w:p>
    <w:p w14:paraId="1E9527DD" w14:textId="32CAC0E0" w:rsidR="00880AF5" w:rsidRDefault="005B269E" w:rsidP="00B123BB">
      <w:pPr>
        <w:numPr>
          <w:ilvl w:val="0"/>
          <w:numId w:val="4"/>
        </w:numPr>
        <w:suppressAutoHyphens w:val="0"/>
        <w:spacing w:before="240" w:after="120" w:line="276" w:lineRule="auto"/>
        <w:jc w:val="both"/>
        <w:rPr>
          <w:rFonts w:ascii="Lato" w:hAnsi="Lato"/>
          <w:sz w:val="24"/>
          <w:szCs w:val="24"/>
        </w:rPr>
        <w:sectPr w:rsidR="00880AF5" w:rsidSect="005058F2">
          <w:headerReference w:type="first" r:id="rId7"/>
          <w:pgSz w:w="16838" w:h="11906" w:orient="landscape"/>
          <w:pgMar w:top="1417" w:right="1417" w:bottom="1417" w:left="1417" w:header="708" w:footer="708" w:gutter="0"/>
          <w:cols w:space="708"/>
          <w:titlePg/>
          <w:docGrid w:linePitch="299"/>
        </w:sectPr>
      </w:pPr>
      <w:r w:rsidRPr="00152FD7">
        <w:rPr>
          <w:rFonts w:ascii="Lato" w:hAnsi="Lato"/>
        </w:rPr>
        <w:t xml:space="preserve">W związku z wpłynięciem wniosków o skrócenie terminu obowiązywania decyzji refundacyjnych lub upłynięciem terminu obowiązywania decyzji refundacyjnych lub odmową refundacji na kolejny okres w obwieszczeniu nie znajdzie się </w:t>
      </w:r>
      <w:r w:rsidR="00F84011" w:rsidRPr="00152FD7">
        <w:rPr>
          <w:rFonts w:ascii="Lato" w:hAnsi="Lato"/>
        </w:rPr>
        <w:t>124</w:t>
      </w:r>
      <w:r w:rsidRPr="00152FD7">
        <w:rPr>
          <w:rFonts w:ascii="Lato" w:hAnsi="Lato"/>
        </w:rPr>
        <w:t xml:space="preserve"> produktów bądź wskazań figurujących w poprzednim obwieszczeniu.</w:t>
      </w:r>
      <w:r w:rsidR="004D093B" w:rsidRPr="00880AF5">
        <w:rPr>
          <w:rFonts w:ascii="Lato" w:hAnsi="Lato"/>
          <w:sz w:val="24"/>
          <w:szCs w:val="24"/>
        </w:rPr>
        <w:br w:type="page"/>
      </w:r>
    </w:p>
    <w:p w14:paraId="011DE8D5" w14:textId="095B4EDC" w:rsidR="00880AF5" w:rsidRPr="006001BE" w:rsidRDefault="00880AF5" w:rsidP="006001BE">
      <w:pPr>
        <w:suppressAutoHyphens w:val="0"/>
        <w:spacing w:after="0" w:line="240" w:lineRule="auto"/>
        <w:ind w:left="-567"/>
        <w:jc w:val="both"/>
        <w:rPr>
          <w:rFonts w:ascii="Lato" w:hAnsi="Lato"/>
          <w:sz w:val="18"/>
          <w:szCs w:val="18"/>
        </w:rPr>
      </w:pPr>
      <w:r>
        <w:rPr>
          <w:noProof/>
        </w:rPr>
        <w:lastRenderedPageBreak/>
        <w:drawing>
          <wp:inline distT="0" distB="0" distL="0" distR="0" wp14:anchorId="35E2E95A" wp14:editId="0E76502F">
            <wp:extent cx="4860000" cy="3204000"/>
            <wp:effectExtent l="0" t="0" r="17145" b="15875"/>
            <wp:docPr id="554454501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23A0AD5C-D4BF-4213-B61E-AB86BE2BF4B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>
        <w:rPr>
          <w:rFonts w:ascii="Lato" w:hAnsi="Lato"/>
          <w:sz w:val="24"/>
          <w:szCs w:val="24"/>
        </w:rPr>
        <w:t xml:space="preserve"> </w:t>
      </w:r>
      <w:r>
        <w:rPr>
          <w:noProof/>
        </w:rPr>
        <w:drawing>
          <wp:inline distT="0" distB="0" distL="0" distR="0" wp14:anchorId="0EECF590" wp14:editId="61FC8A5F">
            <wp:extent cx="4860000" cy="3204000"/>
            <wp:effectExtent l="0" t="0" r="17145" b="15875"/>
            <wp:docPr id="585522151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ED043A22-9FF8-4F7A-AABD-A24ADEDB8DF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3A5701A3" w14:textId="0288637E" w:rsidR="006001BE" w:rsidRPr="006001BE" w:rsidRDefault="006001BE" w:rsidP="006001BE">
      <w:pPr>
        <w:suppressAutoHyphens w:val="0"/>
        <w:spacing w:after="0" w:line="240" w:lineRule="auto"/>
        <w:ind w:left="-567"/>
        <w:jc w:val="both"/>
        <w:rPr>
          <w:rFonts w:ascii="Lato" w:hAnsi="Lato"/>
          <w:sz w:val="18"/>
          <w:szCs w:val="18"/>
        </w:rPr>
      </w:pPr>
      <w:r>
        <w:rPr>
          <w:noProof/>
        </w:rPr>
        <w:drawing>
          <wp:inline distT="0" distB="0" distL="0" distR="0" wp14:anchorId="47F1F367" wp14:editId="51062767">
            <wp:extent cx="4860000" cy="3204000"/>
            <wp:effectExtent l="0" t="0" r="17145" b="15875"/>
            <wp:docPr id="1208873960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DEB98783-A07F-4118-AE97-729C1607E9D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>
        <w:rPr>
          <w:rFonts w:ascii="Lato" w:hAnsi="Lato"/>
          <w:sz w:val="18"/>
          <w:szCs w:val="18"/>
        </w:rPr>
        <w:t xml:space="preserve"> </w:t>
      </w:r>
      <w:r>
        <w:rPr>
          <w:noProof/>
        </w:rPr>
        <w:drawing>
          <wp:inline distT="0" distB="0" distL="0" distR="0" wp14:anchorId="7BFB50D6" wp14:editId="0A0F2844">
            <wp:extent cx="4860000" cy="3204000"/>
            <wp:effectExtent l="0" t="0" r="17145" b="15875"/>
            <wp:docPr id="1265729580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50C0EAC3-A1DB-495F-99FF-AD8FA429607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0B5EEDF2" w14:textId="77777777" w:rsidR="00880AF5" w:rsidRDefault="00880AF5" w:rsidP="00880AF5">
      <w:pPr>
        <w:suppressAutoHyphens w:val="0"/>
        <w:spacing w:before="240" w:after="120" w:line="276" w:lineRule="auto"/>
        <w:jc w:val="both"/>
        <w:rPr>
          <w:rFonts w:ascii="Lato" w:hAnsi="Lato"/>
          <w:sz w:val="24"/>
          <w:szCs w:val="24"/>
        </w:rPr>
        <w:sectPr w:rsidR="00880AF5" w:rsidSect="006001BE">
          <w:headerReference w:type="first" r:id="rId12"/>
          <w:pgSz w:w="16838" w:h="11906" w:orient="landscape"/>
          <w:pgMar w:top="567" w:right="820" w:bottom="426" w:left="1134" w:header="708" w:footer="708" w:gutter="0"/>
          <w:cols w:space="708"/>
          <w:titlePg/>
          <w:docGrid w:linePitch="299"/>
        </w:sectPr>
      </w:pPr>
      <w:r>
        <w:rPr>
          <w:rFonts w:ascii="Lato" w:hAnsi="Lato"/>
          <w:sz w:val="24"/>
          <w:szCs w:val="24"/>
        </w:rPr>
        <w:br w:type="page"/>
      </w:r>
    </w:p>
    <w:p w14:paraId="06A06678" w14:textId="7D136BFD" w:rsidR="00AD08C5" w:rsidRPr="004D093B" w:rsidRDefault="006A7DCE" w:rsidP="005058F2">
      <w:pPr>
        <w:jc w:val="center"/>
        <w:rPr>
          <w:rFonts w:ascii="Lato" w:hAnsi="Lato"/>
          <w:b/>
          <w:bCs/>
          <w:color w:val="00B0F0"/>
          <w:sz w:val="28"/>
          <w:szCs w:val="28"/>
        </w:rPr>
      </w:pPr>
      <w:r w:rsidRPr="004D093B">
        <w:rPr>
          <w:rFonts w:ascii="Lato" w:hAnsi="Lato"/>
          <w:b/>
          <w:bCs/>
          <w:color w:val="00B0F0"/>
          <w:sz w:val="28"/>
          <w:szCs w:val="28"/>
        </w:rPr>
        <w:lastRenderedPageBreak/>
        <w:t>NOWE WSKAZANIA ORAZ ZMIANY W PROGRA</w:t>
      </w:r>
      <w:bookmarkStart w:id="1" w:name="_Hlk95686308"/>
      <w:r w:rsidRPr="004D093B">
        <w:rPr>
          <w:rFonts w:ascii="Lato" w:hAnsi="Lato"/>
          <w:b/>
          <w:bCs/>
          <w:color w:val="00B0F0"/>
          <w:sz w:val="28"/>
          <w:szCs w:val="28"/>
        </w:rPr>
        <w:t>M</w:t>
      </w:r>
      <w:bookmarkEnd w:id="1"/>
      <w:r w:rsidRPr="004D093B">
        <w:rPr>
          <w:rFonts w:ascii="Lato" w:hAnsi="Lato"/>
          <w:b/>
          <w:bCs/>
          <w:color w:val="00B0F0"/>
          <w:sz w:val="28"/>
          <w:szCs w:val="28"/>
        </w:rPr>
        <w:t>ACH LEKOWYCH</w:t>
      </w:r>
      <w:r w:rsidR="0056748F" w:rsidRPr="004D093B">
        <w:rPr>
          <w:rFonts w:ascii="Lato" w:hAnsi="Lato"/>
          <w:b/>
          <w:bCs/>
          <w:color w:val="00B0F0"/>
          <w:sz w:val="28"/>
          <w:szCs w:val="28"/>
        </w:rPr>
        <w:t xml:space="preserve"> i CHEMIOTERAPII</w:t>
      </w:r>
    </w:p>
    <w:tbl>
      <w:tblPr>
        <w:tblW w:w="5000" w:type="pct"/>
        <w:tblCellMar>
          <w:top w:w="113" w:type="dxa"/>
          <w:left w:w="10" w:type="dxa"/>
          <w:bottom w:w="113" w:type="dxa"/>
          <w:right w:w="10" w:type="dxa"/>
        </w:tblCellMar>
        <w:tblLook w:val="0000" w:firstRow="0" w:lastRow="0" w:firstColumn="0" w:lastColumn="0" w:noHBand="0" w:noVBand="0"/>
      </w:tblPr>
      <w:tblGrid>
        <w:gridCol w:w="598"/>
        <w:gridCol w:w="1578"/>
        <w:gridCol w:w="1799"/>
        <w:gridCol w:w="1908"/>
        <w:gridCol w:w="3329"/>
        <w:gridCol w:w="4776"/>
      </w:tblGrid>
      <w:tr w:rsidR="005058F2" w:rsidRPr="004D093B" w14:paraId="7E2E9B6A" w14:textId="77777777" w:rsidTr="004D093B">
        <w:trPr>
          <w:cantSplit/>
          <w:trHeight w:val="186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94C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7C9CE" w14:textId="77777777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4D093B">
              <w:rPr>
                <w:rFonts w:ascii="Lato" w:hAnsi="Lato" w:cstheme="majorHAnsi"/>
                <w:b/>
                <w:bCs/>
                <w:color w:val="FFFFFF"/>
              </w:rPr>
              <w:t>Programy lekowe i chemioterapia</w:t>
            </w:r>
          </w:p>
        </w:tc>
      </w:tr>
      <w:tr w:rsidR="005058F2" w:rsidRPr="004D093B" w14:paraId="1C096482" w14:textId="77777777" w:rsidTr="004D093B">
        <w:trPr>
          <w:cantSplit/>
          <w:trHeight w:val="206"/>
        </w:trPr>
        <w:tc>
          <w:tcPr>
            <w:tcW w:w="5000" w:type="pct"/>
            <w:gridSpan w:val="6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0D3F6C" w14:textId="047D7715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4D093B">
              <w:rPr>
                <w:rFonts w:ascii="Lato" w:hAnsi="Lato" w:cstheme="majorHAnsi"/>
                <w:b/>
                <w:bCs/>
                <w:color w:val="FFFFFF"/>
              </w:rPr>
              <w:t>Nowe wskazania onkologiczne</w:t>
            </w:r>
          </w:p>
        </w:tc>
      </w:tr>
      <w:tr w:rsidR="006D7964" w:rsidRPr="004D093B" w14:paraId="60CDF2D4" w14:textId="77777777" w:rsidTr="00734115">
        <w:trPr>
          <w:cantSplit/>
          <w:trHeight w:val="20"/>
        </w:trPr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618D0B" w14:textId="77777777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CB337" w14:textId="77777777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Nazwa leku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24251E" w14:textId="77777777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Substancja czynna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0A519" w14:textId="77777777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Numer programu lekowego/załącznika chemioterapii</w:t>
            </w:r>
          </w:p>
        </w:tc>
        <w:tc>
          <w:tcPr>
            <w:tcW w:w="1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A8893" w14:textId="77777777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Nazwa programu lekowego/ Załącznika chemioterapii</w:t>
            </w:r>
          </w:p>
        </w:tc>
        <w:tc>
          <w:tcPr>
            <w:tcW w:w="1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64232" w14:textId="77777777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Doprecyzowanie wskazania</w:t>
            </w:r>
          </w:p>
        </w:tc>
      </w:tr>
      <w:tr w:rsidR="00AF34B2" w:rsidRPr="004D093B" w14:paraId="1F4280B1" w14:textId="77777777" w:rsidTr="00734115">
        <w:trPr>
          <w:cantSplit/>
          <w:trHeight w:val="20"/>
        </w:trPr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9A6C0" w14:textId="523C5D8D" w:rsidR="00AF34B2" w:rsidRPr="004D093B" w:rsidRDefault="00686F8F" w:rsidP="00AF34B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1.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EF7A1" w14:textId="76CF319A" w:rsidR="00AF34B2" w:rsidRPr="004D093B" w:rsidRDefault="00AF34B2" w:rsidP="00AF34B2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0C357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Tevimbra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5EBA34" w14:textId="05AEE280" w:rsidR="00AF34B2" w:rsidRPr="004D093B" w:rsidRDefault="00AF34B2" w:rsidP="00AF34B2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0C357D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tislelizumab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1A00C8" w14:textId="2133FE3A" w:rsidR="00AF34B2" w:rsidRPr="004D093B" w:rsidRDefault="00AF34B2" w:rsidP="00AF34B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B.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9CD2B8" w14:textId="62ACB39C" w:rsidR="00AF34B2" w:rsidRPr="004D093B" w:rsidRDefault="00AF34B2" w:rsidP="00AF34B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C357D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RAKA PŁUCA (ICD-10: C34) ORAZ MIĘDZYBŁONIAKA OPŁUCNEJ (ICD-10: C45)</w:t>
            </w:r>
          </w:p>
        </w:tc>
        <w:tc>
          <w:tcPr>
            <w:tcW w:w="1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4CC36C" w14:textId="16735EE3" w:rsidR="00AF34B2" w:rsidRPr="004D093B" w:rsidRDefault="00AF34B2" w:rsidP="00AF34B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I linii </w:t>
            </w:r>
            <w:r w:rsidRPr="000C357D">
              <w:rPr>
                <w:rFonts w:ascii="Lato" w:hAnsi="Lato" w:cstheme="majorHAnsi"/>
                <w:color w:val="000000"/>
                <w:sz w:val="18"/>
                <w:szCs w:val="18"/>
              </w:rPr>
              <w:t>tislelizumab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em</w:t>
            </w:r>
            <w:r w:rsidRPr="000C357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skojarzeniu z chemioterapią opartą na związkach platyny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,</w:t>
            </w:r>
            <w:r w:rsidRPr="000C357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u chorych na </w:t>
            </w:r>
            <w:r w:rsidRPr="000C357D">
              <w:rPr>
                <w:rFonts w:ascii="Lato" w:hAnsi="Lato" w:cstheme="majorHAnsi"/>
                <w:color w:val="000000"/>
                <w:sz w:val="18"/>
                <w:szCs w:val="18"/>
              </w:rPr>
              <w:t>niedrobnokomórko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wego</w:t>
            </w:r>
            <w:r w:rsidRPr="000C357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raka płuca, </w:t>
            </w:r>
            <w:r w:rsidRPr="000C357D">
              <w:rPr>
                <w:rFonts w:ascii="Lato" w:hAnsi="Lato" w:cstheme="majorHAnsi"/>
                <w:color w:val="000000"/>
                <w:sz w:val="18"/>
                <w:szCs w:val="18"/>
              </w:rPr>
              <w:t>niezależnie od wyniku oceny ekspresji PD-L1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AF34B2" w:rsidRPr="004D093B" w14:paraId="5A345E23" w14:textId="77777777" w:rsidTr="00AF34B2">
        <w:trPr>
          <w:cantSplit/>
          <w:trHeight w:val="20"/>
        </w:trPr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D0E88B" w14:textId="066F8EB9" w:rsidR="00AF34B2" w:rsidRPr="004D093B" w:rsidRDefault="00686F8F" w:rsidP="00AF34B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2.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76100A" w14:textId="630BDD90" w:rsidR="00AF34B2" w:rsidRPr="004D093B" w:rsidRDefault="00AF34B2" w:rsidP="00AF34B2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0C357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Tevimbra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206B5" w14:textId="593FD8DE" w:rsidR="00AF34B2" w:rsidRPr="00512C7C" w:rsidRDefault="00AF34B2" w:rsidP="00AF34B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C357D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tislelizumab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D814A2" w14:textId="016FAAA6" w:rsidR="00AF34B2" w:rsidRPr="004D093B" w:rsidRDefault="00AF34B2" w:rsidP="00AF34B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B.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9C849D" w14:textId="33F2484B" w:rsidR="00AF34B2" w:rsidRPr="004D093B" w:rsidRDefault="00AF34B2" w:rsidP="00AF34B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C357D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RAKA PŁUCA (ICD-10: C34) ORAZ MIĘDZYBŁONIAKA OPŁUCNEJ (ICD-10: C45)</w:t>
            </w:r>
          </w:p>
        </w:tc>
        <w:tc>
          <w:tcPr>
            <w:tcW w:w="1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834F5" w14:textId="70CC429B" w:rsidR="00AF34B2" w:rsidRPr="005D12AE" w:rsidRDefault="00AF34B2" w:rsidP="00AF34B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I linii </w:t>
            </w:r>
            <w:r w:rsidRPr="000C357D">
              <w:rPr>
                <w:rFonts w:ascii="Lato" w:hAnsi="Lato" w:cstheme="majorHAnsi"/>
                <w:color w:val="000000"/>
                <w:sz w:val="18"/>
                <w:szCs w:val="18"/>
              </w:rPr>
              <w:t>tislelizumab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em</w:t>
            </w:r>
            <w:r w:rsidRPr="000C357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skojarzeniu</w:t>
            </w:r>
            <w:r w:rsidRPr="00B2211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z pemetreksedem i pochodną platyny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,</w:t>
            </w:r>
            <w:r w:rsidRPr="000C357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u chorych na </w:t>
            </w:r>
            <w:r w:rsidRPr="000C357D">
              <w:rPr>
                <w:rFonts w:ascii="Lato" w:hAnsi="Lato" w:cstheme="majorHAnsi"/>
                <w:color w:val="000000"/>
                <w:sz w:val="18"/>
                <w:szCs w:val="18"/>
              </w:rPr>
              <w:t>niedrobnokomórko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wego</w:t>
            </w:r>
            <w:r w:rsidRPr="000C357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raka płuca, </w:t>
            </w:r>
            <w:r w:rsidRPr="00B22112">
              <w:rPr>
                <w:rFonts w:ascii="Lato" w:hAnsi="Lato" w:cstheme="majorHAnsi"/>
                <w:color w:val="000000"/>
                <w:sz w:val="18"/>
                <w:szCs w:val="18"/>
              </w:rPr>
              <w:t>z ekspresją PD-L1 ≥ 50%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AF34B2" w:rsidRPr="004D093B" w14:paraId="2F304C7B" w14:textId="77777777" w:rsidTr="00734115">
        <w:trPr>
          <w:cantSplit/>
          <w:trHeight w:val="20"/>
        </w:trPr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F3EF10" w14:textId="526D9AB7" w:rsidR="00AF34B2" w:rsidRPr="004D093B" w:rsidRDefault="00686F8F" w:rsidP="00AF34B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3.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70B9C" w14:textId="67242616" w:rsidR="00AF34B2" w:rsidRPr="004D093B" w:rsidRDefault="00AF34B2" w:rsidP="00AF34B2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 w:rsidRPr="000C357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Tevimbra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F52E7F" w14:textId="70D60044" w:rsidR="00AF34B2" w:rsidRPr="004D093B" w:rsidRDefault="00AF34B2" w:rsidP="00AF34B2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r w:rsidRPr="000C357D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tislelizumab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059B47" w14:textId="5CD52E95" w:rsidR="00AF34B2" w:rsidRPr="004D093B" w:rsidRDefault="00AF34B2" w:rsidP="00AF34B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B.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229DCD" w14:textId="7968E9F6" w:rsidR="00AF34B2" w:rsidRPr="004D093B" w:rsidRDefault="00AF34B2" w:rsidP="00AF34B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0C357D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RAKA PŁUCA (ICD-10: C34) ORAZ MIĘDZYBŁONIAKA OPŁUCNEJ (ICD-10: C45)</w:t>
            </w:r>
          </w:p>
        </w:tc>
        <w:tc>
          <w:tcPr>
            <w:tcW w:w="1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0CA559" w14:textId="48E4686B" w:rsidR="00AF34B2" w:rsidRPr="004D093B" w:rsidRDefault="00AF34B2" w:rsidP="00AF34B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kolejnej linii z zastosowaniem </w:t>
            </w:r>
            <w:r w:rsidRPr="000C357D">
              <w:rPr>
                <w:rFonts w:ascii="Lato" w:hAnsi="Lato" w:cstheme="majorHAnsi"/>
                <w:color w:val="000000"/>
                <w:sz w:val="18"/>
                <w:szCs w:val="18"/>
              </w:rPr>
              <w:t>tislelizumab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em,</w:t>
            </w:r>
            <w:r w:rsidRPr="000C357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u chorych na </w:t>
            </w:r>
            <w:r w:rsidRPr="000C357D">
              <w:rPr>
                <w:rFonts w:ascii="Lato" w:hAnsi="Lato" w:cstheme="majorHAnsi"/>
                <w:color w:val="000000"/>
                <w:sz w:val="18"/>
                <w:szCs w:val="18"/>
              </w:rPr>
              <w:t>niedrobnokomórko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wego</w:t>
            </w:r>
            <w:r w:rsidRPr="000C357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raka płuca, </w:t>
            </w:r>
            <w:r w:rsidRPr="00B22112">
              <w:rPr>
                <w:rFonts w:ascii="Lato" w:hAnsi="Lato" w:cstheme="majorHAnsi"/>
                <w:color w:val="000000"/>
                <w:sz w:val="18"/>
                <w:szCs w:val="18"/>
              </w:rPr>
              <w:t>po uprzednim leczeniu pochodnymi platyny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AF34B2" w:rsidRPr="004D093B" w14:paraId="66C1CB6B" w14:textId="77777777" w:rsidTr="00734115">
        <w:trPr>
          <w:cantSplit/>
          <w:trHeight w:val="20"/>
        </w:trPr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9B9958" w14:textId="7AD60AD2" w:rsidR="00AF34B2" w:rsidRPr="004D093B" w:rsidRDefault="00686F8F" w:rsidP="00AF34B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4.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56C745" w14:textId="3D9740EB" w:rsidR="00AF34B2" w:rsidRPr="000C357D" w:rsidRDefault="00AF34B2" w:rsidP="00AF34B2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sz w:val="18"/>
                <w:szCs w:val="18"/>
              </w:rPr>
              <w:t>Tepkinly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27771B" w14:textId="6EA25EEB" w:rsidR="00AF34B2" w:rsidRPr="000C357D" w:rsidRDefault="00AF34B2" w:rsidP="00AF34B2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sz w:val="18"/>
                <w:szCs w:val="18"/>
              </w:rPr>
              <w:t>epkorytamab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114D3B" w14:textId="66205E9F" w:rsidR="00AF34B2" w:rsidRPr="001D7CC2" w:rsidRDefault="00AF34B2" w:rsidP="00AF34B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B.12.FM</w:t>
            </w:r>
          </w:p>
        </w:tc>
        <w:tc>
          <w:tcPr>
            <w:tcW w:w="1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CCA52D" w14:textId="02DAE058" w:rsidR="00AF34B2" w:rsidRPr="000C357D" w:rsidRDefault="00AF34B2" w:rsidP="00AF34B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EF7DA5">
              <w:rPr>
                <w:rFonts w:ascii="Lato" w:hAnsi="Lato" w:cstheme="majorHAnsi"/>
                <w:sz w:val="18"/>
                <w:szCs w:val="18"/>
              </w:rPr>
              <w:t>LECZENIE CHORYCH NA CHŁONIAKI B-KOMÓRKOWE (ICD-10: C82, C83, C85)</w:t>
            </w:r>
          </w:p>
        </w:tc>
        <w:tc>
          <w:tcPr>
            <w:tcW w:w="1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DD36A2" w14:textId="77777777" w:rsidR="00AF34B2" w:rsidRDefault="00AF34B2" w:rsidP="00AF34B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EF7DA5">
              <w:rPr>
                <w:rFonts w:ascii="Lato" w:hAnsi="Lato" w:cstheme="majorHAnsi"/>
                <w:color w:val="000000"/>
                <w:sz w:val="18"/>
                <w:szCs w:val="18"/>
              </w:rPr>
              <w:t>Leczenie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od 3. linii</w:t>
            </w:r>
            <w:r w:rsidRPr="00EF7DA5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epkorytamabem w monoterapii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EF7DA5">
              <w:rPr>
                <w:rFonts w:ascii="Lato" w:hAnsi="Lato" w:cstheme="majorHAnsi"/>
                <w:color w:val="000000"/>
                <w:sz w:val="18"/>
                <w:szCs w:val="18"/>
              </w:rPr>
              <w:t>dorosłych chorych na chłoniaka grudkowego (FL) o stanie sprawności 0-2 według skali ECOG, po wcześniejszym zastosowaniu co najmniej dwóch linii leczenia ogólnoustrojowego, w tym zawierających przeciwciało anty-CD20 i lek alkilujący lub lenalidomid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  <w:p w14:paraId="52E999E5" w14:textId="3E85B434" w:rsidR="00AF34B2" w:rsidRPr="001D7CC2" w:rsidRDefault="00AF34B2" w:rsidP="00AF34B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5524C5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AF34B2" w:rsidRPr="004D093B" w14:paraId="28F07B27" w14:textId="77777777" w:rsidTr="00734115">
        <w:trPr>
          <w:cantSplit/>
          <w:trHeight w:val="20"/>
        </w:trPr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D82696" w14:textId="7F95DBF7" w:rsidR="00AF34B2" w:rsidRPr="004D093B" w:rsidRDefault="00686F8F" w:rsidP="00AF34B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5.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4D246F" w14:textId="688156E6" w:rsidR="00AF34B2" w:rsidRPr="004D093B" w:rsidRDefault="00AF34B2" w:rsidP="00AF34B2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sz w:val="18"/>
                <w:szCs w:val="18"/>
              </w:rPr>
              <w:t>Tevimbra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7B64EE" w14:textId="44EFAA85" w:rsidR="00AF34B2" w:rsidRPr="004D093B" w:rsidRDefault="00AF34B2" w:rsidP="00AF34B2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sz w:val="18"/>
                <w:szCs w:val="18"/>
              </w:rPr>
              <w:t>tislelizumab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DBD78E" w14:textId="396D788C" w:rsidR="00AF34B2" w:rsidRPr="004D093B" w:rsidRDefault="00AF34B2" w:rsidP="00AF34B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B.58</w:t>
            </w:r>
          </w:p>
        </w:tc>
        <w:tc>
          <w:tcPr>
            <w:tcW w:w="1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914EF" w14:textId="37B67098" w:rsidR="00AF34B2" w:rsidRPr="004D093B" w:rsidRDefault="00AF34B2" w:rsidP="00AF34B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F35EFD">
              <w:rPr>
                <w:rFonts w:ascii="Lato" w:hAnsi="Lato" w:cstheme="majorHAnsi"/>
                <w:sz w:val="18"/>
                <w:szCs w:val="18"/>
              </w:rPr>
              <w:t>LECZENIE CHORYCH NA RAKA PRZEŁYKU, POŁĄCZENIA ŻOŁĄDKOWO-PRZEŁYKOWEGO I ŻOŁĄDKA (ICD-10: C15-C16)</w:t>
            </w:r>
          </w:p>
        </w:tc>
        <w:tc>
          <w:tcPr>
            <w:tcW w:w="1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D5176D" w14:textId="6D0A59F9" w:rsidR="00AF34B2" w:rsidRPr="004D093B" w:rsidRDefault="00AF34B2" w:rsidP="00AF34B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201A7">
              <w:rPr>
                <w:rFonts w:ascii="Lato" w:hAnsi="Lato"/>
                <w:bCs/>
                <w:sz w:val="18"/>
                <w:szCs w:val="18"/>
              </w:rPr>
              <w:t xml:space="preserve">Leczenie tislelizumabem w skojarzeniu z chemioterapią </w:t>
            </w:r>
            <w:r>
              <w:rPr>
                <w:rFonts w:ascii="Lato" w:hAnsi="Lato"/>
                <w:bCs/>
                <w:sz w:val="18"/>
                <w:szCs w:val="18"/>
              </w:rPr>
              <w:t xml:space="preserve">skojarzoną </w:t>
            </w:r>
            <w:r w:rsidRPr="003201A7">
              <w:rPr>
                <w:rFonts w:ascii="Lato" w:hAnsi="Lato"/>
                <w:bCs/>
                <w:sz w:val="18"/>
                <w:szCs w:val="18"/>
              </w:rPr>
              <w:t>zawierającą pochodną platyny i fluoropirymidynę lub pochodną platyny i taksan (paklitaksel) dorosłych pacjentów z nieoperacyjnym, miejscowo zaawansowanym lub przerzutowym płaskonabłonkowym rakiem przełyku z ekspresją PD-L1 ≥ 5% (I linia leczenia).</w:t>
            </w:r>
          </w:p>
        </w:tc>
      </w:tr>
      <w:tr w:rsidR="00AF34B2" w:rsidRPr="004D093B" w14:paraId="47E64C48" w14:textId="77777777" w:rsidTr="00734115">
        <w:trPr>
          <w:cantSplit/>
          <w:trHeight w:val="20"/>
        </w:trPr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B156BE" w14:textId="1CC6DF27" w:rsidR="00AF34B2" w:rsidRPr="004D093B" w:rsidRDefault="00686F8F" w:rsidP="00AF34B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lastRenderedPageBreak/>
              <w:t>6.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598D1E" w14:textId="412A8EBB" w:rsidR="00AF34B2" w:rsidRPr="004D093B" w:rsidRDefault="00AF34B2" w:rsidP="00AF34B2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sz w:val="18"/>
                <w:szCs w:val="18"/>
              </w:rPr>
              <w:t>Tevimbra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87866C" w14:textId="18B27DB8" w:rsidR="00AF34B2" w:rsidRPr="004D093B" w:rsidRDefault="00AF34B2" w:rsidP="00AF34B2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sz w:val="18"/>
                <w:szCs w:val="18"/>
              </w:rPr>
              <w:t>tislelizumab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3CC4DD" w14:textId="128DB0E5" w:rsidR="00AF34B2" w:rsidRPr="004D093B" w:rsidRDefault="00AF34B2" w:rsidP="00AF34B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B.58</w:t>
            </w:r>
          </w:p>
        </w:tc>
        <w:tc>
          <w:tcPr>
            <w:tcW w:w="1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590DC7" w14:textId="60C80BBE" w:rsidR="00AF34B2" w:rsidRPr="004D093B" w:rsidRDefault="00AF34B2" w:rsidP="00AF34B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F35EFD">
              <w:rPr>
                <w:rFonts w:ascii="Lato" w:hAnsi="Lato" w:cstheme="majorHAnsi"/>
                <w:sz w:val="18"/>
                <w:szCs w:val="18"/>
              </w:rPr>
              <w:t>LECZENIE CHORYCH NA RAKA PRZEŁYKU, POŁĄCZENIA ŻOŁĄDKOWO-PRZEŁYKOWEGO I ŻOŁĄDKA (ICD-10: C15-C16)</w:t>
            </w:r>
          </w:p>
        </w:tc>
        <w:tc>
          <w:tcPr>
            <w:tcW w:w="1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726DAD" w14:textId="75776DF5" w:rsidR="00AF34B2" w:rsidRPr="004D093B" w:rsidRDefault="00AF34B2" w:rsidP="00AF34B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201A7">
              <w:rPr>
                <w:rFonts w:ascii="Lato" w:hAnsi="Lato"/>
                <w:sz w:val="18"/>
                <w:szCs w:val="18"/>
              </w:rPr>
              <w:t>Leczenie tislelizumabem w monoterapii dorosłych pacjentów z nieoperacyjnym, miejscowo zaawansowanym lub przerzutowym płaskonabłonkowym rakiem przełyku, którzy wcześniej otrzymywali chemioterapię opartą na pochodnych platyny (II linia leczenia).</w:t>
            </w:r>
          </w:p>
        </w:tc>
      </w:tr>
      <w:tr w:rsidR="00AF34B2" w:rsidRPr="004D093B" w14:paraId="70A94AED" w14:textId="77777777" w:rsidTr="00734115">
        <w:trPr>
          <w:cantSplit/>
          <w:trHeight w:val="20"/>
        </w:trPr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09361A" w14:textId="7FA4E695" w:rsidR="00AF34B2" w:rsidRPr="004D093B" w:rsidRDefault="00686F8F" w:rsidP="00AF34B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7.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6D7C62" w14:textId="01C24C77" w:rsidR="00AF34B2" w:rsidRPr="004D093B" w:rsidRDefault="00AF34B2" w:rsidP="00AF34B2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sz w:val="18"/>
                <w:szCs w:val="18"/>
              </w:rPr>
              <w:t>Tevimbra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497586" w14:textId="15FC1978" w:rsidR="00AF34B2" w:rsidRPr="004D093B" w:rsidRDefault="00AF34B2" w:rsidP="00AF34B2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sz w:val="18"/>
                <w:szCs w:val="18"/>
              </w:rPr>
              <w:t>tislelizumab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2E58D1" w14:textId="0369D8D5" w:rsidR="00AF34B2" w:rsidRPr="004D093B" w:rsidRDefault="00AF34B2" w:rsidP="00AF34B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B.58</w:t>
            </w:r>
          </w:p>
        </w:tc>
        <w:tc>
          <w:tcPr>
            <w:tcW w:w="1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121A2E" w14:textId="0EB00B65" w:rsidR="00AF34B2" w:rsidRPr="004D093B" w:rsidRDefault="00AF34B2" w:rsidP="00AF34B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F35EFD">
              <w:rPr>
                <w:rFonts w:ascii="Lato" w:hAnsi="Lato" w:cstheme="majorHAnsi"/>
                <w:sz w:val="18"/>
                <w:szCs w:val="18"/>
              </w:rPr>
              <w:t>LECZENIE CHORYCH NA RAKA PRZEŁYKU, POŁĄCZENIA ŻOŁĄDKOWO-PRZEŁYKOWEGO I ŻOŁĄDKA (ICD-10: C15-C16)</w:t>
            </w:r>
          </w:p>
        </w:tc>
        <w:tc>
          <w:tcPr>
            <w:tcW w:w="1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8306D0" w14:textId="12B1D505" w:rsidR="00AF34B2" w:rsidRPr="004D093B" w:rsidRDefault="00AF34B2" w:rsidP="00AF34B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201A7">
              <w:rPr>
                <w:rFonts w:ascii="Lato" w:hAnsi="Lato"/>
                <w:bCs/>
                <w:sz w:val="18"/>
                <w:szCs w:val="18"/>
              </w:rPr>
              <w:t>Leczenie tislelizumabem w skojarzeniu z</w:t>
            </w:r>
            <w:r>
              <w:rPr>
                <w:rFonts w:ascii="Lato" w:hAnsi="Lato"/>
                <w:bCs/>
                <w:sz w:val="18"/>
                <w:szCs w:val="18"/>
              </w:rPr>
              <w:t> </w:t>
            </w:r>
            <w:r w:rsidRPr="003201A7">
              <w:rPr>
                <w:rFonts w:ascii="Lato" w:hAnsi="Lato"/>
                <w:bCs/>
                <w:sz w:val="18"/>
                <w:szCs w:val="18"/>
              </w:rPr>
              <w:t>chemioterapią skojarzoną opartą na fluoropirymidynie i pochodnej platyny (cisplatyna+5-fluorouracyl lub schemat CAPOX) dorosłych pacjentów z HER2-ujemnym, nieoperacyjnym, miejscowo zaawansowanym lub przerzutowym gruczolakorakiem żołądka lub połączenia żołądkowo-przełykowego z ekspresją PD-L1 ≥5% (I linia leczenia).</w:t>
            </w:r>
          </w:p>
        </w:tc>
      </w:tr>
      <w:tr w:rsidR="00E5036C" w:rsidRPr="004D093B" w14:paraId="6B91DC24" w14:textId="77777777" w:rsidTr="00E5036C">
        <w:trPr>
          <w:cantSplit/>
          <w:trHeight w:val="20"/>
        </w:trPr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4C5A23" w14:textId="4304675A" w:rsidR="00E5036C" w:rsidRPr="004D093B" w:rsidRDefault="00E5036C" w:rsidP="00E5036C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8.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2AA77C" w14:textId="16EB1572" w:rsidR="00E5036C" w:rsidRDefault="00E5036C" w:rsidP="00E5036C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Adcetris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6837C8" w14:textId="53A26192" w:rsidR="00E5036C" w:rsidRDefault="00E5036C" w:rsidP="00E5036C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brentuksymab vedotin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30D78A" w14:textId="17860FDC" w:rsidR="00E5036C" w:rsidRDefault="00E5036C" w:rsidP="00E5036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B.77</w:t>
            </w:r>
          </w:p>
        </w:tc>
        <w:tc>
          <w:tcPr>
            <w:tcW w:w="1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C9818E" w14:textId="0D1B1B07" w:rsidR="00E5036C" w:rsidRPr="00EF7DA5" w:rsidRDefault="00E5036C" w:rsidP="00E5036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EF7DA5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KLASYCZNEGO CHŁONIAKA HODGKINA (ICD-10: C81)</w:t>
            </w:r>
          </w:p>
        </w:tc>
        <w:tc>
          <w:tcPr>
            <w:tcW w:w="1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E8A68B" w14:textId="77777777" w:rsidR="00E5036C" w:rsidRDefault="00E5036C" w:rsidP="00E5036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1. linii </w:t>
            </w:r>
            <w:r w:rsidRPr="005524C5">
              <w:rPr>
                <w:rFonts w:ascii="Lato" w:hAnsi="Lato" w:cstheme="majorHAnsi"/>
                <w:color w:val="000000"/>
                <w:sz w:val="18"/>
                <w:szCs w:val="18"/>
              </w:rPr>
              <w:t>brentuksymabem vedotin w skojarzeniu z etopozydem, cyklofosfamidem, doksorubicyną, dakarbazyną i deksametazonem (BrECADD) dorosłych chorych na chłoniaka Hodgkina w stadium IIB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zaawansowania choroby z czynnikami ryzyka oraz w stadium</w:t>
            </w:r>
            <w:r w:rsidRPr="005524C5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III lub IV zaawansowania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choroby.</w:t>
            </w:r>
          </w:p>
          <w:p w14:paraId="617BF5CE" w14:textId="6F4A1BE1" w:rsidR="00E5036C" w:rsidRDefault="00E5036C" w:rsidP="00E5036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5524C5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E5036C" w:rsidRPr="004D093B" w14:paraId="2840AA72" w14:textId="77777777" w:rsidTr="00734115">
        <w:trPr>
          <w:cantSplit/>
          <w:trHeight w:val="20"/>
        </w:trPr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B73807" w14:textId="12E282DC" w:rsidR="00E5036C" w:rsidRPr="004D093B" w:rsidRDefault="00E5036C" w:rsidP="00E5036C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9.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ED548F" w14:textId="091C6A79" w:rsidR="00E5036C" w:rsidRDefault="00E5036C" w:rsidP="00E5036C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0D0E4A">
              <w:rPr>
                <w:rFonts w:ascii="Lato" w:hAnsi="Lato" w:cstheme="majorHAnsi"/>
                <w:b/>
                <w:bCs/>
                <w:sz w:val="18"/>
                <w:szCs w:val="18"/>
              </w:rPr>
              <w:t>Różne produkty handlowe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D1E0FE" w14:textId="222D4E72" w:rsidR="00E5036C" w:rsidRDefault="00E5036C" w:rsidP="00E5036C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sz w:val="18"/>
                <w:szCs w:val="18"/>
              </w:rPr>
              <w:t>erybulina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B1519C" w14:textId="5584A4FD" w:rsidR="00E5036C" w:rsidRDefault="00E5036C" w:rsidP="00E5036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D0E4A">
              <w:rPr>
                <w:rFonts w:ascii="Lato" w:hAnsi="Lato" w:cstheme="majorHAnsi"/>
                <w:sz w:val="18"/>
                <w:szCs w:val="18"/>
              </w:rPr>
              <w:t>C.108</w:t>
            </w:r>
          </w:p>
        </w:tc>
        <w:tc>
          <w:tcPr>
            <w:tcW w:w="1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947F46" w14:textId="5ACA8325" w:rsidR="00E5036C" w:rsidRPr="00EF7DA5" w:rsidRDefault="00E5036C" w:rsidP="00E5036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D0E4A">
              <w:rPr>
                <w:rFonts w:ascii="Lato" w:hAnsi="Lato" w:cstheme="majorHAnsi"/>
                <w:sz w:val="18"/>
                <w:szCs w:val="18"/>
              </w:rPr>
              <w:t>ERYBULINA</w:t>
            </w:r>
          </w:p>
        </w:tc>
        <w:tc>
          <w:tcPr>
            <w:tcW w:w="1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161070" w14:textId="77777777" w:rsidR="00E5036C" w:rsidRPr="004D77E0" w:rsidRDefault="00E5036C" w:rsidP="00E5036C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0D0E4A">
              <w:rPr>
                <w:rFonts w:ascii="Lato" w:hAnsi="Lato" w:cstheme="majorHAnsi"/>
                <w:sz w:val="18"/>
                <w:szCs w:val="18"/>
              </w:rPr>
              <w:t>Leczenie dorosłych pacjentów z rakiem piersi miejscowo zaawansowanym lub z przerzutami, z progresją choroby po zastosowaniu co najmniej jednego cyklu chemioterapii w leczeniu zaawansowanej postaci choroby, po uprzednim stosowaniu substancji z grupy antracyklin oraz taksanów w terapii adjuwantowej lub w leczeniu przerzutowej choroby nowotworowej, chyba że u pacjentów wystąpiły przeciwwskazania</w:t>
            </w:r>
            <w:r w:rsidRPr="004D77E0">
              <w:rPr>
                <w:rFonts w:ascii="Lato" w:hAnsi="Lato" w:cstheme="majorHAnsi"/>
                <w:sz w:val="18"/>
                <w:szCs w:val="18"/>
              </w:rPr>
              <w:t>.</w:t>
            </w:r>
          </w:p>
          <w:p w14:paraId="79E383B5" w14:textId="3781650A" w:rsidR="00E5036C" w:rsidRDefault="00E5036C" w:rsidP="00E5036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Refundacja w ramach trybu określonego w art. 30a ustawy o refundacji, tj. leków o ugruntowanej skuteczności klinicznej.</w:t>
            </w:r>
          </w:p>
        </w:tc>
      </w:tr>
    </w:tbl>
    <w:p w14:paraId="7F9CCF36" w14:textId="51B74B46" w:rsidR="004D093B" w:rsidRDefault="004D093B"/>
    <w:p w14:paraId="7FCF9A29" w14:textId="77777777" w:rsidR="004D093B" w:rsidRDefault="004D093B">
      <w:pPr>
        <w:suppressAutoHyphens w:val="0"/>
      </w:pPr>
      <w:r>
        <w:br w:type="page"/>
      </w:r>
    </w:p>
    <w:tbl>
      <w:tblPr>
        <w:tblW w:w="5000" w:type="pct"/>
        <w:tblCellMar>
          <w:top w:w="113" w:type="dxa"/>
          <w:left w:w="10" w:type="dxa"/>
          <w:bottom w:w="113" w:type="dxa"/>
          <w:right w:w="10" w:type="dxa"/>
        </w:tblCellMar>
        <w:tblLook w:val="0000" w:firstRow="0" w:lastRow="0" w:firstColumn="0" w:lastColumn="0" w:noHBand="0" w:noVBand="0"/>
      </w:tblPr>
      <w:tblGrid>
        <w:gridCol w:w="598"/>
        <w:gridCol w:w="1578"/>
        <w:gridCol w:w="1799"/>
        <w:gridCol w:w="1908"/>
        <w:gridCol w:w="3329"/>
        <w:gridCol w:w="4776"/>
      </w:tblGrid>
      <w:tr w:rsidR="002D6ED9" w:rsidRPr="004D093B" w14:paraId="4C9C4901" w14:textId="77777777" w:rsidTr="004D093B">
        <w:trPr>
          <w:cantSplit/>
          <w:trHeight w:val="183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390A7" w14:textId="5C4E25DC" w:rsidR="002D6ED9" w:rsidRPr="004D093B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4D093B">
              <w:rPr>
                <w:rFonts w:ascii="Lato" w:hAnsi="Lato" w:cstheme="majorHAnsi"/>
                <w:b/>
                <w:bCs/>
                <w:color w:val="FFFFFF"/>
              </w:rPr>
              <w:lastRenderedPageBreak/>
              <w:t>Nowe wskazania nieonkologiczne</w:t>
            </w:r>
          </w:p>
        </w:tc>
      </w:tr>
      <w:tr w:rsidR="002D6ED9" w:rsidRPr="004D093B" w14:paraId="1394CD71" w14:textId="77777777" w:rsidTr="00937CAF">
        <w:trPr>
          <w:cantSplit/>
          <w:trHeight w:val="628"/>
        </w:trPr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979BE" w14:textId="77777777" w:rsidR="002D6ED9" w:rsidRPr="004D093B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B02159" w14:textId="77777777" w:rsidR="002D6ED9" w:rsidRPr="004D093B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Nazwa leku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C3D6F" w14:textId="77777777" w:rsidR="002D6ED9" w:rsidRPr="004D093B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Substancja czynna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D8698" w14:textId="77777777" w:rsidR="002D6ED9" w:rsidRPr="004D093B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Numer programu lekowego/załącznika chemioterapii</w:t>
            </w:r>
          </w:p>
        </w:tc>
        <w:tc>
          <w:tcPr>
            <w:tcW w:w="1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B142B2" w14:textId="77777777" w:rsidR="002D6ED9" w:rsidRPr="004D093B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Nazwa programu lekowego/ Załącznika chemioterapii</w:t>
            </w:r>
          </w:p>
        </w:tc>
        <w:tc>
          <w:tcPr>
            <w:tcW w:w="1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587975" w14:textId="77777777" w:rsidR="002D6ED9" w:rsidRPr="004D093B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Doprecyzowanie wskazania</w:t>
            </w:r>
          </w:p>
        </w:tc>
      </w:tr>
      <w:tr w:rsidR="00F67336" w:rsidRPr="004D093B" w14:paraId="7522F87A" w14:textId="77777777" w:rsidTr="00937CAF">
        <w:trPr>
          <w:cantSplit/>
          <w:trHeight w:val="20"/>
        </w:trPr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7D592E" w14:textId="7776F5AC" w:rsidR="00F67336" w:rsidRPr="004D093B" w:rsidRDefault="00F67336" w:rsidP="00F6733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1.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2FB93" w14:textId="30D56391" w:rsidR="00F67336" w:rsidRPr="004D093B" w:rsidRDefault="00F67336" w:rsidP="00F6733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Winrevair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A0348" w14:textId="055978B6" w:rsidR="00F67336" w:rsidRPr="004D093B" w:rsidRDefault="00F67336" w:rsidP="00F6733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sotatercept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2CA292" w14:textId="54789916" w:rsidR="00F67336" w:rsidRPr="004D093B" w:rsidRDefault="00F67336" w:rsidP="00F6733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B.31</w:t>
            </w:r>
          </w:p>
        </w:tc>
        <w:tc>
          <w:tcPr>
            <w:tcW w:w="1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58478" w14:textId="3195B8F6" w:rsidR="00F67336" w:rsidRPr="004D093B" w:rsidRDefault="00F67336" w:rsidP="00F6733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F0318">
              <w:rPr>
                <w:rFonts w:ascii="Lato" w:hAnsi="Lato" w:cstheme="majorHAnsi"/>
                <w:color w:val="000000"/>
                <w:sz w:val="18"/>
                <w:szCs w:val="18"/>
              </w:rPr>
              <w:t>LECZENIE TĘTNICZEGO NADCIŚNIENIA PŁUCNEGO (TNP) (ICD-10 I27, I27.0)</w:t>
            </w:r>
          </w:p>
        </w:tc>
        <w:tc>
          <w:tcPr>
            <w:tcW w:w="1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418E4B" w14:textId="77777777" w:rsidR="00F67336" w:rsidRDefault="00F67336" w:rsidP="00F6733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Lek o nowym mechanizmie działania (</w:t>
            </w:r>
            <w:r w:rsidRPr="008B17B7">
              <w:rPr>
                <w:rFonts w:ascii="Lato" w:hAnsi="Lato" w:cstheme="majorHAnsi"/>
                <w:color w:val="000000"/>
                <w:sz w:val="18"/>
                <w:szCs w:val="18"/>
              </w:rPr>
              <w:t>inhibitor sygnalizacji aktywiny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) stosowany jako leczenie dodane do dotychczasowej terapii </w:t>
            </w:r>
            <w:r w:rsidRPr="001F0318">
              <w:rPr>
                <w:rFonts w:ascii="Lato" w:hAnsi="Lato" w:cstheme="majorHAnsi"/>
                <w:color w:val="000000"/>
                <w:sz w:val="18"/>
                <w:szCs w:val="18"/>
              </w:rPr>
              <w:t>w celu poprawy wydolności wysiłkowej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 Lek będzie stanowił kolejną opcje terapeutyczn</w:t>
            </w:r>
            <w:r w:rsidRPr="00F67336">
              <w:rPr>
                <w:rFonts w:ascii="Lato" w:hAnsi="Lato" w:cstheme="majorHAnsi"/>
                <w:color w:val="000000"/>
                <w:sz w:val="18"/>
                <w:szCs w:val="18"/>
              </w:rPr>
              <w:t>ą dla pacjentów w klasie czynnościowej III, u których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dotychczasowe leczenie (2 lub 3 -składniowe) stosowane w programie lekowym nie pozwoliło na osiągniecie celów terapeutycznych.</w:t>
            </w:r>
          </w:p>
          <w:p w14:paraId="5797C9BB" w14:textId="61D6BEAE" w:rsidR="00F67336" w:rsidRPr="004D093B" w:rsidRDefault="00F67336" w:rsidP="00F6733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4244F5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F67336" w:rsidRPr="004D093B" w14:paraId="51D264CC" w14:textId="77777777" w:rsidTr="00937CAF">
        <w:trPr>
          <w:cantSplit/>
          <w:trHeight w:val="20"/>
        </w:trPr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33260" w14:textId="12C7E64F" w:rsidR="00F67336" w:rsidRDefault="00F67336" w:rsidP="00F6733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2.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60666B" w14:textId="0360C61C" w:rsidR="00F67336" w:rsidRDefault="00F67336" w:rsidP="00F6733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Ozurdex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45CCAC" w14:textId="329CC171" w:rsidR="00F67336" w:rsidRDefault="00F67336" w:rsidP="00F6733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dexamethasonum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C9A5FE" w14:textId="42B5D867" w:rsidR="00F67336" w:rsidRDefault="00F67336" w:rsidP="00F6733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B.70</w:t>
            </w:r>
          </w:p>
        </w:tc>
        <w:tc>
          <w:tcPr>
            <w:tcW w:w="1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1F45D" w14:textId="553BC4C7" w:rsidR="00F67336" w:rsidRDefault="00F67336" w:rsidP="00F6733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LECZENIE PACJENTÓW Z CHOROBAMI SIATKÓWKI (ICD-10: H34.0, H35.3, H36.0)</w:t>
            </w:r>
          </w:p>
        </w:tc>
        <w:tc>
          <w:tcPr>
            <w:tcW w:w="1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386DA0" w14:textId="70F8EC91" w:rsidR="00F67336" w:rsidRDefault="00F67336" w:rsidP="00F6733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Leczenie zakrzepów żył siatkówki implantem doszklistkowym z dexamethasonem w ramach części C programu.</w:t>
            </w:r>
          </w:p>
        </w:tc>
      </w:tr>
      <w:tr w:rsidR="00F67336" w:rsidRPr="004D093B" w14:paraId="1E623785" w14:textId="77777777" w:rsidTr="00937CAF">
        <w:trPr>
          <w:cantSplit/>
          <w:trHeight w:val="20"/>
        </w:trPr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A145C5" w14:textId="19DB2B96" w:rsidR="00F67336" w:rsidRPr="004D093B" w:rsidRDefault="00F67336" w:rsidP="00F6733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3.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FE532F" w14:textId="654E96EC" w:rsidR="00F67336" w:rsidRDefault="00F67336" w:rsidP="00F6733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B131A2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Fabhalta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CA09E4" w14:textId="1300CBE8" w:rsidR="00F67336" w:rsidRDefault="00F67336" w:rsidP="00F6733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i</w:t>
            </w:r>
            <w:r w:rsidRPr="00B131A2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pta</w:t>
            </w: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k</w:t>
            </w:r>
            <w:r w:rsidRPr="00B131A2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opa</w:t>
            </w: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n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EA452B" w14:textId="209B338A" w:rsidR="00F67336" w:rsidRDefault="00F67336" w:rsidP="00F6733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B.96</w:t>
            </w:r>
          </w:p>
        </w:tc>
        <w:tc>
          <w:tcPr>
            <w:tcW w:w="1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6C7E8D" w14:textId="7D14E7B5" w:rsidR="00F67336" w:rsidRPr="00DA24DA" w:rsidRDefault="00F67336" w:rsidP="00F6733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B131A2">
              <w:rPr>
                <w:rFonts w:ascii="Lato" w:hAnsi="Lato" w:cstheme="majorHAnsi"/>
                <w:color w:val="000000"/>
                <w:sz w:val="18"/>
                <w:szCs w:val="18"/>
              </w:rPr>
              <w:t>LECZENIE CHORYCH Z NOCNĄ NAPADOWĄ HEMOGLOBINURIĄ (PNH) (ICD-10 D59.5)</w:t>
            </w:r>
          </w:p>
        </w:tc>
        <w:tc>
          <w:tcPr>
            <w:tcW w:w="1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4F8226" w14:textId="79CC2705" w:rsidR="00F67336" w:rsidRDefault="00F67336" w:rsidP="00F6733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570ACD">
              <w:rPr>
                <w:rFonts w:ascii="Lato" w:hAnsi="Lato" w:cstheme="majorHAnsi"/>
                <w:color w:val="000000"/>
                <w:sz w:val="18"/>
                <w:szCs w:val="18"/>
              </w:rPr>
              <w:t>Leczenie dorosłych pacjentów z PNH, u których występuje niedokrwistość hemolityczna. Leczenie w monoterapii, inhibitor układu dopełniacza B, pierwsza terapia doustna.</w:t>
            </w:r>
          </w:p>
          <w:p w14:paraId="0F3FD1D9" w14:textId="4F66E290" w:rsidR="00F67336" w:rsidRDefault="00F67336" w:rsidP="00F6733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244F5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F67336" w:rsidRPr="004D093B" w14:paraId="5ED86F3E" w14:textId="77777777" w:rsidTr="00937CAF">
        <w:trPr>
          <w:cantSplit/>
          <w:trHeight w:val="20"/>
        </w:trPr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19B444" w14:textId="0823C687" w:rsidR="00F67336" w:rsidRPr="004D093B" w:rsidRDefault="00F67336" w:rsidP="00F6733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4.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FF64A8" w14:textId="77777777" w:rsidR="00F67336" w:rsidRPr="00093A19" w:rsidRDefault="00F67336" w:rsidP="00F6733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093A19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Evrysdi</w:t>
            </w:r>
          </w:p>
          <w:p w14:paraId="16255631" w14:textId="7DC55476" w:rsidR="00F67336" w:rsidRPr="004D093B" w:rsidRDefault="00F67336" w:rsidP="00F6733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 w:rsidRPr="00093A19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(tabletki powlekane)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86633" w14:textId="164629B5" w:rsidR="00F67336" w:rsidRPr="004D093B" w:rsidRDefault="00F67336" w:rsidP="00F6733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rysdyplam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25888C" w14:textId="7A0E0DFE" w:rsidR="00F67336" w:rsidRPr="004D093B" w:rsidRDefault="00F67336" w:rsidP="00F6733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B.102.FM</w:t>
            </w:r>
          </w:p>
        </w:tc>
        <w:tc>
          <w:tcPr>
            <w:tcW w:w="1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F42A6A" w14:textId="42B8FB6A" w:rsidR="00F67336" w:rsidRPr="004D093B" w:rsidRDefault="00F67336" w:rsidP="00F6733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A24DA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RDZENIOWY ZANIK MIĘŚNI (ICD-10: G12.0, G12.1)</w:t>
            </w:r>
          </w:p>
        </w:tc>
        <w:tc>
          <w:tcPr>
            <w:tcW w:w="1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91F563" w14:textId="77777777" w:rsidR="00F67336" w:rsidRDefault="00F67336" w:rsidP="00F6733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Nowa postać obecnego już w programie lekowym rysdyplamu. W</w:t>
            </w:r>
            <w:r w:rsidRPr="00BF4BE3">
              <w:rPr>
                <w:rFonts w:ascii="Lato" w:hAnsi="Lato" w:cstheme="majorHAnsi"/>
                <w:color w:val="000000"/>
                <w:sz w:val="18"/>
                <w:szCs w:val="18"/>
              </w:rPr>
              <w:t>ygodniejsz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e dawkowanie</w:t>
            </w:r>
            <w:r w:rsidRPr="00BF4BE3">
              <w:rPr>
                <w:rFonts w:ascii="Lato" w:hAnsi="Lato" w:cstheme="majorHAnsi"/>
                <w:color w:val="000000"/>
                <w:sz w:val="18"/>
                <w:szCs w:val="18"/>
              </w:rPr>
              <w:t>, nie wymaga przechowywania w specjalnych warunkach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  <w:p w14:paraId="790C1040" w14:textId="737FB5AC" w:rsidR="00F67336" w:rsidRPr="004D093B" w:rsidRDefault="00F67336" w:rsidP="00F6733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244F5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F67336" w:rsidRPr="004D093B" w14:paraId="02DBCACE" w14:textId="77777777" w:rsidTr="00937CAF">
        <w:trPr>
          <w:cantSplit/>
          <w:trHeight w:val="20"/>
        </w:trPr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979EB" w14:textId="5F83E2E3" w:rsidR="00F67336" w:rsidRDefault="00F67336" w:rsidP="00F6733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5.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671DE3" w14:textId="64340D0F" w:rsidR="00F67336" w:rsidRDefault="00F67336" w:rsidP="00F6733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sz w:val="18"/>
                <w:szCs w:val="18"/>
              </w:rPr>
              <w:t>Orladeyo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F26E7F" w14:textId="3BE5E52C" w:rsidR="00F67336" w:rsidRDefault="00F67336" w:rsidP="00F6733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sz w:val="18"/>
                <w:szCs w:val="18"/>
              </w:rPr>
              <w:t>berotralstat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85E098" w14:textId="7D9591F6" w:rsidR="00F67336" w:rsidRDefault="00F67336" w:rsidP="00F6733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B.122</w:t>
            </w:r>
          </w:p>
        </w:tc>
        <w:tc>
          <w:tcPr>
            <w:tcW w:w="1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05F49E" w14:textId="6E0D876C" w:rsidR="00F67336" w:rsidRPr="00DA24DA" w:rsidRDefault="00F67336" w:rsidP="00F6733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F0318">
              <w:rPr>
                <w:rFonts w:ascii="Lato" w:hAnsi="Lato" w:cstheme="majorHAnsi"/>
                <w:sz w:val="18"/>
                <w:szCs w:val="18"/>
              </w:rPr>
              <w:t>LECZENIE ZAPOBIEGAWCZE CHORYCH Z NAWRACAJĄCYMI NAPADAMI DZIEDZICZNEGO OBRZĘKU NACZYNIORUCHOWEGO O CIĘŻKIM PRZEBIEGU (ICD-10: D 84.1)</w:t>
            </w:r>
          </w:p>
        </w:tc>
        <w:tc>
          <w:tcPr>
            <w:tcW w:w="1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13A138" w14:textId="77777777" w:rsidR="00F67336" w:rsidRDefault="00F67336" w:rsidP="00F6733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Druga terapia profilaktyczna objęta refundacją w programie lekowym w analogicznym wskazaniu jak w przypadku </w:t>
            </w:r>
            <w:r w:rsidRPr="00EC2E13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lanadelumabu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  <w:p w14:paraId="1C0AA3AD" w14:textId="5CBA562D" w:rsidR="00F67336" w:rsidRDefault="00F67336" w:rsidP="00F6733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Lek w formie podania doustnego.</w:t>
            </w:r>
          </w:p>
          <w:p w14:paraId="5D864396" w14:textId="7193D03F" w:rsidR="00F67336" w:rsidRDefault="00F67336" w:rsidP="00F6733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F0318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</w:t>
            </w: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C</w:t>
            </w:r>
            <w:r w:rsidRPr="001F0318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horoba rzadka)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</w:p>
        </w:tc>
      </w:tr>
      <w:tr w:rsidR="00F67336" w:rsidRPr="004D093B" w14:paraId="5CE97390" w14:textId="77777777" w:rsidTr="00937CAF">
        <w:trPr>
          <w:cantSplit/>
          <w:trHeight w:val="20"/>
        </w:trPr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E6F555" w14:textId="61A400FE" w:rsidR="00F67336" w:rsidRPr="004D093B" w:rsidRDefault="00F67336" w:rsidP="00F6733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6.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5E89EF" w14:textId="038F2B1F" w:rsidR="00F67336" w:rsidRPr="004D093B" w:rsidRDefault="00F67336" w:rsidP="00F6733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570ACD">
              <w:rPr>
                <w:rFonts w:ascii="Lato" w:hAnsi="Lato" w:cstheme="majorHAnsi"/>
                <w:b/>
                <w:bCs/>
                <w:sz w:val="18"/>
                <w:szCs w:val="18"/>
              </w:rPr>
              <w:t>Bimzel</w:t>
            </w:r>
            <w:r>
              <w:rPr>
                <w:rFonts w:ascii="Lato" w:hAnsi="Lato" w:cstheme="majorHAnsi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DE5750" w14:textId="2675E3BC" w:rsidR="00F67336" w:rsidRPr="004D093B" w:rsidRDefault="00F67336" w:rsidP="00F6733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sz w:val="18"/>
                <w:szCs w:val="18"/>
              </w:rPr>
              <w:t>bimekizumab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C86876" w14:textId="13AE61DD" w:rsidR="00F67336" w:rsidRPr="004D093B" w:rsidRDefault="00F67336" w:rsidP="00F6733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B.161</w:t>
            </w:r>
          </w:p>
        </w:tc>
        <w:tc>
          <w:tcPr>
            <w:tcW w:w="1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5C4CE2" w14:textId="23ED2877" w:rsidR="00F67336" w:rsidRPr="004D093B" w:rsidRDefault="00F67336" w:rsidP="00F6733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570ACD">
              <w:rPr>
                <w:rFonts w:ascii="Lato" w:hAnsi="Lato" w:cstheme="majorHAnsi"/>
                <w:color w:val="000000"/>
                <w:sz w:val="18"/>
                <w:szCs w:val="18"/>
              </w:rPr>
              <w:t>LECZENIE CHORYCH Z ROPNYM ZAPALENIEM APOKRYNOWYCH GRUCZOŁÓW POTOWYCH (HS) (ICD-10: L 73.2)</w:t>
            </w:r>
          </w:p>
        </w:tc>
        <w:tc>
          <w:tcPr>
            <w:tcW w:w="1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3BE44D" w14:textId="77777777" w:rsidR="00F67336" w:rsidRDefault="00F67336" w:rsidP="00F6733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570AC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dorosłych chorych z HS </w:t>
            </w:r>
          </w:p>
          <w:p w14:paraId="0AFE6806" w14:textId="68C7FCD8" w:rsidR="00F67336" w:rsidRPr="004D093B" w:rsidRDefault="00F67336" w:rsidP="00F6733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570ACD">
              <w:rPr>
                <w:rFonts w:ascii="Lato" w:hAnsi="Lato" w:cstheme="majorHAnsi"/>
                <w:color w:val="000000"/>
                <w:sz w:val="18"/>
                <w:szCs w:val="18"/>
              </w:rPr>
              <w:t>(postać umiarkowana i ciężka)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F67336" w:rsidRPr="004D093B" w14:paraId="6D899FDB" w14:textId="77777777" w:rsidTr="00937CAF">
        <w:trPr>
          <w:cantSplit/>
          <w:trHeight w:val="20"/>
        </w:trPr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A510F3" w14:textId="6BC70B01" w:rsidR="00F67336" w:rsidRPr="004D093B" w:rsidRDefault="00F67336" w:rsidP="00F6733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lastRenderedPageBreak/>
              <w:t>7.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880F3F" w14:textId="5330CCEE" w:rsidR="00F67336" w:rsidRPr="004D093B" w:rsidRDefault="00F67336" w:rsidP="00F6733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Adzynma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BDBCFA" w14:textId="1232AEC4" w:rsidR="00F67336" w:rsidRPr="004D093B" w:rsidRDefault="00F67336" w:rsidP="00F6733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7B04F1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rADAMTS13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079B8A" w14:textId="083BAF8E" w:rsidR="00F67336" w:rsidRPr="004D093B" w:rsidRDefault="00F67336" w:rsidP="00F6733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B.164</w:t>
            </w:r>
          </w:p>
        </w:tc>
        <w:tc>
          <w:tcPr>
            <w:tcW w:w="1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6B302" w14:textId="3D76173B" w:rsidR="00F67336" w:rsidRPr="004D093B" w:rsidRDefault="00F67336" w:rsidP="00F6733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B04F1">
              <w:rPr>
                <w:rFonts w:ascii="Lato" w:hAnsi="Lato" w:cstheme="majorHAnsi"/>
                <w:color w:val="000000"/>
                <w:sz w:val="18"/>
                <w:szCs w:val="18"/>
              </w:rPr>
              <w:t>LECZENIE PACJENTÓW Z ZAKRZEPOWĄ PLAMICĄ MAŁOPŁYTKOWĄ (ICD-10: M31.1)</w:t>
            </w:r>
          </w:p>
        </w:tc>
        <w:tc>
          <w:tcPr>
            <w:tcW w:w="1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65FC3C" w14:textId="77777777" w:rsidR="00F67336" w:rsidRDefault="00F67336" w:rsidP="00F6733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Objęcie refundacją pierwszej enzymatycznej terapii zastępczej dla pacjentów pediatrycznych i dorosłych z wrodzoną zakrzepową plamicą małopłytkową (cTTP). </w:t>
            </w:r>
          </w:p>
          <w:p w14:paraId="418A86C7" w14:textId="40181517" w:rsidR="00F67336" w:rsidRPr="00734115" w:rsidRDefault="00F67336" w:rsidP="00F6733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734115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  <w:p w14:paraId="7A6E1E34" w14:textId="7A61593B" w:rsidR="00F67336" w:rsidRPr="004D093B" w:rsidRDefault="00F67336" w:rsidP="00F6733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34115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(TLI)</w:t>
            </w:r>
          </w:p>
        </w:tc>
      </w:tr>
      <w:tr w:rsidR="00F67336" w:rsidRPr="004D093B" w14:paraId="1AF8AB98" w14:textId="77777777" w:rsidTr="00734115">
        <w:trPr>
          <w:cantSplit/>
          <w:trHeight w:val="1005"/>
        </w:trPr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47C320" w14:textId="273C5CB9" w:rsidR="00F67336" w:rsidRPr="004D093B" w:rsidRDefault="00F67336" w:rsidP="00F6733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8.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155C18" w14:textId="49B61A4F" w:rsidR="00F67336" w:rsidRPr="004D093B" w:rsidRDefault="00F67336" w:rsidP="00F6733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231E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Elmiron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7AEAC5" w14:textId="6A1C2E3A" w:rsidR="00F67336" w:rsidRPr="004D093B" w:rsidRDefault="00F67336" w:rsidP="00F6733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p</w:t>
            </w:r>
            <w:r w:rsidRPr="004231ED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entozanu wielosiarczan sodowy,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8D708A" w14:textId="1A9287B4" w:rsidR="00F67336" w:rsidRPr="004D093B" w:rsidRDefault="00F67336" w:rsidP="00F6733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B.</w:t>
            </w:r>
            <w:r w:rsidR="00C846FB">
              <w:rPr>
                <w:rFonts w:ascii="Lato" w:hAnsi="Lato" w:cstheme="majorHAnsi"/>
                <w:color w:val="000000"/>
                <w:sz w:val="18"/>
                <w:szCs w:val="18"/>
              </w:rPr>
              <w:t>178</w:t>
            </w:r>
          </w:p>
        </w:tc>
        <w:tc>
          <w:tcPr>
            <w:tcW w:w="1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234A55" w14:textId="154A142C" w:rsidR="00F67336" w:rsidRPr="004D093B" w:rsidRDefault="00F67336" w:rsidP="00F6733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LECZENIE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PRZEWLEKŁEGO ZESPOŁU BÓLOWEGO PĘCHERZA MOCZOWEGO (ICD-10 N 30.1)</w:t>
            </w:r>
          </w:p>
        </w:tc>
        <w:tc>
          <w:tcPr>
            <w:tcW w:w="1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E75D71" w14:textId="55F497ED" w:rsidR="00F67336" w:rsidRPr="004D093B" w:rsidRDefault="00F67336" w:rsidP="00F6733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16207">
              <w:rPr>
                <w:rFonts w:ascii="Lato" w:hAnsi="Lato" w:cstheme="majorHAnsi"/>
                <w:color w:val="000000"/>
                <w:sz w:val="18"/>
                <w:szCs w:val="18"/>
              </w:rPr>
              <w:t>Leczenie</w:t>
            </w:r>
            <w:r w:rsidRPr="00416207">
              <w:rPr>
                <w:rFonts w:ascii="Lato" w:hAnsi="Lato"/>
                <w:sz w:val="18"/>
                <w:szCs w:val="18"/>
              </w:rPr>
              <w:t xml:space="preserve"> </w:t>
            </w:r>
            <w:r w:rsidRPr="00416207">
              <w:rPr>
                <w:rFonts w:ascii="Lato" w:hAnsi="Lato" w:cstheme="majorHAnsi"/>
                <w:color w:val="000000"/>
                <w:sz w:val="18"/>
                <w:szCs w:val="18"/>
              </w:rPr>
              <w:t>zespołu bolesnego pęcherza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/</w:t>
            </w:r>
            <w:r w:rsidRPr="0041620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416207">
              <w:rPr>
                <w:rFonts w:ascii="Lato" w:hAnsi="Lato"/>
                <w:sz w:val="18"/>
                <w:szCs w:val="18"/>
              </w:rPr>
              <w:t>śródmiąższowego zapalenia pęcherza kategorii 2B lub wyższej wg</w:t>
            </w:r>
            <w:r>
              <w:rPr>
                <w:rFonts w:ascii="Lato" w:hAnsi="Lato"/>
                <w:sz w:val="18"/>
                <w:szCs w:val="18"/>
              </w:rPr>
              <w:t>.</w:t>
            </w:r>
            <w:r w:rsidRPr="00416207">
              <w:rPr>
                <w:rFonts w:ascii="Lato" w:hAnsi="Lato"/>
                <w:sz w:val="18"/>
                <w:szCs w:val="18"/>
              </w:rPr>
              <w:t xml:space="preserve"> ESSIC</w:t>
            </w:r>
            <w:r w:rsidRPr="0041620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u pacjentów </w:t>
            </w:r>
            <w:r w:rsidRPr="0041620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z nagłym parciem na mocz i częstym oddawaniem moczu. </w:t>
            </w:r>
          </w:p>
        </w:tc>
      </w:tr>
    </w:tbl>
    <w:p w14:paraId="17160E61" w14:textId="45061D3C" w:rsidR="004D093B" w:rsidRDefault="004D093B">
      <w:pPr>
        <w:rPr>
          <w:rFonts w:ascii="Lato" w:hAnsi="Lato"/>
        </w:rPr>
      </w:pPr>
    </w:p>
    <w:p w14:paraId="169C5300" w14:textId="77777777" w:rsidR="004D093B" w:rsidRDefault="004D093B">
      <w:pPr>
        <w:suppressAutoHyphens w:val="0"/>
        <w:rPr>
          <w:rFonts w:ascii="Lato" w:hAnsi="Lato"/>
        </w:rPr>
      </w:pPr>
      <w:r>
        <w:rPr>
          <w:rFonts w:ascii="Lato" w:hAnsi="Lato"/>
        </w:rPr>
        <w:br w:type="page"/>
      </w:r>
    </w:p>
    <w:tbl>
      <w:tblPr>
        <w:tblW w:w="5000" w:type="pct"/>
        <w:tblCellMar>
          <w:top w:w="113" w:type="dxa"/>
          <w:left w:w="10" w:type="dxa"/>
          <w:bottom w:w="113" w:type="dxa"/>
          <w:right w:w="10" w:type="dxa"/>
        </w:tblCellMar>
        <w:tblLook w:val="0000" w:firstRow="0" w:lastRow="0" w:firstColumn="0" w:lastColumn="0" w:noHBand="0" w:noVBand="0"/>
      </w:tblPr>
      <w:tblGrid>
        <w:gridCol w:w="640"/>
        <w:gridCol w:w="1645"/>
        <w:gridCol w:w="2504"/>
        <w:gridCol w:w="9199"/>
      </w:tblGrid>
      <w:tr w:rsidR="00A434EB" w:rsidRPr="004D093B" w14:paraId="0B833808" w14:textId="77777777" w:rsidTr="004D093B">
        <w:trPr>
          <w:cantSplit/>
          <w:trHeight w:val="20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B9EA6" w14:textId="428F8CF7" w:rsidR="00A434EB" w:rsidRPr="004D093B" w:rsidRDefault="00A434EB" w:rsidP="00A434EB">
            <w:pPr>
              <w:spacing w:before="60" w:after="60" w:line="240" w:lineRule="auto"/>
              <w:jc w:val="center"/>
              <w:rPr>
                <w:rFonts w:ascii="Lato" w:hAnsi="Lato" w:cstheme="majorHAnsi"/>
              </w:rPr>
            </w:pPr>
            <w:r w:rsidRPr="004D093B">
              <w:rPr>
                <w:rFonts w:ascii="Lato" w:hAnsi="Lato" w:cstheme="majorHAnsi"/>
                <w:b/>
                <w:bCs/>
                <w:color w:val="FFFFFF"/>
              </w:rPr>
              <w:lastRenderedPageBreak/>
              <w:t>Zmiany w programach lekowych i chemioterapii</w:t>
            </w:r>
          </w:p>
        </w:tc>
      </w:tr>
      <w:tr w:rsidR="00A434EB" w:rsidRPr="004D093B" w14:paraId="2BCC5E80" w14:textId="77777777" w:rsidTr="004D093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385C7" w14:textId="77777777" w:rsidR="00A434EB" w:rsidRPr="004D093B" w:rsidRDefault="00A434EB" w:rsidP="00A434E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800381" w14:textId="7E0E9907" w:rsidR="00A434EB" w:rsidRPr="004D093B" w:rsidRDefault="00A434EB" w:rsidP="00A434E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Numer programu lekowego lub numeru załącznika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132808" w14:textId="70920D05" w:rsidR="00A434EB" w:rsidRPr="004D093B" w:rsidRDefault="00A434EB" w:rsidP="00A434E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Nazwa programu lekowego lub załącznika chemioterapii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F38F47" w14:textId="14B18ED3" w:rsidR="00A434EB" w:rsidRPr="004D093B" w:rsidRDefault="00A434EB" w:rsidP="00A434E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Krótki opis zmian dokonanych w obrębie programu lekowego / załącznika chemioterapii</w:t>
            </w:r>
          </w:p>
        </w:tc>
      </w:tr>
      <w:tr w:rsidR="00033ED5" w:rsidRPr="004D093B" w14:paraId="50DA02B0" w14:textId="77777777" w:rsidTr="005D1267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E7C88" w14:textId="00434255" w:rsidR="00033ED5" w:rsidRPr="004D093B" w:rsidRDefault="00081D7A" w:rsidP="00033ED5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1</w:t>
            </w:r>
            <w:r w:rsidR="00686F8F">
              <w:rPr>
                <w:rFonts w:ascii="Lato" w:hAnsi="Lato" w:cstheme="majorHAnsi"/>
                <w:sz w:val="18"/>
                <w:szCs w:val="18"/>
              </w:rPr>
              <w:t>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8C2DB2" w14:textId="7F38D9FF" w:rsidR="00033ED5" w:rsidRPr="00734115" w:rsidRDefault="00081D7A" w:rsidP="00C846FB">
            <w:pPr>
              <w:spacing w:after="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734115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B.27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1D9A8" w14:textId="0EE690A6" w:rsidR="00033ED5" w:rsidRPr="00C846FB" w:rsidRDefault="00EF7C44" w:rsidP="00EB77EA">
            <w:pPr>
              <w:spacing w:before="60" w:after="60" w:line="240" w:lineRule="auto"/>
              <w:jc w:val="center"/>
              <w:rPr>
                <w:rFonts w:ascii="Lato" w:hAnsi="Lato"/>
                <w:b/>
                <w:sz w:val="18"/>
                <w:szCs w:val="18"/>
              </w:rPr>
            </w:pPr>
            <w:r w:rsidRPr="00C846FB">
              <w:rPr>
                <w:rFonts w:ascii="Lato" w:hAnsi="Lato"/>
                <w:b/>
                <w:sz w:val="18"/>
                <w:szCs w:val="18"/>
              </w:rPr>
              <w:t>LECZENIE PRZEWLEKŁYCH ZAKAŻEŃ PŁUC U ŚWIADCZENIOBIORCÓW Z MUKOWISCYDOZĄ (ICD-10: E84)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C7F39F" w14:textId="225130FA" w:rsidR="00033ED5" w:rsidRPr="00C153B4" w:rsidRDefault="00C153B4" w:rsidP="005D1267">
            <w:pPr>
              <w:suppressAutoHyphens w:val="0"/>
              <w:spacing w:before="60" w:after="60" w:line="240" w:lineRule="auto"/>
              <w:jc w:val="center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Zmiana</w:t>
            </w:r>
            <w:r w:rsidR="002F297B">
              <w:rPr>
                <w:rFonts w:ascii="Lato" w:hAnsi="Lato" w:cstheme="majorHAnsi"/>
                <w:sz w:val="18"/>
                <w:szCs w:val="18"/>
              </w:rPr>
              <w:t xml:space="preserve"> treści </w:t>
            </w:r>
            <w:r>
              <w:rPr>
                <w:rFonts w:ascii="Lato" w:hAnsi="Lato" w:cstheme="majorHAnsi"/>
                <w:sz w:val="18"/>
                <w:szCs w:val="18"/>
              </w:rPr>
              <w:t>programu</w:t>
            </w:r>
            <w:r w:rsidR="002F297B">
              <w:rPr>
                <w:rFonts w:ascii="Lato" w:hAnsi="Lato" w:cstheme="majorHAnsi"/>
                <w:sz w:val="18"/>
                <w:szCs w:val="18"/>
              </w:rPr>
              <w:t xml:space="preserve"> lekowego na wniosek Konsultanta </w:t>
            </w:r>
            <w:r>
              <w:rPr>
                <w:rFonts w:ascii="Lato" w:hAnsi="Lato" w:cstheme="majorHAnsi"/>
                <w:sz w:val="18"/>
                <w:szCs w:val="18"/>
              </w:rPr>
              <w:t>K</w:t>
            </w:r>
            <w:r w:rsidR="002F297B">
              <w:rPr>
                <w:rFonts w:ascii="Lato" w:hAnsi="Lato" w:cstheme="majorHAnsi"/>
                <w:sz w:val="18"/>
                <w:szCs w:val="18"/>
              </w:rPr>
              <w:t>rajowego</w:t>
            </w:r>
            <w:r>
              <w:rPr>
                <w:rFonts w:ascii="Lato" w:hAnsi="Lato" w:cstheme="majorHAnsi"/>
                <w:sz w:val="18"/>
                <w:szCs w:val="18"/>
              </w:rPr>
              <w:t>,</w:t>
            </w:r>
            <w:r w:rsidR="002F297B">
              <w:rPr>
                <w:rFonts w:ascii="Lato" w:hAnsi="Lato" w:cstheme="majorHAnsi"/>
                <w:sz w:val="18"/>
                <w:szCs w:val="18"/>
              </w:rPr>
              <w:t xml:space="preserve"> w zakresie m.</w:t>
            </w:r>
            <w:r>
              <w:rPr>
                <w:rFonts w:ascii="Lato" w:hAnsi="Lato" w:cstheme="majorHAnsi"/>
                <w:sz w:val="18"/>
                <w:szCs w:val="18"/>
              </w:rPr>
              <w:t xml:space="preserve"> </w:t>
            </w:r>
            <w:r w:rsidR="002F297B">
              <w:rPr>
                <w:rFonts w:ascii="Lato" w:hAnsi="Lato" w:cstheme="majorHAnsi"/>
                <w:sz w:val="18"/>
                <w:szCs w:val="18"/>
              </w:rPr>
              <w:t xml:space="preserve">in. usunięcia </w:t>
            </w:r>
            <w:r w:rsidR="00085C00">
              <w:rPr>
                <w:rFonts w:ascii="Lato" w:hAnsi="Lato" w:cstheme="majorHAnsi"/>
                <w:sz w:val="18"/>
                <w:szCs w:val="18"/>
              </w:rPr>
              <w:t>jednego z kryterium kwalifikacji do leczenia tobramycyną tj.:</w:t>
            </w:r>
            <w:r w:rsidR="002F297B" w:rsidRPr="002F297B">
              <w:rPr>
                <w:rFonts w:ascii="Lato" w:hAnsi="Lato" w:cstheme="majorHAnsi"/>
                <w:sz w:val="18"/>
                <w:szCs w:val="18"/>
              </w:rPr>
              <w:t xml:space="preserve"> </w:t>
            </w:r>
            <w:r>
              <w:rPr>
                <w:rFonts w:ascii="Lato" w:hAnsi="Lato" w:cstheme="majorHAnsi"/>
                <w:sz w:val="18"/>
                <w:szCs w:val="18"/>
              </w:rPr>
              <w:t>„</w:t>
            </w:r>
            <w:r w:rsidR="002F297B" w:rsidRPr="00C153B4">
              <w:rPr>
                <w:rFonts w:ascii="Lato" w:hAnsi="Lato" w:cstheme="majorHAnsi"/>
                <w:i/>
                <w:iCs/>
                <w:sz w:val="18"/>
                <w:szCs w:val="18"/>
              </w:rPr>
              <w:t>oporność na kolistynę lub udokumentowana nietolerancja kolistyny (</w:t>
            </w:r>
            <w:r w:rsidR="00085C00" w:rsidRPr="00C153B4">
              <w:rPr>
                <w:rFonts w:ascii="Lato" w:hAnsi="Lato" w:cstheme="majorHAnsi"/>
                <w:i/>
                <w:iCs/>
                <w:sz w:val="18"/>
                <w:szCs w:val="18"/>
              </w:rPr>
              <w:t>…</w:t>
            </w:r>
            <w:r w:rsidR="002F297B" w:rsidRPr="00C153B4">
              <w:rPr>
                <w:rFonts w:ascii="Lato" w:hAnsi="Lato" w:cstheme="majorHAnsi"/>
                <w:i/>
                <w:iCs/>
                <w:sz w:val="18"/>
                <w:szCs w:val="18"/>
              </w:rPr>
              <w:t>)</w:t>
            </w:r>
            <w:r w:rsidRPr="00C153B4">
              <w:rPr>
                <w:rFonts w:ascii="Lato" w:hAnsi="Lato" w:cstheme="majorHAnsi"/>
                <w:i/>
                <w:iCs/>
                <w:sz w:val="18"/>
                <w:szCs w:val="18"/>
              </w:rPr>
              <w:t>”</w:t>
            </w:r>
            <w:r>
              <w:rPr>
                <w:rFonts w:ascii="Lato" w:hAnsi="Lato" w:cstheme="majorHAnsi"/>
                <w:i/>
                <w:iCs/>
                <w:sz w:val="18"/>
                <w:szCs w:val="18"/>
              </w:rPr>
              <w:t xml:space="preserve">, </w:t>
            </w:r>
            <w:r>
              <w:rPr>
                <w:rFonts w:ascii="Lato" w:hAnsi="Lato" w:cstheme="majorHAnsi"/>
                <w:sz w:val="18"/>
                <w:szCs w:val="18"/>
              </w:rPr>
              <w:t xml:space="preserve">a także </w:t>
            </w:r>
            <w:r w:rsidR="00C8401C">
              <w:rPr>
                <w:rFonts w:ascii="Lato" w:hAnsi="Lato" w:cstheme="majorHAnsi"/>
                <w:sz w:val="18"/>
                <w:szCs w:val="18"/>
              </w:rPr>
              <w:t xml:space="preserve">ujednolicenia </w:t>
            </w:r>
            <w:r w:rsidR="005D12AE">
              <w:rPr>
                <w:rFonts w:ascii="Lato" w:hAnsi="Lato" w:cstheme="majorHAnsi"/>
                <w:sz w:val="18"/>
                <w:szCs w:val="18"/>
              </w:rPr>
              <w:t>zapisów programu.</w:t>
            </w:r>
          </w:p>
        </w:tc>
      </w:tr>
      <w:tr w:rsidR="00734115" w:rsidRPr="004D093B" w14:paraId="571B0832" w14:textId="77777777" w:rsidTr="005D1267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70F3C" w14:textId="56893F53" w:rsidR="00734115" w:rsidRPr="004D093B" w:rsidRDefault="00686F8F" w:rsidP="00734115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2.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038BA" w14:textId="6F667454" w:rsidR="00734115" w:rsidRPr="00734115" w:rsidRDefault="00734115" w:rsidP="00C846FB">
            <w:pPr>
              <w:spacing w:after="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734115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B.50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D1FCD" w14:textId="4889B21A" w:rsidR="00734115" w:rsidRPr="00C846FB" w:rsidRDefault="00734115" w:rsidP="00734115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eastAsia="Calibri" w:hAnsi="Lato" w:cstheme="majorHAnsi"/>
                <w:b/>
                <w:bCs/>
                <w:sz w:val="18"/>
                <w:szCs w:val="18"/>
                <w:lang w:eastAsia="en-US"/>
              </w:rPr>
            </w:pPr>
            <w:r w:rsidRPr="00C846F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LECZENIE CHORYCH NA RAKA JAJNIKA, RAKA JAJOWODU LUB RAKA OTRZEWNEJ (ICD-10: C56, C57, C48)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9A20F" w14:textId="65826563" w:rsidR="00734115" w:rsidRPr="004D093B" w:rsidRDefault="00734115" w:rsidP="005D1267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sz w:val="18"/>
                <w:szCs w:val="18"/>
              </w:rPr>
              <w:t>Doprecyzowanie zapisów powodujących wątpliwości</w:t>
            </w:r>
            <w:r>
              <w:rPr>
                <w:rFonts w:ascii="Lato" w:hAnsi="Lato" w:cstheme="majorHAnsi"/>
                <w:sz w:val="18"/>
                <w:szCs w:val="18"/>
              </w:rPr>
              <w:t xml:space="preserve"> interpretacyjne dla substancji czynnej </w:t>
            </w:r>
            <w:r w:rsidRPr="00DC2C40">
              <w:rPr>
                <w:rFonts w:ascii="Lato" w:hAnsi="Lato" w:cstheme="majorHAnsi"/>
                <w:sz w:val="18"/>
                <w:szCs w:val="18"/>
              </w:rPr>
              <w:t xml:space="preserve">mirwetuksymab </w:t>
            </w:r>
            <w:r>
              <w:rPr>
                <w:rFonts w:ascii="Lato" w:hAnsi="Lato" w:cstheme="majorHAnsi"/>
                <w:sz w:val="18"/>
                <w:szCs w:val="18"/>
              </w:rPr>
              <w:br/>
            </w:r>
            <w:r w:rsidRPr="00DC2C40">
              <w:rPr>
                <w:rFonts w:ascii="Lato" w:hAnsi="Lato" w:cstheme="majorHAnsi"/>
                <w:sz w:val="18"/>
                <w:szCs w:val="18"/>
              </w:rPr>
              <w:t>sor</w:t>
            </w:r>
            <w:r>
              <w:rPr>
                <w:rFonts w:ascii="Lato" w:hAnsi="Lato" w:cstheme="majorHAnsi"/>
                <w:sz w:val="18"/>
                <w:szCs w:val="18"/>
              </w:rPr>
              <w:t>a</w:t>
            </w:r>
            <w:r w:rsidRPr="00DC2C40">
              <w:rPr>
                <w:rFonts w:ascii="Lato" w:hAnsi="Lato" w:cstheme="majorHAnsi"/>
                <w:sz w:val="18"/>
                <w:szCs w:val="18"/>
              </w:rPr>
              <w:t>wtanzyna</w:t>
            </w:r>
            <w:r>
              <w:rPr>
                <w:rFonts w:ascii="Lato" w:hAnsi="Lato" w:cstheme="majorHAnsi"/>
                <w:sz w:val="18"/>
                <w:szCs w:val="18"/>
              </w:rPr>
              <w:t>. Z</w:t>
            </w:r>
            <w:r w:rsidRPr="00DC2C40">
              <w:rPr>
                <w:rFonts w:ascii="Lato" w:hAnsi="Lato" w:cstheme="majorHAnsi"/>
                <w:sz w:val="18"/>
                <w:szCs w:val="18"/>
              </w:rPr>
              <w:t xml:space="preserve">miana redakcyjna ma </w:t>
            </w:r>
            <w:r>
              <w:rPr>
                <w:rFonts w:ascii="Lato" w:hAnsi="Lato" w:cstheme="majorHAnsi"/>
                <w:sz w:val="18"/>
                <w:szCs w:val="18"/>
              </w:rPr>
              <w:t xml:space="preserve">na </w:t>
            </w:r>
            <w:r w:rsidRPr="00DC2C40">
              <w:rPr>
                <w:rFonts w:ascii="Lato" w:hAnsi="Lato" w:cstheme="majorHAnsi"/>
                <w:sz w:val="18"/>
                <w:szCs w:val="18"/>
              </w:rPr>
              <w:t>celu ujednolicenie zapisów na wstępie do zapisów wskazanych w kryteriach kwalifikacji</w:t>
            </w:r>
            <w:r>
              <w:rPr>
                <w:rFonts w:ascii="Lato" w:hAnsi="Lato" w:cstheme="majorHAnsi"/>
                <w:sz w:val="18"/>
                <w:szCs w:val="18"/>
              </w:rPr>
              <w:t xml:space="preserve"> odnoszących się do linii leczenia w programie lekowym.</w:t>
            </w:r>
          </w:p>
        </w:tc>
      </w:tr>
      <w:tr w:rsidR="00734115" w:rsidRPr="004D093B" w14:paraId="67293BB2" w14:textId="77777777" w:rsidTr="005D1267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CB881F" w14:textId="7A08033F" w:rsidR="00734115" w:rsidRPr="004D093B" w:rsidRDefault="00686F8F" w:rsidP="0073411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3.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1F1AA" w14:textId="3BD5E839" w:rsidR="00734115" w:rsidRPr="00734115" w:rsidRDefault="00734115" w:rsidP="00C846FB">
            <w:pPr>
              <w:spacing w:after="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B.70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10EFE2" w14:textId="183A9D43" w:rsidR="00734115" w:rsidRPr="00C846FB" w:rsidRDefault="00734115" w:rsidP="00734115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eastAsia="Calibri" w:hAnsi="Lato" w:cstheme="majorHAnsi"/>
                <w:b/>
                <w:bCs/>
                <w:sz w:val="18"/>
                <w:szCs w:val="18"/>
                <w:lang w:eastAsia="en-US"/>
              </w:rPr>
            </w:pPr>
            <w:r w:rsidRPr="00C846F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LECZENIE PACJENTÓW Z CHOROBAMI SIATKÓWKI (ICD-10: H34.0, H35.3, H36.0)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AFE2EB" w14:textId="77777777" w:rsidR="00734115" w:rsidRDefault="00734115" w:rsidP="005D1267">
            <w:pPr>
              <w:suppressAutoHyphens w:val="0"/>
              <w:spacing w:before="60" w:after="60" w:line="240" w:lineRule="auto"/>
              <w:jc w:val="center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Wprowadzenie możliwości wydłużenia odstępów między kolejnymi iniekcjami doszklistkowymi afliberceptu 8 mg z 20 tygodni do 24 tygodni.</w:t>
            </w:r>
          </w:p>
          <w:p w14:paraId="45A1011A" w14:textId="77777777" w:rsidR="00734115" w:rsidRDefault="00734115" w:rsidP="005D1267">
            <w:pPr>
              <w:suppressAutoHyphens w:val="0"/>
              <w:spacing w:before="60" w:after="60" w:line="240" w:lineRule="auto"/>
              <w:jc w:val="center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Dodanie wymogu oceny przez Zespół Koordynacyjny skuteczności leczenia AMD i DME u każdego pacjenta w programie.</w:t>
            </w:r>
          </w:p>
          <w:p w14:paraId="4CB410F8" w14:textId="77777777" w:rsidR="00734115" w:rsidRDefault="00734115" w:rsidP="005D1267">
            <w:pPr>
              <w:suppressAutoHyphens w:val="0"/>
              <w:spacing w:before="60" w:after="60" w:line="240" w:lineRule="auto"/>
              <w:jc w:val="center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 xml:space="preserve">Zmiana zapisu dotycząca badań do kwalifikacji do części C programu – „angiografia fluoresceinowa </w:t>
            </w:r>
            <w:r w:rsidRPr="003623C4">
              <w:rPr>
                <w:rFonts w:ascii="Lato" w:hAnsi="Lato" w:cstheme="majorHAnsi"/>
                <w:sz w:val="18"/>
                <w:szCs w:val="18"/>
                <w:u w:val="single"/>
              </w:rPr>
              <w:t>lub</w:t>
            </w:r>
            <w:r>
              <w:rPr>
                <w:rFonts w:ascii="Lato" w:hAnsi="Lato" w:cstheme="majorHAnsi"/>
                <w:sz w:val="18"/>
                <w:szCs w:val="18"/>
              </w:rPr>
              <w:t xml:space="preserve"> angio-OCT” na zapis „angiografia fluoresceinowa </w:t>
            </w:r>
            <w:r w:rsidRPr="003623C4">
              <w:rPr>
                <w:rFonts w:ascii="Lato" w:hAnsi="Lato" w:cstheme="majorHAnsi"/>
                <w:sz w:val="18"/>
                <w:szCs w:val="18"/>
                <w:u w:val="single"/>
              </w:rPr>
              <w:t>i</w:t>
            </w:r>
            <w:r>
              <w:rPr>
                <w:rFonts w:ascii="Lato" w:hAnsi="Lato" w:cstheme="majorHAnsi"/>
                <w:sz w:val="18"/>
                <w:szCs w:val="18"/>
              </w:rPr>
              <w:t xml:space="preserve"> angio-OCT”.</w:t>
            </w:r>
          </w:p>
          <w:p w14:paraId="4FCF84DF" w14:textId="32FBE1B8" w:rsidR="00734115" w:rsidRPr="004D093B" w:rsidRDefault="00734115" w:rsidP="005D1267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Objęcie refundacją pierwszych odpowiedników afliberceptu w dawce 2 mg.</w:t>
            </w:r>
          </w:p>
        </w:tc>
      </w:tr>
      <w:tr w:rsidR="00734115" w:rsidRPr="004D093B" w14:paraId="66D571B6" w14:textId="77777777" w:rsidTr="005D1267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0113C4" w14:textId="3B00B440" w:rsidR="00734115" w:rsidRPr="004D093B" w:rsidRDefault="00686F8F" w:rsidP="00734115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4.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60310C" w14:textId="4157855B" w:rsidR="00734115" w:rsidRPr="00734115" w:rsidRDefault="00734115" w:rsidP="00C846FB">
            <w:pPr>
              <w:pStyle w:val="Style2"/>
              <w:widowControl/>
              <w:spacing w:line="240" w:lineRule="auto"/>
              <w:jc w:val="center"/>
              <w:rPr>
                <w:rFonts w:ascii="Lato" w:eastAsia="Calibri" w:hAnsi="Lato" w:cstheme="majorHAns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734115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B.128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469A50" w14:textId="55A3D23E" w:rsidR="00734115" w:rsidRPr="00C846FB" w:rsidRDefault="00734115" w:rsidP="00734115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eastAsia="Calibri" w:hAnsi="Lato" w:cstheme="majorHAnsi"/>
                <w:color w:val="000000"/>
                <w:sz w:val="18"/>
                <w:szCs w:val="18"/>
                <w:lang w:eastAsia="en-US"/>
              </w:rPr>
            </w:pPr>
            <w:r w:rsidRPr="00C846FB">
              <w:rPr>
                <w:rFonts w:ascii="Lato" w:hAnsi="Lato"/>
                <w:b/>
                <w:sz w:val="18"/>
                <w:szCs w:val="18"/>
              </w:rPr>
              <w:t>LECZENIE CHORYCH NA OSTRĄ PORFIRIĘ WĄTROBOWĄ (AHP) U DOROSŁYCH I</w:t>
            </w:r>
            <w:r w:rsidRPr="00C846FB">
              <w:rPr>
                <w:rFonts w:ascii="Arial" w:hAnsi="Arial" w:cs="Arial"/>
                <w:b/>
                <w:sz w:val="18"/>
                <w:szCs w:val="18"/>
              </w:rPr>
              <w:t> </w:t>
            </w:r>
            <w:r w:rsidRPr="00C846FB">
              <w:rPr>
                <w:rFonts w:ascii="Lato" w:hAnsi="Lato"/>
                <w:b/>
                <w:sz w:val="18"/>
                <w:szCs w:val="18"/>
              </w:rPr>
              <w:t>M</w:t>
            </w:r>
            <w:r w:rsidRPr="00C846FB">
              <w:rPr>
                <w:rFonts w:ascii="Lato" w:hAnsi="Lato" w:cs="Lato"/>
                <w:b/>
                <w:sz w:val="18"/>
                <w:szCs w:val="18"/>
              </w:rPr>
              <w:t>Ł</w:t>
            </w:r>
            <w:r w:rsidRPr="00C846FB">
              <w:rPr>
                <w:rFonts w:ascii="Lato" w:hAnsi="Lato"/>
                <w:b/>
                <w:sz w:val="18"/>
                <w:szCs w:val="18"/>
              </w:rPr>
              <w:t>ODZIE</w:t>
            </w:r>
            <w:r w:rsidRPr="00C846FB">
              <w:rPr>
                <w:rFonts w:ascii="Lato" w:hAnsi="Lato" w:cs="Lato"/>
                <w:b/>
                <w:sz w:val="18"/>
                <w:szCs w:val="18"/>
              </w:rPr>
              <w:t>Ż</w:t>
            </w:r>
            <w:r w:rsidRPr="00C846FB">
              <w:rPr>
                <w:rFonts w:ascii="Lato" w:hAnsi="Lato"/>
                <w:b/>
                <w:sz w:val="18"/>
                <w:szCs w:val="18"/>
              </w:rPr>
              <w:t>Y W WIEKU OD 12 LAT (ICD-10: E80.2)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C57ABB" w14:textId="511C8FB9" w:rsidR="00734115" w:rsidRDefault="00734115" w:rsidP="005D1267">
            <w:pPr>
              <w:suppressAutoHyphens w:val="0"/>
              <w:spacing w:before="60" w:after="60" w:line="240" w:lineRule="auto"/>
              <w:jc w:val="center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 w:rsidRPr="00A57907">
              <w:rPr>
                <w:rFonts w:ascii="Lato" w:hAnsi="Lato" w:cstheme="majorHAnsi"/>
                <w:sz w:val="18"/>
                <w:szCs w:val="18"/>
              </w:rPr>
              <w:t>Kompleksowa zmiana treści programu lekowego obejmująca wszystkie jego składowe</w:t>
            </w:r>
            <w:r>
              <w:rPr>
                <w:rFonts w:ascii="Lato" w:hAnsi="Lato" w:cstheme="majorHAnsi"/>
                <w:sz w:val="18"/>
                <w:szCs w:val="18"/>
              </w:rPr>
              <w:t>, prowadzona równolegle do przeniesienia finansowania produktu z Funduszu Medycznego do refundacji systemowej, po 4 latach finansowania jako technologia lekowa o wysokim poziomie innowacyjności (TLI)</w:t>
            </w:r>
            <w:r w:rsidRPr="00A57907">
              <w:rPr>
                <w:rFonts w:ascii="Lato" w:hAnsi="Lato" w:cstheme="majorHAnsi"/>
                <w:sz w:val="18"/>
                <w:szCs w:val="18"/>
              </w:rPr>
              <w:t>.</w:t>
            </w:r>
          </w:p>
          <w:p w14:paraId="4C9AB9C4" w14:textId="4FC296C1" w:rsidR="00734115" w:rsidRPr="004D093B" w:rsidRDefault="00734115" w:rsidP="005D1267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57907">
              <w:rPr>
                <w:rFonts w:ascii="Lato" w:hAnsi="Lato" w:cstheme="majorHAnsi"/>
                <w:sz w:val="18"/>
                <w:szCs w:val="18"/>
              </w:rPr>
              <w:t xml:space="preserve">Główna zmiana dotyczy </w:t>
            </w:r>
            <w:r>
              <w:rPr>
                <w:rFonts w:ascii="Lato" w:hAnsi="Lato" w:cstheme="majorHAnsi"/>
                <w:sz w:val="18"/>
                <w:szCs w:val="18"/>
              </w:rPr>
              <w:t>możliwości powrotu do leczenia po ciąży lub karmieniu piersią</w:t>
            </w:r>
            <w:r w:rsidRPr="00A57907">
              <w:rPr>
                <w:rFonts w:ascii="Lato" w:hAnsi="Lato" w:cstheme="majorHAnsi"/>
                <w:sz w:val="18"/>
                <w:szCs w:val="18"/>
              </w:rPr>
              <w:t>. Dodatkowo wprowadzono liczne zmiany ujednolicające i porządkujące program lekowy.</w:t>
            </w:r>
          </w:p>
        </w:tc>
      </w:tr>
      <w:tr w:rsidR="00734115" w:rsidRPr="004D093B" w14:paraId="1EC37EE4" w14:textId="77777777" w:rsidTr="005D1267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55728" w14:textId="67F66CFD" w:rsidR="00734115" w:rsidRPr="004D093B" w:rsidRDefault="00686F8F" w:rsidP="00734115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5.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FD53BF" w14:textId="6E9DCC01" w:rsidR="00734115" w:rsidRPr="00734115" w:rsidRDefault="00734115" w:rsidP="00C846FB">
            <w:pPr>
              <w:pStyle w:val="Style2"/>
              <w:widowControl/>
              <w:spacing w:line="240" w:lineRule="auto"/>
              <w:jc w:val="center"/>
              <w:rPr>
                <w:rFonts w:ascii="Lato" w:eastAsia="Calibri" w:hAnsi="Lato" w:cstheme="majorHAns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734115">
              <w:rPr>
                <w:rFonts w:ascii="Lato" w:hAnsi="Lato" w:cstheme="majorHAnsi"/>
                <w:b/>
                <w:bCs/>
                <w:sz w:val="18"/>
                <w:szCs w:val="18"/>
              </w:rPr>
              <w:t>B.148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82CBC3" w14:textId="36A83C6C" w:rsidR="00734115" w:rsidRPr="00C846FB" w:rsidRDefault="00734115" w:rsidP="00734115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eastAsia="Calibri" w:hAnsi="Lato" w:cstheme="majorHAns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C846FB">
              <w:rPr>
                <w:rFonts w:ascii="Lato" w:hAnsi="Lato" w:cstheme="majorHAnsi"/>
                <w:b/>
                <w:bCs/>
                <w:sz w:val="18"/>
                <w:szCs w:val="18"/>
              </w:rPr>
              <w:t>LECZENIE CHORYCH NA RAKA ENDOMETRIUM (ICD-10: C54)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CFB79B" w14:textId="6F22D106" w:rsidR="00734115" w:rsidRPr="004D093B" w:rsidRDefault="00734115" w:rsidP="005D1267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Głównie d</w:t>
            </w:r>
            <w:r w:rsidRPr="004D77E0">
              <w:rPr>
                <w:rFonts w:ascii="Lato" w:hAnsi="Lato" w:cstheme="majorHAnsi"/>
                <w:sz w:val="18"/>
                <w:szCs w:val="18"/>
              </w:rPr>
              <w:t xml:space="preserve">oprecyzowanie </w:t>
            </w:r>
            <w:r>
              <w:rPr>
                <w:rFonts w:ascii="Lato" w:hAnsi="Lato" w:cstheme="majorHAnsi"/>
                <w:sz w:val="18"/>
                <w:szCs w:val="18"/>
              </w:rPr>
              <w:t xml:space="preserve">zapisu w części dotyczącej dawkowania leków, gdzie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do zapisu, iż nie </w:t>
            </w:r>
            <w:r w:rsidRPr="00DC2C40">
              <w:rPr>
                <w:rFonts w:ascii="Lato" w:hAnsi="Lato" w:cstheme="majorHAnsi"/>
                <w:color w:val="000000"/>
                <w:sz w:val="18"/>
                <w:szCs w:val="18"/>
              </w:rPr>
              <w:t>zaleca się zmniejszania dawki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dodano, iż chodzi o substancję czynną durwalumab w przypadku leczenia pacjentów </w:t>
            </w:r>
            <w:r w:rsidRPr="00EC1AFB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durwalumabem w skojarzeniu z karboplatyną i paklitakselem, a następnie durwalumabem w monoterapii lub w skojarzeniu z olaparybem w I linii leczenia</w:t>
            </w: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.</w:t>
            </w:r>
          </w:p>
        </w:tc>
      </w:tr>
      <w:tr w:rsidR="00734115" w:rsidRPr="004D093B" w14:paraId="760505AF" w14:textId="77777777" w:rsidTr="005D1267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E24D49" w14:textId="28CE8E65" w:rsidR="00734115" w:rsidRPr="004D093B" w:rsidRDefault="00686F8F" w:rsidP="0073411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lastRenderedPageBreak/>
              <w:t>6.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BBA35D" w14:textId="431011FC" w:rsidR="00734115" w:rsidRPr="00734115" w:rsidRDefault="00734115" w:rsidP="00C846FB">
            <w:pPr>
              <w:pStyle w:val="Style2"/>
              <w:widowControl/>
              <w:spacing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 w:rsidRPr="00734115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B.154.FM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770952" w14:textId="62FC0D31" w:rsidR="00734115" w:rsidRPr="00C846FB" w:rsidRDefault="00734115" w:rsidP="00734115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C846FB">
              <w:rPr>
                <w:rFonts w:ascii="Lato" w:hAnsi="Lato"/>
                <w:b/>
                <w:sz w:val="18"/>
                <w:szCs w:val="18"/>
              </w:rPr>
              <w:t>LECZENIE PACJENTÓW Z ZESPOŁEM LENNOXA-GASTAUTA LUB Z ZESPOŁEM DRAVET (ICD-10: G40.4)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AD3CDF" w14:textId="1C74A21D" w:rsidR="00734115" w:rsidRPr="003B46BF" w:rsidRDefault="00734115" w:rsidP="005D1267">
            <w:pPr>
              <w:suppressAutoHyphens w:val="0"/>
              <w:spacing w:before="60" w:after="60" w:line="240" w:lineRule="auto"/>
              <w:jc w:val="center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 w:rsidRPr="00BF4BE3">
              <w:rPr>
                <w:rFonts w:ascii="Lato" w:hAnsi="Lato" w:cstheme="majorHAnsi"/>
                <w:sz w:val="18"/>
                <w:szCs w:val="18"/>
              </w:rPr>
              <w:t>Zmiany dotyczą</w:t>
            </w:r>
            <w:r w:rsidR="00E5036C">
              <w:rPr>
                <w:rFonts w:ascii="Lato" w:hAnsi="Lato" w:cstheme="majorHAnsi"/>
                <w:sz w:val="18"/>
                <w:szCs w:val="18"/>
              </w:rPr>
              <w:t xml:space="preserve"> m.in. </w:t>
            </w:r>
            <w:r w:rsidRPr="00BF4BE3">
              <w:rPr>
                <w:rFonts w:ascii="Lato" w:hAnsi="Lato" w:cstheme="majorHAnsi"/>
                <w:sz w:val="18"/>
                <w:szCs w:val="18"/>
              </w:rPr>
              <w:t xml:space="preserve">powołania Zespół Koordynacyjny ds. Leczenia pacjentów z zespołem Lennoxa-Gastauta lub z zespołem Dravet, usunięcia z punktu „kryteria wyłączenia” podpunktu </w:t>
            </w:r>
            <w:r>
              <w:rPr>
                <w:rFonts w:ascii="Lato" w:hAnsi="Lato" w:cstheme="majorHAnsi"/>
                <w:sz w:val="18"/>
                <w:szCs w:val="18"/>
              </w:rPr>
              <w:t>o zmianie leków w terapii podstawowej</w:t>
            </w:r>
            <w:r w:rsidRPr="00BF4BE3">
              <w:rPr>
                <w:rFonts w:ascii="Lato" w:hAnsi="Lato" w:cstheme="majorHAnsi"/>
                <w:sz w:val="18"/>
                <w:szCs w:val="18"/>
              </w:rPr>
              <w:t>,</w:t>
            </w:r>
            <w:r w:rsidR="00E5036C">
              <w:rPr>
                <w:rFonts w:ascii="Lato" w:hAnsi="Lato" w:cstheme="majorHAnsi"/>
                <w:sz w:val="18"/>
                <w:szCs w:val="18"/>
              </w:rPr>
              <w:t xml:space="preserve"> umożliwienie</w:t>
            </w:r>
            <w:r w:rsidRPr="00BF4BE3">
              <w:rPr>
                <w:rFonts w:ascii="Lato" w:hAnsi="Lato" w:cstheme="majorHAnsi"/>
                <w:sz w:val="18"/>
                <w:szCs w:val="18"/>
              </w:rPr>
              <w:t xml:space="preserve"> przesunięcia w czasie oceny skuteczności w przypadku wystąpienia stanów uniemożliwiających ocenę skuteczności (np. infekcji, gorączki, wzrostu aktywności enzymów wątrobowych), odroczenie nie dłuższe niż 9 miesięcy.</w:t>
            </w:r>
          </w:p>
        </w:tc>
      </w:tr>
      <w:tr w:rsidR="005D1267" w:rsidRPr="004D093B" w14:paraId="53AEE66C" w14:textId="77777777" w:rsidTr="005D1267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1F2640" w14:textId="32D5FCC8" w:rsidR="005D1267" w:rsidRDefault="005D1267" w:rsidP="005D1267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7.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0B41DC" w14:textId="04DDF13A" w:rsidR="005D1267" w:rsidRPr="00734115" w:rsidRDefault="005D1267" w:rsidP="00C846FB">
            <w:pPr>
              <w:pStyle w:val="Style2"/>
              <w:widowControl/>
              <w:spacing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C.110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EA823E" w14:textId="6C9292EA" w:rsidR="005D1267" w:rsidRPr="00C846FB" w:rsidRDefault="005D1267" w:rsidP="005D1267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hAnsi="Lato"/>
                <w:b/>
                <w:sz w:val="18"/>
                <w:szCs w:val="18"/>
              </w:rPr>
            </w:pPr>
            <w:r w:rsidRPr="00C846FB">
              <w:rPr>
                <w:rFonts w:ascii="Lato" w:hAnsi="Lato"/>
                <w:b/>
                <w:sz w:val="18"/>
                <w:szCs w:val="18"/>
              </w:rPr>
              <w:t>AFLIBERCEPT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935EF5" w14:textId="28B2BF51" w:rsidR="005D1267" w:rsidRPr="00BF4BE3" w:rsidRDefault="005D1267" w:rsidP="005D1267">
            <w:pPr>
              <w:suppressAutoHyphens w:val="0"/>
              <w:spacing w:before="60" w:after="60" w:line="240" w:lineRule="auto"/>
              <w:jc w:val="center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 w:rsidRPr="001C094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Zmiana kategorii dostępności refundacyjnej dla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afliberceptu</w:t>
            </w:r>
            <w:r w:rsidRPr="001C094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z programu lekowego B.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4 dotyczącego leczenia raka jelita grubego</w:t>
            </w:r>
            <w:r w:rsidRPr="001C094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do katalogu chemioterapii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ramach załącznika nr</w:t>
            </w:r>
            <w:r w:rsidRPr="001C094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C.110.</w:t>
            </w:r>
          </w:p>
        </w:tc>
      </w:tr>
    </w:tbl>
    <w:p w14:paraId="08AE375A" w14:textId="43C53898" w:rsidR="0056748F" w:rsidRPr="004D093B" w:rsidRDefault="0056748F">
      <w:pPr>
        <w:suppressAutoHyphens w:val="0"/>
        <w:rPr>
          <w:rFonts w:ascii="Lato" w:hAnsi="Lato"/>
          <w:b/>
          <w:bCs/>
          <w:color w:val="00B0F0"/>
          <w:sz w:val="28"/>
          <w:szCs w:val="28"/>
        </w:rPr>
      </w:pPr>
    </w:p>
    <w:p w14:paraId="052EAE3A" w14:textId="77777777" w:rsidR="004D093B" w:rsidRDefault="004D093B">
      <w:pPr>
        <w:suppressAutoHyphens w:val="0"/>
        <w:rPr>
          <w:rFonts w:ascii="Lato" w:hAnsi="Lato"/>
          <w:b/>
          <w:bCs/>
          <w:color w:val="00B0F0"/>
          <w:sz w:val="28"/>
          <w:szCs w:val="28"/>
        </w:rPr>
      </w:pPr>
      <w:bookmarkStart w:id="2" w:name="_Hlk90283710"/>
      <w:r>
        <w:rPr>
          <w:rFonts w:ascii="Lato" w:hAnsi="Lato"/>
          <w:b/>
          <w:bCs/>
          <w:color w:val="00B0F0"/>
          <w:sz w:val="28"/>
          <w:szCs w:val="28"/>
        </w:rPr>
        <w:br w:type="page"/>
      </w:r>
    </w:p>
    <w:p w14:paraId="703841AA" w14:textId="36DADBCA" w:rsidR="0056748F" w:rsidRPr="004D093B" w:rsidRDefault="0056748F" w:rsidP="0056748F">
      <w:pPr>
        <w:jc w:val="center"/>
        <w:rPr>
          <w:rFonts w:ascii="Lato" w:hAnsi="Lato"/>
          <w:b/>
          <w:bCs/>
          <w:color w:val="00B0F0"/>
          <w:sz w:val="28"/>
          <w:szCs w:val="28"/>
        </w:rPr>
      </w:pPr>
      <w:r w:rsidRPr="004D093B">
        <w:rPr>
          <w:rFonts w:ascii="Lato" w:hAnsi="Lato"/>
          <w:b/>
          <w:bCs/>
          <w:color w:val="00B0F0"/>
          <w:sz w:val="28"/>
          <w:szCs w:val="28"/>
        </w:rPr>
        <w:lastRenderedPageBreak/>
        <w:t>NOWE WSKAZANIA ORAZ ZMIANY W REFUNDACJI APTECZNEJ</w:t>
      </w:r>
    </w:p>
    <w:tbl>
      <w:tblPr>
        <w:tblW w:w="5000" w:type="pct"/>
        <w:tblCellMar>
          <w:top w:w="57" w:type="dxa"/>
          <w:left w:w="10" w:type="dxa"/>
          <w:bottom w:w="57" w:type="dxa"/>
          <w:right w:w="10" w:type="dxa"/>
        </w:tblCellMar>
        <w:tblLook w:val="0000" w:firstRow="0" w:lastRow="0" w:firstColumn="0" w:lastColumn="0" w:noHBand="0" w:noVBand="0"/>
      </w:tblPr>
      <w:tblGrid>
        <w:gridCol w:w="691"/>
        <w:gridCol w:w="2412"/>
        <w:gridCol w:w="1838"/>
        <w:gridCol w:w="5399"/>
        <w:gridCol w:w="3648"/>
      </w:tblGrid>
      <w:tr w:rsidR="00AD08C5" w:rsidRPr="004D093B" w14:paraId="2CD1B9F9" w14:textId="77777777" w:rsidTr="004D093B">
        <w:trPr>
          <w:cantSplit/>
          <w:trHeight w:val="549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94C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2"/>
          <w:p w14:paraId="05E7E891" w14:textId="77777777" w:rsidR="00AD08C5" w:rsidRPr="004D093B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4D093B">
              <w:rPr>
                <w:rFonts w:ascii="Lato" w:hAnsi="Lato" w:cstheme="majorHAnsi"/>
                <w:b/>
                <w:bCs/>
                <w:color w:val="FFFFFF"/>
              </w:rPr>
              <w:t>Apteka</w:t>
            </w:r>
          </w:p>
        </w:tc>
      </w:tr>
      <w:tr w:rsidR="00AD08C5" w:rsidRPr="004D093B" w14:paraId="7C1774EA" w14:textId="77777777" w:rsidTr="004D093B">
        <w:trPr>
          <w:cantSplit/>
          <w:trHeight w:val="328"/>
        </w:trPr>
        <w:tc>
          <w:tcPr>
            <w:tcW w:w="5000" w:type="pct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86140" w14:textId="77777777" w:rsidR="00AD08C5" w:rsidRPr="004D093B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4D093B">
              <w:rPr>
                <w:rFonts w:ascii="Lato" w:hAnsi="Lato" w:cstheme="majorHAnsi"/>
                <w:b/>
                <w:bCs/>
                <w:color w:val="FFFFFF"/>
              </w:rPr>
              <w:t>Nowe wskazania refundacyjne</w:t>
            </w:r>
          </w:p>
        </w:tc>
      </w:tr>
      <w:tr w:rsidR="0056748F" w:rsidRPr="004D093B" w14:paraId="7D53B9E1" w14:textId="77777777" w:rsidTr="004D093B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D3CB4" w14:textId="77777777" w:rsidR="00AD08C5" w:rsidRPr="004D093B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  <w:t>Lp.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3E9D6E" w14:textId="70C49D87" w:rsidR="00AD08C5" w:rsidRPr="004D093B" w:rsidRDefault="00A118F0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  <w:t xml:space="preserve">Nazwa leku, środka spożywczego specjalnego przeznaczenia lub wyrobu </w:t>
            </w:r>
            <w:r w:rsidRPr="004D093B">
              <w:rPr>
                <w:rFonts w:ascii="Lato" w:hAnsi="Lato" w:cstheme="majorHAnsi"/>
                <w:b/>
                <w:bCs/>
                <w:sz w:val="19"/>
                <w:szCs w:val="19"/>
              </w:rPr>
              <w:t>medycznego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2A6F35" w14:textId="77777777" w:rsidR="00AD08C5" w:rsidRPr="004D093B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  <w:t>Substancja czynna</w:t>
            </w:r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F933D3" w14:textId="77777777" w:rsidR="00AD08C5" w:rsidRPr="004D093B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  <w:t>Wskazanie refundacyjne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45EAF7" w14:textId="77777777" w:rsidR="00AD08C5" w:rsidRPr="004D093B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  <w:t>Doprecyzowanie wskazania</w:t>
            </w:r>
          </w:p>
        </w:tc>
      </w:tr>
      <w:tr w:rsidR="00A159DA" w:rsidRPr="004D093B" w14:paraId="3E62A70D" w14:textId="77777777" w:rsidTr="004D093B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ED6C4" w14:textId="450100DE" w:rsidR="00A159DA" w:rsidRPr="004D093B" w:rsidRDefault="0027472D" w:rsidP="00A159DA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1</w:t>
            </w:r>
            <w:r w:rsidR="00937CAF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51D194" w14:textId="495F6D63" w:rsidR="00A159DA" w:rsidRPr="004D093B" w:rsidRDefault="00483B24" w:rsidP="00A159DA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Trimbow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E1F354" w14:textId="61A09A02" w:rsidR="00A159DA" w:rsidRPr="004D093B" w:rsidRDefault="00415C7E" w:rsidP="00A159DA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beklometazon</w:t>
            </w:r>
            <w:r w:rsidRPr="00415C7E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+ </w:t>
            </w: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formoterol</w:t>
            </w:r>
            <w:r w:rsidRPr="00415C7E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+ </w:t>
            </w:r>
            <w:r w:rsidR="00FF0E85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glikopironium</w:t>
            </w:r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40D22F" w14:textId="0C0FD428" w:rsidR="00A159DA" w:rsidRPr="004D093B" w:rsidRDefault="00C21E1E" w:rsidP="00A159DA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  <w:highlight w:val="yellow"/>
              </w:rPr>
            </w:pPr>
            <w:r w:rsidRPr="00C21E1E">
              <w:rPr>
                <w:rFonts w:ascii="Lato" w:hAnsi="Lato" w:cstheme="majorHAnsi"/>
                <w:color w:val="000000"/>
                <w:sz w:val="18"/>
                <w:szCs w:val="18"/>
              </w:rPr>
              <w:t>Leczenie podtrzymujące u pacjentów dorosłych z umiarkowaną lub ciężką przewlekłą obturacyjną chorobą płuc (POChP), u których nie uzyskuje się odpowiedniego efektu leczenia podczas jednoczesnego stosowania kortykosteroidu wziewnego i długo działającego agonisty receptorów beta-2 lub jednoczesnego stosowania długo działającego agonisty receptorów beta-2 i długo działającego antagonisty receptorów muskarynowych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CC0182" w14:textId="12B94E77" w:rsidR="00F31A79" w:rsidRPr="004D093B" w:rsidRDefault="00B47BE3" w:rsidP="00DE00F0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Obję</w:t>
            </w:r>
            <w:r w:rsidR="00246A70">
              <w:rPr>
                <w:rFonts w:ascii="Lato" w:hAnsi="Lato" w:cstheme="majorHAnsi"/>
                <w:color w:val="000000"/>
                <w:sz w:val="18"/>
                <w:szCs w:val="18"/>
              </w:rPr>
              <w:t>cie refundacją leku</w:t>
            </w:r>
            <w:r w:rsidR="00C24744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trójskładnikow</w:t>
            </w:r>
            <w:r w:rsidR="00246A70">
              <w:rPr>
                <w:rFonts w:ascii="Lato" w:hAnsi="Lato" w:cstheme="majorHAnsi"/>
                <w:color w:val="000000"/>
                <w:sz w:val="18"/>
                <w:szCs w:val="18"/>
              </w:rPr>
              <w:t>ego</w:t>
            </w:r>
            <w:r w:rsidR="0064795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="00B60139">
              <w:rPr>
                <w:rFonts w:ascii="Lato" w:hAnsi="Lato" w:cstheme="majorHAnsi"/>
                <w:color w:val="000000"/>
                <w:sz w:val="18"/>
                <w:szCs w:val="18"/>
              </w:rPr>
              <w:t>w postaci proszku do inhalacji</w:t>
            </w:r>
            <w:r w:rsidR="000A180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="00461B60">
              <w:rPr>
                <w:rFonts w:ascii="Lato" w:hAnsi="Lato" w:cstheme="majorHAnsi"/>
                <w:color w:val="000000"/>
                <w:sz w:val="18"/>
                <w:szCs w:val="18"/>
              </w:rPr>
              <w:t>stosowan</w:t>
            </w:r>
            <w:r w:rsidR="00246A70">
              <w:rPr>
                <w:rFonts w:ascii="Lato" w:hAnsi="Lato" w:cstheme="majorHAnsi"/>
                <w:color w:val="000000"/>
                <w:sz w:val="18"/>
                <w:szCs w:val="18"/>
              </w:rPr>
              <w:t>ego</w:t>
            </w:r>
            <w:r w:rsidR="00461B60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</w:t>
            </w:r>
            <w:r w:rsidR="000A180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leczeniu POChP</w:t>
            </w:r>
            <w:r w:rsidR="00DA3B88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u dorosłych pacjentów</w:t>
            </w:r>
            <w:r w:rsidR="000A180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(obecnie w refundacji jest w tym wskazaniu </w:t>
            </w:r>
            <w:r w:rsidR="00DA3B88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lek </w:t>
            </w:r>
            <w:r w:rsidR="00461B60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Trimbow w postaci </w:t>
            </w:r>
            <w:r w:rsidR="000A180D">
              <w:rPr>
                <w:rFonts w:ascii="Lato" w:hAnsi="Lato" w:cstheme="majorHAnsi"/>
                <w:color w:val="000000"/>
                <w:sz w:val="18"/>
                <w:szCs w:val="18"/>
              </w:rPr>
              <w:t>aerozol</w:t>
            </w:r>
            <w:r w:rsidR="00461B60">
              <w:rPr>
                <w:rFonts w:ascii="Lato" w:hAnsi="Lato" w:cstheme="majorHAnsi"/>
                <w:color w:val="000000"/>
                <w:sz w:val="18"/>
                <w:szCs w:val="18"/>
              </w:rPr>
              <w:t>u</w:t>
            </w:r>
            <w:r w:rsidR="000A180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inhalacyjn</w:t>
            </w:r>
            <w:r w:rsidR="00461B60">
              <w:rPr>
                <w:rFonts w:ascii="Lato" w:hAnsi="Lato" w:cstheme="majorHAnsi"/>
                <w:color w:val="000000"/>
                <w:sz w:val="18"/>
                <w:szCs w:val="18"/>
              </w:rPr>
              <w:t>ego</w:t>
            </w:r>
            <w:r w:rsidR="000A180D">
              <w:rPr>
                <w:rFonts w:ascii="Lato" w:hAnsi="Lato" w:cstheme="majorHAnsi"/>
                <w:color w:val="000000"/>
                <w:sz w:val="18"/>
                <w:szCs w:val="18"/>
              </w:rPr>
              <w:t>).</w:t>
            </w:r>
          </w:p>
        </w:tc>
      </w:tr>
      <w:tr w:rsidR="00EA326D" w:rsidRPr="004D093B" w14:paraId="6E8A1919" w14:textId="77777777" w:rsidTr="004D093B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10016" w14:textId="528B1BCA" w:rsidR="00EA326D" w:rsidRPr="004D093B" w:rsidRDefault="0027472D" w:rsidP="00EA326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2</w:t>
            </w:r>
            <w:r w:rsidR="00937CAF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CD168B" w14:textId="0FC1B3A6" w:rsidR="00EA326D" w:rsidRPr="004D093B" w:rsidRDefault="00483B24" w:rsidP="00EA326D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Trimbow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E6C870" w14:textId="3206CE6D" w:rsidR="00EA326D" w:rsidRPr="004D093B" w:rsidRDefault="00FF0E85" w:rsidP="00EA326D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FF0E85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beklometazon + formoterol + glikopironium</w:t>
            </w:r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A42092" w14:textId="1206058E" w:rsidR="00EA326D" w:rsidRPr="004D093B" w:rsidRDefault="009C1130" w:rsidP="00EA326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C1130">
              <w:rPr>
                <w:rFonts w:ascii="Lato" w:hAnsi="Lato" w:cstheme="majorHAnsi"/>
                <w:color w:val="000000"/>
                <w:sz w:val="18"/>
                <w:szCs w:val="18"/>
              </w:rPr>
              <w:t>Leczenie podtrzymujące astmy u pacjentów dorosłych z niewystarczającą kontrolą objawów astmy po zastosowaniu produktu złożonego z długo działającego agonisty receptorów beta-2 i dużych dawek kortykosteroidu wziewnego, u których wystąpiło jedno lub więcej zaostrzeń astmy w ciągu poprzedniego roku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823724" w14:textId="02FA80D2" w:rsidR="00EA326D" w:rsidRPr="004D093B" w:rsidRDefault="00246A70" w:rsidP="00EA326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246A70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Objęcie refundacją leku </w:t>
            </w:r>
            <w:r w:rsidR="007E216C" w:rsidRPr="007E216C">
              <w:rPr>
                <w:rFonts w:ascii="Lato" w:hAnsi="Lato" w:cstheme="majorHAnsi"/>
                <w:color w:val="000000"/>
                <w:sz w:val="18"/>
                <w:szCs w:val="18"/>
              </w:rPr>
              <w:t>trójskładnikow</w:t>
            </w:r>
            <w:r w:rsidR="002C3980">
              <w:rPr>
                <w:rFonts w:ascii="Lato" w:hAnsi="Lato" w:cstheme="majorHAnsi"/>
                <w:color w:val="000000"/>
                <w:sz w:val="18"/>
                <w:szCs w:val="18"/>
              </w:rPr>
              <w:t>ego</w:t>
            </w:r>
            <w:r w:rsidR="007E216C" w:rsidRPr="007E216C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postaci </w:t>
            </w:r>
            <w:r w:rsidR="00AF1DA4">
              <w:rPr>
                <w:rFonts w:ascii="Lato" w:hAnsi="Lato" w:cstheme="majorHAnsi"/>
                <w:color w:val="000000"/>
                <w:sz w:val="18"/>
                <w:szCs w:val="18"/>
              </w:rPr>
              <w:t>aerozolu inhalacyjnego</w:t>
            </w:r>
            <w:r w:rsidR="007E216C" w:rsidRPr="007E216C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stosowan</w:t>
            </w:r>
            <w:r w:rsidR="002C3980">
              <w:rPr>
                <w:rFonts w:ascii="Lato" w:hAnsi="Lato" w:cstheme="majorHAnsi"/>
                <w:color w:val="000000"/>
                <w:sz w:val="18"/>
                <w:szCs w:val="18"/>
              </w:rPr>
              <w:t>ego</w:t>
            </w:r>
            <w:r w:rsidR="007E216C" w:rsidRPr="007E216C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leczeniu </w:t>
            </w:r>
            <w:r w:rsidR="00AF1DA4">
              <w:rPr>
                <w:rFonts w:ascii="Lato" w:hAnsi="Lato" w:cstheme="majorHAnsi"/>
                <w:color w:val="000000"/>
                <w:sz w:val="18"/>
                <w:szCs w:val="18"/>
              </w:rPr>
              <w:t>astmy u dorosłych pacjentów</w:t>
            </w:r>
            <w:r w:rsidR="007E216C" w:rsidRPr="007E216C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731170" w:rsidRPr="004D093B" w14:paraId="193FE483" w14:textId="77777777" w:rsidTr="004D093B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782BA4" w14:textId="56A68D4E" w:rsidR="00731170" w:rsidRDefault="00731170" w:rsidP="00731170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3.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2F09E0" w14:textId="2E693D8F" w:rsidR="00731170" w:rsidRDefault="00731170" w:rsidP="00731170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PKU GMPro Mix In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9A7AF1" w14:textId="166B542B" w:rsidR="00731170" w:rsidRPr="00FF0E85" w:rsidRDefault="00731170" w:rsidP="00731170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d</w:t>
            </w:r>
            <w:r w:rsidRPr="00A57907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ieta eliminacyjna w fenyloketonurii</w:t>
            </w:r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6B3B9B" w14:textId="2E88B875" w:rsidR="00731170" w:rsidRPr="009C1130" w:rsidRDefault="00731170" w:rsidP="00731170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57907">
              <w:rPr>
                <w:rFonts w:ascii="Lato" w:hAnsi="Lato" w:cstheme="majorHAnsi"/>
                <w:color w:val="000000"/>
                <w:sz w:val="18"/>
                <w:szCs w:val="18"/>
              </w:rPr>
              <w:t>Fenyloketonuria (PKU) u pacjentów powyżej 3 roku życia, u których dobowa tolerancja fenyloalaniny pozwala na zastosowanie preparatów glikomakropeptydowych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193B3E" w14:textId="77777777" w:rsidR="00731170" w:rsidRDefault="00731170" w:rsidP="00731170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</w:t>
            </w:r>
            <w:r w:rsidRPr="00A83DF2">
              <w:rPr>
                <w:rFonts w:ascii="Lato" w:hAnsi="Lato" w:cstheme="majorHAnsi"/>
                <w:color w:val="000000"/>
                <w:sz w:val="18"/>
                <w:szCs w:val="18"/>
              </w:rPr>
              <w:t>iałkozastępczy produkt bezsmakowy oparty o glikomakropeptyd (GMP)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, </w:t>
            </w:r>
            <w:r w:rsidRPr="00A83DF2">
              <w:rPr>
                <w:rFonts w:ascii="Lato" w:hAnsi="Lato" w:cstheme="majorHAnsi"/>
                <w:color w:val="000000"/>
                <w:sz w:val="18"/>
                <w:szCs w:val="18"/>
              </w:rPr>
              <w:t>stosowany w diecie pacjentów z fenyloketonurią.</w:t>
            </w:r>
          </w:p>
          <w:p w14:paraId="1FDA6ACC" w14:textId="39029217" w:rsidR="00731170" w:rsidRPr="00246A70" w:rsidRDefault="00731170" w:rsidP="00731170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6545DF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731170" w:rsidRPr="004D093B" w14:paraId="5B4DB12A" w14:textId="77777777" w:rsidTr="00686F8F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37A8A5" w14:textId="4E87BBE8" w:rsidR="00731170" w:rsidRDefault="00731170" w:rsidP="00731170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4.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4DB3FB" w14:textId="32AB4AA8" w:rsidR="00731170" w:rsidRDefault="00731170" w:rsidP="00731170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DF488F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Polpril Plus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FE8F8E" w14:textId="705BE1C0" w:rsidR="00731170" w:rsidRPr="00FF0E85" w:rsidRDefault="00731170" w:rsidP="00731170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7E21C8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ramipril + indapamid</w:t>
            </w:r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D61F97" w14:textId="0FF070F9" w:rsidR="00731170" w:rsidRPr="009C1130" w:rsidRDefault="00731170" w:rsidP="00731170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E21C8">
              <w:rPr>
                <w:rFonts w:ascii="Lato" w:hAnsi="Lato" w:cstheme="majorHAnsi"/>
                <w:color w:val="000000"/>
                <w:sz w:val="18"/>
                <w:szCs w:val="18"/>
              </w:rPr>
              <w:t>We wszystkich zarejestrowanych wskazaniach na dzień wydania decyzji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86B800" w14:textId="162ABB6E" w:rsidR="00731170" w:rsidRPr="006545DF" w:rsidRDefault="00731170" w:rsidP="00731170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7E21C8">
              <w:rPr>
                <w:rFonts w:ascii="Lato" w:hAnsi="Lato" w:cstheme="majorHAnsi"/>
                <w:color w:val="000000"/>
                <w:sz w:val="18"/>
                <w:szCs w:val="18"/>
              </w:rPr>
              <w:t>Kolejny produkt dwulekowy (lek złożony, single pill combination - SPC) możliwy do zastosowania w leczeniu nadciśnienia tętniczego u dorosłych pacjentów.</w:t>
            </w:r>
          </w:p>
        </w:tc>
      </w:tr>
      <w:tr w:rsidR="00731170" w:rsidRPr="004D093B" w14:paraId="1BE054DB" w14:textId="77777777" w:rsidTr="004D093B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9277F1" w14:textId="48409390" w:rsidR="00731170" w:rsidRDefault="00731170" w:rsidP="00731170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lastRenderedPageBreak/>
              <w:t>5.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651C91" w14:textId="77777777" w:rsidR="00731170" w:rsidRDefault="00731170" w:rsidP="00731170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DF488F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Legrex</w:t>
            </w: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  <w:p w14:paraId="641030AA" w14:textId="4205A398" w:rsidR="00731170" w:rsidRDefault="00731170" w:rsidP="00731170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i/>
                <w:iCs/>
                <w:color w:val="000000"/>
                <w:sz w:val="18"/>
                <w:szCs w:val="18"/>
              </w:rPr>
              <w:t>dawka</w:t>
            </w:r>
            <w:r w:rsidRPr="00937CAF">
              <w:rPr>
                <w:rFonts w:ascii="Lato" w:hAnsi="Lato" w:cstheme="majorHAnsi"/>
                <w:b/>
                <w:bCs/>
                <w:i/>
                <w:iCs/>
                <w:color w:val="000000"/>
                <w:sz w:val="18"/>
                <w:szCs w:val="18"/>
              </w:rPr>
              <w:t xml:space="preserve"> 90mg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27DAF9" w14:textId="6D61CB8B" w:rsidR="00731170" w:rsidRPr="00FF0E85" w:rsidRDefault="00731170" w:rsidP="00731170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DF488F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tikagrelor</w:t>
            </w:r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86DE9" w14:textId="5BCA8D1A" w:rsidR="00731170" w:rsidRPr="009C1130" w:rsidRDefault="00731170" w:rsidP="00731170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F488F">
              <w:rPr>
                <w:rFonts w:ascii="Lato" w:hAnsi="Lato" w:cstheme="majorHAnsi"/>
                <w:color w:val="000000"/>
                <w:sz w:val="18"/>
                <w:szCs w:val="18"/>
              </w:rPr>
              <w:t>Zapobieganie zdarzeniom sercowo-naczyniowym, w skojarzeniu z kwasem acetylosalicylowym (ASA), u dorosłych pacjentów z ostrym zespołem wieńcowym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DF488F">
              <w:rPr>
                <w:rFonts w:ascii="Lato" w:hAnsi="Lato" w:cstheme="majorHAnsi"/>
                <w:color w:val="000000"/>
                <w:sz w:val="18"/>
                <w:szCs w:val="18"/>
              </w:rPr>
              <w:t>(OZW)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6D22E3" w14:textId="04941729" w:rsidR="00731170" w:rsidRPr="00246A70" w:rsidRDefault="00731170" w:rsidP="00731170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F488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Objęcie refundacją kolejnego leku w profilaktyce zdarzeń sercowo-naczyniowych – w dawce 90mg jako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leczenie ostrego zespołu wieńcowego, w skojarzeniu z ASA</w:t>
            </w:r>
            <w:r w:rsidRPr="00DF488F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731170" w:rsidRPr="004D093B" w14:paraId="0B1A0A14" w14:textId="77777777" w:rsidTr="004D093B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933C67" w14:textId="7069E4CF" w:rsidR="00731170" w:rsidRDefault="00731170" w:rsidP="00731170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6.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924E9" w14:textId="77777777" w:rsidR="00731170" w:rsidRDefault="00731170" w:rsidP="00731170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DF488F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Legrex</w:t>
            </w:r>
          </w:p>
          <w:p w14:paraId="5B812EA8" w14:textId="5119CE25" w:rsidR="00731170" w:rsidRDefault="00731170" w:rsidP="00731170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i/>
                <w:iCs/>
                <w:color w:val="000000"/>
                <w:sz w:val="18"/>
                <w:szCs w:val="18"/>
              </w:rPr>
              <w:t>dawka</w:t>
            </w:r>
            <w:r w:rsidRPr="00937CAF">
              <w:rPr>
                <w:rFonts w:ascii="Lato" w:hAnsi="Lato" w:cstheme="majorHAnsi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Lato" w:hAnsi="Lato" w:cstheme="majorHAnsi"/>
                <w:b/>
                <w:bCs/>
                <w:i/>
                <w:iCs/>
                <w:color w:val="000000"/>
                <w:sz w:val="18"/>
                <w:szCs w:val="18"/>
              </w:rPr>
              <w:t>6</w:t>
            </w:r>
            <w:r w:rsidRPr="00937CAF">
              <w:rPr>
                <w:rFonts w:ascii="Lato" w:hAnsi="Lato" w:cstheme="majorHAnsi"/>
                <w:b/>
                <w:bCs/>
                <w:i/>
                <w:iCs/>
                <w:color w:val="000000"/>
                <w:sz w:val="18"/>
                <w:szCs w:val="18"/>
              </w:rPr>
              <w:t>0mg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E7CAF6" w14:textId="66063090" w:rsidR="00731170" w:rsidRDefault="00731170" w:rsidP="00731170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DF488F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tikagrelor</w:t>
            </w:r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61F05F" w14:textId="1681FD53" w:rsidR="00731170" w:rsidRPr="00A57907" w:rsidRDefault="00731170" w:rsidP="00731170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F488F">
              <w:rPr>
                <w:rFonts w:ascii="Lato" w:hAnsi="Lato" w:cstheme="majorHAnsi"/>
                <w:color w:val="000000"/>
                <w:sz w:val="18"/>
                <w:szCs w:val="18"/>
              </w:rPr>
              <w:t>Zapobieganie zdarzeniom sercowo-naczyniowym, w skojarzeniu z kwasem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DF488F">
              <w:rPr>
                <w:rFonts w:ascii="Lato" w:hAnsi="Lato" w:cstheme="majorHAnsi"/>
                <w:color w:val="000000"/>
                <w:sz w:val="18"/>
                <w:szCs w:val="18"/>
              </w:rPr>
              <w:t>acetylosalicylowym (ASA), u dorosłych pacjentów z zawałem mięśnia sercowego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DF488F">
              <w:rPr>
                <w:rFonts w:ascii="Lato" w:hAnsi="Lato" w:cstheme="majorHAnsi"/>
                <w:color w:val="000000"/>
                <w:sz w:val="18"/>
                <w:szCs w:val="18"/>
              </w:rPr>
              <w:t>(zawał serca) w wywiadzie i wysokim ryzykiem zdarzeń sercowo naczyniowych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4F3E68" w14:textId="13E01A0B" w:rsidR="00731170" w:rsidRDefault="00731170" w:rsidP="00731170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F488F">
              <w:rPr>
                <w:rFonts w:ascii="Lato" w:hAnsi="Lato" w:cstheme="majorHAnsi"/>
                <w:color w:val="000000"/>
                <w:sz w:val="18"/>
                <w:szCs w:val="18"/>
              </w:rPr>
              <w:t>Objęcie refundacją kolejnego leku w profilaktyce zdarzeń sercowo-naczyniowych – w dawce 60mg jako przedłużone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DF488F">
              <w:rPr>
                <w:rFonts w:ascii="Lato" w:hAnsi="Lato" w:cstheme="majorHAnsi"/>
                <w:color w:val="000000"/>
                <w:sz w:val="18"/>
                <w:szCs w:val="18"/>
              </w:rPr>
              <w:t>leczenie pacjentów z przebytym, co najmniej rok temu, zawałem serca w wywiadzie i z wysokim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DF488F">
              <w:rPr>
                <w:rFonts w:ascii="Lato" w:hAnsi="Lato" w:cstheme="majorHAnsi"/>
                <w:color w:val="000000"/>
                <w:sz w:val="18"/>
                <w:szCs w:val="18"/>
              </w:rPr>
              <w:t>ryzykiem zdarzeń sercowo-naczyniowych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, w skojarzeniu z ASA</w:t>
            </w:r>
            <w:r w:rsidRPr="00DF488F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731170" w:rsidRPr="004D093B" w14:paraId="3C2EDAD9" w14:textId="77777777" w:rsidTr="004D093B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DCBD73" w14:textId="297BCFD0" w:rsidR="00731170" w:rsidRDefault="00731170" w:rsidP="00731170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7.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5C8FB7" w14:textId="1753D703" w:rsidR="00731170" w:rsidRPr="00937CAF" w:rsidRDefault="00731170" w:rsidP="00731170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F34B2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PütterPro2 Lite</w:t>
            </w: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br/>
            </w:r>
            <w:r w:rsidRPr="00AF34B2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PütterPro2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021607" w14:textId="066C5EB7" w:rsidR="00731170" w:rsidRPr="00FF0E85" w:rsidRDefault="00731170" w:rsidP="00731170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e</w:t>
            </w:r>
            <w:r w:rsidRPr="00AF34B2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mplastri polyurethanum spumatum</w:t>
            </w:r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13ED5F" w14:textId="067A570B" w:rsidR="00731170" w:rsidRPr="009C1130" w:rsidRDefault="00731170" w:rsidP="00731170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F34B2">
              <w:rPr>
                <w:rFonts w:ascii="Lato" w:hAnsi="Lato" w:cstheme="majorHAnsi"/>
                <w:color w:val="000000"/>
                <w:sz w:val="18"/>
                <w:szCs w:val="18"/>
              </w:rPr>
              <w:t>Przewlekłe owrzodzenia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8645C1" w14:textId="1E69FC31" w:rsidR="00731170" w:rsidRPr="00246A70" w:rsidRDefault="00731170" w:rsidP="00731170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Nowy rodzaj opatrunku finansowany w leczeniu przewlekłych owrzodzeń.</w:t>
            </w:r>
          </w:p>
        </w:tc>
      </w:tr>
    </w:tbl>
    <w:p w14:paraId="6B996492" w14:textId="0986F7C0" w:rsidR="009D10B8" w:rsidRDefault="009D10B8" w:rsidP="0068046C">
      <w:pPr>
        <w:suppressAutoHyphens w:val="0"/>
        <w:rPr>
          <w:rFonts w:ascii="Lato" w:hAnsi="Lato"/>
          <w:b/>
          <w:bCs/>
          <w:color w:val="00B0F0"/>
        </w:rPr>
      </w:pPr>
    </w:p>
    <w:sectPr w:rsidR="009D10B8" w:rsidSect="005058F2">
      <w:pgSz w:w="16838" w:h="11906" w:orient="landscape"/>
      <w:pgMar w:top="1417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0D1CB0" w14:textId="77777777" w:rsidR="00A16ED3" w:rsidRDefault="00A16ED3">
      <w:pPr>
        <w:spacing w:after="0" w:line="240" w:lineRule="auto"/>
      </w:pPr>
      <w:r>
        <w:separator/>
      </w:r>
    </w:p>
  </w:endnote>
  <w:endnote w:type="continuationSeparator" w:id="0">
    <w:p w14:paraId="5A15E427" w14:textId="77777777" w:rsidR="00A16ED3" w:rsidRDefault="00A16E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598547" w14:textId="77777777" w:rsidR="00A16ED3" w:rsidRDefault="00A16ED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AB5407B" w14:textId="77777777" w:rsidR="00A16ED3" w:rsidRDefault="00A16E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F36CF" w14:textId="4633511D" w:rsidR="005058F2" w:rsidRDefault="00143D0B">
    <w:pPr>
      <w:pStyle w:val="Nagwek"/>
    </w:pPr>
    <w:bookmarkStart w:id="0" w:name="_Hlk74147372"/>
    <w:bookmarkEnd w:id="0"/>
    <w:r>
      <w:rPr>
        <w:noProof/>
        <w:lang w:eastAsia="pl-PL"/>
      </w:rPr>
      <w:drawing>
        <wp:inline distT="0" distB="0" distL="0" distR="0" wp14:anchorId="39BB8D04" wp14:editId="6B1DB73B">
          <wp:extent cx="2381885" cy="1061720"/>
          <wp:effectExtent l="0" t="0" r="0" b="0"/>
          <wp:docPr id="1993753131" name="Obraz 19937531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81885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43B86" w14:textId="1C9B42D0" w:rsidR="00880AF5" w:rsidRDefault="00880AF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163CA"/>
    <w:multiLevelType w:val="hybridMultilevel"/>
    <w:tmpl w:val="0DE0BC64"/>
    <w:lvl w:ilvl="0" w:tplc="CEC4EFEE">
      <w:start w:val="1"/>
      <w:numFmt w:val="bullet"/>
      <w:lvlText w:val="•"/>
      <w:lvlJc w:val="left"/>
      <w:pPr>
        <w:ind w:left="1049" w:firstLine="227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" w15:restartNumberingAfterBreak="0">
    <w:nsid w:val="0D2743CD"/>
    <w:multiLevelType w:val="hybridMultilevel"/>
    <w:tmpl w:val="C2FA7544"/>
    <w:lvl w:ilvl="0" w:tplc="04150001">
      <w:start w:val="1"/>
      <w:numFmt w:val="bullet"/>
      <w:lvlText w:val=""/>
      <w:lvlJc w:val="left"/>
      <w:pPr>
        <w:ind w:left="-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5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47" w:hanging="360"/>
      </w:pPr>
      <w:rPr>
        <w:rFonts w:ascii="Wingdings" w:hAnsi="Wingdings" w:hint="default"/>
      </w:rPr>
    </w:lvl>
  </w:abstractNum>
  <w:abstractNum w:abstractNumId="2" w15:restartNumberingAfterBreak="0">
    <w:nsid w:val="14FE0EDD"/>
    <w:multiLevelType w:val="hybridMultilevel"/>
    <w:tmpl w:val="AD006D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0F2875"/>
    <w:multiLevelType w:val="hybridMultilevel"/>
    <w:tmpl w:val="1EC49BCA"/>
    <w:lvl w:ilvl="0" w:tplc="5A3E6A72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E83431"/>
    <w:multiLevelType w:val="hybridMultilevel"/>
    <w:tmpl w:val="ABB6E3FC"/>
    <w:lvl w:ilvl="0" w:tplc="FC02698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A42910"/>
    <w:multiLevelType w:val="hybridMultilevel"/>
    <w:tmpl w:val="10004B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757CAC"/>
    <w:multiLevelType w:val="multilevel"/>
    <w:tmpl w:val="0A84EA68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  <w:b/>
        <w:bCs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rFonts w:hint="default"/>
        <w:b/>
        <w:bCs/>
        <w:i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rFonts w:hint="default"/>
        <w:b w:val="0"/>
        <w:bCs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  <w:rPr>
        <w:rFonts w:hint="default"/>
        <w:b w:val="0"/>
        <w:bCs/>
      </w:r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7" w15:restartNumberingAfterBreak="0">
    <w:nsid w:val="1E346ADB"/>
    <w:multiLevelType w:val="multilevel"/>
    <w:tmpl w:val="887C7392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  <w:b/>
        <w:bCs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rFonts w:hint="default"/>
        <w:b/>
        <w:bCs/>
        <w:i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rFonts w:hint="default"/>
        <w:b w:val="0"/>
        <w:bCs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  <w:rPr>
        <w:rFonts w:hint="default"/>
      </w:r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8" w15:restartNumberingAfterBreak="0">
    <w:nsid w:val="2BF91E53"/>
    <w:multiLevelType w:val="hybridMultilevel"/>
    <w:tmpl w:val="E0781596"/>
    <w:lvl w:ilvl="0" w:tplc="FC02698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4F3043"/>
    <w:multiLevelType w:val="hybridMultilevel"/>
    <w:tmpl w:val="7F041AF0"/>
    <w:lvl w:ilvl="0" w:tplc="07E64A30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0" w:hanging="360"/>
      </w:pPr>
    </w:lvl>
    <w:lvl w:ilvl="2" w:tplc="0415001B" w:tentative="1">
      <w:start w:val="1"/>
      <w:numFmt w:val="lowerRoman"/>
      <w:lvlText w:val="%3."/>
      <w:lvlJc w:val="right"/>
      <w:pPr>
        <w:ind w:left="1850" w:hanging="180"/>
      </w:pPr>
    </w:lvl>
    <w:lvl w:ilvl="3" w:tplc="0415000F" w:tentative="1">
      <w:start w:val="1"/>
      <w:numFmt w:val="decimal"/>
      <w:lvlText w:val="%4."/>
      <w:lvlJc w:val="left"/>
      <w:pPr>
        <w:ind w:left="2570" w:hanging="360"/>
      </w:pPr>
    </w:lvl>
    <w:lvl w:ilvl="4" w:tplc="04150019" w:tentative="1">
      <w:start w:val="1"/>
      <w:numFmt w:val="lowerLetter"/>
      <w:lvlText w:val="%5."/>
      <w:lvlJc w:val="left"/>
      <w:pPr>
        <w:ind w:left="3290" w:hanging="360"/>
      </w:pPr>
    </w:lvl>
    <w:lvl w:ilvl="5" w:tplc="0415001B" w:tentative="1">
      <w:start w:val="1"/>
      <w:numFmt w:val="lowerRoman"/>
      <w:lvlText w:val="%6."/>
      <w:lvlJc w:val="right"/>
      <w:pPr>
        <w:ind w:left="4010" w:hanging="180"/>
      </w:pPr>
    </w:lvl>
    <w:lvl w:ilvl="6" w:tplc="0415000F" w:tentative="1">
      <w:start w:val="1"/>
      <w:numFmt w:val="decimal"/>
      <w:lvlText w:val="%7."/>
      <w:lvlJc w:val="left"/>
      <w:pPr>
        <w:ind w:left="4730" w:hanging="360"/>
      </w:pPr>
    </w:lvl>
    <w:lvl w:ilvl="7" w:tplc="04150019" w:tentative="1">
      <w:start w:val="1"/>
      <w:numFmt w:val="lowerLetter"/>
      <w:lvlText w:val="%8."/>
      <w:lvlJc w:val="left"/>
      <w:pPr>
        <w:ind w:left="5450" w:hanging="360"/>
      </w:pPr>
    </w:lvl>
    <w:lvl w:ilvl="8" w:tplc="0415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10" w15:restartNumberingAfterBreak="0">
    <w:nsid w:val="393F60CD"/>
    <w:multiLevelType w:val="hybridMultilevel"/>
    <w:tmpl w:val="758009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CE0B82"/>
    <w:multiLevelType w:val="hybridMultilevel"/>
    <w:tmpl w:val="386CFB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3C6885"/>
    <w:multiLevelType w:val="hybridMultilevel"/>
    <w:tmpl w:val="0B8ECA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340582"/>
    <w:multiLevelType w:val="hybridMultilevel"/>
    <w:tmpl w:val="19703E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5F6E8B"/>
    <w:multiLevelType w:val="multilevel"/>
    <w:tmpl w:val="C32AD0A0"/>
    <w:lvl w:ilvl="0">
      <w:start w:val="1"/>
      <w:numFmt w:val="decimal"/>
      <w:suff w:val="space"/>
      <w:lvlText w:val="%1."/>
      <w:lvlJc w:val="left"/>
      <w:pPr>
        <w:ind w:left="227" w:hanging="227"/>
      </w:pPr>
      <w:rPr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b/>
        <w:bCs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b/>
        <w:bCs/>
        <w:i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b w:val="0"/>
        <w:bCs/>
        <w:strike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</w:lvl>
    <w:lvl w:ilvl="7">
      <w:start w:val="1"/>
      <w:numFmt w:val="decimal"/>
      <w:lvlText w:val="%1.%2.%3.%4.%5.%6.%7.%8."/>
      <w:lvlJc w:val="left"/>
      <w:pPr>
        <w:ind w:left="3950" w:hanging="1224"/>
      </w:pPr>
    </w:lvl>
    <w:lvl w:ilvl="8">
      <w:start w:val="1"/>
      <w:numFmt w:val="decimal"/>
      <w:lvlText w:val="%1.%2.%3.%4.%5.%6.%7.%8.%9."/>
      <w:lvlJc w:val="left"/>
      <w:pPr>
        <w:ind w:left="4526" w:hanging="1440"/>
      </w:pPr>
    </w:lvl>
  </w:abstractNum>
  <w:abstractNum w:abstractNumId="15" w15:restartNumberingAfterBreak="0">
    <w:nsid w:val="4EBA728E"/>
    <w:multiLevelType w:val="hybridMultilevel"/>
    <w:tmpl w:val="1748AC5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072792B"/>
    <w:multiLevelType w:val="hybridMultilevel"/>
    <w:tmpl w:val="75AA86A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BB03E5C"/>
    <w:multiLevelType w:val="hybridMultilevel"/>
    <w:tmpl w:val="FF32B6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FF5C7F"/>
    <w:multiLevelType w:val="hybridMultilevel"/>
    <w:tmpl w:val="5AF279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C30263"/>
    <w:multiLevelType w:val="hybridMultilevel"/>
    <w:tmpl w:val="8910B7C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83F0D0B"/>
    <w:multiLevelType w:val="hybridMultilevel"/>
    <w:tmpl w:val="3A2E6C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594C8D"/>
    <w:multiLevelType w:val="hybridMultilevel"/>
    <w:tmpl w:val="10004B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324C5B"/>
    <w:multiLevelType w:val="hybridMultilevel"/>
    <w:tmpl w:val="01F6A7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2068946">
    <w:abstractNumId w:val="5"/>
  </w:num>
  <w:num w:numId="2" w16cid:durableId="983047750">
    <w:abstractNumId w:val="3"/>
  </w:num>
  <w:num w:numId="3" w16cid:durableId="912206815">
    <w:abstractNumId w:val="6"/>
  </w:num>
  <w:num w:numId="4" w16cid:durableId="191924158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53262071">
    <w:abstractNumId w:val="21"/>
  </w:num>
  <w:num w:numId="6" w16cid:durableId="1164782895">
    <w:abstractNumId w:val="4"/>
  </w:num>
  <w:num w:numId="7" w16cid:durableId="1764568987">
    <w:abstractNumId w:val="8"/>
  </w:num>
  <w:num w:numId="8" w16cid:durableId="1605840971">
    <w:abstractNumId w:val="9"/>
  </w:num>
  <w:num w:numId="9" w16cid:durableId="969629549">
    <w:abstractNumId w:val="18"/>
  </w:num>
  <w:num w:numId="10" w16cid:durableId="1576276737">
    <w:abstractNumId w:val="1"/>
  </w:num>
  <w:num w:numId="11" w16cid:durableId="409036424">
    <w:abstractNumId w:val="22"/>
  </w:num>
  <w:num w:numId="12" w16cid:durableId="1526747669">
    <w:abstractNumId w:val="2"/>
  </w:num>
  <w:num w:numId="13" w16cid:durableId="1746950255">
    <w:abstractNumId w:val="10"/>
  </w:num>
  <w:num w:numId="14" w16cid:durableId="329715522">
    <w:abstractNumId w:val="12"/>
  </w:num>
  <w:num w:numId="15" w16cid:durableId="1837842867">
    <w:abstractNumId w:val="11"/>
  </w:num>
  <w:num w:numId="16" w16cid:durableId="1970238000">
    <w:abstractNumId w:val="20"/>
  </w:num>
  <w:num w:numId="17" w16cid:durableId="485172914">
    <w:abstractNumId w:val="14"/>
  </w:num>
  <w:num w:numId="18" w16cid:durableId="338780148">
    <w:abstractNumId w:val="7"/>
  </w:num>
  <w:num w:numId="19" w16cid:durableId="1977641737">
    <w:abstractNumId w:val="1"/>
  </w:num>
  <w:num w:numId="20" w16cid:durableId="1099830501">
    <w:abstractNumId w:val="0"/>
  </w:num>
  <w:num w:numId="21" w16cid:durableId="1796680411">
    <w:abstractNumId w:val="16"/>
  </w:num>
  <w:num w:numId="22" w16cid:durableId="1157845039">
    <w:abstractNumId w:val="15"/>
  </w:num>
  <w:num w:numId="23" w16cid:durableId="1318220489">
    <w:abstractNumId w:val="13"/>
  </w:num>
  <w:num w:numId="24" w16cid:durableId="791442922">
    <w:abstractNumId w:val="17"/>
  </w:num>
  <w:num w:numId="25" w16cid:durableId="185279030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8C5"/>
    <w:rsid w:val="00006AE8"/>
    <w:rsid w:val="00031E9F"/>
    <w:rsid w:val="00033ED5"/>
    <w:rsid w:val="0004009C"/>
    <w:rsid w:val="0005011B"/>
    <w:rsid w:val="00052E44"/>
    <w:rsid w:val="000702E4"/>
    <w:rsid w:val="00070A13"/>
    <w:rsid w:val="00070A89"/>
    <w:rsid w:val="0008118E"/>
    <w:rsid w:val="00081D7A"/>
    <w:rsid w:val="00085C00"/>
    <w:rsid w:val="00086074"/>
    <w:rsid w:val="0009112E"/>
    <w:rsid w:val="00093A19"/>
    <w:rsid w:val="00097B17"/>
    <w:rsid w:val="000A180D"/>
    <w:rsid w:val="000A4576"/>
    <w:rsid w:val="000A688D"/>
    <w:rsid w:val="000A6B96"/>
    <w:rsid w:val="000B21F0"/>
    <w:rsid w:val="000B32C4"/>
    <w:rsid w:val="000B7075"/>
    <w:rsid w:val="000D02C0"/>
    <w:rsid w:val="000D2FED"/>
    <w:rsid w:val="000E3BBE"/>
    <w:rsid w:val="000E649C"/>
    <w:rsid w:val="000F077F"/>
    <w:rsid w:val="000F3ED2"/>
    <w:rsid w:val="000F5E24"/>
    <w:rsid w:val="001030B2"/>
    <w:rsid w:val="001204EA"/>
    <w:rsid w:val="0014120D"/>
    <w:rsid w:val="00143D0B"/>
    <w:rsid w:val="00144B55"/>
    <w:rsid w:val="00152FD7"/>
    <w:rsid w:val="00155C8E"/>
    <w:rsid w:val="00161605"/>
    <w:rsid w:val="00170D7F"/>
    <w:rsid w:val="00172790"/>
    <w:rsid w:val="00173D8E"/>
    <w:rsid w:val="00180F5C"/>
    <w:rsid w:val="00184482"/>
    <w:rsid w:val="00186CB7"/>
    <w:rsid w:val="00190358"/>
    <w:rsid w:val="001933DE"/>
    <w:rsid w:val="00194CB4"/>
    <w:rsid w:val="00197FA2"/>
    <w:rsid w:val="001A1A5B"/>
    <w:rsid w:val="001A7E82"/>
    <w:rsid w:val="001B0859"/>
    <w:rsid w:val="001B354B"/>
    <w:rsid w:val="001B440C"/>
    <w:rsid w:val="001B7475"/>
    <w:rsid w:val="001D6485"/>
    <w:rsid w:val="001E2320"/>
    <w:rsid w:val="001E610A"/>
    <w:rsid w:val="001E721F"/>
    <w:rsid w:val="001F7884"/>
    <w:rsid w:val="00205C55"/>
    <w:rsid w:val="00206C0B"/>
    <w:rsid w:val="00221840"/>
    <w:rsid w:val="00221A2A"/>
    <w:rsid w:val="002270E2"/>
    <w:rsid w:val="00230BB7"/>
    <w:rsid w:val="00242177"/>
    <w:rsid w:val="0024697E"/>
    <w:rsid w:val="00246A70"/>
    <w:rsid w:val="00255E53"/>
    <w:rsid w:val="0027472D"/>
    <w:rsid w:val="00275115"/>
    <w:rsid w:val="00280311"/>
    <w:rsid w:val="00281BE7"/>
    <w:rsid w:val="00286651"/>
    <w:rsid w:val="00287196"/>
    <w:rsid w:val="0029287B"/>
    <w:rsid w:val="0029403F"/>
    <w:rsid w:val="002C0340"/>
    <w:rsid w:val="002C19DE"/>
    <w:rsid w:val="002C3980"/>
    <w:rsid w:val="002D55B8"/>
    <w:rsid w:val="002D6ED9"/>
    <w:rsid w:val="002E46AC"/>
    <w:rsid w:val="002F0FB2"/>
    <w:rsid w:val="002F297B"/>
    <w:rsid w:val="002F61E3"/>
    <w:rsid w:val="00303F78"/>
    <w:rsid w:val="003051DF"/>
    <w:rsid w:val="0031104C"/>
    <w:rsid w:val="003130CA"/>
    <w:rsid w:val="00326537"/>
    <w:rsid w:val="003357D9"/>
    <w:rsid w:val="00337B00"/>
    <w:rsid w:val="00355899"/>
    <w:rsid w:val="00356E75"/>
    <w:rsid w:val="0035733E"/>
    <w:rsid w:val="00374DBE"/>
    <w:rsid w:val="0037704D"/>
    <w:rsid w:val="0037714E"/>
    <w:rsid w:val="003841AB"/>
    <w:rsid w:val="003935E8"/>
    <w:rsid w:val="003975D4"/>
    <w:rsid w:val="003A0F16"/>
    <w:rsid w:val="003A5B7D"/>
    <w:rsid w:val="003A6433"/>
    <w:rsid w:val="003B46BF"/>
    <w:rsid w:val="003D2AE2"/>
    <w:rsid w:val="003D71C6"/>
    <w:rsid w:val="003F072E"/>
    <w:rsid w:val="00404F9B"/>
    <w:rsid w:val="00411C64"/>
    <w:rsid w:val="004156E6"/>
    <w:rsid w:val="00415707"/>
    <w:rsid w:val="00415C7E"/>
    <w:rsid w:val="00416F70"/>
    <w:rsid w:val="0041703B"/>
    <w:rsid w:val="004403B4"/>
    <w:rsid w:val="00446466"/>
    <w:rsid w:val="00447CE9"/>
    <w:rsid w:val="00453B55"/>
    <w:rsid w:val="00457779"/>
    <w:rsid w:val="00461B60"/>
    <w:rsid w:val="00466FE8"/>
    <w:rsid w:val="004744CD"/>
    <w:rsid w:val="00474802"/>
    <w:rsid w:val="0048011A"/>
    <w:rsid w:val="00483B24"/>
    <w:rsid w:val="004850DC"/>
    <w:rsid w:val="00490715"/>
    <w:rsid w:val="00491267"/>
    <w:rsid w:val="00491300"/>
    <w:rsid w:val="00492285"/>
    <w:rsid w:val="004A2F20"/>
    <w:rsid w:val="004A2F45"/>
    <w:rsid w:val="004A5135"/>
    <w:rsid w:val="004A6AA7"/>
    <w:rsid w:val="004B17A5"/>
    <w:rsid w:val="004B2F38"/>
    <w:rsid w:val="004C35E7"/>
    <w:rsid w:val="004D093B"/>
    <w:rsid w:val="004D0E20"/>
    <w:rsid w:val="004D2191"/>
    <w:rsid w:val="004D7DDC"/>
    <w:rsid w:val="004E4723"/>
    <w:rsid w:val="004F3FEF"/>
    <w:rsid w:val="005058F2"/>
    <w:rsid w:val="00512C38"/>
    <w:rsid w:val="00512C7C"/>
    <w:rsid w:val="005130EF"/>
    <w:rsid w:val="005143E4"/>
    <w:rsid w:val="0055182D"/>
    <w:rsid w:val="00553AE5"/>
    <w:rsid w:val="0056748F"/>
    <w:rsid w:val="00574D83"/>
    <w:rsid w:val="005871C9"/>
    <w:rsid w:val="005B06B3"/>
    <w:rsid w:val="005B269E"/>
    <w:rsid w:val="005B598A"/>
    <w:rsid w:val="005C1959"/>
    <w:rsid w:val="005C499F"/>
    <w:rsid w:val="005C608D"/>
    <w:rsid w:val="005C6551"/>
    <w:rsid w:val="005D1267"/>
    <w:rsid w:val="005D12AE"/>
    <w:rsid w:val="005D269A"/>
    <w:rsid w:val="005D3140"/>
    <w:rsid w:val="005D5D31"/>
    <w:rsid w:val="005E4CF5"/>
    <w:rsid w:val="005E7898"/>
    <w:rsid w:val="005F70FE"/>
    <w:rsid w:val="006001BE"/>
    <w:rsid w:val="006008CD"/>
    <w:rsid w:val="0061587B"/>
    <w:rsid w:val="00633806"/>
    <w:rsid w:val="00633883"/>
    <w:rsid w:val="00634434"/>
    <w:rsid w:val="0064109C"/>
    <w:rsid w:val="00641B25"/>
    <w:rsid w:val="0064487F"/>
    <w:rsid w:val="0064795D"/>
    <w:rsid w:val="006545DF"/>
    <w:rsid w:val="006648F3"/>
    <w:rsid w:val="00670C14"/>
    <w:rsid w:val="0068046C"/>
    <w:rsid w:val="00680B0E"/>
    <w:rsid w:val="00686F8F"/>
    <w:rsid w:val="00687B5F"/>
    <w:rsid w:val="00687E5A"/>
    <w:rsid w:val="006905E7"/>
    <w:rsid w:val="006967BC"/>
    <w:rsid w:val="006A03EB"/>
    <w:rsid w:val="006A533F"/>
    <w:rsid w:val="006A7DCE"/>
    <w:rsid w:val="006B1374"/>
    <w:rsid w:val="006C1B62"/>
    <w:rsid w:val="006C452F"/>
    <w:rsid w:val="006C4ED5"/>
    <w:rsid w:val="006D079B"/>
    <w:rsid w:val="006D183E"/>
    <w:rsid w:val="006D336E"/>
    <w:rsid w:val="006D46DE"/>
    <w:rsid w:val="006D7964"/>
    <w:rsid w:val="006F498A"/>
    <w:rsid w:val="006F5BEB"/>
    <w:rsid w:val="00701C4E"/>
    <w:rsid w:val="007106F0"/>
    <w:rsid w:val="007135A8"/>
    <w:rsid w:val="007156F6"/>
    <w:rsid w:val="00715B91"/>
    <w:rsid w:val="00731170"/>
    <w:rsid w:val="007321D8"/>
    <w:rsid w:val="00733AF9"/>
    <w:rsid w:val="00734115"/>
    <w:rsid w:val="00734732"/>
    <w:rsid w:val="00740ABA"/>
    <w:rsid w:val="0074295D"/>
    <w:rsid w:val="00755E27"/>
    <w:rsid w:val="0078723A"/>
    <w:rsid w:val="007A4FB5"/>
    <w:rsid w:val="007B043E"/>
    <w:rsid w:val="007C4332"/>
    <w:rsid w:val="007C4C95"/>
    <w:rsid w:val="007D0493"/>
    <w:rsid w:val="007D1551"/>
    <w:rsid w:val="007D273D"/>
    <w:rsid w:val="007D6A3A"/>
    <w:rsid w:val="007D6B6F"/>
    <w:rsid w:val="007D74E2"/>
    <w:rsid w:val="007E216C"/>
    <w:rsid w:val="007F016E"/>
    <w:rsid w:val="008008F6"/>
    <w:rsid w:val="008017A7"/>
    <w:rsid w:val="00823875"/>
    <w:rsid w:val="00827817"/>
    <w:rsid w:val="00827986"/>
    <w:rsid w:val="008279BD"/>
    <w:rsid w:val="0084154E"/>
    <w:rsid w:val="00843352"/>
    <w:rsid w:val="00844624"/>
    <w:rsid w:val="008462C0"/>
    <w:rsid w:val="0087118E"/>
    <w:rsid w:val="008771C8"/>
    <w:rsid w:val="00880AF5"/>
    <w:rsid w:val="00882DCA"/>
    <w:rsid w:val="0088727A"/>
    <w:rsid w:val="00896D35"/>
    <w:rsid w:val="008B00C4"/>
    <w:rsid w:val="008B43B0"/>
    <w:rsid w:val="008C0493"/>
    <w:rsid w:val="008C0E92"/>
    <w:rsid w:val="008D45C3"/>
    <w:rsid w:val="008E18D7"/>
    <w:rsid w:val="008E33C7"/>
    <w:rsid w:val="008F1D35"/>
    <w:rsid w:val="009066C7"/>
    <w:rsid w:val="0092216D"/>
    <w:rsid w:val="00933339"/>
    <w:rsid w:val="00937CAF"/>
    <w:rsid w:val="00953B84"/>
    <w:rsid w:val="00982754"/>
    <w:rsid w:val="009943F4"/>
    <w:rsid w:val="00995FDD"/>
    <w:rsid w:val="00996389"/>
    <w:rsid w:val="009A2234"/>
    <w:rsid w:val="009A6D46"/>
    <w:rsid w:val="009B2F99"/>
    <w:rsid w:val="009B7A4D"/>
    <w:rsid w:val="009C1130"/>
    <w:rsid w:val="009C573D"/>
    <w:rsid w:val="009D10B8"/>
    <w:rsid w:val="009D185F"/>
    <w:rsid w:val="009D43CC"/>
    <w:rsid w:val="009E2331"/>
    <w:rsid w:val="009F413F"/>
    <w:rsid w:val="009F550A"/>
    <w:rsid w:val="009F7497"/>
    <w:rsid w:val="00A01F60"/>
    <w:rsid w:val="00A067E3"/>
    <w:rsid w:val="00A118F0"/>
    <w:rsid w:val="00A159DA"/>
    <w:rsid w:val="00A16ED3"/>
    <w:rsid w:val="00A22494"/>
    <w:rsid w:val="00A22A7B"/>
    <w:rsid w:val="00A242D8"/>
    <w:rsid w:val="00A434EB"/>
    <w:rsid w:val="00A5351C"/>
    <w:rsid w:val="00A54C06"/>
    <w:rsid w:val="00A633F0"/>
    <w:rsid w:val="00A6481E"/>
    <w:rsid w:val="00A66140"/>
    <w:rsid w:val="00A66626"/>
    <w:rsid w:val="00A7064A"/>
    <w:rsid w:val="00A7345A"/>
    <w:rsid w:val="00A75027"/>
    <w:rsid w:val="00A90397"/>
    <w:rsid w:val="00A90CB0"/>
    <w:rsid w:val="00A9374D"/>
    <w:rsid w:val="00A94461"/>
    <w:rsid w:val="00A960EA"/>
    <w:rsid w:val="00AA4608"/>
    <w:rsid w:val="00AA6179"/>
    <w:rsid w:val="00AB1235"/>
    <w:rsid w:val="00AB2D5E"/>
    <w:rsid w:val="00AC0511"/>
    <w:rsid w:val="00AD08C5"/>
    <w:rsid w:val="00AE069A"/>
    <w:rsid w:val="00AF1DA4"/>
    <w:rsid w:val="00AF1EBC"/>
    <w:rsid w:val="00AF34B2"/>
    <w:rsid w:val="00B1467F"/>
    <w:rsid w:val="00B31928"/>
    <w:rsid w:val="00B31A1E"/>
    <w:rsid w:val="00B326A9"/>
    <w:rsid w:val="00B45ED3"/>
    <w:rsid w:val="00B47BE3"/>
    <w:rsid w:val="00B50E80"/>
    <w:rsid w:val="00B543E9"/>
    <w:rsid w:val="00B57127"/>
    <w:rsid w:val="00B60139"/>
    <w:rsid w:val="00B76B2B"/>
    <w:rsid w:val="00B8251D"/>
    <w:rsid w:val="00B94288"/>
    <w:rsid w:val="00B9538B"/>
    <w:rsid w:val="00BA15A9"/>
    <w:rsid w:val="00BB30C0"/>
    <w:rsid w:val="00BC376D"/>
    <w:rsid w:val="00BD18E8"/>
    <w:rsid w:val="00BD20BC"/>
    <w:rsid w:val="00C153B4"/>
    <w:rsid w:val="00C15673"/>
    <w:rsid w:val="00C15E6F"/>
    <w:rsid w:val="00C210A9"/>
    <w:rsid w:val="00C21E1E"/>
    <w:rsid w:val="00C22821"/>
    <w:rsid w:val="00C243BF"/>
    <w:rsid w:val="00C24744"/>
    <w:rsid w:val="00C24B91"/>
    <w:rsid w:val="00C25F63"/>
    <w:rsid w:val="00C276AE"/>
    <w:rsid w:val="00C34F0F"/>
    <w:rsid w:val="00C3566C"/>
    <w:rsid w:val="00C4237C"/>
    <w:rsid w:val="00C55C85"/>
    <w:rsid w:val="00C60868"/>
    <w:rsid w:val="00C6097A"/>
    <w:rsid w:val="00C64DAA"/>
    <w:rsid w:val="00C65204"/>
    <w:rsid w:val="00C70530"/>
    <w:rsid w:val="00C77217"/>
    <w:rsid w:val="00C816A5"/>
    <w:rsid w:val="00C83BE1"/>
    <w:rsid w:val="00C8401C"/>
    <w:rsid w:val="00C846FB"/>
    <w:rsid w:val="00C97315"/>
    <w:rsid w:val="00CA1AD2"/>
    <w:rsid w:val="00CA2878"/>
    <w:rsid w:val="00CA7D06"/>
    <w:rsid w:val="00CB2E2B"/>
    <w:rsid w:val="00CB3D33"/>
    <w:rsid w:val="00CC0463"/>
    <w:rsid w:val="00CC6A57"/>
    <w:rsid w:val="00CC7F58"/>
    <w:rsid w:val="00CD47C3"/>
    <w:rsid w:val="00CE099F"/>
    <w:rsid w:val="00CE73E2"/>
    <w:rsid w:val="00CF402D"/>
    <w:rsid w:val="00CF5E4F"/>
    <w:rsid w:val="00CF7674"/>
    <w:rsid w:val="00D17D3E"/>
    <w:rsid w:val="00D27C56"/>
    <w:rsid w:val="00D44A5D"/>
    <w:rsid w:val="00D510E8"/>
    <w:rsid w:val="00D554A2"/>
    <w:rsid w:val="00D5628B"/>
    <w:rsid w:val="00D63F4F"/>
    <w:rsid w:val="00D6426A"/>
    <w:rsid w:val="00D66456"/>
    <w:rsid w:val="00D77CD0"/>
    <w:rsid w:val="00D9306F"/>
    <w:rsid w:val="00DA3B88"/>
    <w:rsid w:val="00DB0B88"/>
    <w:rsid w:val="00DD18C6"/>
    <w:rsid w:val="00DD6D00"/>
    <w:rsid w:val="00DE00F0"/>
    <w:rsid w:val="00DE1894"/>
    <w:rsid w:val="00DE5079"/>
    <w:rsid w:val="00DF6B3A"/>
    <w:rsid w:val="00E10271"/>
    <w:rsid w:val="00E34DF7"/>
    <w:rsid w:val="00E35DF6"/>
    <w:rsid w:val="00E5036C"/>
    <w:rsid w:val="00E50D44"/>
    <w:rsid w:val="00E52765"/>
    <w:rsid w:val="00E64133"/>
    <w:rsid w:val="00E66456"/>
    <w:rsid w:val="00E738D5"/>
    <w:rsid w:val="00E8288D"/>
    <w:rsid w:val="00E8348C"/>
    <w:rsid w:val="00E900DE"/>
    <w:rsid w:val="00E91E64"/>
    <w:rsid w:val="00EA326D"/>
    <w:rsid w:val="00EB0593"/>
    <w:rsid w:val="00EB1B3E"/>
    <w:rsid w:val="00EB5A68"/>
    <w:rsid w:val="00EB77EA"/>
    <w:rsid w:val="00EC0C4F"/>
    <w:rsid w:val="00EC2B8F"/>
    <w:rsid w:val="00EC74BA"/>
    <w:rsid w:val="00ED15F0"/>
    <w:rsid w:val="00EE4384"/>
    <w:rsid w:val="00EE4BD7"/>
    <w:rsid w:val="00EF3551"/>
    <w:rsid w:val="00EF7C44"/>
    <w:rsid w:val="00F017D6"/>
    <w:rsid w:val="00F12CF6"/>
    <w:rsid w:val="00F147FC"/>
    <w:rsid w:val="00F15BD4"/>
    <w:rsid w:val="00F31A79"/>
    <w:rsid w:val="00F42214"/>
    <w:rsid w:val="00F5061B"/>
    <w:rsid w:val="00F61A7D"/>
    <w:rsid w:val="00F63AA8"/>
    <w:rsid w:val="00F67336"/>
    <w:rsid w:val="00F67CA2"/>
    <w:rsid w:val="00F84011"/>
    <w:rsid w:val="00F859A8"/>
    <w:rsid w:val="00F9203E"/>
    <w:rsid w:val="00F957B7"/>
    <w:rsid w:val="00FA53DF"/>
    <w:rsid w:val="00FB2364"/>
    <w:rsid w:val="00FB30AC"/>
    <w:rsid w:val="00FB3B6F"/>
    <w:rsid w:val="00FC712D"/>
    <w:rsid w:val="00FD39E3"/>
    <w:rsid w:val="00FD48BC"/>
    <w:rsid w:val="00FD6993"/>
    <w:rsid w:val="00FE1242"/>
    <w:rsid w:val="00FE6EDA"/>
    <w:rsid w:val="00FF0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11808D"/>
  <w15:docId w15:val="{9907FBD6-CEC2-42E2-A88E-10EDFCF32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6466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Bullet1,Styl moj,aotm_załączniki,Akapit z listą11,Table Legend,Dot pt,F5 List Paragraph,List Paragraph1,No Spacing1,List Paragraph Char Char Char,Indicator Text,Colorful List - Accent 11,Numbered Para 1,Bullet 1,Bullet Points,MAIN CONTENT"/>
    <w:basedOn w:val="Normalny"/>
    <w:link w:val="AkapitzlistZnak"/>
    <w:uiPriority w:val="34"/>
    <w:qFormat/>
    <w:rsid w:val="008C0E9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C0E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0E92"/>
  </w:style>
  <w:style w:type="paragraph" w:styleId="Stopka">
    <w:name w:val="footer"/>
    <w:basedOn w:val="Normalny"/>
    <w:link w:val="StopkaZnak"/>
    <w:uiPriority w:val="99"/>
    <w:unhideWhenUsed/>
    <w:rsid w:val="008C0E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0E92"/>
  </w:style>
  <w:style w:type="paragraph" w:customStyle="1" w:styleId="Style2">
    <w:name w:val="Style2"/>
    <w:basedOn w:val="Normalny"/>
    <w:uiPriority w:val="99"/>
    <w:rsid w:val="00230BB7"/>
    <w:pPr>
      <w:widowControl w:val="0"/>
      <w:suppressAutoHyphens w:val="0"/>
      <w:autoSpaceDE w:val="0"/>
      <w:adjustRightInd w:val="0"/>
      <w:spacing w:after="0" w:line="331" w:lineRule="exact"/>
      <w:jc w:val="both"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19">
    <w:name w:val="Font Style19"/>
    <w:basedOn w:val="Domylnaczcionkaakapitu"/>
    <w:uiPriority w:val="99"/>
    <w:rsid w:val="00230BB7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20">
    <w:name w:val="Font Style20"/>
    <w:basedOn w:val="Domylnaczcionkaakapitu"/>
    <w:uiPriority w:val="99"/>
    <w:rsid w:val="00230BB7"/>
    <w:rPr>
      <w:rFonts w:ascii="Times New Roman" w:hAnsi="Times New Roman" w:cs="Times New Roman"/>
      <w:b/>
      <w:bCs/>
      <w:color w:val="000000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6C1B62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Theme="minorEastAsia" w:hAnsi="Times New Roman"/>
      <w:sz w:val="24"/>
      <w:szCs w:val="24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1E9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31E9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31E9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1E9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1E9F"/>
    <w:rPr>
      <w:b/>
      <w:bCs/>
      <w:sz w:val="20"/>
      <w:szCs w:val="20"/>
    </w:rPr>
  </w:style>
  <w:style w:type="character" w:customStyle="1" w:styleId="AkapitzlistZnak">
    <w:name w:val="Akapit z listą Znak"/>
    <w:aliases w:val="Bullet1 Znak,Styl moj Znak,aotm_załączniki Znak,Akapit z listą11 Znak,Table Legend Znak,Dot pt Znak,F5 List Paragraph Znak,List Paragraph1 Znak,No Spacing1 Znak,List Paragraph Char Char Char Znak,Indicator Text Znak,Bullet 1 Znak"/>
    <w:basedOn w:val="Domylnaczcionkaakapitu"/>
    <w:link w:val="Akapitzlist"/>
    <w:uiPriority w:val="99"/>
    <w:qFormat/>
    <w:rsid w:val="001933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84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4.xml"/><Relationship Id="rId5" Type="http://schemas.openxmlformats.org/officeDocument/2006/relationships/footnotes" Target="footnotes.xml"/><Relationship Id="rId10" Type="http://schemas.openxmlformats.org/officeDocument/2006/relationships/chart" Target="charts/chart3.xml"/><Relationship Id="rId4" Type="http://schemas.openxmlformats.org/officeDocument/2006/relationships/webSettings" Target="webSettings.xml"/><Relationship Id="rId9" Type="http://schemas.openxmlformats.org/officeDocument/2006/relationships/chart" Target="charts/chart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universe\wric$\09_Pracownicy\1_39_Wilk_J\Nowe%20obj&#281;cia\stycze&#324;%202026%20Wykresy%20od%202012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Microsoft_Excel_Worksheet1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r>
              <a:rPr lang="pl-PL" sz="800" b="1" i="0" baseline="0">
                <a:solidFill>
                  <a:sysClr val="windowText" lastClr="000000"/>
                </a:solidFill>
                <a:effectLst/>
                <a:latin typeface="Lato" panose="020F0502020204030203" pitchFamily="34" charset="-18"/>
              </a:rPr>
              <a:t>Liczba nowych cząsteczko-wskazań w 2025 r. - ONKO/NIEONKO</a:t>
            </a:r>
            <a:endParaRPr lang="pl-PL" sz="800">
              <a:solidFill>
                <a:sysClr val="windowText" lastClr="000000"/>
              </a:solidFill>
              <a:effectLst/>
              <a:latin typeface="Lato" panose="020F0502020204030203" pitchFamily="34" charset="-18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1" i="0" u="none" strike="noStrike" kern="1200" baseline="0">
              <a:solidFill>
                <a:sysClr val="windowText" lastClr="000000"/>
              </a:solidFill>
              <a:latin typeface="Lato" panose="020F0502020204030203" pitchFamily="34" charset="-18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7.7692038495188118E-2"/>
          <c:y val="0.13625000000000001"/>
          <c:w val="0.90286351706036749"/>
          <c:h val="0.6780595765564775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'miesiące 2026'!$A$3</c:f>
              <c:strCache>
                <c:ptCount val="1"/>
                <c:pt idx="0">
                  <c:v>Wskazania onkologiczne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satMod val="103000"/>
                    <a:lumMod val="102000"/>
                    <a:tint val="94000"/>
                  </a:schemeClr>
                </a:gs>
                <a:gs pos="50000">
                  <a:schemeClr val="accent6">
                    <a:satMod val="110000"/>
                    <a:lumMod val="100000"/>
                    <a:shade val="100000"/>
                  </a:schemeClr>
                </a:gs>
                <a:gs pos="100000">
                  <a:schemeClr val="accent6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Lato" panose="020F0502020204030203" pitchFamily="34" charset="-18"/>
                    <a:ea typeface="+mn-ea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'miesiące 2026'!$B$1:$E$2</c:f>
              <c:strCache>
                <c:ptCount val="4"/>
                <c:pt idx="0">
                  <c:v>styczeń</c:v>
                </c:pt>
                <c:pt idx="1">
                  <c:v>kwiecień</c:v>
                </c:pt>
                <c:pt idx="2">
                  <c:v>lipiec</c:v>
                </c:pt>
                <c:pt idx="3">
                  <c:v>październik</c:v>
                </c:pt>
              </c:strCache>
            </c:strRef>
          </c:cat>
          <c:val>
            <c:numRef>
              <c:f>'miesiące 2026'!$B$3:$E$3</c:f>
              <c:numCache>
                <c:formatCode>General</c:formatCode>
                <c:ptCount val="4"/>
                <c:pt idx="0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B36-44E1-9742-76419A06EBF9}"/>
            </c:ext>
          </c:extLst>
        </c:ser>
        <c:ser>
          <c:idx val="1"/>
          <c:order val="1"/>
          <c:tx>
            <c:strRef>
              <c:f>'miesiące 2026'!$A$4</c:f>
              <c:strCache>
                <c:ptCount val="1"/>
                <c:pt idx="0">
                  <c:v>Wskazania nieonkologiczne</c:v>
                </c:pt>
              </c:strCache>
            </c:strRef>
          </c:tx>
          <c:spPr>
            <a:solidFill>
              <a:srgbClr val="4F93D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Lato" panose="020F0502020204030203" pitchFamily="34" charset="-18"/>
                    <a:ea typeface="+mn-ea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'miesiące 2026'!$B$1:$E$2</c:f>
              <c:strCache>
                <c:ptCount val="4"/>
                <c:pt idx="0">
                  <c:v>styczeń</c:v>
                </c:pt>
                <c:pt idx="1">
                  <c:v>kwiecień</c:v>
                </c:pt>
                <c:pt idx="2">
                  <c:v>lipiec</c:v>
                </c:pt>
                <c:pt idx="3">
                  <c:v>październik</c:v>
                </c:pt>
              </c:strCache>
            </c:strRef>
          </c:cat>
          <c:val>
            <c:numRef>
              <c:f>'miesiące 2026'!$B$4:$E$4</c:f>
              <c:numCache>
                <c:formatCode>General</c:formatCode>
                <c:ptCount val="4"/>
                <c:pt idx="0">
                  <c:v>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B36-44E1-9742-76419A06EBF9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703835919"/>
        <c:axId val="703834671"/>
      </c:barChart>
      <c:catAx>
        <c:axId val="70383591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703834671"/>
        <c:crosses val="autoZero"/>
        <c:auto val="1"/>
        <c:lblAlgn val="ctr"/>
        <c:lblOffset val="100"/>
        <c:noMultiLvlLbl val="0"/>
      </c:catAx>
      <c:valAx>
        <c:axId val="70383467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70383591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Lato" panose="020F0502020204030203" pitchFamily="34" charset="-18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r>
              <a:rPr lang="pl-PL" sz="800" b="1" i="0" baseline="0">
                <a:solidFill>
                  <a:sysClr val="windowText" lastClr="000000"/>
                </a:solidFill>
                <a:effectLst/>
                <a:latin typeface="Lato" panose="020F0502020204030203" pitchFamily="34" charset="-18"/>
              </a:rPr>
              <a:t>Liczba nowych cząsteczko-wskazań w 2025 r. - choroby rzadkie</a:t>
            </a:r>
            <a:endParaRPr lang="pl-PL" sz="800">
              <a:solidFill>
                <a:sysClr val="windowText" lastClr="000000"/>
              </a:solidFill>
              <a:effectLst/>
              <a:latin typeface="Lato" panose="020F0502020204030203" pitchFamily="34" charset="-18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1" i="0" u="none" strike="noStrike" kern="1200" baseline="0">
              <a:solidFill>
                <a:sysClr val="windowText" lastClr="000000"/>
              </a:solidFill>
              <a:latin typeface="Lato" panose="020F0502020204030203" pitchFamily="34" charset="-18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7.7692038495188118E-2"/>
          <c:y val="0.13625000000000001"/>
          <c:w val="0.90286351706036749"/>
          <c:h val="0.6782942997509926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'miesiące 2026'!$A$18</c:f>
              <c:strCache>
                <c:ptCount val="1"/>
                <c:pt idx="0">
                  <c:v>Wskazania rzadkie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satMod val="103000"/>
                    <a:lumMod val="102000"/>
                    <a:tint val="94000"/>
                  </a:schemeClr>
                </a:gs>
                <a:gs pos="50000">
                  <a:schemeClr val="accent6">
                    <a:satMod val="110000"/>
                    <a:lumMod val="100000"/>
                    <a:shade val="100000"/>
                  </a:schemeClr>
                </a:gs>
                <a:gs pos="100000">
                  <a:schemeClr val="accent6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Lato" panose="020F0502020204030203" pitchFamily="34" charset="-18"/>
                    <a:ea typeface="+mn-ea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'miesiące 2026'!$B$16:$E$17</c:f>
              <c:strCache>
                <c:ptCount val="4"/>
                <c:pt idx="0">
                  <c:v>styczeń</c:v>
                </c:pt>
                <c:pt idx="1">
                  <c:v>kwiecień</c:v>
                </c:pt>
                <c:pt idx="2">
                  <c:v>lipiec</c:v>
                </c:pt>
                <c:pt idx="3">
                  <c:v>październik</c:v>
                </c:pt>
              </c:strCache>
            </c:strRef>
          </c:cat>
          <c:val>
            <c:numRef>
              <c:f>'miesiące 2026'!$B$18:$E$18</c:f>
              <c:numCache>
                <c:formatCode>General</c:formatCode>
                <c:ptCount val="4"/>
                <c:pt idx="0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C3A-48E3-8940-05386EF276C2}"/>
            </c:ext>
          </c:extLst>
        </c:ser>
        <c:ser>
          <c:idx val="1"/>
          <c:order val="1"/>
          <c:tx>
            <c:strRef>
              <c:f>'miesiące 2026'!$A$19</c:f>
              <c:strCache>
                <c:ptCount val="1"/>
                <c:pt idx="0">
                  <c:v>Pozostałe</c:v>
                </c:pt>
              </c:strCache>
            </c:strRef>
          </c:tx>
          <c:spPr>
            <a:solidFill>
              <a:srgbClr val="4F93D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Lato" panose="020F0502020204030203" pitchFamily="34" charset="-18"/>
                    <a:ea typeface="+mn-ea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'miesiące 2026'!$B$16:$E$17</c:f>
              <c:strCache>
                <c:ptCount val="4"/>
                <c:pt idx="0">
                  <c:v>styczeń</c:v>
                </c:pt>
                <c:pt idx="1">
                  <c:v>kwiecień</c:v>
                </c:pt>
                <c:pt idx="2">
                  <c:v>lipiec</c:v>
                </c:pt>
                <c:pt idx="3">
                  <c:v>październik</c:v>
                </c:pt>
              </c:strCache>
            </c:strRef>
          </c:cat>
          <c:val>
            <c:numRef>
              <c:f>'miesiące 2026'!$B$19:$E$19</c:f>
              <c:numCache>
                <c:formatCode>General</c:formatCode>
                <c:ptCount val="4"/>
                <c:pt idx="0">
                  <c:v>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C3A-48E3-8940-05386EF276C2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703835919"/>
        <c:axId val="703834671"/>
      </c:barChart>
      <c:catAx>
        <c:axId val="70383591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703834671"/>
        <c:crosses val="autoZero"/>
        <c:auto val="1"/>
        <c:lblAlgn val="ctr"/>
        <c:lblOffset val="100"/>
        <c:noMultiLvlLbl val="0"/>
      </c:catAx>
      <c:valAx>
        <c:axId val="70383467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70383591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Lato" panose="020F0502020204030203" pitchFamily="34" charset="-18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 algn="ctr">
              <a:defRPr sz="800" b="1" i="0" u="none" strike="noStrike" kern="1200" spc="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r>
              <a:rPr lang="pl-PL" sz="800" b="1">
                <a:solidFill>
                  <a:sysClr val="windowText" lastClr="000000"/>
                </a:solidFill>
                <a:latin typeface="Lato" panose="020F0502020204030203" pitchFamily="34" charset="-18"/>
              </a:rPr>
              <a:t>Cząsteczko-wskazania onkologiczne w 2026 r. </a:t>
            </a:r>
          </a:p>
        </c:rich>
      </c:tx>
      <c:layout>
        <c:manualLayout>
          <c:xMode val="edge"/>
          <c:yMode val="edge"/>
          <c:x val="0.25296529732800593"/>
          <c:y val="1.769768386342007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>
            <a:defRPr sz="800" b="1" i="0" u="none" strike="noStrike" kern="1200" spc="0" baseline="0">
              <a:solidFill>
                <a:sysClr val="windowText" lastClr="000000"/>
              </a:solidFill>
              <a:latin typeface="Lato" panose="020F0502020204030203" pitchFamily="34" charset="-18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13582997522272922"/>
          <c:y val="8.2051032825429804E-2"/>
          <c:w val="0.84009663854336591"/>
          <c:h val="0.8671819558553483"/>
        </c:manualLayout>
      </c:layout>
      <c:barChart>
        <c:barDir val="bar"/>
        <c:grouping val="clustered"/>
        <c:varyColors val="0"/>
        <c:ser>
          <c:idx val="10"/>
          <c:order val="0"/>
          <c:tx>
            <c:strRef>
              <c:f>'miesiące 2026'!$B$2</c:f>
              <c:strCache>
                <c:ptCount val="1"/>
                <c:pt idx="0">
                  <c:v>2026</c:v>
                </c:pt>
              </c:strCache>
            </c:strRef>
          </c:tx>
          <c:spPr>
            <a:solidFill>
              <a:srgbClr val="4F93D1"/>
            </a:solidFill>
            <a:ln>
              <a:noFill/>
            </a:ln>
            <a:effectLst/>
          </c:spPr>
          <c:invertIfNegative val="0"/>
          <c:cat>
            <c:strRef>
              <c:f>('miesiące 2026'!$A$3:$A$10,'miesiące 2026'!$A$12)</c:f>
              <c:strCache>
                <c:ptCount val="4"/>
                <c:pt idx="0">
                  <c:v>Nowotwory układu 
pokarmowego</c:v>
                </c:pt>
                <c:pt idx="1">
                  <c:v>Nowotwory układu 
oddechowego</c:v>
                </c:pt>
                <c:pt idx="2">
                  <c:v>Nowotwory 
ginekologiczne</c:v>
                </c:pt>
                <c:pt idx="3">
                  <c:v>Hematoonkologia</c:v>
                </c:pt>
              </c:strCache>
              <c:extLst/>
            </c:strRef>
          </c:cat>
          <c:val>
            <c:numRef>
              <c:f>('miesiące 2026'!$B$3:$B$10,'miesiące 2026'!$B$12)</c:f>
              <c:numCache>
                <c:formatCode>General</c:formatCode>
                <c:ptCount val="4"/>
                <c:pt idx="0">
                  <c:v>3</c:v>
                </c:pt>
                <c:pt idx="1">
                  <c:v>3</c:v>
                </c:pt>
                <c:pt idx="2">
                  <c:v>1</c:v>
                </c:pt>
                <c:pt idx="3">
                  <c:v>2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F1BB-41B1-9002-20D33282E18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51046271"/>
        <c:axId val="751054175"/>
      </c:barChart>
      <c:valAx>
        <c:axId val="751054175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751046271"/>
        <c:crosses val="autoZero"/>
        <c:crossBetween val="between"/>
        <c:majorUnit val="1"/>
      </c:valAx>
      <c:catAx>
        <c:axId val="751046271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751054175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800" b="1" i="0" u="none" strike="noStrike" kern="1200" spc="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r>
              <a:rPr lang="pl-PL" sz="800" b="1">
                <a:latin typeface="Lato" panose="020F0502020204030203" pitchFamily="34" charset="-18"/>
              </a:rPr>
              <a:t>Cząsteczko-wskazania nieonkologiczne w 2026 r.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1" i="0" u="none" strike="noStrike" kern="1200" spc="0" baseline="0">
              <a:solidFill>
                <a:sysClr val="windowText" lastClr="000000"/>
              </a:solidFill>
              <a:latin typeface="Lato" panose="020F0502020204030203" pitchFamily="34" charset="-18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20948966438366801"/>
          <c:y val="6.7841812790857506E-2"/>
          <c:w val="0.76644349190079053"/>
          <c:h val="0.8713081469554460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'miesiące 2026'!$B$19</c:f>
              <c:strCache>
                <c:ptCount val="1"/>
                <c:pt idx="0">
                  <c:v>2026</c:v>
                </c:pt>
              </c:strCache>
            </c:strRef>
          </c:tx>
          <c:spPr>
            <a:solidFill>
              <a:srgbClr val="4F93D1"/>
            </a:solidFill>
            <a:ln>
              <a:noFill/>
            </a:ln>
            <a:effectLst/>
          </c:spPr>
          <c:invertIfNegative val="0"/>
          <c:cat>
            <c:strRef>
              <c:f>'miesiące 2026'!$A$20:$A$39</c:f>
              <c:strCache>
                <c:ptCount val="9"/>
                <c:pt idx="0">
                  <c:v>Urologia</c:v>
                </c:pt>
                <c:pt idx="1">
                  <c:v>Pulmonologia</c:v>
                </c:pt>
                <c:pt idx="2">
                  <c:v>Okulistyka</c:v>
                </c:pt>
                <c:pt idx="3">
                  <c:v>Neurologia</c:v>
                </c:pt>
                <c:pt idx="4">
                  <c:v>Kardiologia</c:v>
                </c:pt>
                <c:pt idx="5">
                  <c:v>Hematologia</c:v>
                </c:pt>
                <c:pt idx="6">
                  <c:v>Gastroenterologia</c:v>
                </c:pt>
                <c:pt idx="7">
                  <c:v>Dermatologia</c:v>
                </c:pt>
                <c:pt idx="8">
                  <c:v>Alergologia</c:v>
                </c:pt>
              </c:strCache>
              <c:extLst/>
            </c:strRef>
          </c:cat>
          <c:val>
            <c:numRef>
              <c:f>'miesiące 2026'!$B$20:$B$39</c:f>
              <c:numCache>
                <c:formatCode>General</c:formatCode>
                <c:ptCount val="9"/>
                <c:pt idx="0">
                  <c:v>1</c:v>
                </c:pt>
                <c:pt idx="1">
                  <c:v>2</c:v>
                </c:pt>
                <c:pt idx="2">
                  <c:v>1</c:v>
                </c:pt>
                <c:pt idx="3">
                  <c:v>1</c:v>
                </c:pt>
                <c:pt idx="4">
                  <c:v>4</c:v>
                </c:pt>
                <c:pt idx="5">
                  <c:v>2</c:v>
                </c:pt>
                <c:pt idx="6">
                  <c:v>1</c:v>
                </c:pt>
                <c:pt idx="7">
                  <c:v>2</c:v>
                </c:pt>
                <c:pt idx="8">
                  <c:v>1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1D2B-471F-98A2-CE634750D35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41296495"/>
        <c:axId val="241294831"/>
      </c:barChart>
      <c:valAx>
        <c:axId val="241294831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241296495"/>
        <c:crosses val="autoZero"/>
        <c:crossBetween val="between"/>
        <c:majorUnit val="1"/>
      </c:valAx>
      <c:catAx>
        <c:axId val="241296495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241294831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34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 2013–2022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 2013–2022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 2013–2022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 2013–2022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 2013–2022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 2013–2022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Pakiet Office 2013–2022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 2013–2022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 2013–2022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10</Pages>
  <Words>1999</Words>
  <Characters>12000</Characters>
  <Application>Microsoft Office Word</Application>
  <DocSecurity>0</DocSecurity>
  <Lines>100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Oczkowski Mateusz</dc:creator>
  <dc:description/>
  <cp:lastModifiedBy>Morawiec Wioleta</cp:lastModifiedBy>
  <cp:revision>10</cp:revision>
  <dcterms:created xsi:type="dcterms:W3CDTF">2025-12-17T10:27:00Z</dcterms:created>
  <dcterms:modified xsi:type="dcterms:W3CDTF">2025-12-18T11:21:00Z</dcterms:modified>
</cp:coreProperties>
</file>