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EB" w:rsidRPr="00A0004D" w:rsidRDefault="003A504B" w:rsidP="009011EB">
      <w:pPr>
        <w:rPr>
          <w:rFonts w:cstheme="minorHAnsi"/>
          <w:b/>
        </w:rPr>
      </w:pPr>
      <w:r>
        <w:rPr>
          <w:rFonts w:cstheme="minorHAnsi"/>
          <w:b/>
        </w:rPr>
        <w:t>11</w:t>
      </w:r>
      <w:r w:rsidR="009011EB" w:rsidRPr="00A0004D">
        <w:rPr>
          <w:rFonts w:cstheme="minorHAnsi"/>
          <w:b/>
        </w:rPr>
        <w:t>.</w:t>
      </w:r>
      <w:r w:rsidR="009011EB">
        <w:rPr>
          <w:rFonts w:cstheme="minorHAnsi"/>
          <w:b/>
        </w:rPr>
        <w:t>01</w:t>
      </w:r>
      <w:r w:rsidR="009011EB" w:rsidRPr="00A0004D">
        <w:rPr>
          <w:rFonts w:cstheme="minorHAnsi"/>
          <w:b/>
        </w:rPr>
        <w:t>.202</w:t>
      </w:r>
      <w:r w:rsidR="009011EB">
        <w:rPr>
          <w:rFonts w:cstheme="minorHAnsi"/>
          <w:b/>
        </w:rPr>
        <w:t>2</w:t>
      </w:r>
      <w:r w:rsidR="009011EB" w:rsidRPr="00A0004D">
        <w:rPr>
          <w:rFonts w:cstheme="minorHAnsi"/>
          <w:b/>
        </w:rPr>
        <w:t xml:space="preserve"> r. </w:t>
      </w:r>
    </w:p>
    <w:p w:rsidR="009011EB" w:rsidRPr="009011EB" w:rsidRDefault="009011EB" w:rsidP="003A504B">
      <w:pPr>
        <w:spacing w:line="276" w:lineRule="auto"/>
        <w:jc w:val="both"/>
        <w:rPr>
          <w:rFonts w:cstheme="minorHAnsi"/>
        </w:rPr>
      </w:pPr>
      <w:r w:rsidRPr="009011EB">
        <w:rPr>
          <w:rFonts w:cstheme="minorHAnsi"/>
        </w:rPr>
        <w:t xml:space="preserve">Informacja o zmianach w dokumentacji konkursowej Konkursu Grantowego „Wsparcie dzieci z rodzin pegeerowskich w rozwoju cyfrowym – Granty PPGR” w ramach działania 5.1 „Rozwój cyfrowy JST oraz wzmocnienie cyfrowej odporności na zagrożenia” Programu Operacyjnego Polska Cyfrowa </w:t>
      </w:r>
      <w:r w:rsidRPr="009011EB">
        <w:rPr>
          <w:rFonts w:cstheme="minorHAnsi"/>
        </w:rPr>
        <w:br/>
        <w:t xml:space="preserve">na lata 2014 – 2020. </w:t>
      </w:r>
    </w:p>
    <w:p w:rsidR="009011EB" w:rsidRPr="00A531F8" w:rsidRDefault="009011EB" w:rsidP="003A504B">
      <w:pPr>
        <w:spacing w:after="0" w:line="276" w:lineRule="auto"/>
        <w:jc w:val="both"/>
        <w:rPr>
          <w:rFonts w:cstheme="minorHAnsi"/>
          <w:u w:val="single"/>
        </w:rPr>
      </w:pPr>
      <w:r w:rsidRPr="00A531F8">
        <w:rPr>
          <w:rFonts w:cstheme="minorHAnsi"/>
          <w:u w:val="single"/>
        </w:rPr>
        <w:t xml:space="preserve">Zmianie </w:t>
      </w:r>
      <w:r w:rsidR="003A504B">
        <w:rPr>
          <w:rFonts w:cstheme="minorHAnsi"/>
          <w:u w:val="single"/>
        </w:rPr>
        <w:t>uległy następujące zapisy:</w:t>
      </w:r>
    </w:p>
    <w:p w:rsidR="003A504B" w:rsidRPr="003A504B" w:rsidRDefault="003A504B" w:rsidP="003A504B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 w:rsidRPr="003A504B">
        <w:rPr>
          <w:rFonts w:eastAsia="Times New Roman" w:cstheme="minorHAnsi"/>
          <w:b/>
          <w:bCs/>
          <w:lang w:eastAsia="pl-PL"/>
        </w:rPr>
        <w:t>Regulamin Konkursu Grantowego:</w:t>
      </w:r>
      <w:bookmarkStart w:id="0" w:name="_GoBack"/>
      <w:bookmarkEnd w:id="0"/>
    </w:p>
    <w:p w:rsidR="003A504B" w:rsidRPr="003A504B" w:rsidRDefault="003A504B" w:rsidP="003A504B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§4 ust. 1 przyjmuje brzmienie “Do udziału w Konkursie Grantowym uprawnione są jednostki samorządu terytorialnego które uzyskały pozytywną opinię KOWR, w zakresie: </w:t>
      </w:r>
    </w:p>
    <w:p w:rsidR="003A504B" w:rsidRPr="003A504B" w:rsidRDefault="003A504B" w:rsidP="003A504B">
      <w:pPr>
        <w:pStyle w:val="Akapitzlist"/>
        <w:numPr>
          <w:ilvl w:val="1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Funkcjonowania na terenie gminy zlikwidowanego PPGR </w:t>
      </w:r>
    </w:p>
    <w:p w:rsidR="003A504B" w:rsidRPr="003A504B" w:rsidRDefault="003A504B" w:rsidP="003A504B">
      <w:pPr>
        <w:pStyle w:val="Akapitzlist"/>
        <w:numPr>
          <w:ilvl w:val="1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Występowania na terenie gminy mienia/nieruchomości PPGR, w tym nieruchomości zamieszkiwanych przez byłych pracowników PPGR. </w:t>
      </w:r>
    </w:p>
    <w:p w:rsidR="003A504B" w:rsidRPr="003A504B" w:rsidRDefault="003A504B" w:rsidP="003A504B">
      <w:pPr>
        <w:pStyle w:val="Akapitzlist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Alokacja na Granty wynosi 586 366 068 zł W przypadku złożenia w naborze wniosków o granty o wartości przekraczającej dostępną alokację, Beneficjent za zgodą Instytucji Pośredniczącej, może podjąć decyzję o zwiększeniu alokacji na nabór.</w:t>
      </w:r>
    </w:p>
    <w:p w:rsidR="003A504B" w:rsidRPr="003A504B" w:rsidRDefault="003A504B" w:rsidP="003A504B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§4 ust. 3 przyjmuje brzmienie “Dofinansowanie w ramach grantów dla poszczególnych gmin zostanie określone jako iloczyn ilości dzieci z rodzin po PPGR i maksymalnej stawki za jednostkę komputera określoną w dokumentacji konkursowej, tj. 2 500 PLN za jednostkę stacjonarną </w:t>
      </w:r>
    </w:p>
    <w:p w:rsidR="003A504B" w:rsidRPr="003A504B" w:rsidRDefault="003A504B" w:rsidP="003A504B">
      <w:pPr>
        <w:pStyle w:val="Akapitzlist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lub laptopa oraz 1 000 PLN za zakup tabletu”,</w:t>
      </w:r>
    </w:p>
    <w:p w:rsidR="003A504B" w:rsidRPr="003A504B" w:rsidRDefault="003A504B" w:rsidP="003A504B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§4 ust. 4 pkt a. przyjmuje brzmienie  “Do wydatków kwalifikowanych w ramach Grantu zalicza się wyłącznie zakup: a. nowego sprzętu komputerowego z urządzeniami peryferyjnymi </w:t>
      </w:r>
    </w:p>
    <w:p w:rsidR="003A504B" w:rsidRPr="003A504B" w:rsidRDefault="003A504B" w:rsidP="003A504B">
      <w:pPr>
        <w:pStyle w:val="Akapitzlist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i akcesoriami oraz niezbędnym oprogramowaniem, umożliwiających pracę zdalną, w tym niezbędne akcesoria i oprogramowanie dla osób z niepełnosprawnościami;”. Jednocześnie usuwa się zapis “(w wyjątkowych przypadkach możliwy jest zakup komputera powyżej </w:t>
      </w:r>
    </w:p>
    <w:p w:rsidR="003A504B" w:rsidRPr="003A504B" w:rsidRDefault="003A504B" w:rsidP="003A504B">
      <w:pPr>
        <w:pStyle w:val="Akapitzlist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3,5 tys. zł oraz tabletu powyżej 1,5 tys. zł, niezbędne będzie uzasadnienie przez Wnioskodawcę wysokości kosztów zakupów takiego sprzętu);”</w:t>
      </w:r>
    </w:p>
    <w:p w:rsidR="003A504B" w:rsidRPr="003A504B" w:rsidRDefault="003A504B" w:rsidP="003A504B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aktualizacja</w:t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 publikatora w Regulaminie Konkursu tj. w §2 ust.1 pkt 8 zaktualizowanie na Ustawa z dnia 5 września 2016 r. o usługach zaufania oraz identyfikacji elektronicznej </w:t>
      </w:r>
      <w:r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(Dz. U. z 2021 r. poz. 1797).</w:t>
      </w:r>
    </w:p>
    <w:p w:rsidR="003A504B" w:rsidRPr="003A504B" w:rsidRDefault="003A504B" w:rsidP="003A504B">
      <w:pPr>
        <w:spacing w:after="0"/>
        <w:ind w:left="360"/>
        <w:jc w:val="both"/>
        <w:rPr>
          <w:rFonts w:eastAsia="Times New Roman" w:cstheme="minorHAnsi"/>
          <w:b/>
          <w:bCs/>
          <w:lang w:eastAsia="pl-PL"/>
        </w:rPr>
      </w:pPr>
      <w:r w:rsidRPr="003A504B">
        <w:rPr>
          <w:rFonts w:eastAsia="Times New Roman" w:cstheme="minorHAnsi"/>
          <w:b/>
          <w:bCs/>
          <w:lang w:eastAsia="pl-PL"/>
        </w:rPr>
        <w:t>Schemat Grantowy:</w:t>
      </w:r>
    </w:p>
    <w:p w:rsidR="003A504B" w:rsidRPr="003A504B" w:rsidRDefault="003A504B" w:rsidP="003A504B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Przewidywana liczba grantów i alokacja pkt. 1 Alokacja na Granty – PPGR wynosi </w:t>
      </w:r>
      <w:r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586 366 068 zł. W przypadku złożenia w naborze wniosków o granty o wartości przekraczającej dostępną alokację, Beneficjent za zgodą Instytucji Pośredniczącej, może podjąć decyzję </w:t>
      </w:r>
      <w:r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o zwiększeniu alokacji na nabór.</w:t>
      </w:r>
    </w:p>
    <w:p w:rsidR="003A504B" w:rsidRPr="003A504B" w:rsidRDefault="003A504B" w:rsidP="003A504B">
      <w:pPr>
        <w:pStyle w:val="Akapitzlist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Przewidywana liczba grantów i alokacja pkt. 3  przyjmuje brzmienie “Dofinansowanie </w:t>
      </w:r>
    </w:p>
    <w:p w:rsidR="003A504B" w:rsidRPr="003A504B" w:rsidRDefault="003A504B" w:rsidP="003A504B">
      <w:pPr>
        <w:pStyle w:val="Akapitzlist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w ramach grantów dla poszczególnych gmin zostanie określone jako iloczyn ilości dzieci </w:t>
      </w:r>
    </w:p>
    <w:p w:rsidR="003A504B" w:rsidRPr="003A504B" w:rsidRDefault="003A504B" w:rsidP="003A504B">
      <w:pPr>
        <w:pStyle w:val="Akapitzlist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z rodzin po PPGR razy maksymalną stawkę za jednostkę komputera określoną w dokumentacji konkursowej tj. 2 500 zł.”</w:t>
      </w:r>
    </w:p>
    <w:p w:rsidR="00440392" w:rsidRDefault="003A504B" w:rsidP="00DF23AF">
      <w:pPr>
        <w:pStyle w:val="Akapitzlist"/>
        <w:numPr>
          <w:ilvl w:val="0"/>
          <w:numId w:val="3"/>
        </w:numPr>
        <w:jc w:val="both"/>
      </w:pP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Wydatki kwalifikowalne i sposób rozliczania grantów przyjmuje brzmienie </w:t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“1. Wydatki kwalifikowane w projektach stanowią wyłącznie koszty zakupu: 1) sprzętu komputerowego z urządzeniami peryferyjnymi i akcesoriami oraz niezbędnym oprogramowaniem, umożliwiających pracę zdalną, w tym niezbędne akcesoria </w:t>
      </w:r>
      <w:r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t xml:space="preserve">i oprogramowanie dla osób z niepełnosprawnościami”. Jednocześnie usuwa się zapis </w:t>
      </w:r>
      <w:r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3A504B">
        <w:rPr>
          <w:rFonts w:asciiTheme="minorHAnsi" w:eastAsia="Times New Roman" w:hAnsiTheme="minorHAnsi" w:cstheme="minorHAnsi"/>
          <w:bCs/>
          <w:lang w:val="pl-PL" w:eastAsia="pl-PL"/>
        </w:rPr>
        <w:t>“(w wyjątkowych przypadkach możliwy jest zakup komputera powyżej 2,5 tys. zł oraz tabletu powyżej 1,5 tys. zł, niezbędne będzie uzasadnienie przez Wnioskodawcę wysokości kosztów zakupów takiego sprzętu);”</w:t>
      </w:r>
    </w:p>
    <w:sectPr w:rsidR="00440392" w:rsidSect="003A504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FF8"/>
    <w:multiLevelType w:val="hybridMultilevel"/>
    <w:tmpl w:val="ED86DB08"/>
    <w:lvl w:ilvl="0" w:tplc="57FCB9F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CD840CE"/>
    <w:multiLevelType w:val="hybridMultilevel"/>
    <w:tmpl w:val="C4E4F566"/>
    <w:lvl w:ilvl="0" w:tplc="D00E49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B18BCF0">
      <w:start w:val="586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267BC"/>
    <w:multiLevelType w:val="hybridMultilevel"/>
    <w:tmpl w:val="D2045E8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EB"/>
    <w:rsid w:val="003A504B"/>
    <w:rsid w:val="003E234B"/>
    <w:rsid w:val="00606547"/>
    <w:rsid w:val="009011EB"/>
    <w:rsid w:val="00A531F8"/>
    <w:rsid w:val="00FC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0BBE"/>
  <w15:chartTrackingRefBased/>
  <w15:docId w15:val="{BC0C1D4E-D2C4-4E7C-879C-E98EFD62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11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1EB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Lendzioszek</dc:creator>
  <cp:keywords/>
  <dc:description/>
  <cp:lastModifiedBy>Maja Wolnik</cp:lastModifiedBy>
  <cp:revision>2</cp:revision>
  <dcterms:created xsi:type="dcterms:W3CDTF">2022-02-11T16:28:00Z</dcterms:created>
  <dcterms:modified xsi:type="dcterms:W3CDTF">2022-02-11T16:28:00Z</dcterms:modified>
</cp:coreProperties>
</file>