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51438B" w:rsidP="00DD0557">
      <w:pPr>
        <w:tabs>
          <w:tab w:val="left" w:pos="5387"/>
          <w:tab w:val="left" w:pos="5669"/>
          <w:tab w:val="right" w:pos="5954"/>
          <w:tab w:val="left" w:pos="6096"/>
          <w:tab w:val="right" w:pos="6237"/>
        </w:tabs>
        <w:ind w:left="5387" w:right="1134"/>
        <w:outlineLvl w:val="0"/>
        <w:rPr>
          <w:rFonts w:ascii="Arial" w:hAnsi="Arial" w:cs="Arial"/>
          <w:sz w:val="20"/>
          <w:szCs w:val="20"/>
        </w:rPr>
      </w:pPr>
      <w:r>
        <w:rPr>
          <w:rFonts w:ascii="Arial" w:hAnsi="Arial" w:cs="Arial"/>
          <w:sz w:val="20"/>
          <w:szCs w:val="20"/>
        </w:rPr>
        <w:t xml:space="preserve"> </w:t>
      </w:r>
      <w:r w:rsidR="00BD1F82">
        <w:rPr>
          <w:rFonts w:ascii="Arial" w:hAnsi="Arial" w:cs="Arial"/>
          <w:sz w:val="20"/>
          <w:szCs w:val="20"/>
        </w:rPr>
        <w:t xml:space="preserve"> </w:t>
      </w: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446636" w:rsidRPr="00421922" w:rsidRDefault="00D60098" w:rsidP="000743B3">
      <w:pPr>
        <w:tabs>
          <w:tab w:val="left" w:pos="5387"/>
          <w:tab w:val="right" w:pos="5812"/>
          <w:tab w:val="left" w:pos="6096"/>
          <w:tab w:val="right" w:pos="6237"/>
        </w:tabs>
        <w:spacing w:line="260" w:lineRule="exact"/>
        <w:ind w:left="5670" w:right="1134"/>
        <w:outlineLvl w:val="0"/>
        <w:rPr>
          <w:rFonts w:ascii="Arial" w:hAnsi="Arial" w:cs="Arial"/>
          <w:sz w:val="20"/>
          <w:szCs w:val="20"/>
        </w:rPr>
      </w:pPr>
      <w:r>
        <w:rPr>
          <w:rFonts w:ascii="Arial" w:hAnsi="Arial" w:cs="Arial"/>
          <w:sz w:val="20"/>
          <w:szCs w:val="20"/>
        </w:rPr>
        <w:t>Data:</w:t>
      </w:r>
      <w:r w:rsidR="008B7AA6">
        <w:rPr>
          <w:rFonts w:ascii="Arial" w:hAnsi="Arial" w:cs="Arial"/>
          <w:sz w:val="20"/>
          <w:szCs w:val="20"/>
        </w:rPr>
        <w:t xml:space="preserve"> 12 </w:t>
      </w:r>
      <w:r w:rsidR="001C6FD9">
        <w:rPr>
          <w:rFonts w:ascii="Arial" w:hAnsi="Arial" w:cs="Arial"/>
          <w:sz w:val="20"/>
          <w:szCs w:val="20"/>
        </w:rPr>
        <w:t>października</w:t>
      </w:r>
      <w:r w:rsidR="000743B3">
        <w:rPr>
          <w:rFonts w:ascii="Arial" w:hAnsi="Arial" w:cs="Arial"/>
          <w:sz w:val="20"/>
          <w:szCs w:val="20"/>
        </w:rPr>
        <w:t xml:space="preserve"> 2021</w:t>
      </w:r>
      <w:r w:rsidR="00446636" w:rsidRPr="00421922">
        <w:rPr>
          <w:rFonts w:ascii="Arial" w:hAnsi="Arial" w:cs="Arial"/>
          <w:sz w:val="20"/>
          <w:szCs w:val="20"/>
        </w:rPr>
        <w:t xml:space="preserve"> r.                                                   </w:t>
      </w:r>
    </w:p>
    <w:p w:rsidR="00446636" w:rsidRPr="00421922" w:rsidRDefault="00EA3036" w:rsidP="00D670F6">
      <w:pPr>
        <w:tabs>
          <w:tab w:val="left" w:pos="5387"/>
          <w:tab w:val="left" w:pos="5669"/>
          <w:tab w:val="right" w:pos="5954"/>
          <w:tab w:val="left" w:pos="6096"/>
          <w:tab w:val="right" w:pos="6237"/>
        </w:tabs>
        <w:spacing w:after="1560" w:line="240" w:lineRule="exact"/>
        <w:ind w:left="5103" w:right="-1134" w:hanging="142"/>
        <w:outlineLvl w:val="0"/>
        <w:rPr>
          <w:rFonts w:ascii="Arial" w:hAnsi="Arial" w:cs="Arial"/>
          <w:sz w:val="20"/>
          <w:szCs w:val="20"/>
        </w:rPr>
      </w:pPr>
      <w:r>
        <w:rPr>
          <w:rFonts w:ascii="Arial" w:hAnsi="Arial" w:cs="Arial"/>
          <w:sz w:val="20"/>
          <w:szCs w:val="20"/>
        </w:rPr>
        <w:t>Znak sprawy: DLI-II.7622</w:t>
      </w:r>
      <w:r w:rsidR="00446636" w:rsidRPr="00421922">
        <w:rPr>
          <w:rFonts w:ascii="Arial" w:hAnsi="Arial" w:cs="Arial"/>
          <w:sz w:val="20"/>
          <w:szCs w:val="20"/>
        </w:rPr>
        <w:t>.</w:t>
      </w:r>
      <w:r>
        <w:rPr>
          <w:rFonts w:ascii="Arial" w:hAnsi="Arial" w:cs="Arial"/>
          <w:sz w:val="20"/>
          <w:szCs w:val="20"/>
        </w:rPr>
        <w:t>3</w:t>
      </w:r>
      <w:r w:rsidR="00446636" w:rsidRPr="00421922">
        <w:rPr>
          <w:rFonts w:ascii="Arial" w:hAnsi="Arial" w:cs="Arial"/>
          <w:sz w:val="20"/>
          <w:szCs w:val="20"/>
        </w:rPr>
        <w:t>.2020</w:t>
      </w:r>
      <w:r w:rsidR="00446636" w:rsidRPr="004D19BD">
        <w:rPr>
          <w:rFonts w:ascii="Arial" w:hAnsi="Arial" w:cs="Arial"/>
          <w:sz w:val="20"/>
          <w:szCs w:val="20"/>
        </w:rPr>
        <w:t>.EŁ.</w:t>
      </w:r>
      <w:r w:rsidR="003C2AF5">
        <w:rPr>
          <w:rFonts w:ascii="Arial" w:hAnsi="Arial" w:cs="Arial"/>
          <w:sz w:val="20"/>
          <w:szCs w:val="20"/>
        </w:rPr>
        <w:t>4</w:t>
      </w:r>
      <w:bookmarkStart w:id="0" w:name="_GoBack"/>
      <w:bookmarkEnd w:id="0"/>
    </w:p>
    <w:p w:rsidR="00446636" w:rsidRPr="00421922" w:rsidRDefault="00446636" w:rsidP="00136D5B">
      <w:pPr>
        <w:tabs>
          <w:tab w:val="left" w:pos="-1843"/>
          <w:tab w:val="left" w:pos="-993"/>
          <w:tab w:val="left" w:pos="4678"/>
          <w:tab w:val="left" w:pos="5387"/>
          <w:tab w:val="right" w:pos="5812"/>
        </w:tabs>
        <w:spacing w:after="360" w:line="240" w:lineRule="exact"/>
        <w:jc w:val="center"/>
        <w:outlineLvl w:val="0"/>
        <w:rPr>
          <w:rFonts w:ascii="Arial" w:hAnsi="Arial" w:cs="Arial"/>
          <w:b/>
          <w:sz w:val="20"/>
          <w:szCs w:val="20"/>
        </w:rPr>
      </w:pPr>
      <w:r w:rsidRPr="00421922">
        <w:rPr>
          <w:rFonts w:ascii="Arial" w:hAnsi="Arial" w:cs="Arial"/>
          <w:b/>
          <w:sz w:val="20"/>
          <w:szCs w:val="20"/>
        </w:rPr>
        <w:t>DECYZJA</w:t>
      </w:r>
    </w:p>
    <w:p w:rsidR="003C2AF5" w:rsidRDefault="00446636" w:rsidP="008D1325">
      <w:pPr>
        <w:spacing w:after="360" w:line="240" w:lineRule="exact"/>
        <w:jc w:val="both"/>
        <w:rPr>
          <w:rFonts w:ascii="Arial" w:hAnsi="Arial" w:cs="Arial"/>
          <w:spacing w:val="4"/>
          <w:sz w:val="20"/>
        </w:rPr>
      </w:pPr>
      <w:r w:rsidRPr="00421922">
        <w:rPr>
          <w:rFonts w:ascii="Arial" w:hAnsi="Arial" w:cs="Arial"/>
          <w:spacing w:val="4"/>
          <w:sz w:val="20"/>
          <w:szCs w:val="20"/>
        </w:rPr>
        <w:t xml:space="preserve">Na podstawie art. 138 § </w:t>
      </w:r>
      <w:r w:rsidR="003C2AF5">
        <w:rPr>
          <w:rFonts w:ascii="Arial" w:hAnsi="Arial" w:cs="Arial"/>
          <w:spacing w:val="4"/>
          <w:sz w:val="20"/>
          <w:szCs w:val="20"/>
        </w:rPr>
        <w:t>2</w:t>
      </w:r>
      <w:r w:rsidRPr="00421922">
        <w:rPr>
          <w:rFonts w:ascii="Arial" w:hAnsi="Arial" w:cs="Arial"/>
          <w:spacing w:val="4"/>
          <w:sz w:val="20"/>
          <w:szCs w:val="20"/>
        </w:rPr>
        <w:t xml:space="preserve"> ustawy z dnia 14 czerwca 1960 r. Kodeks postępowania administracyjnego (</w:t>
      </w:r>
      <w:r w:rsidR="000743B3">
        <w:rPr>
          <w:rFonts w:ascii="Arial" w:hAnsi="Arial" w:cs="Arial"/>
          <w:spacing w:val="4"/>
          <w:sz w:val="20"/>
          <w:szCs w:val="20"/>
        </w:rPr>
        <w:t xml:space="preserve">t.j. </w:t>
      </w:r>
      <w:r w:rsidRPr="00421922">
        <w:rPr>
          <w:rFonts w:ascii="Arial" w:hAnsi="Arial" w:cs="Arial"/>
          <w:spacing w:val="4"/>
          <w:sz w:val="20"/>
          <w:szCs w:val="20"/>
        </w:rPr>
        <w:t>Dz. U. z 202</w:t>
      </w:r>
      <w:r w:rsidR="000743B3">
        <w:rPr>
          <w:rFonts w:ascii="Arial" w:hAnsi="Arial" w:cs="Arial"/>
          <w:spacing w:val="4"/>
          <w:sz w:val="20"/>
          <w:szCs w:val="20"/>
        </w:rPr>
        <w:t>1</w:t>
      </w:r>
      <w:r w:rsidRPr="00421922">
        <w:rPr>
          <w:rFonts w:ascii="Arial" w:hAnsi="Arial" w:cs="Arial"/>
          <w:spacing w:val="4"/>
          <w:sz w:val="20"/>
          <w:szCs w:val="20"/>
        </w:rPr>
        <w:t xml:space="preserve"> r. poz.</w:t>
      </w:r>
      <w:r w:rsidR="000743B3">
        <w:rPr>
          <w:rFonts w:ascii="Arial" w:hAnsi="Arial" w:cs="Arial"/>
          <w:spacing w:val="4"/>
          <w:sz w:val="20"/>
          <w:szCs w:val="20"/>
        </w:rPr>
        <w:t xml:space="preserve"> 735</w:t>
      </w:r>
      <w:r w:rsidRPr="00421922">
        <w:rPr>
          <w:rFonts w:ascii="Arial" w:hAnsi="Arial" w:cs="Arial"/>
          <w:spacing w:val="4"/>
          <w:sz w:val="20"/>
          <w:szCs w:val="20"/>
        </w:rPr>
        <w:t xml:space="preserve">), zwanej dalej </w:t>
      </w:r>
      <w:r w:rsidRPr="00421922">
        <w:rPr>
          <w:rFonts w:ascii="Arial" w:hAnsi="Arial" w:cs="Arial"/>
          <w:i/>
          <w:spacing w:val="4"/>
          <w:sz w:val="20"/>
          <w:szCs w:val="20"/>
        </w:rPr>
        <w:t>„kpa”</w:t>
      </w:r>
      <w:r w:rsidRPr="00421922">
        <w:rPr>
          <w:rFonts w:ascii="Arial" w:hAnsi="Arial" w:cs="Arial"/>
          <w:spacing w:val="4"/>
          <w:sz w:val="20"/>
          <w:szCs w:val="20"/>
        </w:rPr>
        <w:t xml:space="preserve">, </w:t>
      </w:r>
      <w:r w:rsidRPr="00421922">
        <w:rPr>
          <w:rFonts w:ascii="Arial" w:hAnsi="Arial" w:cs="Arial"/>
          <w:spacing w:val="4"/>
          <w:sz w:val="20"/>
        </w:rPr>
        <w:t>po rozpatrzeniu odwoła</w:t>
      </w:r>
      <w:r w:rsidR="008E60F5">
        <w:rPr>
          <w:rFonts w:ascii="Arial" w:hAnsi="Arial" w:cs="Arial"/>
          <w:spacing w:val="4"/>
          <w:sz w:val="20"/>
        </w:rPr>
        <w:t>nia</w:t>
      </w:r>
      <w:r w:rsidRPr="00421922">
        <w:rPr>
          <w:rFonts w:ascii="Arial" w:hAnsi="Arial" w:cs="Arial"/>
          <w:bCs/>
          <w:spacing w:val="4"/>
          <w:sz w:val="20"/>
        </w:rPr>
        <w:t xml:space="preserve"> </w:t>
      </w:r>
      <w:r w:rsidR="003C2AF5" w:rsidRPr="003C2AF5">
        <w:rPr>
          <w:rFonts w:ascii="Arial" w:hAnsi="Arial" w:cs="Arial"/>
          <w:bCs/>
          <w:spacing w:val="4"/>
          <w:sz w:val="20"/>
        </w:rPr>
        <w:t>Państwowe</w:t>
      </w:r>
      <w:r w:rsidR="003C2AF5">
        <w:rPr>
          <w:rFonts w:ascii="Arial" w:hAnsi="Arial" w:cs="Arial"/>
          <w:bCs/>
          <w:spacing w:val="4"/>
          <w:sz w:val="20"/>
        </w:rPr>
        <w:t>go</w:t>
      </w:r>
      <w:r w:rsidR="003C2AF5" w:rsidRPr="003C2AF5">
        <w:rPr>
          <w:rFonts w:ascii="Arial" w:hAnsi="Arial" w:cs="Arial"/>
          <w:bCs/>
          <w:spacing w:val="4"/>
          <w:sz w:val="20"/>
        </w:rPr>
        <w:t xml:space="preserve"> Gospodarstw</w:t>
      </w:r>
      <w:r w:rsidR="003C2AF5">
        <w:rPr>
          <w:rFonts w:ascii="Arial" w:hAnsi="Arial" w:cs="Arial"/>
          <w:bCs/>
          <w:spacing w:val="4"/>
          <w:sz w:val="20"/>
        </w:rPr>
        <w:t>a</w:t>
      </w:r>
      <w:r w:rsidR="003C2AF5" w:rsidRPr="003C2AF5">
        <w:rPr>
          <w:rFonts w:ascii="Arial" w:hAnsi="Arial" w:cs="Arial"/>
          <w:bCs/>
          <w:spacing w:val="4"/>
          <w:sz w:val="20"/>
        </w:rPr>
        <w:t xml:space="preserve"> Leśne</w:t>
      </w:r>
      <w:r w:rsidR="003C2AF5">
        <w:rPr>
          <w:rFonts w:ascii="Arial" w:hAnsi="Arial" w:cs="Arial"/>
          <w:bCs/>
          <w:spacing w:val="4"/>
          <w:sz w:val="20"/>
        </w:rPr>
        <w:t>go</w:t>
      </w:r>
      <w:r w:rsidR="003C2AF5" w:rsidRPr="003C2AF5">
        <w:rPr>
          <w:rFonts w:ascii="Arial" w:hAnsi="Arial" w:cs="Arial"/>
          <w:bCs/>
          <w:spacing w:val="4"/>
          <w:sz w:val="20"/>
        </w:rPr>
        <w:t xml:space="preserve"> Lasy Państwowe Nadleśnictwo Drewnica</w:t>
      </w:r>
      <w:r w:rsidR="00D53DE0">
        <w:rPr>
          <w:rFonts w:ascii="Arial" w:hAnsi="Arial" w:cs="Arial"/>
          <w:bCs/>
          <w:spacing w:val="4"/>
          <w:sz w:val="20"/>
        </w:rPr>
        <w:t xml:space="preserve">, </w:t>
      </w:r>
      <w:r w:rsidRPr="00421922">
        <w:rPr>
          <w:rFonts w:ascii="Arial" w:hAnsi="Arial" w:cs="Arial"/>
          <w:bCs/>
          <w:spacing w:val="4"/>
          <w:sz w:val="20"/>
        </w:rPr>
        <w:t xml:space="preserve">od decyzji </w:t>
      </w:r>
      <w:r w:rsidR="00A01C33" w:rsidRPr="00C174F0">
        <w:rPr>
          <w:rFonts w:ascii="Arial" w:hAnsi="Arial" w:cs="Arial"/>
          <w:spacing w:val="4"/>
          <w:sz w:val="20"/>
          <w:szCs w:val="20"/>
        </w:rPr>
        <w:t xml:space="preserve">Wojewody </w:t>
      </w:r>
      <w:r w:rsidR="003C2AF5" w:rsidRPr="00D05402">
        <w:rPr>
          <w:rFonts w:ascii="Arial" w:hAnsi="Arial" w:cs="Arial"/>
          <w:spacing w:val="4"/>
          <w:sz w:val="20"/>
        </w:rPr>
        <w:t>Mazowieckiego</w:t>
      </w:r>
      <w:r w:rsidR="003C2AF5">
        <w:rPr>
          <w:rFonts w:ascii="Arial" w:hAnsi="Arial" w:cs="Arial"/>
          <w:spacing w:val="4"/>
          <w:sz w:val="20"/>
        </w:rPr>
        <w:t xml:space="preserve"> </w:t>
      </w:r>
      <w:r w:rsidR="003C2AF5" w:rsidRPr="00D05402">
        <w:rPr>
          <w:rFonts w:ascii="Arial" w:hAnsi="Arial" w:cs="Arial"/>
          <w:spacing w:val="4"/>
          <w:sz w:val="20"/>
        </w:rPr>
        <w:t>Nr 69/LOK/2020 z dnia 6 lipca 2020 r., znak WI-I.746.1.153.2019.AP(MP), o ustaleniu lokalizacji</w:t>
      </w:r>
      <w:r w:rsidR="003C2AF5">
        <w:rPr>
          <w:rFonts w:ascii="Arial" w:hAnsi="Arial" w:cs="Arial"/>
          <w:spacing w:val="4"/>
          <w:sz w:val="20"/>
        </w:rPr>
        <w:t xml:space="preserve"> </w:t>
      </w:r>
      <w:r w:rsidR="003C2AF5" w:rsidRPr="00D05402">
        <w:rPr>
          <w:rFonts w:ascii="Arial" w:hAnsi="Arial" w:cs="Arial"/>
          <w:spacing w:val="4"/>
          <w:sz w:val="20"/>
        </w:rPr>
        <w:t>inwestycji celu publicznego dla inwestycji polegającej na budowie kolektora ścieków surowych</w:t>
      </w:r>
      <w:r w:rsidR="003C2AF5">
        <w:rPr>
          <w:rFonts w:ascii="Arial" w:hAnsi="Arial" w:cs="Arial"/>
          <w:spacing w:val="4"/>
          <w:sz w:val="20"/>
        </w:rPr>
        <w:t xml:space="preserve"> </w:t>
      </w:r>
      <w:r w:rsidR="00020FCE">
        <w:rPr>
          <w:rFonts w:ascii="Arial" w:hAnsi="Arial" w:cs="Arial"/>
          <w:spacing w:val="4"/>
          <w:sz w:val="20"/>
        </w:rPr>
        <w:br/>
      </w:r>
      <w:r w:rsidR="003C2AF5" w:rsidRPr="00D05402">
        <w:rPr>
          <w:rFonts w:ascii="Arial" w:hAnsi="Arial" w:cs="Arial"/>
          <w:spacing w:val="4"/>
          <w:sz w:val="20"/>
        </w:rPr>
        <w:t>na terenie zamkniętym - działka nr ew. 15/3, obręb 0027, jedn. ew. 141215_1 Sulejówek</w:t>
      </w:r>
      <w:r w:rsidRPr="00421922">
        <w:rPr>
          <w:rFonts w:ascii="Arial" w:hAnsi="Arial" w:cs="Arial"/>
          <w:spacing w:val="4"/>
          <w:sz w:val="20"/>
        </w:rPr>
        <w:t xml:space="preserve">, </w:t>
      </w:r>
    </w:p>
    <w:p w:rsidR="003C2AF5" w:rsidRDefault="003C2AF5" w:rsidP="00D670F6">
      <w:pPr>
        <w:spacing w:after="240" w:line="240" w:lineRule="exact"/>
        <w:jc w:val="center"/>
        <w:rPr>
          <w:rFonts w:ascii="Arial" w:hAnsi="Arial" w:cs="Arial"/>
          <w:b/>
          <w:sz w:val="20"/>
        </w:rPr>
      </w:pPr>
      <w:r>
        <w:rPr>
          <w:rFonts w:ascii="Arial" w:hAnsi="Arial" w:cs="Arial"/>
          <w:b/>
          <w:sz w:val="20"/>
        </w:rPr>
        <w:t>uchylam zaskarżoną decyzję w całości</w:t>
      </w:r>
    </w:p>
    <w:p w:rsidR="00A01C33" w:rsidRPr="003C2AF5" w:rsidRDefault="003C2AF5" w:rsidP="003C2AF5">
      <w:pPr>
        <w:spacing w:after="600" w:line="240" w:lineRule="exact"/>
        <w:jc w:val="center"/>
        <w:rPr>
          <w:rFonts w:ascii="Arial" w:hAnsi="Arial" w:cs="Arial"/>
          <w:spacing w:val="4"/>
          <w:sz w:val="20"/>
        </w:rPr>
      </w:pPr>
      <w:r>
        <w:rPr>
          <w:rFonts w:ascii="Arial" w:hAnsi="Arial" w:cs="Arial"/>
          <w:b/>
          <w:sz w:val="20"/>
        </w:rPr>
        <w:t>i przekazuję sprawę do ponownego rozpatrzenia organowi I instancji</w:t>
      </w:r>
      <w:r w:rsidR="00A01C33" w:rsidRPr="003C2AF5">
        <w:rPr>
          <w:rFonts w:ascii="Arial" w:hAnsi="Arial" w:cs="Arial"/>
          <w:b/>
          <w:sz w:val="20"/>
        </w:rPr>
        <w:t>.</w:t>
      </w:r>
    </w:p>
    <w:p w:rsidR="00446636" w:rsidRDefault="00446636" w:rsidP="00E731F0">
      <w:pPr>
        <w:spacing w:after="360" w:line="240" w:lineRule="exact"/>
        <w:jc w:val="center"/>
        <w:rPr>
          <w:rFonts w:ascii="Arial" w:hAnsi="Arial" w:cs="Arial"/>
          <w:b/>
          <w:bCs/>
          <w:spacing w:val="4"/>
          <w:sz w:val="20"/>
        </w:rPr>
      </w:pPr>
      <w:r w:rsidRPr="00421922">
        <w:rPr>
          <w:rFonts w:ascii="Arial" w:hAnsi="Arial" w:cs="Arial"/>
          <w:b/>
          <w:bCs/>
          <w:spacing w:val="4"/>
          <w:sz w:val="20"/>
        </w:rPr>
        <w:t>UZASADNIENIE</w:t>
      </w:r>
    </w:p>
    <w:p w:rsidR="00973C18" w:rsidRPr="00F56722" w:rsidRDefault="007A44CC" w:rsidP="00E731F0">
      <w:pPr>
        <w:spacing w:after="240" w:line="240" w:lineRule="exact"/>
        <w:jc w:val="both"/>
        <w:rPr>
          <w:rFonts w:ascii="Arial" w:hAnsi="Arial" w:cs="Arial"/>
          <w:spacing w:val="4"/>
          <w:sz w:val="20"/>
          <w:szCs w:val="20"/>
        </w:rPr>
      </w:pPr>
      <w:r w:rsidRPr="00E731F0">
        <w:rPr>
          <w:rFonts w:ascii="Arial" w:hAnsi="Arial" w:cs="Arial"/>
          <w:spacing w:val="4"/>
          <w:sz w:val="20"/>
          <w:szCs w:val="20"/>
        </w:rPr>
        <w:t>Wnioskiem z dnia 2 grudnia 2019 r., skorygowany</w:t>
      </w:r>
      <w:r w:rsidR="00D40199">
        <w:rPr>
          <w:rFonts w:ascii="Arial" w:hAnsi="Arial" w:cs="Arial"/>
          <w:spacing w:val="4"/>
          <w:sz w:val="20"/>
          <w:szCs w:val="20"/>
        </w:rPr>
        <w:t>m</w:t>
      </w:r>
      <w:r w:rsidRPr="00E731F0">
        <w:rPr>
          <w:rFonts w:ascii="Arial" w:hAnsi="Arial" w:cs="Arial"/>
          <w:spacing w:val="4"/>
          <w:sz w:val="20"/>
          <w:szCs w:val="20"/>
        </w:rPr>
        <w:t xml:space="preserve"> </w:t>
      </w:r>
      <w:r w:rsidR="00020FCE" w:rsidRPr="00E731F0">
        <w:rPr>
          <w:rFonts w:ascii="Arial" w:hAnsi="Arial" w:cs="Arial"/>
          <w:spacing w:val="4"/>
          <w:sz w:val="20"/>
          <w:szCs w:val="20"/>
        </w:rPr>
        <w:t>w trakcie prowadzonego postępowania</w:t>
      </w:r>
      <w:r w:rsidRPr="00E731F0">
        <w:rPr>
          <w:rFonts w:ascii="Arial" w:hAnsi="Arial" w:cs="Arial"/>
          <w:spacing w:val="4"/>
          <w:sz w:val="20"/>
          <w:szCs w:val="20"/>
        </w:rPr>
        <w:t xml:space="preserve">, </w:t>
      </w:r>
      <w:r w:rsidR="00020FCE" w:rsidRPr="00F56722">
        <w:rPr>
          <w:rFonts w:ascii="Arial" w:hAnsi="Arial" w:cs="Arial"/>
          <w:spacing w:val="4"/>
          <w:sz w:val="20"/>
          <w:szCs w:val="20"/>
        </w:rPr>
        <w:br/>
      </w:r>
      <w:r w:rsidRPr="00F56722">
        <w:rPr>
          <w:rFonts w:ascii="Arial" w:hAnsi="Arial" w:cs="Arial"/>
          <w:spacing w:val="4"/>
          <w:sz w:val="20"/>
          <w:szCs w:val="20"/>
        </w:rPr>
        <w:t xml:space="preserve">Miejski Zarząd Wodociągów i Kanalizacji w Sulejówku, </w:t>
      </w:r>
      <w:r w:rsidRPr="00E731F0">
        <w:rPr>
          <w:rFonts w:ascii="Arial" w:hAnsi="Arial" w:cs="Arial"/>
          <w:spacing w:val="4"/>
          <w:sz w:val="20"/>
          <w:szCs w:val="20"/>
        </w:rPr>
        <w:t>zwany dalej „</w:t>
      </w:r>
      <w:r w:rsidRPr="00E731F0">
        <w:rPr>
          <w:rFonts w:ascii="Arial" w:hAnsi="Arial" w:cs="Arial"/>
          <w:i/>
          <w:spacing w:val="4"/>
          <w:sz w:val="20"/>
          <w:szCs w:val="20"/>
        </w:rPr>
        <w:t>inwestorem</w:t>
      </w:r>
      <w:r w:rsidRPr="00E731F0">
        <w:rPr>
          <w:rFonts w:ascii="Arial" w:hAnsi="Arial" w:cs="Arial"/>
          <w:spacing w:val="4"/>
          <w:sz w:val="20"/>
          <w:szCs w:val="20"/>
        </w:rPr>
        <w:t xml:space="preserve">”, </w:t>
      </w:r>
      <w:r w:rsidR="00020FCE" w:rsidRPr="00E731F0">
        <w:rPr>
          <w:rFonts w:ascii="Arial" w:hAnsi="Arial" w:cs="Arial"/>
          <w:spacing w:val="4"/>
          <w:sz w:val="20"/>
          <w:szCs w:val="20"/>
        </w:rPr>
        <w:t>wystąpił</w:t>
      </w:r>
      <w:r w:rsidR="0086667B" w:rsidRPr="00F56722">
        <w:rPr>
          <w:rFonts w:ascii="Arial" w:hAnsi="Arial" w:cs="Arial"/>
          <w:spacing w:val="4"/>
          <w:sz w:val="20"/>
          <w:szCs w:val="20"/>
        </w:rPr>
        <w:t xml:space="preserve"> do Wojewody Mazowieckiego o wydanie decyzji o ustaleniu lokalizacji inwestycji celu publicznego na terenie zamkniętym dla przedsięwzięcia polegającego na budowie kolektora ścieków surowych na terenie zamkniętym – działka nr ew. 15/3 </w:t>
      </w:r>
      <w:proofErr w:type="spellStart"/>
      <w:r w:rsidR="0086667B" w:rsidRPr="00F56722">
        <w:rPr>
          <w:rFonts w:ascii="Arial" w:hAnsi="Arial" w:cs="Arial"/>
          <w:spacing w:val="4"/>
          <w:sz w:val="20"/>
          <w:szCs w:val="20"/>
        </w:rPr>
        <w:t>obr</w:t>
      </w:r>
      <w:proofErr w:type="spellEnd"/>
      <w:r w:rsidR="0086667B" w:rsidRPr="00F56722">
        <w:rPr>
          <w:rFonts w:ascii="Arial" w:hAnsi="Arial" w:cs="Arial"/>
          <w:spacing w:val="4"/>
          <w:sz w:val="20"/>
          <w:szCs w:val="20"/>
        </w:rPr>
        <w:t>. 0027.</w:t>
      </w:r>
    </w:p>
    <w:p w:rsidR="0086667B" w:rsidRPr="00F56722" w:rsidRDefault="00D53DE0">
      <w:pPr>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Po przeprowadzeniu postępowania w sprawie ww. wniosku, </w:t>
      </w:r>
      <w:r w:rsidR="0086667B" w:rsidRPr="00F56722">
        <w:rPr>
          <w:rFonts w:ascii="Arial" w:hAnsi="Arial" w:cs="Arial"/>
          <w:spacing w:val="4"/>
          <w:sz w:val="20"/>
          <w:szCs w:val="20"/>
        </w:rPr>
        <w:t xml:space="preserve">Wojewoda Mazowiecki decyzją </w:t>
      </w:r>
      <w:r w:rsidRPr="00F56722">
        <w:rPr>
          <w:rFonts w:ascii="Arial" w:hAnsi="Arial" w:cs="Arial"/>
          <w:spacing w:val="4"/>
          <w:sz w:val="20"/>
          <w:szCs w:val="20"/>
        </w:rPr>
        <w:br/>
      </w:r>
      <w:r w:rsidR="0086667B" w:rsidRPr="00F56722">
        <w:rPr>
          <w:rFonts w:ascii="Arial" w:hAnsi="Arial" w:cs="Arial"/>
          <w:spacing w:val="4"/>
          <w:sz w:val="20"/>
          <w:szCs w:val="20"/>
        </w:rPr>
        <w:t xml:space="preserve">Nr 69/LOK/2020 </w:t>
      </w:r>
      <w:r w:rsidR="00020FCE" w:rsidRPr="00F56722">
        <w:rPr>
          <w:rFonts w:ascii="Arial" w:hAnsi="Arial" w:cs="Arial"/>
          <w:spacing w:val="4"/>
          <w:sz w:val="20"/>
          <w:szCs w:val="20"/>
        </w:rPr>
        <w:t xml:space="preserve">z dnia 6 lipca 2020 r., znak: </w:t>
      </w:r>
      <w:r w:rsidR="0086667B" w:rsidRPr="00F56722">
        <w:rPr>
          <w:rFonts w:ascii="Arial" w:hAnsi="Arial" w:cs="Arial"/>
          <w:spacing w:val="4"/>
          <w:sz w:val="20"/>
          <w:szCs w:val="20"/>
        </w:rPr>
        <w:t>WI-I.746.1.153.2019.AP(MP),</w:t>
      </w:r>
      <w:r w:rsidR="008957D7" w:rsidRPr="00F56722">
        <w:rPr>
          <w:rFonts w:ascii="Arial" w:hAnsi="Arial" w:cs="Arial"/>
          <w:spacing w:val="4"/>
          <w:sz w:val="20"/>
          <w:szCs w:val="20"/>
        </w:rPr>
        <w:t xml:space="preserve"> zwaną dalej </w:t>
      </w:r>
      <w:r w:rsidR="008957D7" w:rsidRPr="00F56722">
        <w:rPr>
          <w:rFonts w:ascii="Arial" w:hAnsi="Arial" w:cs="Arial"/>
          <w:i/>
          <w:spacing w:val="4"/>
          <w:sz w:val="20"/>
          <w:szCs w:val="20"/>
        </w:rPr>
        <w:t>„decyzją Wojewody Mazowieckiego”</w:t>
      </w:r>
      <w:r w:rsidR="00020FCE" w:rsidRPr="00F56722">
        <w:rPr>
          <w:rFonts w:ascii="Arial" w:hAnsi="Arial" w:cs="Arial"/>
          <w:i/>
          <w:spacing w:val="4"/>
          <w:sz w:val="20"/>
          <w:szCs w:val="20"/>
        </w:rPr>
        <w:t>,</w:t>
      </w:r>
      <w:r w:rsidR="0086667B" w:rsidRPr="00F56722">
        <w:rPr>
          <w:rFonts w:ascii="Arial" w:hAnsi="Arial" w:cs="Arial"/>
          <w:spacing w:val="4"/>
          <w:sz w:val="20"/>
          <w:szCs w:val="20"/>
        </w:rPr>
        <w:t xml:space="preserve"> </w:t>
      </w:r>
      <w:r w:rsidR="008957D7" w:rsidRPr="00F56722">
        <w:rPr>
          <w:rFonts w:ascii="Arial" w:hAnsi="Arial" w:cs="Arial"/>
          <w:spacing w:val="4"/>
          <w:sz w:val="20"/>
          <w:szCs w:val="20"/>
        </w:rPr>
        <w:t xml:space="preserve">ustalił lokalizację inwestycji celu publicznego </w:t>
      </w:r>
      <w:r w:rsidR="00CA0712" w:rsidRPr="00F56722">
        <w:rPr>
          <w:rFonts w:ascii="Arial" w:hAnsi="Arial" w:cs="Arial"/>
          <w:spacing w:val="4"/>
          <w:sz w:val="20"/>
          <w:szCs w:val="20"/>
        </w:rPr>
        <w:t xml:space="preserve">dla inwestycji polegającej </w:t>
      </w:r>
      <w:r w:rsidR="00CA0712" w:rsidRPr="00F56722">
        <w:rPr>
          <w:rFonts w:ascii="Arial" w:hAnsi="Arial" w:cs="Arial"/>
          <w:spacing w:val="4"/>
          <w:sz w:val="20"/>
          <w:szCs w:val="20"/>
        </w:rPr>
        <w:br/>
        <w:t>na budowie kolektora ścieków surowych na terenie zamkniętym - działka nr ew. 15/3, obręb 0027, jedn. ew. 141215_1 Sulejówek</w:t>
      </w:r>
      <w:r w:rsidR="008957D7" w:rsidRPr="00F56722">
        <w:rPr>
          <w:rFonts w:ascii="Arial" w:hAnsi="Arial" w:cs="Arial"/>
          <w:spacing w:val="4"/>
          <w:sz w:val="20"/>
          <w:szCs w:val="20"/>
        </w:rPr>
        <w:t>.</w:t>
      </w:r>
    </w:p>
    <w:p w:rsidR="00F60081" w:rsidRPr="00F56722" w:rsidRDefault="00F60081">
      <w:pPr>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Od </w:t>
      </w:r>
      <w:r w:rsidRPr="00F56722">
        <w:rPr>
          <w:rFonts w:ascii="Arial" w:hAnsi="Arial" w:cs="Arial"/>
          <w:i/>
          <w:spacing w:val="4"/>
          <w:sz w:val="20"/>
          <w:szCs w:val="20"/>
        </w:rPr>
        <w:t>decyzji Wojewody Mazowieckiego</w:t>
      </w:r>
      <w:r w:rsidRPr="00F56722">
        <w:rPr>
          <w:rFonts w:ascii="Arial" w:hAnsi="Arial" w:cs="Arial"/>
          <w:spacing w:val="4"/>
          <w:sz w:val="20"/>
          <w:szCs w:val="20"/>
        </w:rPr>
        <w:t xml:space="preserve"> odwołanie, za pośrednictwem organu pierwszej instancji, wniosło</w:t>
      </w:r>
      <w:r w:rsidRPr="00F56722">
        <w:rPr>
          <w:rFonts w:ascii="Arial" w:hAnsi="Arial" w:cs="Arial"/>
          <w:bCs/>
          <w:spacing w:val="4"/>
          <w:sz w:val="20"/>
        </w:rPr>
        <w:t xml:space="preserve"> Państwowe Gospodarstwo Leśne Lasy Państwowe Nadleśnictwo Drewnica</w:t>
      </w:r>
      <w:r w:rsidR="00CA0712" w:rsidRPr="00F56722">
        <w:rPr>
          <w:rFonts w:ascii="Arial" w:hAnsi="Arial" w:cs="Arial"/>
          <w:spacing w:val="4"/>
          <w:sz w:val="20"/>
          <w:szCs w:val="20"/>
        </w:rPr>
        <w:t>, zwane dalej „</w:t>
      </w:r>
      <w:r w:rsidR="00CA0712" w:rsidRPr="00D670F6">
        <w:rPr>
          <w:rFonts w:ascii="Arial" w:hAnsi="Arial" w:cs="Arial"/>
          <w:i/>
          <w:spacing w:val="4"/>
          <w:sz w:val="20"/>
          <w:szCs w:val="20"/>
        </w:rPr>
        <w:t>Nadleśnictwem Drewnica</w:t>
      </w:r>
      <w:r w:rsidR="00CA0712" w:rsidRPr="00E731F0">
        <w:rPr>
          <w:rFonts w:ascii="Arial" w:hAnsi="Arial" w:cs="Arial"/>
          <w:spacing w:val="4"/>
          <w:sz w:val="20"/>
          <w:szCs w:val="20"/>
        </w:rPr>
        <w:t xml:space="preserve">” </w:t>
      </w:r>
      <w:r w:rsidRPr="00F56722">
        <w:rPr>
          <w:rFonts w:ascii="Arial" w:hAnsi="Arial" w:cs="Arial"/>
          <w:spacing w:val="4"/>
          <w:sz w:val="20"/>
          <w:szCs w:val="20"/>
        </w:rPr>
        <w:t>[pismo z dnia 18 sierpnia 2020 r. nadane w polskiej placówce pocztowej operatora wyznaczonego w rozumieniu ustawy z dnia 23 listopada 2012 r. – Prawo pocztowe (t.j. Dz. U. z 2020 r. poz. 1041), w dniu 19 sierpnia 2020 r.].</w:t>
      </w:r>
    </w:p>
    <w:p w:rsidR="00F60081" w:rsidRPr="00F56722" w:rsidRDefault="00F60081">
      <w:pPr>
        <w:spacing w:after="240" w:line="240" w:lineRule="exact"/>
        <w:jc w:val="both"/>
        <w:rPr>
          <w:rFonts w:ascii="Arial" w:hAnsi="Arial" w:cs="Arial"/>
          <w:spacing w:val="4"/>
          <w:sz w:val="20"/>
          <w:szCs w:val="20"/>
        </w:rPr>
      </w:pPr>
      <w:r w:rsidRPr="00F56722">
        <w:rPr>
          <w:rFonts w:ascii="Arial" w:hAnsi="Arial" w:cs="Arial"/>
          <w:spacing w:val="4"/>
          <w:sz w:val="20"/>
          <w:szCs w:val="20"/>
        </w:rPr>
        <w:t>W odwołaniu</w:t>
      </w:r>
      <w:r w:rsidR="00D96710" w:rsidRPr="00F56722">
        <w:rPr>
          <w:rFonts w:ascii="Arial" w:hAnsi="Arial" w:cs="Arial"/>
          <w:spacing w:val="4"/>
          <w:sz w:val="20"/>
          <w:szCs w:val="20"/>
        </w:rPr>
        <w:t>, wniesionym w terminie,</w:t>
      </w:r>
      <w:r w:rsidRPr="00F56722">
        <w:rPr>
          <w:rFonts w:ascii="Arial" w:hAnsi="Arial" w:cs="Arial"/>
          <w:spacing w:val="4"/>
          <w:sz w:val="20"/>
          <w:szCs w:val="20"/>
        </w:rPr>
        <w:t xml:space="preserve"> </w:t>
      </w:r>
      <w:r w:rsidR="00020FCE" w:rsidRPr="00D670F6">
        <w:rPr>
          <w:rFonts w:ascii="Arial" w:hAnsi="Arial" w:cs="Arial"/>
          <w:bCs/>
          <w:i/>
          <w:spacing w:val="4"/>
          <w:sz w:val="20"/>
        </w:rPr>
        <w:t>Nadleśnictwo Drewnica</w:t>
      </w:r>
      <w:r w:rsidR="00020FCE" w:rsidRPr="00E731F0">
        <w:rPr>
          <w:rFonts w:ascii="Arial" w:hAnsi="Arial" w:cs="Arial"/>
          <w:spacing w:val="4"/>
          <w:sz w:val="20"/>
          <w:szCs w:val="20"/>
        </w:rPr>
        <w:t xml:space="preserve"> </w:t>
      </w:r>
      <w:r w:rsidRPr="00E731F0">
        <w:rPr>
          <w:rFonts w:ascii="Arial" w:hAnsi="Arial" w:cs="Arial"/>
          <w:spacing w:val="4"/>
          <w:sz w:val="20"/>
          <w:szCs w:val="20"/>
        </w:rPr>
        <w:t>zarzucił</w:t>
      </w:r>
      <w:r w:rsidR="00020FCE" w:rsidRPr="00E731F0">
        <w:rPr>
          <w:rFonts w:ascii="Arial" w:hAnsi="Arial" w:cs="Arial"/>
          <w:spacing w:val="4"/>
          <w:sz w:val="20"/>
          <w:szCs w:val="20"/>
        </w:rPr>
        <w:t>o</w:t>
      </w:r>
      <w:r w:rsidRPr="00F56722">
        <w:rPr>
          <w:rFonts w:ascii="Arial" w:hAnsi="Arial" w:cs="Arial"/>
          <w:spacing w:val="4"/>
          <w:sz w:val="20"/>
          <w:szCs w:val="20"/>
        </w:rPr>
        <w:t xml:space="preserve"> </w:t>
      </w:r>
      <w:r w:rsidRPr="00F56722">
        <w:rPr>
          <w:rFonts w:ascii="Arial" w:hAnsi="Arial" w:cs="Arial"/>
          <w:i/>
          <w:spacing w:val="4"/>
          <w:sz w:val="20"/>
          <w:szCs w:val="20"/>
        </w:rPr>
        <w:t>decyzji Wojewody Mazowieckiego</w:t>
      </w:r>
      <w:r w:rsidRPr="00F56722">
        <w:rPr>
          <w:rFonts w:ascii="Arial" w:hAnsi="Arial" w:cs="Arial"/>
          <w:spacing w:val="4"/>
          <w:sz w:val="20"/>
          <w:szCs w:val="20"/>
        </w:rPr>
        <w:t xml:space="preserve"> naruszenie art. 53 ust. 4 pkt 6 ustawy z dnia 27 marca 2003 r. o planowaniu </w:t>
      </w:r>
      <w:r w:rsidR="00CA0712" w:rsidRPr="00F56722">
        <w:rPr>
          <w:rFonts w:ascii="Arial" w:hAnsi="Arial" w:cs="Arial"/>
          <w:spacing w:val="4"/>
          <w:sz w:val="20"/>
          <w:szCs w:val="20"/>
        </w:rPr>
        <w:br/>
      </w:r>
      <w:r w:rsidRPr="00F56722">
        <w:rPr>
          <w:rFonts w:ascii="Arial" w:hAnsi="Arial" w:cs="Arial"/>
          <w:spacing w:val="4"/>
          <w:sz w:val="20"/>
          <w:szCs w:val="20"/>
        </w:rPr>
        <w:t>i zagospodarowaniu przestrzennym (Dz. U. z 2021 r. poz. 741, z późn. zm.), zwanej dalej „</w:t>
      </w:r>
      <w:r w:rsidRPr="00F56722">
        <w:rPr>
          <w:rFonts w:ascii="Arial" w:hAnsi="Arial" w:cs="Arial"/>
          <w:i/>
          <w:spacing w:val="4"/>
          <w:sz w:val="20"/>
          <w:szCs w:val="20"/>
        </w:rPr>
        <w:t xml:space="preserve">ustawą </w:t>
      </w:r>
      <w:r w:rsidR="00CA0712" w:rsidRPr="00F56722">
        <w:rPr>
          <w:rFonts w:ascii="Arial" w:hAnsi="Arial" w:cs="Arial"/>
          <w:i/>
          <w:spacing w:val="4"/>
          <w:sz w:val="20"/>
          <w:szCs w:val="20"/>
        </w:rPr>
        <w:br/>
      </w:r>
      <w:r w:rsidRPr="00F56722">
        <w:rPr>
          <w:rFonts w:ascii="Arial" w:hAnsi="Arial" w:cs="Arial"/>
          <w:i/>
          <w:spacing w:val="4"/>
          <w:sz w:val="20"/>
          <w:szCs w:val="20"/>
        </w:rPr>
        <w:t>o planowaniu i zagospodarowaniu przestrzennym”</w:t>
      </w:r>
      <w:r w:rsidR="00CA0712" w:rsidRPr="00F56722">
        <w:rPr>
          <w:rFonts w:ascii="Arial" w:hAnsi="Arial" w:cs="Arial"/>
          <w:spacing w:val="4"/>
          <w:sz w:val="20"/>
          <w:szCs w:val="20"/>
        </w:rPr>
        <w:t xml:space="preserve">, poprzez </w:t>
      </w:r>
      <w:r w:rsidR="00ED2A60" w:rsidRPr="00F56722">
        <w:rPr>
          <w:rFonts w:ascii="Arial" w:hAnsi="Arial" w:cs="Arial"/>
          <w:spacing w:val="4"/>
          <w:sz w:val="20"/>
          <w:szCs w:val="20"/>
        </w:rPr>
        <w:t xml:space="preserve">nieuzgodnienie projektu decyzji o ustaleniu lokalizacji inwestycji celu publicznego z organem właściwym w sprawach ochrony gruntów </w:t>
      </w:r>
      <w:r w:rsidR="00ED2A60" w:rsidRPr="00F56722">
        <w:rPr>
          <w:rFonts w:ascii="Arial" w:hAnsi="Arial" w:cs="Arial"/>
          <w:spacing w:val="4"/>
          <w:sz w:val="20"/>
          <w:szCs w:val="20"/>
        </w:rPr>
        <w:br/>
        <w:t>leśnych</w:t>
      </w:r>
      <w:r w:rsidR="00CA0712" w:rsidRPr="00F56722">
        <w:rPr>
          <w:rFonts w:ascii="Arial" w:hAnsi="Arial" w:cs="Arial"/>
          <w:spacing w:val="4"/>
          <w:sz w:val="20"/>
          <w:szCs w:val="20"/>
        </w:rPr>
        <w:t>.</w:t>
      </w:r>
      <w:r w:rsidR="00ED2A60" w:rsidRPr="00F56722">
        <w:rPr>
          <w:rFonts w:ascii="Arial" w:hAnsi="Arial" w:cs="Arial"/>
          <w:spacing w:val="4"/>
          <w:sz w:val="20"/>
          <w:szCs w:val="20"/>
        </w:rPr>
        <w:t xml:space="preserve"> W uzasadnieniu odwołania skarżące Nadleśnictwo przedstawiło argumentację na poparcie </w:t>
      </w:r>
      <w:r w:rsidR="003112EB" w:rsidRPr="00F56722">
        <w:rPr>
          <w:rFonts w:ascii="Arial" w:hAnsi="Arial" w:cs="Arial"/>
          <w:spacing w:val="4"/>
          <w:sz w:val="20"/>
          <w:szCs w:val="20"/>
        </w:rPr>
        <w:br/>
      </w:r>
      <w:r w:rsidR="00ED2A60" w:rsidRPr="00F56722">
        <w:rPr>
          <w:rFonts w:ascii="Arial" w:hAnsi="Arial" w:cs="Arial"/>
          <w:spacing w:val="4"/>
          <w:sz w:val="20"/>
          <w:szCs w:val="20"/>
        </w:rPr>
        <w:t>ww. zarzutu.</w:t>
      </w:r>
    </w:p>
    <w:p w:rsidR="00D96710" w:rsidRPr="00F56722" w:rsidRDefault="00D96710">
      <w:pPr>
        <w:spacing w:after="240" w:line="240" w:lineRule="exact"/>
        <w:jc w:val="both"/>
        <w:outlineLvl w:val="0"/>
        <w:rPr>
          <w:rFonts w:ascii="Arial" w:hAnsi="Arial" w:cs="Arial"/>
          <w:spacing w:val="4"/>
          <w:sz w:val="20"/>
          <w:szCs w:val="20"/>
        </w:rPr>
      </w:pPr>
      <w:r w:rsidRPr="00F56722">
        <w:rPr>
          <w:rFonts w:ascii="Arial" w:hAnsi="Arial" w:cs="Arial"/>
          <w:bCs/>
          <w:spacing w:val="4"/>
          <w:sz w:val="20"/>
          <w:szCs w:val="20"/>
        </w:rPr>
        <w:t xml:space="preserve">Uwzględniając fakt, iż właściwym w przedmiotowej sprawie – stosownie do treści </w:t>
      </w:r>
      <w:r w:rsidRPr="00F56722">
        <w:rPr>
          <w:rFonts w:ascii="Arial" w:hAnsi="Arial" w:cs="Arial"/>
          <w:spacing w:val="4"/>
          <w:sz w:val="20"/>
          <w:szCs w:val="20"/>
        </w:rPr>
        <w:t xml:space="preserve">rozporządzenia Prezesa Rady Ministrów z dnia 6 października 2020 r. </w:t>
      </w:r>
      <w:r w:rsidRPr="00F56722">
        <w:rPr>
          <w:rFonts w:ascii="Arial" w:hAnsi="Arial" w:cs="Arial"/>
          <w:bCs/>
          <w:spacing w:val="4"/>
          <w:sz w:val="20"/>
          <w:szCs w:val="20"/>
        </w:rPr>
        <w:t xml:space="preserve">w sprawie szczegółowego zakresu działania Ministra Rozwoju, Pracy i Technologii </w:t>
      </w:r>
      <w:r w:rsidRPr="00F56722">
        <w:rPr>
          <w:rFonts w:ascii="Arial" w:hAnsi="Arial" w:cs="Arial"/>
          <w:spacing w:val="4"/>
          <w:sz w:val="20"/>
          <w:szCs w:val="20"/>
        </w:rPr>
        <w:t>(Dz. U. z 2020 r. poz. 1718) – jest obecnie Minister Rozwoju, Pracy i Technologii, zwany dalej „</w:t>
      </w:r>
      <w:r w:rsidRPr="00F56722">
        <w:rPr>
          <w:rFonts w:ascii="Arial" w:hAnsi="Arial" w:cs="Arial"/>
          <w:i/>
          <w:spacing w:val="4"/>
          <w:sz w:val="20"/>
          <w:szCs w:val="20"/>
        </w:rPr>
        <w:t>Ministrem</w:t>
      </w:r>
      <w:r w:rsidRPr="00F56722">
        <w:rPr>
          <w:rFonts w:ascii="Arial" w:hAnsi="Arial" w:cs="Arial"/>
          <w:spacing w:val="4"/>
          <w:sz w:val="20"/>
          <w:szCs w:val="20"/>
        </w:rPr>
        <w:t>”, stwierdzono, co następuje.</w:t>
      </w:r>
    </w:p>
    <w:p w:rsidR="00D96710" w:rsidRPr="00F56722" w:rsidRDefault="00D96710">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lastRenderedPageBreak/>
        <w:t xml:space="preserve">Kompetencje organu odwoławczego obejmują korygowanie zarówno wad prawnych decyzji organu </w:t>
      </w:r>
      <w:r w:rsidRPr="00F56722">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Pr="00F56722">
        <w:rPr>
          <w:rFonts w:ascii="Arial" w:hAnsi="Arial" w:cs="Arial"/>
          <w:spacing w:val="4"/>
          <w:sz w:val="20"/>
          <w:szCs w:val="20"/>
        </w:rPr>
        <w:br/>
        <w:t xml:space="preserve">a fakty istotne dla podjęcia rozstrzygnięcia powinny zostać w miarę możliwości bezsprzecznie ustalone. Obowiązek ten wynika z art. 7 i art. 77 </w:t>
      </w:r>
      <w:r w:rsidRPr="00F56722">
        <w:rPr>
          <w:rFonts w:ascii="Arial" w:hAnsi="Arial" w:cs="Arial"/>
          <w:i/>
          <w:spacing w:val="4"/>
          <w:sz w:val="20"/>
          <w:szCs w:val="20"/>
        </w:rPr>
        <w:t>kpa</w:t>
      </w:r>
      <w:r w:rsidRPr="00F56722">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F56722">
        <w:rPr>
          <w:rFonts w:ascii="Arial" w:hAnsi="Arial" w:cs="Arial"/>
          <w:i/>
          <w:spacing w:val="4"/>
          <w:sz w:val="20"/>
          <w:szCs w:val="20"/>
        </w:rPr>
        <w:t>kpa</w:t>
      </w:r>
      <w:r w:rsidRPr="00F56722">
        <w:rPr>
          <w:rFonts w:ascii="Arial" w:hAnsi="Arial" w:cs="Arial"/>
          <w:spacing w:val="4"/>
          <w:sz w:val="20"/>
          <w:szCs w:val="20"/>
        </w:rPr>
        <w:t>, a przede wszystkim do podejmowania wszelkich kroków niezbędnych do dokładnego wyjaśnienia stanu faktycznego.</w:t>
      </w:r>
    </w:p>
    <w:p w:rsidR="00D96710" w:rsidRPr="00F56722" w:rsidRDefault="00D96710">
      <w:pPr>
        <w:spacing w:after="240" w:line="240" w:lineRule="exact"/>
        <w:jc w:val="both"/>
        <w:outlineLvl w:val="0"/>
        <w:rPr>
          <w:rFonts w:ascii="Arial" w:hAnsi="Arial" w:cs="Arial"/>
          <w:spacing w:val="4"/>
          <w:sz w:val="20"/>
          <w:szCs w:val="20"/>
        </w:rPr>
      </w:pPr>
      <w:r w:rsidRPr="00F56722">
        <w:rPr>
          <w:rFonts w:ascii="Arial" w:hAnsi="Arial" w:cs="Arial"/>
          <w:i/>
          <w:spacing w:val="4"/>
          <w:sz w:val="20"/>
          <w:szCs w:val="20"/>
        </w:rPr>
        <w:t>Minister</w:t>
      </w:r>
      <w:r w:rsidRPr="00F56722">
        <w:rPr>
          <w:rFonts w:ascii="Arial" w:hAnsi="Arial" w:cs="Arial"/>
          <w:spacing w:val="4"/>
          <w:sz w:val="20"/>
          <w:szCs w:val="20"/>
        </w:rPr>
        <w:t xml:space="preserve"> w trakcie przeprowadzonego postępowania odwoławczego dokonał analizy wniosku </w:t>
      </w:r>
      <w:r w:rsidRPr="00F56722">
        <w:rPr>
          <w:rFonts w:ascii="Arial" w:hAnsi="Arial" w:cs="Arial"/>
          <w:i/>
          <w:spacing w:val="4"/>
          <w:sz w:val="20"/>
          <w:szCs w:val="20"/>
        </w:rPr>
        <w:t>inwestora</w:t>
      </w:r>
      <w:r w:rsidRPr="00F56722">
        <w:rPr>
          <w:rFonts w:ascii="Arial" w:hAnsi="Arial" w:cs="Arial"/>
          <w:spacing w:val="4"/>
          <w:sz w:val="20"/>
          <w:szCs w:val="20"/>
        </w:rPr>
        <w:t xml:space="preserve"> </w:t>
      </w:r>
      <w:r w:rsidRPr="00F56722">
        <w:rPr>
          <w:rFonts w:ascii="Arial" w:hAnsi="Arial" w:cs="Arial"/>
          <w:spacing w:val="4"/>
          <w:sz w:val="20"/>
          <w:szCs w:val="20"/>
        </w:rPr>
        <w:br/>
        <w:t xml:space="preserve">o wydanie decyzji o ustaleniu lokalizacji inwestycji celu publicznego na terenie zamkniętym, </w:t>
      </w:r>
      <w:r w:rsidR="00020FCE" w:rsidRPr="00F56722">
        <w:rPr>
          <w:rFonts w:ascii="Arial" w:hAnsi="Arial" w:cs="Arial"/>
          <w:spacing w:val="4"/>
          <w:sz w:val="20"/>
          <w:szCs w:val="20"/>
        </w:rPr>
        <w:br/>
        <w:t xml:space="preserve">jak </w:t>
      </w:r>
      <w:r w:rsidRPr="00F56722">
        <w:rPr>
          <w:rFonts w:ascii="Arial" w:hAnsi="Arial" w:cs="Arial"/>
          <w:spacing w:val="4"/>
          <w:sz w:val="20"/>
          <w:szCs w:val="20"/>
        </w:rPr>
        <w:t xml:space="preserve">i przebiegu postępowania przeprowadzonego przez organ I instancji, a także dokonał weryfikacji </w:t>
      </w:r>
      <w:r w:rsidRPr="00F56722">
        <w:rPr>
          <w:rFonts w:ascii="Arial" w:hAnsi="Arial" w:cs="Arial"/>
          <w:i/>
          <w:spacing w:val="4"/>
          <w:sz w:val="20"/>
          <w:szCs w:val="20"/>
        </w:rPr>
        <w:t>decyzji</w:t>
      </w:r>
      <w:r w:rsidRPr="00F56722">
        <w:rPr>
          <w:rFonts w:ascii="Arial" w:hAnsi="Arial" w:cs="Arial"/>
          <w:spacing w:val="4"/>
          <w:sz w:val="20"/>
          <w:szCs w:val="20"/>
        </w:rPr>
        <w:t xml:space="preserve"> </w:t>
      </w:r>
      <w:r w:rsidRPr="00F56722">
        <w:rPr>
          <w:rFonts w:ascii="Arial" w:hAnsi="Arial" w:cs="Arial"/>
          <w:i/>
          <w:spacing w:val="4"/>
          <w:sz w:val="20"/>
          <w:szCs w:val="20"/>
        </w:rPr>
        <w:t>Wojewody Mazowieckiego</w:t>
      </w:r>
      <w:r w:rsidRPr="00F56722">
        <w:rPr>
          <w:rFonts w:ascii="Arial" w:hAnsi="Arial" w:cs="Arial"/>
          <w:spacing w:val="4"/>
          <w:sz w:val="20"/>
          <w:szCs w:val="20"/>
        </w:rPr>
        <w:t xml:space="preserve"> oraz zarzutów podniesionych we wniesionym odwołaniu.</w:t>
      </w:r>
    </w:p>
    <w:p w:rsidR="00D96710" w:rsidRPr="00D670F6" w:rsidRDefault="00D96710">
      <w:pPr>
        <w:spacing w:after="240" w:line="240" w:lineRule="exact"/>
        <w:jc w:val="both"/>
        <w:outlineLvl w:val="0"/>
        <w:rPr>
          <w:rFonts w:ascii="Arial" w:hAnsi="Arial" w:cs="Arial"/>
          <w:spacing w:val="4"/>
          <w:sz w:val="20"/>
          <w:szCs w:val="20"/>
          <w:highlight w:val="yellow"/>
        </w:rPr>
      </w:pPr>
      <w:r w:rsidRPr="00F56722">
        <w:rPr>
          <w:rFonts w:ascii="Arial" w:hAnsi="Arial" w:cs="Arial"/>
          <w:spacing w:val="4"/>
          <w:sz w:val="20"/>
          <w:szCs w:val="20"/>
        </w:rPr>
        <w:t xml:space="preserve">W rezultacie dokonanej kontroli instancyjnej </w:t>
      </w:r>
      <w:r w:rsidRPr="00F56722">
        <w:rPr>
          <w:rFonts w:ascii="Arial" w:hAnsi="Arial" w:cs="Arial"/>
          <w:i/>
          <w:spacing w:val="4"/>
          <w:sz w:val="20"/>
          <w:szCs w:val="20"/>
        </w:rPr>
        <w:t xml:space="preserve">Minister </w:t>
      </w:r>
      <w:r w:rsidRPr="00F56722">
        <w:rPr>
          <w:rFonts w:ascii="Arial" w:hAnsi="Arial" w:cs="Arial"/>
          <w:spacing w:val="4"/>
          <w:sz w:val="20"/>
          <w:szCs w:val="20"/>
        </w:rPr>
        <w:t xml:space="preserve">uznał, że </w:t>
      </w:r>
      <w:r w:rsidR="00AD444B" w:rsidRPr="00F56722">
        <w:rPr>
          <w:rFonts w:ascii="Arial" w:hAnsi="Arial" w:cs="Arial"/>
          <w:spacing w:val="4"/>
          <w:sz w:val="20"/>
          <w:szCs w:val="20"/>
        </w:rPr>
        <w:t>wniesione odwołani</w:t>
      </w:r>
      <w:r w:rsidR="009F6BBC" w:rsidRPr="00F56722">
        <w:rPr>
          <w:rFonts w:ascii="Arial" w:hAnsi="Arial" w:cs="Arial"/>
          <w:spacing w:val="4"/>
          <w:sz w:val="20"/>
          <w:szCs w:val="20"/>
        </w:rPr>
        <w:t xml:space="preserve">e zasługuje </w:t>
      </w:r>
      <w:r w:rsidR="00F20510" w:rsidRPr="00F56722">
        <w:rPr>
          <w:rFonts w:ascii="Arial" w:hAnsi="Arial" w:cs="Arial"/>
          <w:spacing w:val="4"/>
          <w:sz w:val="20"/>
          <w:szCs w:val="20"/>
        </w:rPr>
        <w:br/>
      </w:r>
      <w:r w:rsidR="009F6BBC" w:rsidRPr="00F56722">
        <w:rPr>
          <w:rFonts w:ascii="Arial" w:hAnsi="Arial" w:cs="Arial"/>
          <w:spacing w:val="4"/>
          <w:sz w:val="20"/>
          <w:szCs w:val="20"/>
        </w:rPr>
        <w:t xml:space="preserve">na uwzględnienie, </w:t>
      </w:r>
      <w:r w:rsidR="00AD444B" w:rsidRPr="00F56722">
        <w:rPr>
          <w:rFonts w:ascii="Arial" w:hAnsi="Arial" w:cs="Arial"/>
          <w:spacing w:val="4"/>
          <w:sz w:val="20"/>
          <w:szCs w:val="20"/>
        </w:rPr>
        <w:t xml:space="preserve">bowiem </w:t>
      </w:r>
      <w:r w:rsidRPr="00F56722">
        <w:rPr>
          <w:rFonts w:ascii="Arial" w:hAnsi="Arial" w:cs="Arial"/>
          <w:spacing w:val="4"/>
          <w:sz w:val="20"/>
          <w:szCs w:val="20"/>
        </w:rPr>
        <w:t xml:space="preserve">Wojewoda Mazowiecki </w:t>
      </w:r>
      <w:r w:rsidR="00ED2A60" w:rsidRPr="00F56722">
        <w:rPr>
          <w:rFonts w:ascii="Arial" w:hAnsi="Arial" w:cs="Arial"/>
          <w:spacing w:val="4"/>
          <w:sz w:val="20"/>
          <w:szCs w:val="20"/>
        </w:rPr>
        <w:t xml:space="preserve">w trakcie przeprowadzonego postępowania naruszył przepisy procedury administracyjnej, tj. </w:t>
      </w:r>
      <w:r w:rsidR="00D95891" w:rsidRPr="00F56722">
        <w:rPr>
          <w:rFonts w:ascii="Arial" w:hAnsi="Arial" w:cs="Arial"/>
          <w:spacing w:val="4"/>
          <w:sz w:val="20"/>
          <w:szCs w:val="20"/>
        </w:rPr>
        <w:t xml:space="preserve">art. 7 </w:t>
      </w:r>
      <w:r w:rsidR="00D95891" w:rsidRPr="00F56722">
        <w:rPr>
          <w:rFonts w:ascii="Arial" w:hAnsi="Arial" w:cs="Arial"/>
          <w:i/>
          <w:spacing w:val="4"/>
          <w:sz w:val="20"/>
          <w:szCs w:val="20"/>
        </w:rPr>
        <w:t>kpa</w:t>
      </w:r>
      <w:r w:rsidR="00D95891" w:rsidRPr="00F56722">
        <w:rPr>
          <w:rFonts w:ascii="Arial" w:hAnsi="Arial" w:cs="Arial"/>
          <w:spacing w:val="4"/>
          <w:sz w:val="20"/>
          <w:szCs w:val="20"/>
        </w:rPr>
        <w:t xml:space="preserve">, art. 77 § 1 </w:t>
      </w:r>
      <w:r w:rsidR="00D95891" w:rsidRPr="00F56722">
        <w:rPr>
          <w:rFonts w:ascii="Arial" w:hAnsi="Arial" w:cs="Arial"/>
          <w:i/>
          <w:spacing w:val="4"/>
          <w:sz w:val="20"/>
          <w:szCs w:val="20"/>
        </w:rPr>
        <w:t>kpa</w:t>
      </w:r>
      <w:r w:rsidR="00756864" w:rsidRPr="00F56722">
        <w:rPr>
          <w:rFonts w:ascii="Arial" w:hAnsi="Arial" w:cs="Arial"/>
          <w:spacing w:val="4"/>
          <w:sz w:val="20"/>
          <w:szCs w:val="20"/>
        </w:rPr>
        <w:t>,</w:t>
      </w:r>
      <w:r w:rsidR="000F72BD" w:rsidRPr="00F56722">
        <w:rPr>
          <w:rFonts w:ascii="Arial" w:hAnsi="Arial" w:cs="Arial"/>
          <w:spacing w:val="4"/>
          <w:sz w:val="20"/>
          <w:szCs w:val="20"/>
        </w:rPr>
        <w:t xml:space="preserve"> </w:t>
      </w:r>
      <w:r w:rsidR="00D95891" w:rsidRPr="00F56722">
        <w:rPr>
          <w:rFonts w:ascii="Arial" w:hAnsi="Arial" w:cs="Arial"/>
          <w:spacing w:val="4"/>
          <w:sz w:val="20"/>
          <w:szCs w:val="20"/>
        </w:rPr>
        <w:t xml:space="preserve">art. 80 </w:t>
      </w:r>
      <w:r w:rsidR="00D95891" w:rsidRPr="00F56722">
        <w:rPr>
          <w:rFonts w:ascii="Arial" w:hAnsi="Arial" w:cs="Arial"/>
          <w:i/>
          <w:spacing w:val="4"/>
          <w:sz w:val="20"/>
          <w:szCs w:val="20"/>
        </w:rPr>
        <w:t>kpa</w:t>
      </w:r>
      <w:r w:rsidR="000F72BD" w:rsidRPr="00F56722">
        <w:rPr>
          <w:rFonts w:ascii="Arial" w:hAnsi="Arial" w:cs="Arial"/>
          <w:i/>
          <w:spacing w:val="4"/>
          <w:sz w:val="20"/>
          <w:szCs w:val="20"/>
        </w:rPr>
        <w:t xml:space="preserve"> </w:t>
      </w:r>
      <w:r w:rsidR="000F72BD" w:rsidRPr="00F56722">
        <w:rPr>
          <w:rFonts w:ascii="Arial" w:hAnsi="Arial" w:cs="Arial"/>
          <w:spacing w:val="4"/>
          <w:sz w:val="20"/>
          <w:szCs w:val="20"/>
        </w:rPr>
        <w:t>i art. 75 § 1</w:t>
      </w:r>
      <w:r w:rsidR="000F72BD" w:rsidRPr="00E731F0">
        <w:rPr>
          <w:rFonts w:ascii="Arial" w:hAnsi="Arial" w:cs="Arial"/>
          <w:i/>
          <w:spacing w:val="4"/>
          <w:sz w:val="20"/>
          <w:szCs w:val="20"/>
        </w:rPr>
        <w:t xml:space="preserve"> kpa</w:t>
      </w:r>
      <w:r w:rsidR="00D95891" w:rsidRPr="00F56722">
        <w:rPr>
          <w:rFonts w:ascii="Arial" w:hAnsi="Arial" w:cs="Arial"/>
          <w:i/>
          <w:spacing w:val="4"/>
          <w:sz w:val="20"/>
          <w:szCs w:val="20"/>
        </w:rPr>
        <w:t xml:space="preserve">, </w:t>
      </w:r>
      <w:r w:rsidR="00F20510" w:rsidRPr="00D670F6">
        <w:rPr>
          <w:rFonts w:ascii="Arial" w:hAnsi="Arial" w:cs="Arial"/>
          <w:spacing w:val="4"/>
          <w:sz w:val="20"/>
          <w:szCs w:val="20"/>
        </w:rPr>
        <w:t xml:space="preserve">jak </w:t>
      </w:r>
      <w:r w:rsidR="00ED2A60" w:rsidRPr="00E731F0">
        <w:rPr>
          <w:rFonts w:ascii="Arial" w:hAnsi="Arial" w:cs="Arial"/>
          <w:spacing w:val="4"/>
          <w:sz w:val="20"/>
          <w:szCs w:val="20"/>
        </w:rPr>
        <w:t>również przepisy prawa materialnego, tj.</w:t>
      </w:r>
      <w:r w:rsidR="00ED2A60" w:rsidRPr="00F56722">
        <w:rPr>
          <w:rFonts w:ascii="Arial" w:hAnsi="Arial" w:cs="Arial"/>
          <w:spacing w:val="4"/>
          <w:sz w:val="20"/>
          <w:szCs w:val="20"/>
        </w:rPr>
        <w:t xml:space="preserve"> </w:t>
      </w:r>
      <w:r w:rsidR="001B6721" w:rsidRPr="00F56722">
        <w:rPr>
          <w:rFonts w:ascii="Arial" w:hAnsi="Arial" w:cs="Arial"/>
          <w:spacing w:val="4"/>
          <w:sz w:val="20"/>
          <w:szCs w:val="20"/>
        </w:rPr>
        <w:t>art. 53 ust. 4 pkt 6</w:t>
      </w:r>
      <w:r w:rsidR="00ED2A60" w:rsidRPr="00F56722">
        <w:rPr>
          <w:rFonts w:ascii="Arial" w:hAnsi="Arial" w:cs="Arial"/>
          <w:spacing w:val="4"/>
          <w:sz w:val="20"/>
          <w:szCs w:val="20"/>
        </w:rPr>
        <w:t xml:space="preserve">, art. </w:t>
      </w:r>
      <w:r w:rsidR="00703744" w:rsidRPr="00D670F6">
        <w:rPr>
          <w:rFonts w:ascii="Arial" w:hAnsi="Arial" w:cs="Arial"/>
          <w:spacing w:val="4"/>
          <w:sz w:val="20"/>
          <w:szCs w:val="20"/>
        </w:rPr>
        <w:t xml:space="preserve">54 pkt 3 </w:t>
      </w:r>
      <w:r w:rsidR="00ED2A60" w:rsidRPr="00E731F0">
        <w:rPr>
          <w:rFonts w:ascii="Arial" w:hAnsi="Arial" w:cs="Arial"/>
          <w:spacing w:val="4"/>
          <w:sz w:val="20"/>
          <w:szCs w:val="20"/>
        </w:rPr>
        <w:t>i</w:t>
      </w:r>
      <w:r w:rsidR="00ED2A60" w:rsidRPr="00F56722">
        <w:rPr>
          <w:rFonts w:ascii="Arial" w:hAnsi="Arial" w:cs="Arial"/>
          <w:spacing w:val="4"/>
          <w:sz w:val="20"/>
          <w:szCs w:val="20"/>
        </w:rPr>
        <w:t xml:space="preserve"> art.</w:t>
      </w:r>
      <w:r w:rsidR="00F20510" w:rsidRPr="00F56722">
        <w:rPr>
          <w:rFonts w:ascii="Arial" w:hAnsi="Arial" w:cs="Arial"/>
          <w:spacing w:val="4"/>
          <w:sz w:val="20"/>
          <w:szCs w:val="20"/>
        </w:rPr>
        <w:t xml:space="preserve"> 50 ust. 4</w:t>
      </w:r>
      <w:r w:rsidR="00ED2A60" w:rsidRPr="00F56722">
        <w:rPr>
          <w:rFonts w:ascii="Arial" w:hAnsi="Arial" w:cs="Arial"/>
          <w:spacing w:val="4"/>
          <w:sz w:val="20"/>
          <w:szCs w:val="20"/>
        </w:rPr>
        <w:t xml:space="preserve"> </w:t>
      </w:r>
      <w:r w:rsidRPr="00F56722">
        <w:rPr>
          <w:rFonts w:ascii="Arial" w:hAnsi="Arial" w:cs="Arial"/>
          <w:i/>
          <w:spacing w:val="4"/>
          <w:sz w:val="20"/>
          <w:szCs w:val="20"/>
        </w:rPr>
        <w:t xml:space="preserve">ustawy </w:t>
      </w:r>
      <w:r w:rsidR="000F72BD" w:rsidRPr="00F56722">
        <w:rPr>
          <w:rFonts w:ascii="Arial" w:hAnsi="Arial" w:cs="Arial"/>
          <w:i/>
          <w:spacing w:val="4"/>
          <w:sz w:val="20"/>
          <w:szCs w:val="20"/>
        </w:rPr>
        <w:br/>
      </w:r>
      <w:r w:rsidRPr="00F56722">
        <w:rPr>
          <w:rFonts w:ascii="Arial" w:hAnsi="Arial" w:cs="Arial"/>
          <w:i/>
          <w:spacing w:val="4"/>
          <w:sz w:val="20"/>
          <w:szCs w:val="20"/>
        </w:rPr>
        <w:t>o planowaniu i zagospodarowaniu przestrzennym</w:t>
      </w:r>
      <w:r w:rsidR="003577AC" w:rsidRPr="00F56722">
        <w:rPr>
          <w:rFonts w:ascii="Arial" w:hAnsi="Arial" w:cs="Arial"/>
          <w:spacing w:val="4"/>
          <w:sz w:val="20"/>
          <w:szCs w:val="20"/>
        </w:rPr>
        <w:t>.</w:t>
      </w:r>
    </w:p>
    <w:p w:rsidR="00B90A09" w:rsidRPr="00D670F6" w:rsidRDefault="00B90A09">
      <w:pPr>
        <w:autoSpaceDE w:val="0"/>
        <w:autoSpaceDN w:val="0"/>
        <w:adjustRightInd w:val="0"/>
        <w:spacing w:after="240" w:line="240" w:lineRule="exact"/>
        <w:jc w:val="both"/>
        <w:outlineLvl w:val="0"/>
        <w:rPr>
          <w:rFonts w:ascii="Arial" w:hAnsi="Arial" w:cs="Arial"/>
          <w:spacing w:val="4"/>
          <w:sz w:val="20"/>
          <w:szCs w:val="20"/>
          <w:lang w:eastAsia="en-US"/>
        </w:rPr>
      </w:pPr>
      <w:r w:rsidRPr="00D670F6">
        <w:rPr>
          <w:rFonts w:ascii="Arial" w:hAnsi="Arial" w:cs="Arial"/>
          <w:i/>
          <w:iCs/>
          <w:spacing w:val="4"/>
          <w:sz w:val="20"/>
          <w:szCs w:val="20"/>
          <w:lang w:eastAsia="en-US"/>
        </w:rPr>
        <w:t xml:space="preserve">Decyzja Wojewody Mazowieckiego </w:t>
      </w:r>
      <w:r w:rsidRPr="00D670F6">
        <w:rPr>
          <w:rFonts w:ascii="Arial" w:hAnsi="Arial" w:cs="Arial"/>
          <w:spacing w:val="4"/>
          <w:sz w:val="20"/>
          <w:szCs w:val="20"/>
          <w:lang w:eastAsia="en-US"/>
        </w:rPr>
        <w:t>dotyczy ustalenia lokalizacji inwestycji celu publicznego na ww. działce nr ew. 15/3, która zgodnie z wypisem z rejestru gruntów stanowi ewidencyjnie las (użytek „</w:t>
      </w:r>
      <w:proofErr w:type="spellStart"/>
      <w:r w:rsidRPr="00D670F6">
        <w:rPr>
          <w:rFonts w:ascii="Arial" w:hAnsi="Arial" w:cs="Arial"/>
          <w:spacing w:val="4"/>
          <w:sz w:val="20"/>
          <w:szCs w:val="20"/>
          <w:lang w:eastAsia="en-US"/>
        </w:rPr>
        <w:t>Ls</w:t>
      </w:r>
      <w:proofErr w:type="spellEnd"/>
      <w:r w:rsidRPr="00D670F6">
        <w:rPr>
          <w:rFonts w:ascii="Arial" w:hAnsi="Arial" w:cs="Arial"/>
          <w:spacing w:val="4"/>
          <w:sz w:val="20"/>
          <w:szCs w:val="20"/>
          <w:lang w:eastAsia="en-US"/>
        </w:rPr>
        <w:t xml:space="preserve">” jako jedyny kontur na całej działce). Z odwołania </w:t>
      </w:r>
      <w:r w:rsidRPr="00D670F6">
        <w:rPr>
          <w:rFonts w:ascii="Arial" w:hAnsi="Arial" w:cs="Arial"/>
          <w:i/>
          <w:spacing w:val="4"/>
          <w:sz w:val="20"/>
          <w:szCs w:val="20"/>
          <w:lang w:eastAsia="en-US"/>
        </w:rPr>
        <w:t>Nadleśnictw</w:t>
      </w:r>
      <w:r w:rsidR="00CC04BE" w:rsidRPr="00D670F6">
        <w:rPr>
          <w:rFonts w:ascii="Arial" w:hAnsi="Arial" w:cs="Arial"/>
          <w:i/>
          <w:spacing w:val="4"/>
          <w:sz w:val="20"/>
          <w:szCs w:val="20"/>
          <w:lang w:eastAsia="en-US"/>
        </w:rPr>
        <w:t>a</w:t>
      </w:r>
      <w:r w:rsidRPr="00D670F6">
        <w:rPr>
          <w:rFonts w:ascii="Arial" w:hAnsi="Arial" w:cs="Arial"/>
          <w:i/>
          <w:spacing w:val="4"/>
          <w:sz w:val="20"/>
          <w:szCs w:val="20"/>
          <w:lang w:eastAsia="en-US"/>
        </w:rPr>
        <w:t xml:space="preserve"> Drewnica</w:t>
      </w:r>
      <w:r w:rsidRPr="00D670F6">
        <w:rPr>
          <w:rFonts w:ascii="Arial" w:hAnsi="Arial" w:cs="Arial"/>
          <w:spacing w:val="4"/>
          <w:sz w:val="20"/>
          <w:szCs w:val="20"/>
          <w:lang w:eastAsia="en-US"/>
        </w:rPr>
        <w:t xml:space="preserve"> wynika, iż na ww. działce prowadzona jest gospodarka leśna na podstawie Planu Urządzenia Lasu dla Nadleśnictwa Drewnica </w:t>
      </w:r>
      <w:r w:rsidR="00F25D49">
        <w:rPr>
          <w:rFonts w:ascii="Arial" w:hAnsi="Arial" w:cs="Arial"/>
          <w:spacing w:val="4"/>
          <w:sz w:val="20"/>
          <w:szCs w:val="20"/>
          <w:lang w:eastAsia="en-US"/>
        </w:rPr>
        <w:br/>
      </w:r>
      <w:r w:rsidRPr="00D670F6">
        <w:rPr>
          <w:rFonts w:ascii="Arial" w:hAnsi="Arial" w:cs="Arial"/>
          <w:spacing w:val="4"/>
          <w:sz w:val="20"/>
          <w:szCs w:val="20"/>
          <w:lang w:eastAsia="en-US"/>
        </w:rPr>
        <w:t>na lata 2018 – 2027. W ww. odwołaniu wskazano również, iż ww. działka nr 15/3 porośnięta jest wielogatunkowymi drzewostanami o zróżnicowanej strukturze wiekowej, pomiędzy którymi przebiegają drogi leśne służące komunikacji, ochronie przeciwpożarowej lasu oraz wywozowi pozyskanego drewna.</w:t>
      </w:r>
    </w:p>
    <w:p w:rsidR="00B90A09" w:rsidRPr="00D670F6" w:rsidRDefault="00B90A09">
      <w:pPr>
        <w:autoSpaceDE w:val="0"/>
        <w:autoSpaceDN w:val="0"/>
        <w:adjustRightInd w:val="0"/>
        <w:spacing w:after="240" w:line="240" w:lineRule="exact"/>
        <w:jc w:val="both"/>
        <w:outlineLvl w:val="0"/>
        <w:rPr>
          <w:rFonts w:ascii="Arial" w:hAnsi="Arial" w:cs="Arial"/>
          <w:spacing w:val="4"/>
          <w:sz w:val="20"/>
          <w:szCs w:val="20"/>
          <w:lang w:eastAsia="en-US"/>
        </w:rPr>
      </w:pPr>
      <w:r w:rsidRPr="00D670F6">
        <w:rPr>
          <w:rFonts w:ascii="Arial" w:hAnsi="Arial" w:cs="Arial"/>
          <w:spacing w:val="4"/>
          <w:sz w:val="20"/>
          <w:szCs w:val="20"/>
          <w:lang w:eastAsia="en-US"/>
        </w:rPr>
        <w:t xml:space="preserve">Przebieg inwestycji opisanej w </w:t>
      </w:r>
      <w:r w:rsidRPr="00D670F6">
        <w:rPr>
          <w:rFonts w:ascii="Arial" w:hAnsi="Arial" w:cs="Arial"/>
          <w:i/>
          <w:iCs/>
          <w:spacing w:val="4"/>
          <w:sz w:val="20"/>
          <w:szCs w:val="20"/>
          <w:lang w:eastAsia="en-US"/>
        </w:rPr>
        <w:t xml:space="preserve">decyzji Wojewody Mazowieckiego </w:t>
      </w:r>
      <w:r w:rsidRPr="00D670F6">
        <w:rPr>
          <w:rFonts w:ascii="Arial" w:hAnsi="Arial" w:cs="Arial"/>
          <w:spacing w:val="4"/>
          <w:sz w:val="20"/>
          <w:szCs w:val="20"/>
          <w:lang w:eastAsia="en-US"/>
        </w:rPr>
        <w:t xml:space="preserve">poprowadzony jest po drogach leśnych, tj. obiektach liniowych pozbawionych drzewostanu, służących gospodarce leśnej, które </w:t>
      </w:r>
      <w:r w:rsidR="00F56722">
        <w:rPr>
          <w:rFonts w:ascii="Arial" w:hAnsi="Arial" w:cs="Arial"/>
          <w:spacing w:val="4"/>
          <w:sz w:val="20"/>
          <w:szCs w:val="20"/>
          <w:lang w:eastAsia="en-US"/>
        </w:rPr>
        <w:br/>
      </w:r>
      <w:r w:rsidRPr="00D670F6">
        <w:rPr>
          <w:rFonts w:ascii="Arial" w:hAnsi="Arial" w:cs="Arial"/>
          <w:spacing w:val="4"/>
          <w:sz w:val="20"/>
          <w:szCs w:val="20"/>
          <w:lang w:eastAsia="en-US"/>
        </w:rPr>
        <w:t xml:space="preserve">w rozumieniu art. 3 pkt 2 ustawy z dnia 28 września 1991 r. o lasach (Dz.U. z 2020 r. poz. 1463, z późn. zm.), stanowią las. Zgodnie bowiem z tym przepisem, lasem w rozumieniu ww. ustawy z dnia </w:t>
      </w:r>
      <w:r w:rsidR="00F56722">
        <w:rPr>
          <w:rFonts w:ascii="Arial" w:hAnsi="Arial" w:cs="Arial"/>
          <w:spacing w:val="4"/>
          <w:sz w:val="20"/>
          <w:szCs w:val="20"/>
          <w:lang w:eastAsia="en-US"/>
        </w:rPr>
        <w:br/>
      </w:r>
      <w:r w:rsidRPr="00D670F6">
        <w:rPr>
          <w:rFonts w:ascii="Arial" w:hAnsi="Arial" w:cs="Arial"/>
          <w:spacing w:val="4"/>
          <w:sz w:val="20"/>
          <w:szCs w:val="20"/>
          <w:lang w:eastAsia="en-US"/>
        </w:rPr>
        <w:t>28 września 1991 r. o lasach, jest grunt związany z gospodarką leśną, zajęty pod wykorzystywane dla potrzeb gospodarki leśnej: budynki i budowle, urządzenia melioracji wodnych, linie podziału przestrzennego lasu, drogi leśne, tereny pod liniami energetycznymi, szkółki leśne, miejsca składowania drewna, a także wykorzystywany na parkingi leśne i urządzenia turystyczne.</w:t>
      </w:r>
    </w:p>
    <w:p w:rsidR="009F3977" w:rsidRPr="00F56722" w:rsidRDefault="00EF7A08">
      <w:pPr>
        <w:spacing w:after="240" w:line="240" w:lineRule="exact"/>
        <w:jc w:val="both"/>
        <w:outlineLvl w:val="0"/>
        <w:rPr>
          <w:rFonts w:ascii="Arial" w:hAnsi="Arial" w:cs="Arial"/>
          <w:spacing w:val="4"/>
          <w:sz w:val="20"/>
          <w:szCs w:val="20"/>
        </w:rPr>
      </w:pPr>
      <w:r w:rsidRPr="00E731F0">
        <w:rPr>
          <w:rFonts w:ascii="Arial" w:hAnsi="Arial" w:cs="Arial"/>
          <w:spacing w:val="4"/>
          <w:sz w:val="20"/>
          <w:szCs w:val="20"/>
        </w:rPr>
        <w:t xml:space="preserve">W myśl </w:t>
      </w:r>
      <w:r w:rsidR="009F6BBC" w:rsidRPr="00F56722">
        <w:rPr>
          <w:rFonts w:ascii="Arial" w:hAnsi="Arial" w:cs="Arial"/>
          <w:spacing w:val="4"/>
          <w:sz w:val="20"/>
          <w:szCs w:val="20"/>
        </w:rPr>
        <w:t>art. 5</w:t>
      </w:r>
      <w:r w:rsidR="00CC04BE" w:rsidRPr="00F56722">
        <w:rPr>
          <w:rFonts w:ascii="Arial" w:hAnsi="Arial" w:cs="Arial"/>
          <w:spacing w:val="4"/>
          <w:sz w:val="20"/>
          <w:szCs w:val="20"/>
        </w:rPr>
        <w:t>3</w:t>
      </w:r>
      <w:r w:rsidR="009F6BBC" w:rsidRPr="00F56722">
        <w:rPr>
          <w:rFonts w:ascii="Arial" w:hAnsi="Arial" w:cs="Arial"/>
          <w:spacing w:val="4"/>
          <w:sz w:val="20"/>
          <w:szCs w:val="20"/>
        </w:rPr>
        <w:t xml:space="preserve"> ust</w:t>
      </w:r>
      <w:r w:rsidR="00D765B4" w:rsidRPr="00F56722">
        <w:rPr>
          <w:rFonts w:ascii="Arial" w:hAnsi="Arial" w:cs="Arial"/>
          <w:spacing w:val="4"/>
          <w:sz w:val="20"/>
          <w:szCs w:val="20"/>
        </w:rPr>
        <w:t>.</w:t>
      </w:r>
      <w:r w:rsidR="009F6BBC" w:rsidRPr="00F56722">
        <w:rPr>
          <w:rFonts w:ascii="Arial" w:hAnsi="Arial" w:cs="Arial"/>
          <w:spacing w:val="4"/>
          <w:sz w:val="20"/>
          <w:szCs w:val="20"/>
        </w:rPr>
        <w:t xml:space="preserve"> 4 </w:t>
      </w:r>
      <w:r w:rsidR="00D765B4" w:rsidRPr="00F56722">
        <w:rPr>
          <w:rFonts w:ascii="Arial" w:hAnsi="Arial" w:cs="Arial"/>
          <w:spacing w:val="4"/>
          <w:sz w:val="20"/>
          <w:szCs w:val="20"/>
        </w:rPr>
        <w:t>pkt 6</w:t>
      </w:r>
      <w:r w:rsidR="00604B3C" w:rsidRPr="00F56722">
        <w:rPr>
          <w:rFonts w:ascii="Arial" w:hAnsi="Arial" w:cs="Arial"/>
          <w:i/>
          <w:spacing w:val="4"/>
          <w:sz w:val="20"/>
          <w:szCs w:val="20"/>
        </w:rPr>
        <w:t xml:space="preserve"> ustawy o planowaniu i zagospodarowaniu przestrzennym</w:t>
      </w:r>
      <w:r w:rsidR="00177718" w:rsidRPr="00F56722">
        <w:rPr>
          <w:rFonts w:ascii="Arial" w:hAnsi="Arial" w:cs="Arial"/>
          <w:spacing w:val="4"/>
          <w:sz w:val="20"/>
          <w:szCs w:val="20"/>
        </w:rPr>
        <w:t>, decyzje, o których mowa w art. 51 ust. 1 (tj. w sprawach ustaleni</w:t>
      </w:r>
      <w:r w:rsidR="00FE4364" w:rsidRPr="00F56722">
        <w:rPr>
          <w:rFonts w:ascii="Arial" w:hAnsi="Arial" w:cs="Arial"/>
          <w:spacing w:val="4"/>
          <w:sz w:val="20"/>
          <w:szCs w:val="20"/>
        </w:rPr>
        <w:t>a</w:t>
      </w:r>
      <w:r w:rsidR="00D765B4" w:rsidRPr="00F56722">
        <w:rPr>
          <w:rFonts w:ascii="Arial" w:hAnsi="Arial" w:cs="Arial"/>
          <w:spacing w:val="4"/>
          <w:sz w:val="20"/>
          <w:szCs w:val="20"/>
        </w:rPr>
        <w:t xml:space="preserve"> lokalizacji inwestycji celu publicznego</w:t>
      </w:r>
      <w:r w:rsidR="00177718" w:rsidRPr="00F56722">
        <w:rPr>
          <w:rFonts w:ascii="Arial" w:hAnsi="Arial" w:cs="Arial"/>
          <w:spacing w:val="4"/>
          <w:sz w:val="20"/>
          <w:szCs w:val="20"/>
        </w:rPr>
        <w:t xml:space="preserve">), </w:t>
      </w:r>
      <w:r w:rsidR="00D765B4" w:rsidRPr="00F56722">
        <w:rPr>
          <w:rFonts w:ascii="Arial" w:hAnsi="Arial" w:cs="Arial"/>
          <w:spacing w:val="4"/>
          <w:sz w:val="20"/>
          <w:szCs w:val="20"/>
        </w:rPr>
        <w:t xml:space="preserve">wydaje się </w:t>
      </w:r>
      <w:r w:rsidR="00F25D49">
        <w:rPr>
          <w:rFonts w:ascii="Arial" w:hAnsi="Arial" w:cs="Arial"/>
          <w:spacing w:val="4"/>
          <w:sz w:val="20"/>
          <w:szCs w:val="20"/>
        </w:rPr>
        <w:br/>
      </w:r>
      <w:r w:rsidR="00D765B4" w:rsidRPr="00E731F0">
        <w:rPr>
          <w:rFonts w:ascii="Arial" w:hAnsi="Arial" w:cs="Arial"/>
          <w:spacing w:val="4"/>
          <w:sz w:val="20"/>
          <w:szCs w:val="20"/>
        </w:rPr>
        <w:t>po uzgodnieniu z</w:t>
      </w:r>
      <w:r w:rsidR="00D765B4" w:rsidRPr="00F56722">
        <w:rPr>
          <w:rFonts w:ascii="Arial" w:hAnsi="Arial" w:cs="Arial"/>
          <w:spacing w:val="4"/>
          <w:sz w:val="20"/>
          <w:szCs w:val="20"/>
        </w:rPr>
        <w:t xml:space="preserve"> organami właściwymi w sprawach ochrony gruntów rolnych i leśnych oraz melioracji wodnych - w odniesieniu do gruntów wykorzystywanych na cele rolne i leśne w rozumieniu przepisów ustawy z dnia 21 sierpnia 1997 r. o gospodarce nieruchomościami (Dz. U. z 2020 r. poz. 1990, z późn. zm.), zwan</w:t>
      </w:r>
      <w:r w:rsidR="00FE4364" w:rsidRPr="00F56722">
        <w:rPr>
          <w:rFonts w:ascii="Arial" w:hAnsi="Arial" w:cs="Arial"/>
          <w:spacing w:val="4"/>
          <w:sz w:val="20"/>
          <w:szCs w:val="20"/>
        </w:rPr>
        <w:t>ej</w:t>
      </w:r>
      <w:r w:rsidR="00D765B4" w:rsidRPr="00F56722">
        <w:rPr>
          <w:rFonts w:ascii="Arial" w:hAnsi="Arial" w:cs="Arial"/>
          <w:spacing w:val="4"/>
          <w:sz w:val="20"/>
          <w:szCs w:val="20"/>
        </w:rPr>
        <w:t xml:space="preserve"> dalej </w:t>
      </w:r>
      <w:r w:rsidR="00D765B4" w:rsidRPr="00F56722">
        <w:rPr>
          <w:rFonts w:ascii="Arial" w:hAnsi="Arial" w:cs="Arial"/>
          <w:i/>
          <w:spacing w:val="4"/>
          <w:sz w:val="20"/>
          <w:szCs w:val="20"/>
        </w:rPr>
        <w:t>„ugn”</w:t>
      </w:r>
      <w:r w:rsidR="00D765B4" w:rsidRPr="00F56722">
        <w:rPr>
          <w:rFonts w:ascii="Arial" w:hAnsi="Arial" w:cs="Arial"/>
          <w:spacing w:val="4"/>
          <w:sz w:val="20"/>
          <w:szCs w:val="20"/>
        </w:rPr>
        <w:t>.</w:t>
      </w:r>
      <w:r w:rsidRPr="00F56722">
        <w:rPr>
          <w:rFonts w:ascii="Arial" w:hAnsi="Arial" w:cs="Arial"/>
          <w:spacing w:val="4"/>
          <w:sz w:val="20"/>
          <w:szCs w:val="20"/>
        </w:rPr>
        <w:t xml:space="preserve"> Zgodnie zaś z art. 92 ust. 2 </w:t>
      </w:r>
      <w:r w:rsidRPr="00F56722">
        <w:rPr>
          <w:rFonts w:ascii="Arial" w:hAnsi="Arial" w:cs="Arial"/>
          <w:i/>
          <w:spacing w:val="4"/>
          <w:sz w:val="20"/>
          <w:szCs w:val="20"/>
        </w:rPr>
        <w:t xml:space="preserve">ugn, </w:t>
      </w:r>
      <w:r w:rsidRPr="00F56722">
        <w:rPr>
          <w:rFonts w:ascii="Arial" w:hAnsi="Arial" w:cs="Arial"/>
          <w:spacing w:val="4"/>
          <w:sz w:val="20"/>
          <w:szCs w:val="20"/>
        </w:rPr>
        <w:t>za nieruchomości wykorzystywane na cele rolne i leśne uznaje się nieruchomości wykazane w katastrze nieruchomości jako użytki rolne albo grunty leśne oraz zadrzewione i zakrzewione, a także wchodzące w skład nieruchomości rolnych użytki kopalne, nieużytki i drogi, jeżeli nie ustalono dla nich warunków zabudowy i zagospodarowania terenu.</w:t>
      </w:r>
    </w:p>
    <w:p w:rsidR="00CC04BE" w:rsidRPr="00F56722" w:rsidRDefault="0061144A" w:rsidP="00E731F0">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t xml:space="preserve">Z akt niniejszej sprawy nie wynika, aby Wojewoda Mazowiecki wystąpił do właściwego organu </w:t>
      </w:r>
      <w:r w:rsidRPr="00F56722">
        <w:rPr>
          <w:rFonts w:ascii="Arial" w:hAnsi="Arial" w:cs="Arial"/>
          <w:spacing w:val="4"/>
          <w:sz w:val="20"/>
          <w:szCs w:val="20"/>
        </w:rPr>
        <w:br/>
        <w:t xml:space="preserve">w sprawach ochrony gruntów rolnych i leśnych oraz melioracji wodnych, tj. do dyrektora regionalnej dyrekcji Lasów Państwowych o uzgodnienie projektu decyzji o ustaleniu lokalizacji ww. inwestycji celu publicznego na terenie zamkniętym. Ponadto, w uzasadnieniu </w:t>
      </w:r>
      <w:r w:rsidRPr="00F56722">
        <w:rPr>
          <w:rFonts w:ascii="Arial" w:hAnsi="Arial" w:cs="Arial"/>
          <w:i/>
          <w:iCs/>
          <w:spacing w:val="4"/>
          <w:sz w:val="20"/>
          <w:szCs w:val="20"/>
        </w:rPr>
        <w:t xml:space="preserve">decyzji Wojewody Mazowieckiego </w:t>
      </w:r>
      <w:r w:rsidRPr="00F56722">
        <w:rPr>
          <w:rFonts w:ascii="Arial" w:hAnsi="Arial" w:cs="Arial"/>
          <w:i/>
          <w:iCs/>
          <w:spacing w:val="4"/>
          <w:sz w:val="20"/>
          <w:szCs w:val="20"/>
        </w:rPr>
        <w:br/>
      </w:r>
      <w:r w:rsidRPr="00F56722">
        <w:rPr>
          <w:rFonts w:ascii="Arial" w:hAnsi="Arial" w:cs="Arial"/>
          <w:spacing w:val="4"/>
          <w:sz w:val="20"/>
          <w:szCs w:val="20"/>
        </w:rPr>
        <w:t xml:space="preserve">organ I instancji nie wyjaśnił, dlaczego nie wystąpił o uzgodnienie projektu przedmiotowej decyzji </w:t>
      </w:r>
      <w:r w:rsidRPr="00F56722">
        <w:rPr>
          <w:rFonts w:ascii="Arial" w:hAnsi="Arial" w:cs="Arial"/>
          <w:spacing w:val="4"/>
          <w:sz w:val="20"/>
          <w:szCs w:val="20"/>
        </w:rPr>
        <w:br/>
        <w:t xml:space="preserve">w trybie art. 53 ust. 4 pkt 6 </w:t>
      </w:r>
      <w:r w:rsidRPr="00F56722">
        <w:rPr>
          <w:rFonts w:ascii="Arial" w:hAnsi="Arial" w:cs="Arial"/>
          <w:i/>
          <w:spacing w:val="4"/>
          <w:sz w:val="20"/>
          <w:szCs w:val="20"/>
        </w:rPr>
        <w:t>ustawy o planowaniu i zagospodarowaniu przestrzennym</w:t>
      </w:r>
      <w:r w:rsidRPr="00F56722">
        <w:rPr>
          <w:rFonts w:ascii="Arial" w:hAnsi="Arial" w:cs="Arial"/>
          <w:spacing w:val="4"/>
          <w:sz w:val="20"/>
          <w:szCs w:val="20"/>
        </w:rPr>
        <w:t>.</w:t>
      </w:r>
      <w:r w:rsidR="00CC04BE" w:rsidRPr="00F56722">
        <w:rPr>
          <w:rFonts w:ascii="Arial" w:hAnsi="Arial" w:cs="Arial"/>
          <w:spacing w:val="4"/>
          <w:sz w:val="20"/>
          <w:szCs w:val="20"/>
        </w:rPr>
        <w:t xml:space="preserve"> W piśmie z dnia 14 czerwca 2021 r., znak: WI-I.746.1.153.2019.AP(MP), Wojewoda Mazowiecki potwierdził, iż nie występował o uzgodnienie projektu wzmiankowej decyzji do Dyrektora Regionalnej Dyrekcji Lasów Państwowych w Warszawie. </w:t>
      </w:r>
    </w:p>
    <w:p w:rsidR="00CC04BE" w:rsidRPr="00F56722" w:rsidRDefault="0061144A" w:rsidP="00D670F6">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lastRenderedPageBreak/>
        <w:t>W tym miejscu należy podkreślić, że o</w:t>
      </w:r>
      <w:r w:rsidR="003577AC" w:rsidRPr="00F56722">
        <w:rPr>
          <w:rFonts w:ascii="Arial" w:hAnsi="Arial" w:cs="Arial"/>
          <w:spacing w:val="4"/>
          <w:sz w:val="20"/>
          <w:szCs w:val="20"/>
        </w:rPr>
        <w:t xml:space="preserve">bowiązkiem spoczywającym na organie prowadzącym postępowanie w sprawie lokalizacji inwestycji celu publicznego jest uzgodnienie projektu decyzji </w:t>
      </w:r>
      <w:r w:rsidR="008D1325" w:rsidRPr="00F56722">
        <w:rPr>
          <w:rFonts w:ascii="Arial" w:hAnsi="Arial" w:cs="Arial"/>
          <w:spacing w:val="4"/>
          <w:sz w:val="20"/>
          <w:szCs w:val="20"/>
        </w:rPr>
        <w:br/>
      </w:r>
      <w:r w:rsidR="003577AC" w:rsidRPr="00F56722">
        <w:rPr>
          <w:rFonts w:ascii="Arial" w:hAnsi="Arial" w:cs="Arial"/>
          <w:spacing w:val="4"/>
          <w:sz w:val="20"/>
          <w:szCs w:val="20"/>
        </w:rPr>
        <w:t xml:space="preserve">z właściwymi organami. Obowiązek ten wynika wprost z treści art. 53 ust. 4 </w:t>
      </w:r>
      <w:r w:rsidR="003577AC" w:rsidRPr="00F56722">
        <w:rPr>
          <w:rFonts w:ascii="Arial" w:hAnsi="Arial" w:cs="Arial"/>
          <w:i/>
          <w:spacing w:val="4"/>
          <w:sz w:val="20"/>
          <w:szCs w:val="20"/>
        </w:rPr>
        <w:t>ustawy o planowaniu</w:t>
      </w:r>
      <w:r w:rsidR="008D1325" w:rsidRPr="00F56722">
        <w:rPr>
          <w:rFonts w:ascii="Arial" w:hAnsi="Arial" w:cs="Arial"/>
          <w:i/>
          <w:spacing w:val="4"/>
          <w:sz w:val="20"/>
          <w:szCs w:val="20"/>
        </w:rPr>
        <w:br/>
      </w:r>
      <w:r w:rsidR="003577AC" w:rsidRPr="00F56722">
        <w:rPr>
          <w:rFonts w:ascii="Arial" w:hAnsi="Arial" w:cs="Arial"/>
          <w:i/>
          <w:spacing w:val="4"/>
          <w:sz w:val="20"/>
          <w:szCs w:val="20"/>
        </w:rPr>
        <w:t>i zagospodarowaniu przestrzennym</w:t>
      </w:r>
      <w:r w:rsidR="003577AC" w:rsidRPr="00F56722">
        <w:rPr>
          <w:rFonts w:ascii="Arial" w:hAnsi="Arial" w:cs="Arial"/>
          <w:spacing w:val="4"/>
          <w:sz w:val="20"/>
          <w:szCs w:val="20"/>
        </w:rPr>
        <w:t xml:space="preserve">. W przypadku, gdy inwestycja jest przewidziana do realizacji </w:t>
      </w:r>
      <w:r w:rsidR="00F25D49">
        <w:rPr>
          <w:rFonts w:ascii="Arial" w:hAnsi="Arial" w:cs="Arial"/>
          <w:spacing w:val="4"/>
          <w:sz w:val="20"/>
          <w:szCs w:val="20"/>
        </w:rPr>
        <w:br/>
      </w:r>
      <w:r w:rsidR="003577AC" w:rsidRPr="00E731F0">
        <w:rPr>
          <w:rFonts w:ascii="Arial" w:hAnsi="Arial" w:cs="Arial"/>
          <w:spacing w:val="4"/>
          <w:sz w:val="20"/>
          <w:szCs w:val="20"/>
        </w:rPr>
        <w:t>na terenach leśnych,</w:t>
      </w:r>
      <w:r w:rsidR="003577AC" w:rsidRPr="00F56722">
        <w:rPr>
          <w:rFonts w:ascii="Arial" w:hAnsi="Arial" w:cs="Arial"/>
          <w:spacing w:val="4"/>
          <w:sz w:val="20"/>
          <w:szCs w:val="20"/>
        </w:rPr>
        <w:t xml:space="preserve"> organ powinien uzgodnić projekt decyzji z organem właściwym w sprawach ochrony gruntów leśnych, tj. dyrektorem regionalnej dyrekcji Lasów Państwowych (art. 53 ust. 4 pkt </w:t>
      </w:r>
      <w:r w:rsidR="00F25D49">
        <w:rPr>
          <w:rFonts w:ascii="Arial" w:hAnsi="Arial" w:cs="Arial"/>
          <w:spacing w:val="4"/>
          <w:sz w:val="20"/>
          <w:szCs w:val="20"/>
        </w:rPr>
        <w:br/>
      </w:r>
      <w:r w:rsidR="003577AC" w:rsidRPr="00E731F0">
        <w:rPr>
          <w:rFonts w:ascii="Arial" w:hAnsi="Arial" w:cs="Arial"/>
          <w:spacing w:val="4"/>
          <w:sz w:val="20"/>
          <w:szCs w:val="20"/>
        </w:rPr>
        <w:t>6 ww. ustawy)</w:t>
      </w:r>
      <w:r w:rsidR="003577AC" w:rsidRPr="00F56722">
        <w:rPr>
          <w:rFonts w:ascii="Arial" w:hAnsi="Arial" w:cs="Arial"/>
          <w:spacing w:val="4"/>
          <w:sz w:val="20"/>
          <w:szCs w:val="20"/>
        </w:rPr>
        <w:t xml:space="preserve">. Uzgodnienie przewidziane w powołanym przepisie ma na celu kontrolę, czy np. nie następuje lokalizacja inwestycji niedającej się pogodzić z leśnym przeznaczeniem gruntu </w:t>
      </w:r>
      <w:r w:rsidR="00F25D49">
        <w:rPr>
          <w:rFonts w:ascii="Arial" w:hAnsi="Arial" w:cs="Arial"/>
          <w:spacing w:val="4"/>
          <w:sz w:val="20"/>
          <w:szCs w:val="20"/>
        </w:rPr>
        <w:br/>
      </w:r>
      <w:r w:rsidR="003577AC" w:rsidRPr="00E731F0">
        <w:rPr>
          <w:rFonts w:ascii="Arial" w:hAnsi="Arial" w:cs="Arial"/>
          <w:spacing w:val="4"/>
          <w:sz w:val="20"/>
          <w:szCs w:val="20"/>
        </w:rPr>
        <w:t>(Z. Niewiadomski, Planowanie i zagospodarowanie przestrzenne, Komentarz, 4 wydanie, Warszawa 2008, str. 428).</w:t>
      </w:r>
      <w:r w:rsidR="003577AC" w:rsidRPr="00F56722">
        <w:rPr>
          <w:rFonts w:ascii="Arial" w:hAnsi="Arial" w:cs="Arial"/>
          <w:spacing w:val="4"/>
          <w:sz w:val="20"/>
          <w:szCs w:val="20"/>
        </w:rPr>
        <w:t xml:space="preserve"> </w:t>
      </w:r>
    </w:p>
    <w:p w:rsidR="003577AC" w:rsidRPr="00F56722" w:rsidRDefault="003577AC" w:rsidP="00D670F6">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t>W związku z powyższym, w sytuacji, gdy inwestycja ma być realizowana na gruntach leśnych, wydanie rozstrzygnięcia w przedmiocie ustalenia bądź odm</w:t>
      </w:r>
      <w:r w:rsidR="0061144A" w:rsidRPr="00F56722">
        <w:rPr>
          <w:rFonts w:ascii="Arial" w:hAnsi="Arial" w:cs="Arial"/>
          <w:spacing w:val="4"/>
          <w:sz w:val="20"/>
          <w:szCs w:val="20"/>
        </w:rPr>
        <w:t xml:space="preserve">owy ustalenia </w:t>
      </w:r>
      <w:r w:rsidR="00CC04BE" w:rsidRPr="00F56722">
        <w:rPr>
          <w:rFonts w:ascii="Arial" w:hAnsi="Arial" w:cs="Arial"/>
          <w:spacing w:val="4"/>
          <w:sz w:val="20"/>
          <w:szCs w:val="20"/>
        </w:rPr>
        <w:t xml:space="preserve">lokalizacji inwestycji celu publicznego </w:t>
      </w:r>
      <w:r w:rsidRPr="00F56722">
        <w:rPr>
          <w:rFonts w:ascii="Arial" w:hAnsi="Arial" w:cs="Arial"/>
          <w:spacing w:val="4"/>
          <w:sz w:val="20"/>
          <w:szCs w:val="20"/>
        </w:rPr>
        <w:t xml:space="preserve">winno być uzależnione od stanowiska ww. organu uzgadniającego dotyczącego możliwości pogodzenia realizacji inwestycji z leśnym przeznaczeniem terenu. </w:t>
      </w:r>
    </w:p>
    <w:p w:rsidR="0007749B" w:rsidRPr="00F56722" w:rsidRDefault="0007749B" w:rsidP="00E731F0">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W myśl art. 53 ust. 5 </w:t>
      </w:r>
      <w:r w:rsidRPr="00F56722">
        <w:rPr>
          <w:rFonts w:ascii="Arial" w:hAnsi="Arial" w:cs="Arial"/>
          <w:i/>
          <w:spacing w:val="4"/>
          <w:sz w:val="20"/>
          <w:szCs w:val="20"/>
        </w:rPr>
        <w:t>ustawy o planowaniu i zagospodarowaniu przestrzennym</w:t>
      </w:r>
      <w:r w:rsidRPr="00F56722">
        <w:rPr>
          <w:rFonts w:ascii="Arial" w:hAnsi="Arial" w:cs="Arial"/>
          <w:spacing w:val="4"/>
          <w:sz w:val="20"/>
          <w:szCs w:val="20"/>
        </w:rPr>
        <w:t xml:space="preserve">, uzgodnień, o których mowa w art. 53 ust. 4 ww. ustawy, dokonuje się w trybie art. 106 </w:t>
      </w:r>
      <w:r w:rsidRPr="00F56722">
        <w:rPr>
          <w:rFonts w:ascii="Arial" w:hAnsi="Arial" w:cs="Arial"/>
          <w:i/>
          <w:spacing w:val="4"/>
          <w:sz w:val="20"/>
          <w:szCs w:val="20"/>
        </w:rPr>
        <w:t>kpa</w:t>
      </w:r>
      <w:r w:rsidRPr="00F56722">
        <w:rPr>
          <w:rFonts w:ascii="Arial" w:hAnsi="Arial" w:cs="Arial"/>
          <w:spacing w:val="4"/>
          <w:sz w:val="20"/>
          <w:szCs w:val="20"/>
        </w:rPr>
        <w:t>. Zgodnie zaś z art. 106 § 1</w:t>
      </w:r>
      <w:r w:rsidRPr="00F56722">
        <w:rPr>
          <w:rFonts w:ascii="Arial" w:hAnsi="Arial" w:cs="Arial"/>
          <w:i/>
          <w:spacing w:val="4"/>
          <w:sz w:val="20"/>
          <w:szCs w:val="20"/>
        </w:rPr>
        <w:t xml:space="preserve"> kpa</w:t>
      </w:r>
      <w:r w:rsidRPr="00F56722">
        <w:rPr>
          <w:rFonts w:ascii="Arial" w:hAnsi="Arial" w:cs="Arial"/>
          <w:spacing w:val="4"/>
          <w:sz w:val="20"/>
          <w:szCs w:val="20"/>
        </w:rPr>
        <w:t>, jeżeli przepis prawa uzależnia wydanie decyzji od zajęcia stanowiska przez inny organ</w:t>
      </w:r>
      <w:r w:rsidR="002A50E4" w:rsidRPr="00F56722">
        <w:rPr>
          <w:rFonts w:ascii="Arial" w:hAnsi="Arial" w:cs="Arial"/>
          <w:spacing w:val="4"/>
          <w:sz w:val="20"/>
          <w:szCs w:val="20"/>
        </w:rPr>
        <w:t xml:space="preserve"> (wyrażenia opinii lub zgody albo wyrażenia stanowiska w innej formie)</w:t>
      </w:r>
      <w:r w:rsidRPr="00F56722">
        <w:rPr>
          <w:rFonts w:ascii="Arial" w:hAnsi="Arial" w:cs="Arial"/>
          <w:spacing w:val="4"/>
          <w:sz w:val="20"/>
          <w:szCs w:val="20"/>
        </w:rPr>
        <w:t xml:space="preserve">, decyzję wydaje się po zajęciu stanowiska przez ten organ. </w:t>
      </w:r>
    </w:p>
    <w:p w:rsidR="0007749B" w:rsidRPr="00F56722" w:rsidRDefault="0007749B">
      <w:pPr>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Uzgodnienie, poprzedzające wydanie decyzji w sprawie ustalenia lokalizacji inwestycji celu publicznego, zawiera ocenę prawną planowanego do realizacji przedsięwzięcia dokonaną przez organ administracji, który wyraża stanowisko w ramach posiadanych przez siebie kompetencji. Poprzez uzgodnienie organ administracji wypowiada się o tym, czy realizacja planowanej inwestycji nie pociągnie za sobą naruszenia przepisów, których stosowanie leży we właściwości rzeczowej organu uzgadniającego, </w:t>
      </w:r>
      <w:r w:rsidRPr="00F56722">
        <w:rPr>
          <w:rFonts w:ascii="Arial" w:hAnsi="Arial" w:cs="Arial"/>
          <w:spacing w:val="4"/>
          <w:sz w:val="20"/>
          <w:szCs w:val="20"/>
        </w:rPr>
        <w:br/>
        <w:t xml:space="preserve">a wykracza poza właściwość rzeczową organu administracji właściwego do ustalenia lokalizacji inwestycji celu publicznego. Uzgodnienie stanowi zatem ocenę, czy zmiany będące następstwem realizacji proponowanego zamierzenia inwestycyjnego nie doprowadzą do naruszenia przepisów prawa (por.: wyrok Wojewódzkiego Sądu Administracyjnego w Szczecinie z dnia 29 maja 2013 r., sygn. akt </w:t>
      </w:r>
      <w:r w:rsidRPr="00F56722">
        <w:rPr>
          <w:rFonts w:ascii="Arial" w:hAnsi="Arial" w:cs="Arial"/>
          <w:spacing w:val="4"/>
          <w:sz w:val="20"/>
          <w:szCs w:val="20"/>
        </w:rPr>
        <w:br/>
        <w:t>II SA/</w:t>
      </w:r>
      <w:proofErr w:type="spellStart"/>
      <w:r w:rsidRPr="00F56722">
        <w:rPr>
          <w:rFonts w:ascii="Arial" w:hAnsi="Arial" w:cs="Arial"/>
          <w:spacing w:val="4"/>
          <w:sz w:val="20"/>
          <w:szCs w:val="20"/>
        </w:rPr>
        <w:t>Sz</w:t>
      </w:r>
      <w:proofErr w:type="spellEnd"/>
      <w:r w:rsidRPr="00F56722">
        <w:rPr>
          <w:rFonts w:ascii="Arial" w:hAnsi="Arial" w:cs="Arial"/>
          <w:spacing w:val="4"/>
          <w:sz w:val="20"/>
          <w:szCs w:val="20"/>
        </w:rPr>
        <w:t xml:space="preserve"> 318/13</w:t>
      </w:r>
      <w:r w:rsidR="002A50E4" w:rsidRPr="00F56722">
        <w:rPr>
          <w:rFonts w:ascii="Arial" w:hAnsi="Arial" w:cs="Arial"/>
          <w:spacing w:val="4"/>
          <w:sz w:val="20"/>
          <w:szCs w:val="20"/>
        </w:rPr>
        <w:t>, opubl.</w:t>
      </w:r>
      <w:r w:rsidR="002A50E4" w:rsidRPr="00D670F6">
        <w:rPr>
          <w:spacing w:val="4"/>
        </w:rPr>
        <w:t xml:space="preserve"> </w:t>
      </w:r>
      <w:r w:rsidR="002A50E4" w:rsidRPr="00E731F0">
        <w:rPr>
          <w:rFonts w:ascii="Arial" w:hAnsi="Arial" w:cs="Arial"/>
          <w:spacing w:val="4"/>
          <w:sz w:val="20"/>
          <w:szCs w:val="20"/>
        </w:rPr>
        <w:t>Centralna Baza Orzeczeń Sądów Administracyjnych</w:t>
      </w:r>
      <w:r w:rsidRPr="00F56722">
        <w:rPr>
          <w:rFonts w:ascii="Arial" w:hAnsi="Arial" w:cs="Arial"/>
          <w:spacing w:val="4"/>
          <w:sz w:val="20"/>
          <w:szCs w:val="20"/>
        </w:rPr>
        <w:t xml:space="preserve">). </w:t>
      </w:r>
    </w:p>
    <w:p w:rsidR="002A50E4" w:rsidRPr="00D670F6" w:rsidRDefault="000A6ACF">
      <w:pPr>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Organ może więc wydać decyzję rozstrzygającą wniosek inwestora o ustalenie lokalizacji inwestycji celu publicznego dopiero po uzyskaniu stanowiska organu współdziałającego. Zaznaczyć należy, </w:t>
      </w:r>
      <w:r w:rsidRPr="00F56722">
        <w:rPr>
          <w:rFonts w:ascii="Arial" w:hAnsi="Arial" w:cs="Arial"/>
          <w:spacing w:val="4"/>
          <w:sz w:val="20"/>
          <w:szCs w:val="20"/>
        </w:rPr>
        <w:br/>
        <w:t xml:space="preserve">że art. 106 § 1 </w:t>
      </w:r>
      <w:r w:rsidRPr="00F56722">
        <w:rPr>
          <w:rFonts w:ascii="Arial" w:hAnsi="Arial" w:cs="Arial"/>
          <w:i/>
          <w:spacing w:val="4"/>
          <w:sz w:val="20"/>
          <w:szCs w:val="20"/>
        </w:rPr>
        <w:t xml:space="preserve">kpa </w:t>
      </w:r>
      <w:r w:rsidRPr="00F56722">
        <w:rPr>
          <w:rFonts w:ascii="Arial" w:hAnsi="Arial" w:cs="Arial"/>
          <w:spacing w:val="4"/>
          <w:sz w:val="20"/>
          <w:szCs w:val="20"/>
        </w:rPr>
        <w:t>posługuje się sformułowaniem "po zajęciu stanowiska" przez organ, co jest interpretowane jako bezwzględny nakaz uzyskania stanowiska przed zakończeniem postępowania administracyjnego w danej instancji (A. Wróbel, Komentarz aktualizowany do art. 106 Kodeksu postępowania administracyjnego, Lex</w:t>
      </w:r>
      <w:r w:rsidR="002A50E4" w:rsidRPr="00D670F6">
        <w:rPr>
          <w:rFonts w:ascii="Arial" w:hAnsi="Arial" w:cs="Arial"/>
          <w:spacing w:val="4"/>
          <w:sz w:val="20"/>
          <w:szCs w:val="20"/>
        </w:rPr>
        <w:t>/el.</w:t>
      </w:r>
      <w:r w:rsidRPr="00D670F6">
        <w:rPr>
          <w:rFonts w:ascii="Arial" w:hAnsi="Arial" w:cs="Arial"/>
          <w:spacing w:val="4"/>
          <w:sz w:val="20"/>
          <w:szCs w:val="20"/>
        </w:rPr>
        <w:t xml:space="preserve">). </w:t>
      </w:r>
    </w:p>
    <w:p w:rsidR="00F25D49" w:rsidRDefault="000A6ACF">
      <w:pPr>
        <w:spacing w:after="240" w:line="240" w:lineRule="exact"/>
        <w:jc w:val="both"/>
        <w:rPr>
          <w:rFonts w:ascii="Arial" w:hAnsi="Arial" w:cs="Arial"/>
          <w:spacing w:val="4"/>
          <w:sz w:val="20"/>
          <w:szCs w:val="20"/>
        </w:rPr>
      </w:pPr>
      <w:r w:rsidRPr="00E731F0">
        <w:rPr>
          <w:rFonts w:ascii="Arial" w:hAnsi="Arial" w:cs="Arial"/>
          <w:spacing w:val="4"/>
          <w:sz w:val="20"/>
          <w:szCs w:val="20"/>
        </w:rPr>
        <w:t xml:space="preserve">Z kolei </w:t>
      </w:r>
      <w:r w:rsidRPr="00F56722">
        <w:rPr>
          <w:rFonts w:ascii="Arial" w:hAnsi="Arial" w:cs="Arial"/>
          <w:spacing w:val="4"/>
          <w:sz w:val="20"/>
          <w:szCs w:val="20"/>
        </w:rPr>
        <w:t xml:space="preserve">w art. 53 ust. 4 </w:t>
      </w:r>
      <w:r w:rsidRPr="00F56722">
        <w:rPr>
          <w:rFonts w:ascii="Arial" w:hAnsi="Arial" w:cs="Arial"/>
          <w:i/>
          <w:spacing w:val="4"/>
          <w:sz w:val="20"/>
          <w:szCs w:val="20"/>
        </w:rPr>
        <w:t>ustawy o planowaniu i zagospodarowaniu przestrzennym</w:t>
      </w:r>
      <w:r w:rsidRPr="00F56722">
        <w:rPr>
          <w:rFonts w:ascii="Arial" w:hAnsi="Arial" w:cs="Arial"/>
          <w:spacing w:val="4"/>
          <w:sz w:val="20"/>
          <w:szCs w:val="20"/>
        </w:rPr>
        <w:t xml:space="preserve"> ustawodawca posłużył się zwrotem „decyzję wydaje się po uzgodnieniu". W orzecznictwie sądowoadministracyjnym przyjmuje się, że zwrot „po uzgodnieniu" należy rozumieć w ten sposób, że organ prowadzący postępowanie główne przygotowuje projekt rozstrzygnięcia, zaś organ współdziałający ocenia dopuszczalność tego rozstrzygnięcia w granicach swojej właściwości i kompetencji (vide: wyrok Naczelnego Sądu Administracyjnego z dnia 13 kwietnia 2007 r., sygn. akt II OSK 638/06</w:t>
      </w:r>
      <w:r w:rsidR="002A50E4" w:rsidRPr="00F56722">
        <w:rPr>
          <w:rFonts w:ascii="Arial" w:hAnsi="Arial" w:cs="Arial"/>
          <w:spacing w:val="4"/>
          <w:sz w:val="20"/>
          <w:szCs w:val="20"/>
        </w:rPr>
        <w:t>, opubl. Centralna Baza Orzeczeń Sądów Administracyjnych</w:t>
      </w:r>
      <w:r w:rsidRPr="00F56722">
        <w:rPr>
          <w:rFonts w:ascii="Arial" w:hAnsi="Arial" w:cs="Arial"/>
          <w:spacing w:val="4"/>
          <w:sz w:val="20"/>
          <w:szCs w:val="20"/>
        </w:rPr>
        <w:t xml:space="preserve">). </w:t>
      </w:r>
    </w:p>
    <w:p w:rsidR="000A6ACF" w:rsidRPr="00F56722" w:rsidRDefault="000A6ACF">
      <w:pPr>
        <w:spacing w:after="240" w:line="240" w:lineRule="exact"/>
        <w:jc w:val="both"/>
        <w:rPr>
          <w:rFonts w:ascii="Arial" w:hAnsi="Arial" w:cs="Arial"/>
          <w:spacing w:val="4"/>
          <w:sz w:val="20"/>
          <w:szCs w:val="20"/>
        </w:rPr>
      </w:pPr>
      <w:r w:rsidRPr="00E731F0">
        <w:rPr>
          <w:rFonts w:ascii="Arial" w:hAnsi="Arial" w:cs="Arial"/>
          <w:spacing w:val="4"/>
          <w:sz w:val="20"/>
          <w:szCs w:val="20"/>
        </w:rPr>
        <w:t>W</w:t>
      </w:r>
      <w:r w:rsidRPr="00F56722">
        <w:rPr>
          <w:rFonts w:ascii="Arial" w:hAnsi="Arial" w:cs="Arial"/>
          <w:spacing w:val="4"/>
          <w:sz w:val="20"/>
          <w:szCs w:val="20"/>
        </w:rPr>
        <w:t xml:space="preserve"> praktyce oznacza to zajęcie stanowiska co do zgodności projektowanej inwestycji z wymaganiami wynikającymi z przepisów odrębnych, np. w zakresie ochrony konserwatorskiej, ochrony gruntów rolnych i leśnych, ochrony przyrody i innych. Wskazać należy także, iż uzgodnienie projektu decyzji jest wiążące dla organu prowadzącego postępowanie lokalizacyjne (vide: wyrok Naczelnego Sądu Administracyjnego z dnia 21 września 2012 r., sygn. akt II OSK 882/11, wyrok Wojewódzkiego Sądu Administracyjnego w Szczecinie z dnia 3 października 2012 r., sygn. akt II SA/</w:t>
      </w:r>
      <w:proofErr w:type="spellStart"/>
      <w:r w:rsidRPr="00F56722">
        <w:rPr>
          <w:rFonts w:ascii="Arial" w:hAnsi="Arial" w:cs="Arial"/>
          <w:spacing w:val="4"/>
          <w:sz w:val="20"/>
          <w:szCs w:val="20"/>
        </w:rPr>
        <w:t>Sz</w:t>
      </w:r>
      <w:proofErr w:type="spellEnd"/>
      <w:r w:rsidRPr="00F56722">
        <w:rPr>
          <w:rFonts w:ascii="Arial" w:hAnsi="Arial" w:cs="Arial"/>
          <w:spacing w:val="4"/>
          <w:sz w:val="20"/>
          <w:szCs w:val="20"/>
        </w:rPr>
        <w:t xml:space="preserve"> 687/12</w:t>
      </w:r>
      <w:r w:rsidR="002A50E4" w:rsidRPr="00F56722">
        <w:rPr>
          <w:rFonts w:ascii="Arial" w:hAnsi="Arial" w:cs="Arial"/>
          <w:spacing w:val="4"/>
          <w:sz w:val="20"/>
          <w:szCs w:val="20"/>
        </w:rPr>
        <w:t>, opubl. Centralna Baza Orzeczeń Sądów Administracyjnych</w:t>
      </w:r>
      <w:r w:rsidRPr="00F56722">
        <w:rPr>
          <w:rFonts w:ascii="Arial" w:hAnsi="Arial" w:cs="Arial"/>
          <w:spacing w:val="4"/>
          <w:sz w:val="20"/>
          <w:szCs w:val="20"/>
        </w:rPr>
        <w:t>).</w:t>
      </w:r>
    </w:p>
    <w:p w:rsidR="000A6ACF" w:rsidRPr="00F56722" w:rsidRDefault="000A6ACF">
      <w:pPr>
        <w:tabs>
          <w:tab w:val="left" w:pos="700"/>
        </w:tabs>
        <w:spacing w:after="240" w:line="240" w:lineRule="exact"/>
        <w:jc w:val="both"/>
        <w:rPr>
          <w:rFonts w:ascii="Arial" w:hAnsi="Arial" w:cs="Arial"/>
          <w:i/>
          <w:spacing w:val="4"/>
          <w:sz w:val="20"/>
          <w:szCs w:val="20"/>
        </w:rPr>
      </w:pPr>
      <w:r w:rsidRPr="00F56722">
        <w:rPr>
          <w:rFonts w:ascii="Arial" w:hAnsi="Arial" w:cs="Arial"/>
          <w:spacing w:val="4"/>
          <w:sz w:val="20"/>
          <w:szCs w:val="20"/>
        </w:rPr>
        <w:t xml:space="preserve">Konsekwencje prawne naruszenia obowiązku współdziałania określa art. 145 § 1 pkt 6 </w:t>
      </w:r>
      <w:r w:rsidRPr="00F56722">
        <w:rPr>
          <w:rFonts w:ascii="Arial" w:hAnsi="Arial" w:cs="Arial"/>
          <w:i/>
          <w:spacing w:val="4"/>
          <w:sz w:val="20"/>
          <w:szCs w:val="20"/>
        </w:rPr>
        <w:t>kpa.</w:t>
      </w:r>
      <w:r w:rsidRPr="00F56722">
        <w:rPr>
          <w:rFonts w:ascii="Arial" w:hAnsi="Arial" w:cs="Arial"/>
          <w:spacing w:val="4"/>
          <w:sz w:val="20"/>
          <w:szCs w:val="20"/>
        </w:rPr>
        <w:t xml:space="preserve"> Przepis ten stanowi gwarancję realizacji dyspozycji art. 106 </w:t>
      </w:r>
      <w:r w:rsidRPr="00F56722">
        <w:rPr>
          <w:rFonts w:ascii="Arial" w:hAnsi="Arial" w:cs="Arial"/>
          <w:i/>
          <w:spacing w:val="4"/>
          <w:sz w:val="20"/>
          <w:szCs w:val="20"/>
        </w:rPr>
        <w:t>kpa.</w:t>
      </w:r>
      <w:r w:rsidRPr="00F56722">
        <w:rPr>
          <w:rFonts w:ascii="Arial" w:hAnsi="Arial" w:cs="Arial"/>
          <w:spacing w:val="4"/>
          <w:sz w:val="20"/>
          <w:szCs w:val="20"/>
        </w:rPr>
        <w:t xml:space="preserve"> Zgodnie z art. 145 § 1 pkt 6 </w:t>
      </w:r>
      <w:r w:rsidRPr="00F56722">
        <w:rPr>
          <w:rFonts w:ascii="Arial" w:hAnsi="Arial" w:cs="Arial"/>
          <w:i/>
          <w:spacing w:val="4"/>
          <w:sz w:val="20"/>
          <w:szCs w:val="20"/>
        </w:rPr>
        <w:t xml:space="preserve">kpa, </w:t>
      </w:r>
      <w:r w:rsidRPr="00F56722">
        <w:rPr>
          <w:rFonts w:ascii="Arial" w:hAnsi="Arial" w:cs="Arial"/>
          <w:spacing w:val="4"/>
          <w:sz w:val="20"/>
          <w:szCs w:val="20"/>
        </w:rPr>
        <w:t>wznawia się postępowanie (w sprawie zakończonej decyzją ostateczną), jeżeli decyzja została wydana bez uzyskania wymaganego prawem stanowiska innego organu</w:t>
      </w:r>
      <w:r w:rsidR="00F25D49">
        <w:rPr>
          <w:rFonts w:ascii="Arial" w:hAnsi="Arial" w:cs="Arial"/>
          <w:spacing w:val="4"/>
          <w:sz w:val="20"/>
          <w:szCs w:val="20"/>
        </w:rPr>
        <w:t xml:space="preserve"> </w:t>
      </w:r>
      <w:r w:rsidRPr="00F56722">
        <w:rPr>
          <w:rFonts w:ascii="Arial" w:hAnsi="Arial" w:cs="Arial"/>
          <w:color w:val="000000"/>
          <w:spacing w:val="4"/>
          <w:sz w:val="20"/>
          <w:szCs w:val="20"/>
        </w:rPr>
        <w:t xml:space="preserve">(vide: wyrok Naczelnego Sądu Administracyjnego z dnia 29 grudnia 1986 r., sygn. akt II SA 1035/86). Warto dodać, że </w:t>
      </w:r>
      <w:r w:rsidRPr="00F56722">
        <w:rPr>
          <w:rFonts w:ascii="Arial" w:hAnsi="Arial" w:cs="Arial"/>
          <w:spacing w:val="4"/>
          <w:sz w:val="20"/>
          <w:szCs w:val="20"/>
        </w:rPr>
        <w:t xml:space="preserve">do powołania </w:t>
      </w:r>
      <w:r w:rsidRPr="00F56722">
        <w:rPr>
          <w:rFonts w:ascii="Arial" w:hAnsi="Arial" w:cs="Arial"/>
          <w:spacing w:val="4"/>
          <w:sz w:val="20"/>
          <w:szCs w:val="20"/>
        </w:rPr>
        <w:lastRenderedPageBreak/>
        <w:t>się na tę podstawę prawną nie jest konieczne udowadnianie związku przyczynowego między brakiem stanowiska a treścią decyzji. W wyroku z dnia 18 stycznia 1999 r., sygn. akt IV SA 116/97, Naczelny Sąd Administracyjny wskazał, że: „Wznowienie postępowania na podstawie art. 145 § 1 pkt 6 k.p.a.</w:t>
      </w:r>
      <w:r w:rsidRPr="00F56722">
        <w:rPr>
          <w:rFonts w:ascii="Arial" w:hAnsi="Arial" w:cs="Arial"/>
          <w:i/>
          <w:spacing w:val="4"/>
          <w:sz w:val="20"/>
          <w:szCs w:val="20"/>
        </w:rPr>
        <w:t xml:space="preserve"> </w:t>
      </w:r>
      <w:r w:rsidRPr="00F56722">
        <w:rPr>
          <w:rFonts w:ascii="Arial" w:hAnsi="Arial" w:cs="Arial"/>
          <w:spacing w:val="4"/>
          <w:sz w:val="20"/>
          <w:szCs w:val="20"/>
        </w:rPr>
        <w:t>następuje niezależnie od tego, czy brak współdziałania miał wpływ na treść decyzji</w:t>
      </w:r>
      <w:r w:rsidRPr="00F56722">
        <w:rPr>
          <w:rFonts w:ascii="Arial" w:hAnsi="Arial" w:cs="Arial"/>
          <w:i/>
          <w:spacing w:val="4"/>
          <w:sz w:val="20"/>
          <w:szCs w:val="20"/>
        </w:rPr>
        <w:t>”.</w:t>
      </w:r>
    </w:p>
    <w:p w:rsidR="00A81227" w:rsidRPr="00F56722" w:rsidRDefault="00A81227">
      <w:pPr>
        <w:spacing w:after="240" w:line="240" w:lineRule="exact"/>
        <w:jc w:val="both"/>
        <w:rPr>
          <w:rFonts w:ascii="Arial" w:hAnsi="Arial" w:cs="Arial"/>
          <w:spacing w:val="4"/>
          <w:sz w:val="20"/>
          <w:szCs w:val="20"/>
        </w:rPr>
      </w:pPr>
      <w:r w:rsidRPr="00F56722">
        <w:rPr>
          <w:rFonts w:ascii="Arial" w:hAnsi="Arial" w:cs="Arial"/>
          <w:color w:val="000000"/>
          <w:spacing w:val="4"/>
          <w:sz w:val="20"/>
          <w:szCs w:val="20"/>
        </w:rPr>
        <w:t xml:space="preserve">Podkreślenia wymaga jednak, że nie jest dopuszczalne usunięcie w postępowaniu odwoławczym lub </w:t>
      </w:r>
      <w:r w:rsidR="00703744" w:rsidRPr="00F56722">
        <w:rPr>
          <w:rFonts w:ascii="Arial" w:hAnsi="Arial" w:cs="Arial"/>
          <w:color w:val="000000"/>
          <w:spacing w:val="4"/>
          <w:sz w:val="20"/>
          <w:szCs w:val="20"/>
        </w:rPr>
        <w:br/>
      </w:r>
      <w:r w:rsidRPr="00F56722">
        <w:rPr>
          <w:rFonts w:ascii="Arial" w:hAnsi="Arial" w:cs="Arial"/>
          <w:color w:val="000000"/>
          <w:spacing w:val="4"/>
          <w:sz w:val="20"/>
          <w:szCs w:val="20"/>
        </w:rPr>
        <w:t xml:space="preserve">na dalszych etapach postępowania wadliwości postępowania pierwszoinstancyjnego polegającego </w:t>
      </w:r>
      <w:r w:rsidR="00703744" w:rsidRPr="00F56722">
        <w:rPr>
          <w:rFonts w:ascii="Arial" w:hAnsi="Arial" w:cs="Arial"/>
          <w:color w:val="000000"/>
          <w:spacing w:val="4"/>
          <w:sz w:val="20"/>
          <w:szCs w:val="20"/>
        </w:rPr>
        <w:br/>
      </w:r>
      <w:r w:rsidRPr="00F56722">
        <w:rPr>
          <w:rFonts w:ascii="Arial" w:hAnsi="Arial" w:cs="Arial"/>
          <w:color w:val="000000"/>
          <w:spacing w:val="4"/>
          <w:sz w:val="20"/>
          <w:szCs w:val="20"/>
        </w:rPr>
        <w:t xml:space="preserve">na braku przeprowadzenia postępowania uzgadniającego (B. M. </w:t>
      </w:r>
      <w:proofErr w:type="spellStart"/>
      <w:r w:rsidRPr="00F56722">
        <w:rPr>
          <w:rFonts w:ascii="Arial" w:hAnsi="Arial" w:cs="Arial"/>
          <w:color w:val="000000"/>
          <w:spacing w:val="4"/>
          <w:sz w:val="20"/>
          <w:szCs w:val="20"/>
        </w:rPr>
        <w:t>Blankiewicz-Wóltańska</w:t>
      </w:r>
      <w:proofErr w:type="spellEnd"/>
      <w:r w:rsidRPr="00F56722">
        <w:rPr>
          <w:rFonts w:ascii="Arial" w:hAnsi="Arial" w:cs="Arial"/>
          <w:color w:val="000000"/>
          <w:spacing w:val="4"/>
          <w:sz w:val="20"/>
          <w:szCs w:val="20"/>
        </w:rPr>
        <w:t xml:space="preserve">, Procedura uzgadniania decyzji w oparciu o art. 106 k.p.a. w postępowaniach dotyczących wydania decyzji </w:t>
      </w:r>
      <w:r w:rsidR="00703744" w:rsidRPr="00F56722">
        <w:rPr>
          <w:rFonts w:ascii="Arial" w:hAnsi="Arial" w:cs="Arial"/>
          <w:color w:val="000000"/>
          <w:spacing w:val="4"/>
          <w:sz w:val="20"/>
          <w:szCs w:val="20"/>
        </w:rPr>
        <w:br/>
      </w:r>
      <w:r w:rsidRPr="00F56722">
        <w:rPr>
          <w:rFonts w:ascii="Arial" w:hAnsi="Arial" w:cs="Arial"/>
          <w:color w:val="000000"/>
          <w:spacing w:val="4"/>
          <w:sz w:val="20"/>
          <w:szCs w:val="20"/>
        </w:rPr>
        <w:t xml:space="preserve">na podstawie przepisów ustawy o planowaniu i zagospodarowaniu przestrzennym oraz decyzji </w:t>
      </w:r>
      <w:r w:rsidRPr="00F56722">
        <w:rPr>
          <w:rFonts w:ascii="Arial" w:hAnsi="Arial" w:cs="Arial"/>
          <w:color w:val="000000"/>
          <w:spacing w:val="4"/>
          <w:sz w:val="20"/>
          <w:szCs w:val="20"/>
        </w:rPr>
        <w:br/>
        <w:t>o uwarunkowaniach środowiskowych, „C</w:t>
      </w:r>
      <w:r w:rsidR="00703744" w:rsidRPr="00F56722">
        <w:rPr>
          <w:rFonts w:ascii="Arial" w:hAnsi="Arial" w:cs="Arial"/>
          <w:color w:val="000000"/>
          <w:spacing w:val="4"/>
          <w:sz w:val="20"/>
          <w:szCs w:val="20"/>
        </w:rPr>
        <w:t>a</w:t>
      </w:r>
      <w:r w:rsidRPr="00F56722">
        <w:rPr>
          <w:rFonts w:ascii="Arial" w:hAnsi="Arial" w:cs="Arial"/>
          <w:color w:val="000000"/>
          <w:spacing w:val="4"/>
          <w:sz w:val="20"/>
          <w:szCs w:val="20"/>
        </w:rPr>
        <w:t xml:space="preserve">sus” 2007, nr 3, s. 26). Naruszałby to bowiem zasadę dwuinstancyjności pozbawiając strony możliwości wniesienia zażalenia na postanowienie uzgadniające </w:t>
      </w:r>
      <w:r w:rsidRPr="00F56722">
        <w:rPr>
          <w:rFonts w:ascii="Arial" w:hAnsi="Arial" w:cs="Arial"/>
          <w:color w:val="000000"/>
          <w:spacing w:val="4"/>
          <w:sz w:val="20"/>
          <w:szCs w:val="20"/>
        </w:rPr>
        <w:br/>
        <w:t xml:space="preserve">i ewentualnie skargi do sądu (vide: wyrok Wojewódzkiego Sądu Administracyjnego w Warszawie z dnia 17 czerwca 2005 r., sygn. IV SA/Wa 900/04). W takiej sytuacji organ odwoławczy powinien </w:t>
      </w:r>
      <w:r w:rsidRPr="00F56722">
        <w:rPr>
          <w:rFonts w:ascii="Arial" w:hAnsi="Arial" w:cs="Arial"/>
          <w:spacing w:val="4"/>
          <w:sz w:val="20"/>
          <w:szCs w:val="20"/>
        </w:rPr>
        <w:t xml:space="preserve">uchylić decyzję organu I instancji i przekazać sprawę do ponownego rozpatrzenia przez ten organ (G. Krawiec, Brak stanowiska innego organu jako podstawa wznowienia ogólnego postępowania administracyjnego, Roczniki Administracji i Prawa. Rok IX. Str. 67; Grzegorz Krawiec, Wznowienie postępowania administracyjnego, Sosnowiec 2007, str. 117-118). </w:t>
      </w:r>
    </w:p>
    <w:p w:rsidR="00A81227" w:rsidRPr="00D670F6" w:rsidRDefault="00A81227" w:rsidP="00D670F6">
      <w:pPr>
        <w:pStyle w:val="Tekstpodstawowy2"/>
        <w:spacing w:after="240" w:line="240" w:lineRule="exact"/>
        <w:jc w:val="both"/>
        <w:rPr>
          <w:spacing w:val="4"/>
        </w:rPr>
      </w:pPr>
      <w:r w:rsidRPr="00F56722">
        <w:rPr>
          <w:rFonts w:ascii="Arial" w:hAnsi="Arial" w:cs="Arial"/>
          <w:color w:val="000000"/>
          <w:spacing w:val="4"/>
          <w:sz w:val="20"/>
        </w:rPr>
        <w:t xml:space="preserve">Zaznaczyć należy, iż dla uznania, że zasada dwuinstancyjności postępowania została zrealizowana nie wystarczy samo stwierdzenie, że w sprawie zapadły rozstrzygnięcia dwóch organów różnych stopni. Właściwe wypełnienie zasady dwuinstancyjności wymaga nie tylko podjęcia dwóch kolejnych rozstrzygnięć różnych organów, lecz zakłada jej podjęcie w wyniku przeprowadzenia przez każdy z tych organów postępowania umożliwiającego osiągnięcie celów, dla których postępowanie to jest prowadzone. Chodzi bowiem o to, by przeprowadzono dwukrotnie merytoryczne postępowanie, by dwukrotnie oceniono dowody, w sposób rzeczowy i poważny przeanalizowano wszelkie argumenty </w:t>
      </w:r>
      <w:r w:rsidRPr="00F56722">
        <w:rPr>
          <w:rFonts w:ascii="Arial" w:hAnsi="Arial" w:cs="Arial"/>
          <w:color w:val="000000"/>
          <w:spacing w:val="4"/>
          <w:sz w:val="20"/>
        </w:rPr>
        <w:br/>
        <w:t>i opinie oraz doprowadzono do wydania takiego rozstrzygnięcia, które najlepiej odpowiadać będzie prawu, interesowi publicznemu i słusznym interesom strony (vide: wyrok Wojewódzkiego Sądu Administracyjnego w Poznaniu z dnia 20 lutego 2014 r., sygn. akt IV SA/Po 1076/13</w:t>
      </w:r>
      <w:r w:rsidR="000F72BD" w:rsidRPr="00F56722">
        <w:rPr>
          <w:rFonts w:ascii="Arial" w:hAnsi="Arial" w:cs="Arial"/>
          <w:color w:val="000000"/>
          <w:spacing w:val="4"/>
          <w:sz w:val="20"/>
        </w:rPr>
        <w:t>, opubl. Centralna Baza Orzeczeń Sądów Administracyjnych</w:t>
      </w:r>
      <w:r w:rsidRPr="00F56722">
        <w:rPr>
          <w:rFonts w:ascii="Arial" w:hAnsi="Arial" w:cs="Arial"/>
          <w:color w:val="000000"/>
          <w:spacing w:val="4"/>
          <w:sz w:val="20"/>
        </w:rPr>
        <w:t>).</w:t>
      </w:r>
    </w:p>
    <w:p w:rsidR="007741AB" w:rsidRPr="00F56722" w:rsidRDefault="00A81227" w:rsidP="00E731F0">
      <w:pPr>
        <w:tabs>
          <w:tab w:val="left" w:pos="700"/>
        </w:tabs>
        <w:spacing w:after="240" w:line="240" w:lineRule="exact"/>
        <w:jc w:val="both"/>
        <w:rPr>
          <w:rFonts w:ascii="Arial" w:hAnsi="Arial" w:cs="Arial"/>
          <w:spacing w:val="4"/>
          <w:sz w:val="20"/>
          <w:szCs w:val="20"/>
        </w:rPr>
      </w:pPr>
      <w:r w:rsidRPr="00E731F0">
        <w:rPr>
          <w:rFonts w:ascii="Arial" w:hAnsi="Arial" w:cs="Arial"/>
          <w:spacing w:val="4"/>
          <w:sz w:val="20"/>
          <w:szCs w:val="20"/>
        </w:rPr>
        <w:t>W dalszej kolejności należy wska</w:t>
      </w:r>
      <w:r w:rsidRPr="00F56722">
        <w:rPr>
          <w:rFonts w:ascii="Arial" w:hAnsi="Arial" w:cs="Arial"/>
          <w:spacing w:val="4"/>
          <w:sz w:val="20"/>
          <w:szCs w:val="20"/>
        </w:rPr>
        <w:t xml:space="preserve">zać, iż </w:t>
      </w:r>
      <w:r w:rsidR="00703744" w:rsidRPr="00F56722">
        <w:rPr>
          <w:rFonts w:ascii="Arial" w:hAnsi="Arial" w:cs="Arial"/>
          <w:spacing w:val="4"/>
          <w:sz w:val="20"/>
          <w:szCs w:val="20"/>
        </w:rPr>
        <w:t xml:space="preserve">w myśl art. 54 pkt 3 </w:t>
      </w:r>
      <w:r w:rsidR="00703744" w:rsidRPr="00D670F6">
        <w:rPr>
          <w:rFonts w:ascii="Arial" w:hAnsi="Arial" w:cs="Arial"/>
          <w:i/>
          <w:spacing w:val="4"/>
          <w:sz w:val="20"/>
          <w:szCs w:val="20"/>
        </w:rPr>
        <w:t>ustawy o planowaniu i zagospodarowaniu przestrzennym</w:t>
      </w:r>
      <w:r w:rsidR="00703744" w:rsidRPr="00E731F0">
        <w:rPr>
          <w:rFonts w:ascii="Arial" w:hAnsi="Arial" w:cs="Arial"/>
          <w:spacing w:val="4"/>
          <w:sz w:val="20"/>
          <w:szCs w:val="20"/>
        </w:rPr>
        <w:t xml:space="preserve">, decyzja o ustaleniu lokalizacji inwestycji celu publicznego określa linie rozgraniczające teren inwestycji, wyznaczone na mapie </w:t>
      </w:r>
      <w:r w:rsidR="00703744" w:rsidRPr="00F56722">
        <w:rPr>
          <w:rFonts w:ascii="Arial" w:hAnsi="Arial" w:cs="Arial"/>
          <w:spacing w:val="4"/>
          <w:sz w:val="20"/>
          <w:szCs w:val="20"/>
        </w:rPr>
        <w:t xml:space="preserve">w odpowiedniej skali, z zastrzeżeniem art. 52 ust. 2 pkt 1 tej samej ustawy. </w:t>
      </w:r>
      <w:r w:rsidR="007741AB" w:rsidRPr="00F56722">
        <w:rPr>
          <w:rFonts w:ascii="Arial" w:hAnsi="Arial" w:cs="Arial"/>
          <w:spacing w:val="4"/>
          <w:sz w:val="20"/>
          <w:szCs w:val="20"/>
        </w:rPr>
        <w:t xml:space="preserve">Skoro przepis art. 52 ust. 2 pkt 1 </w:t>
      </w:r>
      <w:r w:rsidR="007741AB" w:rsidRPr="00D670F6">
        <w:rPr>
          <w:rFonts w:ascii="Arial" w:hAnsi="Arial" w:cs="Arial"/>
          <w:i/>
          <w:spacing w:val="4"/>
          <w:sz w:val="20"/>
          <w:szCs w:val="20"/>
        </w:rPr>
        <w:t>ustawy o planowaniu i zagospodarowaniu przestrzennym</w:t>
      </w:r>
      <w:r w:rsidR="007741AB" w:rsidRPr="00E731F0">
        <w:rPr>
          <w:rFonts w:ascii="Arial" w:hAnsi="Arial" w:cs="Arial"/>
          <w:spacing w:val="4"/>
          <w:sz w:val="20"/>
          <w:szCs w:val="20"/>
        </w:rPr>
        <w:t xml:space="preserve"> wymaga, aby inwestor zaznaczył na mapie teren samej inwestycji oraz obszar objęty jej wpływem, to należy pr</w:t>
      </w:r>
      <w:r w:rsidR="007741AB" w:rsidRPr="00F56722">
        <w:rPr>
          <w:rFonts w:ascii="Arial" w:hAnsi="Arial" w:cs="Arial"/>
          <w:spacing w:val="4"/>
          <w:sz w:val="20"/>
          <w:szCs w:val="20"/>
        </w:rPr>
        <w:t>zyjąć, że część graficzna decyzji o ustaleniu lokalizacji inwestycji celu publicznego powinna odpowiadać części graficznej wniosku.</w:t>
      </w:r>
    </w:p>
    <w:p w:rsidR="00B85B69" w:rsidRPr="00F56722" w:rsidRDefault="00DE11ED" w:rsidP="00E731F0">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W</w:t>
      </w:r>
      <w:r w:rsidR="007741AB" w:rsidRPr="00F56722">
        <w:rPr>
          <w:rFonts w:ascii="Arial" w:hAnsi="Arial" w:cs="Arial"/>
          <w:spacing w:val="4"/>
          <w:sz w:val="20"/>
          <w:szCs w:val="20"/>
        </w:rPr>
        <w:t xml:space="preserve"> niniejszej sprawie, porównanie treści zapisu na str. 1 </w:t>
      </w:r>
      <w:r w:rsidR="007741AB" w:rsidRPr="00D670F6">
        <w:rPr>
          <w:rFonts w:ascii="Arial" w:hAnsi="Arial" w:cs="Arial"/>
          <w:i/>
          <w:spacing w:val="4"/>
          <w:sz w:val="20"/>
          <w:szCs w:val="20"/>
        </w:rPr>
        <w:t xml:space="preserve">decyzji </w:t>
      </w:r>
      <w:r w:rsidR="00F25D49" w:rsidRPr="00E731F0">
        <w:rPr>
          <w:rFonts w:ascii="Arial" w:hAnsi="Arial" w:cs="Arial"/>
          <w:i/>
          <w:spacing w:val="4"/>
          <w:sz w:val="20"/>
          <w:szCs w:val="20"/>
        </w:rPr>
        <w:t>Woj</w:t>
      </w:r>
      <w:r w:rsidR="00F25D49">
        <w:rPr>
          <w:rFonts w:ascii="Arial" w:hAnsi="Arial" w:cs="Arial"/>
          <w:i/>
          <w:spacing w:val="4"/>
          <w:sz w:val="20"/>
          <w:szCs w:val="20"/>
        </w:rPr>
        <w:t>ewody</w:t>
      </w:r>
      <w:r w:rsidR="007741AB" w:rsidRPr="00D670F6">
        <w:rPr>
          <w:rFonts w:ascii="Arial" w:hAnsi="Arial" w:cs="Arial"/>
          <w:i/>
          <w:spacing w:val="4"/>
          <w:sz w:val="20"/>
          <w:szCs w:val="20"/>
        </w:rPr>
        <w:t xml:space="preserve"> Mazowieckiego</w:t>
      </w:r>
      <w:r w:rsidR="007741AB" w:rsidRPr="00E731F0">
        <w:rPr>
          <w:rFonts w:ascii="Arial" w:hAnsi="Arial" w:cs="Arial"/>
          <w:spacing w:val="4"/>
          <w:sz w:val="20"/>
          <w:szCs w:val="20"/>
        </w:rPr>
        <w:t xml:space="preserve"> i </w:t>
      </w:r>
      <w:r w:rsidR="007741AB" w:rsidRPr="00F56722">
        <w:rPr>
          <w:rFonts w:ascii="Arial" w:hAnsi="Arial" w:cs="Arial"/>
          <w:spacing w:val="4"/>
          <w:sz w:val="20"/>
          <w:szCs w:val="20"/>
        </w:rPr>
        <w:t>załącznika</w:t>
      </w:r>
      <w:r w:rsidR="00D67C63">
        <w:rPr>
          <w:rFonts w:ascii="Arial" w:hAnsi="Arial" w:cs="Arial"/>
          <w:spacing w:val="4"/>
          <w:sz w:val="20"/>
          <w:szCs w:val="20"/>
        </w:rPr>
        <w:t xml:space="preserve"> graficznego</w:t>
      </w:r>
      <w:r w:rsidRPr="00F56722">
        <w:rPr>
          <w:rFonts w:ascii="Arial" w:hAnsi="Arial" w:cs="Arial"/>
          <w:spacing w:val="4"/>
          <w:sz w:val="20"/>
          <w:szCs w:val="20"/>
        </w:rPr>
        <w:t xml:space="preserve"> nr 1</w:t>
      </w:r>
      <w:r w:rsidR="007741AB" w:rsidRPr="00F56722">
        <w:rPr>
          <w:rFonts w:ascii="Arial" w:hAnsi="Arial" w:cs="Arial"/>
          <w:spacing w:val="4"/>
          <w:sz w:val="20"/>
          <w:szCs w:val="20"/>
        </w:rPr>
        <w:t xml:space="preserve"> do kontrolowanej decyzji</w:t>
      </w:r>
      <w:r w:rsidRPr="00F56722">
        <w:rPr>
          <w:rFonts w:ascii="Arial" w:hAnsi="Arial" w:cs="Arial"/>
          <w:spacing w:val="4"/>
          <w:sz w:val="20"/>
          <w:szCs w:val="20"/>
        </w:rPr>
        <w:t xml:space="preserve"> </w:t>
      </w:r>
      <w:r w:rsidR="007741AB" w:rsidRPr="00F56722">
        <w:rPr>
          <w:rFonts w:ascii="Arial" w:hAnsi="Arial" w:cs="Arial"/>
          <w:spacing w:val="4"/>
          <w:sz w:val="20"/>
          <w:szCs w:val="20"/>
        </w:rPr>
        <w:t>pozwala stwierdzić, iż pomiędzy tymi dokumentami istnieją zasadn</w:t>
      </w:r>
      <w:r w:rsidRPr="00F56722">
        <w:rPr>
          <w:rFonts w:ascii="Arial" w:hAnsi="Arial" w:cs="Arial"/>
          <w:spacing w:val="4"/>
          <w:sz w:val="20"/>
          <w:szCs w:val="20"/>
        </w:rPr>
        <w:t>icze rozbieżności odnośnie określenia teren</w:t>
      </w:r>
      <w:r w:rsidR="00D67C63">
        <w:rPr>
          <w:rFonts w:ascii="Arial" w:hAnsi="Arial" w:cs="Arial"/>
          <w:spacing w:val="4"/>
          <w:sz w:val="20"/>
          <w:szCs w:val="20"/>
        </w:rPr>
        <w:t>u</w:t>
      </w:r>
      <w:r w:rsidRPr="00F56722">
        <w:rPr>
          <w:rFonts w:ascii="Arial" w:hAnsi="Arial" w:cs="Arial"/>
          <w:spacing w:val="4"/>
          <w:sz w:val="20"/>
          <w:szCs w:val="20"/>
        </w:rPr>
        <w:t xml:space="preserve"> inwestycji. </w:t>
      </w:r>
      <w:r w:rsidR="00662E2E" w:rsidRPr="00F56722">
        <w:rPr>
          <w:rFonts w:ascii="Arial" w:hAnsi="Arial" w:cs="Arial"/>
          <w:spacing w:val="4"/>
          <w:sz w:val="20"/>
          <w:szCs w:val="20"/>
        </w:rPr>
        <w:t xml:space="preserve">Na str. 1 </w:t>
      </w:r>
      <w:r w:rsidR="00662E2E" w:rsidRPr="00D670F6">
        <w:rPr>
          <w:rFonts w:ascii="Arial" w:hAnsi="Arial" w:cs="Arial"/>
          <w:i/>
          <w:spacing w:val="4"/>
          <w:sz w:val="20"/>
          <w:szCs w:val="20"/>
        </w:rPr>
        <w:t xml:space="preserve">decyzji </w:t>
      </w:r>
      <w:r w:rsidR="007741AB" w:rsidRPr="00D670F6">
        <w:rPr>
          <w:rFonts w:ascii="Arial" w:hAnsi="Arial" w:cs="Arial"/>
          <w:i/>
          <w:spacing w:val="4"/>
          <w:sz w:val="20"/>
          <w:szCs w:val="20"/>
        </w:rPr>
        <w:t>Wojewody Mazowieckieg</w:t>
      </w:r>
      <w:r w:rsidR="007741AB" w:rsidRPr="00E731F0">
        <w:rPr>
          <w:rFonts w:ascii="Arial" w:hAnsi="Arial" w:cs="Arial"/>
          <w:spacing w:val="4"/>
          <w:sz w:val="20"/>
          <w:szCs w:val="20"/>
        </w:rPr>
        <w:t>o</w:t>
      </w:r>
      <w:r w:rsidR="007741AB" w:rsidRPr="00F56722">
        <w:rPr>
          <w:rFonts w:ascii="Arial" w:hAnsi="Arial" w:cs="Arial"/>
          <w:spacing w:val="4"/>
          <w:sz w:val="20"/>
          <w:szCs w:val="20"/>
        </w:rPr>
        <w:t xml:space="preserve"> organ I instancji </w:t>
      </w:r>
      <w:r w:rsidR="00F25D49">
        <w:rPr>
          <w:rFonts w:ascii="Arial" w:hAnsi="Arial" w:cs="Arial"/>
          <w:spacing w:val="4"/>
          <w:sz w:val="20"/>
          <w:szCs w:val="20"/>
        </w:rPr>
        <w:t>wskazał</w:t>
      </w:r>
      <w:r w:rsidR="007741AB" w:rsidRPr="00E731F0">
        <w:rPr>
          <w:rFonts w:ascii="Arial" w:hAnsi="Arial" w:cs="Arial"/>
          <w:spacing w:val="4"/>
          <w:sz w:val="20"/>
          <w:szCs w:val="20"/>
        </w:rPr>
        <w:t>,</w:t>
      </w:r>
      <w:r w:rsidR="007741AB" w:rsidRPr="00F56722">
        <w:rPr>
          <w:rFonts w:ascii="Arial" w:hAnsi="Arial" w:cs="Arial"/>
          <w:spacing w:val="4"/>
          <w:sz w:val="20"/>
          <w:szCs w:val="20"/>
        </w:rPr>
        <w:t xml:space="preserve"> iż</w:t>
      </w:r>
      <w:r w:rsidRPr="00F56722">
        <w:rPr>
          <w:rFonts w:ascii="Arial" w:hAnsi="Arial" w:cs="Arial"/>
          <w:spacing w:val="4"/>
          <w:sz w:val="20"/>
          <w:szCs w:val="20"/>
        </w:rPr>
        <w:t>:</w:t>
      </w:r>
      <w:r w:rsidR="007741AB" w:rsidRPr="00F56722">
        <w:rPr>
          <w:rFonts w:ascii="Arial" w:hAnsi="Arial" w:cs="Arial"/>
          <w:spacing w:val="4"/>
          <w:sz w:val="20"/>
          <w:szCs w:val="20"/>
        </w:rPr>
        <w:t xml:space="preserve"> „Linię rozgraniczającą teren planowanej inwestycji oznaczono linią koloru zielonego na kopii mapy zasadniczej w skali 1:2000 stanowiącej załącznik </w:t>
      </w:r>
      <w:r w:rsidR="00D67C63">
        <w:rPr>
          <w:rFonts w:ascii="Arial" w:hAnsi="Arial" w:cs="Arial"/>
          <w:spacing w:val="4"/>
          <w:sz w:val="20"/>
          <w:szCs w:val="20"/>
        </w:rPr>
        <w:br/>
      </w:r>
      <w:r w:rsidR="007741AB" w:rsidRPr="00F56722">
        <w:rPr>
          <w:rFonts w:ascii="Arial" w:hAnsi="Arial" w:cs="Arial"/>
          <w:spacing w:val="4"/>
          <w:sz w:val="20"/>
          <w:szCs w:val="20"/>
        </w:rPr>
        <w:t>nr 1 będący integralną częścią niniejszej decyzji. Granice terenu oddziaływania inwestycji oznaczono linią koloru czarnego oraz literami od A do O.</w:t>
      </w:r>
      <w:r w:rsidR="00F25D49">
        <w:rPr>
          <w:rFonts w:ascii="Arial" w:hAnsi="Arial" w:cs="Arial"/>
          <w:spacing w:val="4"/>
          <w:sz w:val="20"/>
          <w:szCs w:val="20"/>
        </w:rPr>
        <w:t>”.</w:t>
      </w:r>
      <w:r w:rsidRPr="00E731F0">
        <w:rPr>
          <w:rFonts w:ascii="Arial" w:hAnsi="Arial" w:cs="Arial"/>
          <w:spacing w:val="4"/>
          <w:sz w:val="20"/>
          <w:szCs w:val="20"/>
        </w:rPr>
        <w:t xml:space="preserve"> </w:t>
      </w:r>
    </w:p>
    <w:p w:rsidR="00D67C63" w:rsidRDefault="00DE11ED">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Natomiast dokonana przez organ odwoławczy analiza załącznika nr 1 do zaskarżonej decyzji wykazała, iż linią ciągłą koloru czarnego określono nie tylko obszar oddziaływania</w:t>
      </w:r>
      <w:r w:rsidR="00B85B69" w:rsidRPr="00F56722">
        <w:rPr>
          <w:rFonts w:ascii="Arial" w:hAnsi="Arial" w:cs="Arial"/>
          <w:spacing w:val="4"/>
          <w:sz w:val="20"/>
          <w:szCs w:val="20"/>
        </w:rPr>
        <w:t xml:space="preserve"> (jak wskazano </w:t>
      </w:r>
      <w:r w:rsidR="00F25D49">
        <w:rPr>
          <w:rFonts w:ascii="Arial" w:hAnsi="Arial" w:cs="Arial"/>
          <w:spacing w:val="4"/>
          <w:sz w:val="20"/>
          <w:szCs w:val="20"/>
        </w:rPr>
        <w:t xml:space="preserve">to </w:t>
      </w:r>
      <w:r w:rsidR="00B85B69" w:rsidRPr="00E731F0">
        <w:rPr>
          <w:rFonts w:ascii="Arial" w:hAnsi="Arial" w:cs="Arial"/>
          <w:spacing w:val="4"/>
          <w:sz w:val="20"/>
          <w:szCs w:val="20"/>
        </w:rPr>
        <w:t xml:space="preserve">na str. </w:t>
      </w:r>
      <w:r w:rsidR="00B85B69" w:rsidRPr="00F56722">
        <w:rPr>
          <w:rFonts w:ascii="Arial" w:hAnsi="Arial" w:cs="Arial"/>
          <w:spacing w:val="4"/>
          <w:sz w:val="20"/>
          <w:szCs w:val="20"/>
        </w:rPr>
        <w:br/>
        <w:t>1 zaskarżonej decyzji)</w:t>
      </w:r>
      <w:r w:rsidRPr="00F56722">
        <w:rPr>
          <w:rFonts w:ascii="Arial" w:hAnsi="Arial" w:cs="Arial"/>
          <w:spacing w:val="4"/>
          <w:sz w:val="20"/>
          <w:szCs w:val="20"/>
        </w:rPr>
        <w:t xml:space="preserve">, ale również granice inwestycji. </w:t>
      </w:r>
      <w:r w:rsidR="00B85B69" w:rsidRPr="00F56722">
        <w:rPr>
          <w:rFonts w:ascii="Arial" w:hAnsi="Arial" w:cs="Arial"/>
          <w:spacing w:val="4"/>
          <w:sz w:val="20"/>
          <w:szCs w:val="20"/>
        </w:rPr>
        <w:t xml:space="preserve">Na rzeczonym załączniku graficznym </w:t>
      </w:r>
      <w:r w:rsidRPr="00F56722">
        <w:rPr>
          <w:rFonts w:ascii="Arial" w:hAnsi="Arial" w:cs="Arial"/>
          <w:spacing w:val="4"/>
          <w:sz w:val="20"/>
          <w:szCs w:val="20"/>
        </w:rPr>
        <w:t xml:space="preserve">nr 1 do </w:t>
      </w:r>
      <w:r w:rsidRPr="00D670F6">
        <w:rPr>
          <w:rFonts w:ascii="Arial" w:hAnsi="Arial" w:cs="Arial"/>
          <w:i/>
          <w:spacing w:val="4"/>
          <w:sz w:val="20"/>
          <w:szCs w:val="20"/>
        </w:rPr>
        <w:t xml:space="preserve">decyzji </w:t>
      </w:r>
      <w:r w:rsidRPr="00E731F0">
        <w:rPr>
          <w:rFonts w:ascii="Arial" w:hAnsi="Arial" w:cs="Arial"/>
          <w:i/>
          <w:spacing w:val="4"/>
          <w:sz w:val="20"/>
          <w:szCs w:val="20"/>
        </w:rPr>
        <w:t>Wojewody</w:t>
      </w:r>
      <w:r w:rsidRPr="00D670F6">
        <w:rPr>
          <w:rFonts w:ascii="Arial" w:hAnsi="Arial" w:cs="Arial"/>
          <w:i/>
          <w:spacing w:val="4"/>
          <w:sz w:val="20"/>
          <w:szCs w:val="20"/>
        </w:rPr>
        <w:t xml:space="preserve"> </w:t>
      </w:r>
      <w:r w:rsidRPr="00E731F0">
        <w:rPr>
          <w:rFonts w:ascii="Arial" w:hAnsi="Arial" w:cs="Arial"/>
          <w:i/>
          <w:spacing w:val="4"/>
          <w:sz w:val="20"/>
          <w:szCs w:val="20"/>
        </w:rPr>
        <w:t>Mazowieckiego</w:t>
      </w:r>
      <w:r w:rsidRPr="00F56722">
        <w:rPr>
          <w:rFonts w:ascii="Arial" w:hAnsi="Arial" w:cs="Arial"/>
          <w:spacing w:val="4"/>
          <w:sz w:val="20"/>
          <w:szCs w:val="20"/>
        </w:rPr>
        <w:t xml:space="preserve"> </w:t>
      </w:r>
      <w:r w:rsidR="00B85B69" w:rsidRPr="00F56722">
        <w:rPr>
          <w:rFonts w:ascii="Arial" w:hAnsi="Arial" w:cs="Arial"/>
          <w:spacing w:val="4"/>
          <w:sz w:val="20"/>
          <w:szCs w:val="20"/>
        </w:rPr>
        <w:t xml:space="preserve">zobrazowano, co prawda także linie przerywane koloru zielonego, ale </w:t>
      </w:r>
      <w:r w:rsidRPr="00F56722">
        <w:rPr>
          <w:rFonts w:ascii="Arial" w:hAnsi="Arial" w:cs="Arial"/>
          <w:spacing w:val="4"/>
          <w:sz w:val="20"/>
          <w:szCs w:val="20"/>
        </w:rPr>
        <w:t xml:space="preserve">w żaden sposób </w:t>
      </w:r>
      <w:r w:rsidR="00B85B69" w:rsidRPr="00F56722">
        <w:rPr>
          <w:rFonts w:ascii="Arial" w:hAnsi="Arial" w:cs="Arial"/>
          <w:spacing w:val="4"/>
          <w:sz w:val="20"/>
          <w:szCs w:val="20"/>
        </w:rPr>
        <w:t>linie te nie mogą stanowić linii</w:t>
      </w:r>
      <w:r w:rsidRPr="00F56722">
        <w:rPr>
          <w:rFonts w:ascii="Arial" w:hAnsi="Arial" w:cs="Arial"/>
          <w:spacing w:val="4"/>
          <w:sz w:val="20"/>
          <w:szCs w:val="20"/>
        </w:rPr>
        <w:t xml:space="preserve"> rozgraniczając</w:t>
      </w:r>
      <w:r w:rsidR="00B85B69" w:rsidRPr="00F56722">
        <w:rPr>
          <w:rFonts w:ascii="Arial" w:hAnsi="Arial" w:cs="Arial"/>
          <w:spacing w:val="4"/>
          <w:sz w:val="20"/>
          <w:szCs w:val="20"/>
        </w:rPr>
        <w:t>ych</w:t>
      </w:r>
      <w:r w:rsidRPr="00F56722">
        <w:rPr>
          <w:rFonts w:ascii="Arial" w:hAnsi="Arial" w:cs="Arial"/>
          <w:spacing w:val="4"/>
          <w:sz w:val="20"/>
          <w:szCs w:val="20"/>
        </w:rPr>
        <w:t xml:space="preserve"> teren inwestycji</w:t>
      </w:r>
      <w:r w:rsidR="00B85B69" w:rsidRPr="00F56722">
        <w:rPr>
          <w:rFonts w:ascii="Arial" w:hAnsi="Arial" w:cs="Arial"/>
          <w:spacing w:val="4"/>
          <w:sz w:val="20"/>
          <w:szCs w:val="20"/>
        </w:rPr>
        <w:t xml:space="preserve"> celu publicznego polegającej na budowie</w:t>
      </w:r>
      <w:r w:rsidR="00F20510" w:rsidRPr="00F56722">
        <w:rPr>
          <w:rFonts w:ascii="Arial" w:hAnsi="Arial" w:cs="Arial"/>
          <w:spacing w:val="4"/>
          <w:sz w:val="20"/>
          <w:szCs w:val="20"/>
        </w:rPr>
        <w:t xml:space="preserve"> obiektu liniowego -</w:t>
      </w:r>
      <w:r w:rsidR="00B85B69" w:rsidRPr="00F56722">
        <w:rPr>
          <w:rFonts w:ascii="Arial" w:hAnsi="Arial" w:cs="Arial"/>
          <w:spacing w:val="4"/>
          <w:sz w:val="20"/>
          <w:szCs w:val="20"/>
        </w:rPr>
        <w:t xml:space="preserve"> kolektora ścieków. </w:t>
      </w:r>
    </w:p>
    <w:p w:rsidR="00D67C63" w:rsidRDefault="00B85B69">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Przedstawione na ww. załączniku graficznym linie przerywane koloru zielonego, znajdują się bowiem poza granicą terenu objętego wnioskiem i obszaru oddziaływania, wyznaczonych linią ciągłą</w:t>
      </w:r>
      <w:r w:rsidR="00E731F0">
        <w:rPr>
          <w:rFonts w:ascii="Arial" w:hAnsi="Arial" w:cs="Arial"/>
          <w:spacing w:val="4"/>
          <w:sz w:val="20"/>
          <w:szCs w:val="20"/>
        </w:rPr>
        <w:t xml:space="preserve"> koloru czarnego, jak również linie</w:t>
      </w:r>
      <w:r w:rsidR="00D67C63">
        <w:rPr>
          <w:rFonts w:ascii="Arial" w:hAnsi="Arial" w:cs="Arial"/>
          <w:spacing w:val="4"/>
          <w:sz w:val="20"/>
          <w:szCs w:val="20"/>
        </w:rPr>
        <w:t xml:space="preserve"> te</w:t>
      </w:r>
      <w:r w:rsidR="00E731F0">
        <w:rPr>
          <w:rFonts w:ascii="Arial" w:hAnsi="Arial" w:cs="Arial"/>
          <w:spacing w:val="4"/>
          <w:sz w:val="20"/>
          <w:szCs w:val="20"/>
        </w:rPr>
        <w:t xml:space="preserve"> w żaden sposób nie odzwierciedlają </w:t>
      </w:r>
      <w:r w:rsidR="00D67C63">
        <w:rPr>
          <w:rFonts w:ascii="Arial" w:hAnsi="Arial" w:cs="Arial"/>
          <w:spacing w:val="4"/>
          <w:sz w:val="20"/>
          <w:szCs w:val="20"/>
        </w:rPr>
        <w:t xml:space="preserve">inwestycji w zakresie </w:t>
      </w:r>
      <w:r w:rsidR="00E731F0">
        <w:rPr>
          <w:rFonts w:ascii="Arial" w:hAnsi="Arial" w:cs="Arial"/>
          <w:spacing w:val="4"/>
          <w:sz w:val="20"/>
          <w:szCs w:val="20"/>
        </w:rPr>
        <w:t xml:space="preserve">lokalizacji </w:t>
      </w:r>
      <w:r w:rsidR="00E731F0" w:rsidRPr="00E731F0">
        <w:rPr>
          <w:rFonts w:ascii="Arial" w:hAnsi="Arial" w:cs="Arial"/>
          <w:spacing w:val="4"/>
          <w:sz w:val="20"/>
          <w:szCs w:val="20"/>
        </w:rPr>
        <w:t>obiektu liniowego - kolektora ścieków</w:t>
      </w:r>
      <w:r w:rsidR="00E731F0">
        <w:rPr>
          <w:rFonts w:ascii="Arial" w:hAnsi="Arial" w:cs="Arial"/>
          <w:spacing w:val="4"/>
          <w:sz w:val="20"/>
          <w:szCs w:val="20"/>
        </w:rPr>
        <w:t xml:space="preserve">, objętego </w:t>
      </w:r>
      <w:r w:rsidR="00E731F0" w:rsidRPr="00D670F6">
        <w:rPr>
          <w:rFonts w:ascii="Arial" w:hAnsi="Arial" w:cs="Arial"/>
          <w:i/>
          <w:spacing w:val="4"/>
          <w:sz w:val="20"/>
          <w:szCs w:val="20"/>
        </w:rPr>
        <w:t>decyzją Wojewody Mazowieckiego</w:t>
      </w:r>
      <w:r w:rsidR="00E731F0">
        <w:rPr>
          <w:rFonts w:ascii="Arial" w:hAnsi="Arial" w:cs="Arial"/>
          <w:spacing w:val="4"/>
          <w:sz w:val="20"/>
          <w:szCs w:val="20"/>
        </w:rPr>
        <w:t xml:space="preserve">. </w:t>
      </w:r>
      <w:r w:rsidR="00D67C63">
        <w:rPr>
          <w:rFonts w:ascii="Arial" w:hAnsi="Arial" w:cs="Arial"/>
          <w:spacing w:val="4"/>
          <w:sz w:val="20"/>
          <w:szCs w:val="20"/>
        </w:rPr>
        <w:t xml:space="preserve">Linie przerywane koloru zielonego, zgodnie z treścią mapy, obejmują jedynie kontury obiektów zlokalizowanych </w:t>
      </w:r>
      <w:r w:rsidR="00D67C63">
        <w:rPr>
          <w:rFonts w:ascii="Arial" w:hAnsi="Arial" w:cs="Arial"/>
          <w:spacing w:val="4"/>
          <w:sz w:val="20"/>
          <w:szCs w:val="20"/>
        </w:rPr>
        <w:br/>
        <w:t xml:space="preserve">na ww. działce nr 15/3. </w:t>
      </w:r>
    </w:p>
    <w:p w:rsidR="00B85B69" w:rsidRDefault="00D67C63">
      <w:pPr>
        <w:tabs>
          <w:tab w:val="left" w:pos="700"/>
        </w:tabs>
        <w:spacing w:after="240" w:line="240" w:lineRule="exact"/>
        <w:jc w:val="both"/>
        <w:rPr>
          <w:rFonts w:ascii="Arial" w:hAnsi="Arial" w:cs="Arial"/>
          <w:spacing w:val="4"/>
          <w:sz w:val="20"/>
          <w:szCs w:val="20"/>
        </w:rPr>
      </w:pPr>
      <w:r>
        <w:rPr>
          <w:rFonts w:ascii="Arial" w:hAnsi="Arial" w:cs="Arial"/>
          <w:spacing w:val="4"/>
          <w:sz w:val="20"/>
          <w:szCs w:val="20"/>
        </w:rPr>
        <w:lastRenderedPageBreak/>
        <w:t xml:space="preserve">Natomiast, jak </w:t>
      </w:r>
      <w:r w:rsidR="00E731F0">
        <w:rPr>
          <w:rFonts w:ascii="Arial" w:hAnsi="Arial" w:cs="Arial"/>
          <w:spacing w:val="4"/>
          <w:sz w:val="20"/>
          <w:szCs w:val="20"/>
        </w:rPr>
        <w:t xml:space="preserve">wyjaśniono </w:t>
      </w:r>
      <w:r>
        <w:rPr>
          <w:rFonts w:ascii="Arial" w:hAnsi="Arial" w:cs="Arial"/>
          <w:spacing w:val="4"/>
          <w:sz w:val="20"/>
          <w:szCs w:val="20"/>
        </w:rPr>
        <w:t xml:space="preserve">to </w:t>
      </w:r>
      <w:r w:rsidR="00E731F0">
        <w:rPr>
          <w:rFonts w:ascii="Arial" w:hAnsi="Arial" w:cs="Arial"/>
          <w:spacing w:val="4"/>
          <w:sz w:val="20"/>
          <w:szCs w:val="20"/>
        </w:rPr>
        <w:t xml:space="preserve">w korekcie wniosku lokalizacyjnego, przedłożonej przy piśmie </w:t>
      </w:r>
      <w:r w:rsidR="00E731F0" w:rsidRPr="00D670F6">
        <w:rPr>
          <w:rFonts w:ascii="Arial" w:hAnsi="Arial" w:cs="Arial"/>
          <w:i/>
          <w:spacing w:val="4"/>
          <w:sz w:val="20"/>
          <w:szCs w:val="20"/>
        </w:rPr>
        <w:t>inwestora</w:t>
      </w:r>
      <w:r w:rsidR="00E731F0">
        <w:rPr>
          <w:rFonts w:ascii="Arial" w:hAnsi="Arial" w:cs="Arial"/>
          <w:spacing w:val="4"/>
          <w:sz w:val="20"/>
          <w:szCs w:val="20"/>
        </w:rPr>
        <w:t xml:space="preserve"> </w:t>
      </w:r>
      <w:r>
        <w:rPr>
          <w:rFonts w:ascii="Arial" w:hAnsi="Arial" w:cs="Arial"/>
          <w:spacing w:val="4"/>
          <w:sz w:val="20"/>
          <w:szCs w:val="20"/>
        </w:rPr>
        <w:br/>
      </w:r>
      <w:r w:rsidR="00E731F0">
        <w:rPr>
          <w:rFonts w:ascii="Arial" w:hAnsi="Arial" w:cs="Arial"/>
          <w:spacing w:val="4"/>
          <w:sz w:val="20"/>
          <w:szCs w:val="20"/>
        </w:rPr>
        <w:t>z dnia 19 lutego 2020 r., znak: S/7035/044/00320/2020, o</w:t>
      </w:r>
      <w:r w:rsidR="00E731F0" w:rsidRPr="00E731F0">
        <w:rPr>
          <w:rFonts w:ascii="Arial" w:hAnsi="Arial" w:cs="Arial"/>
          <w:spacing w:val="4"/>
          <w:sz w:val="20"/>
          <w:szCs w:val="20"/>
        </w:rPr>
        <w:t xml:space="preserve">bszar objęty wnioskiem stanowi drogę leśną </w:t>
      </w:r>
      <w:r>
        <w:rPr>
          <w:rFonts w:ascii="Arial" w:hAnsi="Arial" w:cs="Arial"/>
          <w:spacing w:val="4"/>
          <w:sz w:val="20"/>
          <w:szCs w:val="20"/>
        </w:rPr>
        <w:br/>
      </w:r>
      <w:r w:rsidR="00E731F0" w:rsidRPr="00E731F0">
        <w:rPr>
          <w:rFonts w:ascii="Arial" w:hAnsi="Arial" w:cs="Arial"/>
          <w:spacing w:val="4"/>
          <w:sz w:val="20"/>
          <w:szCs w:val="20"/>
        </w:rPr>
        <w:t>z pasem terenu przyległym do tej drogi i wo</w:t>
      </w:r>
      <w:r>
        <w:rPr>
          <w:rFonts w:ascii="Arial" w:hAnsi="Arial" w:cs="Arial"/>
          <w:spacing w:val="4"/>
          <w:sz w:val="20"/>
          <w:szCs w:val="20"/>
        </w:rPr>
        <w:t xml:space="preserve">lnym od uzbrojenia podziemnego </w:t>
      </w:r>
      <w:r w:rsidR="00E731F0" w:rsidRPr="00E731F0">
        <w:rPr>
          <w:rFonts w:ascii="Arial" w:hAnsi="Arial" w:cs="Arial"/>
          <w:spacing w:val="4"/>
          <w:sz w:val="20"/>
          <w:szCs w:val="20"/>
        </w:rPr>
        <w:t>za wyjątkiem występowania istniejącego kolektora kD600, który zostanie wyłączony z eksploatacji po wybudowaniu kolektora stanowiącego</w:t>
      </w:r>
      <w:r w:rsidR="00E731F0">
        <w:rPr>
          <w:rFonts w:ascii="Arial" w:hAnsi="Arial" w:cs="Arial"/>
          <w:spacing w:val="4"/>
          <w:sz w:val="20"/>
          <w:szCs w:val="20"/>
        </w:rPr>
        <w:t xml:space="preserve"> przedmiot wniosku </w:t>
      </w:r>
      <w:r w:rsidR="00E731F0" w:rsidRPr="00D670F6">
        <w:rPr>
          <w:rFonts w:ascii="Arial" w:hAnsi="Arial" w:cs="Arial"/>
          <w:i/>
          <w:spacing w:val="4"/>
          <w:sz w:val="20"/>
          <w:szCs w:val="20"/>
        </w:rPr>
        <w:t>inwestora</w:t>
      </w:r>
      <w:r w:rsidR="00E731F0">
        <w:rPr>
          <w:rFonts w:ascii="Arial" w:hAnsi="Arial" w:cs="Arial"/>
          <w:spacing w:val="4"/>
          <w:sz w:val="20"/>
          <w:szCs w:val="20"/>
        </w:rPr>
        <w:t xml:space="preserve"> </w:t>
      </w:r>
      <w:r>
        <w:rPr>
          <w:rFonts w:ascii="Arial" w:hAnsi="Arial" w:cs="Arial"/>
          <w:spacing w:val="4"/>
          <w:sz w:val="20"/>
          <w:szCs w:val="20"/>
        </w:rPr>
        <w:t xml:space="preserve"> z dnia 2 grudnia 2019 r. </w:t>
      </w:r>
    </w:p>
    <w:p w:rsidR="00D67C63" w:rsidRPr="00E731F0" w:rsidRDefault="00D67C63">
      <w:pPr>
        <w:tabs>
          <w:tab w:val="left" w:pos="700"/>
        </w:tabs>
        <w:spacing w:after="240" w:line="240" w:lineRule="exact"/>
        <w:jc w:val="both"/>
        <w:rPr>
          <w:rFonts w:ascii="Arial" w:hAnsi="Arial" w:cs="Arial"/>
          <w:spacing w:val="4"/>
          <w:sz w:val="20"/>
          <w:szCs w:val="20"/>
        </w:rPr>
      </w:pPr>
      <w:r>
        <w:rPr>
          <w:rFonts w:ascii="Arial" w:hAnsi="Arial" w:cs="Arial"/>
          <w:spacing w:val="4"/>
          <w:sz w:val="20"/>
          <w:szCs w:val="20"/>
        </w:rPr>
        <w:t xml:space="preserve">W świetle powyższego, mając na uwadze powyższe błędy i rozbieżności, w </w:t>
      </w:r>
      <w:r w:rsidRPr="00D670F6">
        <w:rPr>
          <w:rFonts w:ascii="Arial" w:hAnsi="Arial" w:cs="Arial"/>
          <w:i/>
          <w:spacing w:val="4"/>
          <w:sz w:val="20"/>
          <w:szCs w:val="20"/>
        </w:rPr>
        <w:t>decyzji Wojewody Mazowieckiego</w:t>
      </w:r>
      <w:r>
        <w:rPr>
          <w:rFonts w:ascii="Arial" w:hAnsi="Arial" w:cs="Arial"/>
          <w:spacing w:val="4"/>
          <w:sz w:val="20"/>
          <w:szCs w:val="20"/>
        </w:rPr>
        <w:t xml:space="preserve"> brak jest </w:t>
      </w:r>
      <w:r w:rsidRPr="00D670F6">
        <w:rPr>
          <w:rFonts w:ascii="Arial" w:hAnsi="Arial" w:cs="Arial"/>
          <w:i/>
          <w:spacing w:val="4"/>
          <w:sz w:val="20"/>
          <w:szCs w:val="20"/>
        </w:rPr>
        <w:t>de facto</w:t>
      </w:r>
      <w:r>
        <w:rPr>
          <w:rFonts w:ascii="Arial" w:hAnsi="Arial" w:cs="Arial"/>
          <w:spacing w:val="4"/>
          <w:sz w:val="20"/>
          <w:szCs w:val="20"/>
        </w:rPr>
        <w:t xml:space="preserve"> koniecznego jej elementu jaki jest określenie linii rozgraniczających</w:t>
      </w:r>
      <w:r w:rsidRPr="00D67C63">
        <w:rPr>
          <w:rFonts w:ascii="Arial" w:hAnsi="Arial" w:cs="Arial"/>
          <w:spacing w:val="4"/>
          <w:sz w:val="20"/>
          <w:szCs w:val="20"/>
        </w:rPr>
        <w:t xml:space="preserve"> teren inwestycji</w:t>
      </w:r>
      <w:r>
        <w:rPr>
          <w:rFonts w:ascii="Arial" w:hAnsi="Arial" w:cs="Arial"/>
          <w:spacing w:val="4"/>
          <w:sz w:val="20"/>
          <w:szCs w:val="20"/>
        </w:rPr>
        <w:t>.</w:t>
      </w:r>
    </w:p>
    <w:p w:rsidR="00B85B69" w:rsidRPr="00F56722" w:rsidRDefault="00B85B69">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Poza tym należy zauważyć, że w aktach postępowania pierwszoinstancyjnego znajduje się projekt decyzji o ustaleniu lokaliz</w:t>
      </w:r>
      <w:r w:rsidR="00281009" w:rsidRPr="00F56722">
        <w:rPr>
          <w:rFonts w:ascii="Arial" w:hAnsi="Arial" w:cs="Arial"/>
          <w:spacing w:val="4"/>
          <w:sz w:val="20"/>
          <w:szCs w:val="20"/>
        </w:rPr>
        <w:t xml:space="preserve">acji wnioskowanej inwestycji, z którego w żaden sposób nie wynika, iż został on sporządzony </w:t>
      </w:r>
      <w:r w:rsidR="000F72BD" w:rsidRPr="00F56722">
        <w:rPr>
          <w:rFonts w:ascii="Arial" w:hAnsi="Arial" w:cs="Arial"/>
          <w:spacing w:val="4"/>
          <w:sz w:val="20"/>
          <w:szCs w:val="20"/>
        </w:rPr>
        <w:t xml:space="preserve">przez osobą spełniającą wymagania, o których mowa w art. 50 ust. 4 </w:t>
      </w:r>
      <w:r w:rsidR="000F72BD" w:rsidRPr="00F56722">
        <w:rPr>
          <w:rFonts w:ascii="Arial" w:hAnsi="Arial" w:cs="Arial"/>
          <w:i/>
          <w:spacing w:val="4"/>
          <w:sz w:val="20"/>
          <w:szCs w:val="20"/>
        </w:rPr>
        <w:t xml:space="preserve">ustawy </w:t>
      </w:r>
      <w:r w:rsidR="000F72BD" w:rsidRPr="00F56722">
        <w:rPr>
          <w:rFonts w:ascii="Arial" w:hAnsi="Arial" w:cs="Arial"/>
          <w:i/>
          <w:spacing w:val="4"/>
          <w:sz w:val="20"/>
          <w:szCs w:val="20"/>
        </w:rPr>
        <w:br/>
        <w:t>o planowaniu i zagospodarowaniu przestrzennym</w:t>
      </w:r>
      <w:r w:rsidR="000F72BD" w:rsidRPr="00F56722">
        <w:rPr>
          <w:rFonts w:ascii="Arial" w:hAnsi="Arial" w:cs="Arial"/>
          <w:spacing w:val="4"/>
          <w:sz w:val="20"/>
          <w:szCs w:val="20"/>
        </w:rPr>
        <w:t xml:space="preserve">. W aktach sprawy brak jest jakikolwiek innych dowodów potwierdzających, iż projekt decyzji o ustaleniu lokalizacji wnioskowanej inwestycji, został sporządzony przez osobę posiadającą odpowiednie kompetencje. </w:t>
      </w:r>
      <w:r w:rsidRPr="00F56722">
        <w:rPr>
          <w:rFonts w:ascii="Arial" w:hAnsi="Arial" w:cs="Arial"/>
          <w:spacing w:val="4"/>
          <w:sz w:val="20"/>
          <w:szCs w:val="20"/>
        </w:rPr>
        <w:t xml:space="preserve">W związku z tym nie można zweryfikować, czy w niniejszej sprawie został spełniony warunek, o którym mowa w art. 50 ust. 4 </w:t>
      </w:r>
      <w:r w:rsidRPr="00F56722">
        <w:rPr>
          <w:rFonts w:ascii="Arial" w:hAnsi="Arial" w:cs="Arial"/>
          <w:i/>
          <w:spacing w:val="4"/>
          <w:sz w:val="20"/>
          <w:szCs w:val="20"/>
        </w:rPr>
        <w:t>ustawy o planowaniu i zagospodarowaniu przestrzennym</w:t>
      </w:r>
      <w:r w:rsidRPr="00F56722">
        <w:rPr>
          <w:rFonts w:ascii="Arial" w:hAnsi="Arial" w:cs="Arial"/>
          <w:spacing w:val="4"/>
          <w:sz w:val="20"/>
          <w:szCs w:val="20"/>
        </w:rPr>
        <w:t>.</w:t>
      </w:r>
    </w:p>
    <w:p w:rsidR="00B85B69" w:rsidRPr="00F56722" w:rsidRDefault="00B85B69">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Przepis art. 50 ust. 4 </w:t>
      </w:r>
      <w:r w:rsidRPr="00F56722">
        <w:rPr>
          <w:rFonts w:ascii="Arial" w:hAnsi="Arial" w:cs="Arial"/>
          <w:i/>
          <w:spacing w:val="4"/>
          <w:sz w:val="20"/>
          <w:szCs w:val="20"/>
        </w:rPr>
        <w:t xml:space="preserve">ustawy o planowaniu i zagospodarowaniu przestrzennym </w:t>
      </w:r>
      <w:r w:rsidRPr="00F56722">
        <w:rPr>
          <w:rFonts w:ascii="Arial" w:hAnsi="Arial" w:cs="Arial"/>
          <w:spacing w:val="4"/>
          <w:sz w:val="20"/>
          <w:szCs w:val="20"/>
        </w:rPr>
        <w:t>wskazuje, że projekt decyzji w sprawie ustalenia lokalizacji inwestycji celu publicznego może sporządzić jedynie</w:t>
      </w:r>
      <w:r w:rsidRPr="00F56722">
        <w:rPr>
          <w:rFonts w:ascii="Arial" w:hAnsi="Arial" w:cs="Arial"/>
          <w:i/>
          <w:spacing w:val="4"/>
          <w:sz w:val="20"/>
          <w:szCs w:val="20"/>
        </w:rPr>
        <w:t xml:space="preserve"> </w:t>
      </w:r>
      <w:r w:rsidRPr="00F56722">
        <w:rPr>
          <w:rFonts w:ascii="Arial" w:hAnsi="Arial" w:cs="Arial"/>
          <w:spacing w:val="4"/>
          <w:sz w:val="20"/>
          <w:szCs w:val="20"/>
        </w:rPr>
        <w:t xml:space="preserve">osoba profesjonalnie przygotowana do prac projektowych i planistycznych związanych z gospodarką przestrzenną, tj. osoba, o której mowa w art. 5 ww. ustawy, albo osoba wpisana na listę izby samorządu zawodowego architektów posiadająca uprawnienia budowlane do projektowania bez ograniczeń </w:t>
      </w:r>
      <w:r w:rsidR="000F72BD" w:rsidRPr="00F56722">
        <w:rPr>
          <w:rFonts w:ascii="Arial" w:hAnsi="Arial" w:cs="Arial"/>
          <w:spacing w:val="4"/>
          <w:sz w:val="20"/>
          <w:szCs w:val="20"/>
        </w:rPr>
        <w:br/>
      </w:r>
      <w:r w:rsidRPr="00F56722">
        <w:rPr>
          <w:rFonts w:ascii="Arial" w:hAnsi="Arial" w:cs="Arial"/>
          <w:spacing w:val="4"/>
          <w:sz w:val="20"/>
          <w:szCs w:val="20"/>
        </w:rPr>
        <w:t>w specjalności architektonicznej albo uprawnienia budowlane do projektowania i kierowania robotami budowlanymi bez ograniczeń w specjal</w:t>
      </w:r>
      <w:r w:rsidR="00590635">
        <w:rPr>
          <w:rFonts w:ascii="Arial" w:hAnsi="Arial" w:cs="Arial"/>
          <w:spacing w:val="4"/>
          <w:sz w:val="20"/>
          <w:szCs w:val="20"/>
        </w:rPr>
        <w:t>ności architektonicznej</w:t>
      </w:r>
      <w:r w:rsidRPr="00F56722">
        <w:rPr>
          <w:rFonts w:ascii="Arial" w:hAnsi="Arial" w:cs="Arial"/>
          <w:spacing w:val="4"/>
          <w:sz w:val="20"/>
          <w:szCs w:val="20"/>
        </w:rPr>
        <w:t xml:space="preserve">. </w:t>
      </w:r>
    </w:p>
    <w:p w:rsidR="00B85B69" w:rsidRPr="00F56722" w:rsidRDefault="00B85B69">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Jednocześnie w aktach sprawy powinny znaleźć się dokumenty potwierdzające, że projekt decyzji został sporządzony przez osobę posiadającą odpowiednie kompetencje. Takim potwierdzeniem będzie niewątpliwie podpis na projekcie wraz z adnotacją o uprawnieniach (vide: R. </w:t>
      </w:r>
      <w:proofErr w:type="spellStart"/>
      <w:r w:rsidRPr="00F56722">
        <w:rPr>
          <w:rFonts w:ascii="Arial" w:hAnsi="Arial" w:cs="Arial"/>
          <w:spacing w:val="4"/>
          <w:sz w:val="20"/>
          <w:szCs w:val="20"/>
        </w:rPr>
        <w:t>Robaszewska</w:t>
      </w:r>
      <w:proofErr w:type="spellEnd"/>
      <w:r w:rsidRPr="00F56722">
        <w:rPr>
          <w:rFonts w:ascii="Arial" w:hAnsi="Arial" w:cs="Arial"/>
          <w:spacing w:val="4"/>
          <w:sz w:val="20"/>
          <w:szCs w:val="20"/>
        </w:rPr>
        <w:t xml:space="preserve"> </w:t>
      </w:r>
      <w:r w:rsidRPr="00F56722">
        <w:rPr>
          <w:rFonts w:ascii="Arial" w:hAnsi="Arial" w:cs="Arial"/>
          <w:spacing w:val="4"/>
          <w:sz w:val="20"/>
          <w:szCs w:val="20"/>
        </w:rPr>
        <w:br/>
        <w:t xml:space="preserve">[w:] R. </w:t>
      </w:r>
      <w:proofErr w:type="spellStart"/>
      <w:r w:rsidRPr="00F56722">
        <w:rPr>
          <w:rFonts w:ascii="Arial" w:hAnsi="Arial" w:cs="Arial"/>
          <w:spacing w:val="4"/>
          <w:sz w:val="20"/>
          <w:szCs w:val="20"/>
        </w:rPr>
        <w:t>Robaszewska</w:t>
      </w:r>
      <w:proofErr w:type="spellEnd"/>
      <w:r w:rsidRPr="00F56722">
        <w:rPr>
          <w:rFonts w:ascii="Arial" w:hAnsi="Arial" w:cs="Arial"/>
          <w:spacing w:val="4"/>
          <w:sz w:val="20"/>
          <w:szCs w:val="20"/>
        </w:rPr>
        <w:t xml:space="preserve">, M. </w:t>
      </w:r>
      <w:proofErr w:type="spellStart"/>
      <w:r w:rsidRPr="00F56722">
        <w:rPr>
          <w:rFonts w:ascii="Arial" w:hAnsi="Arial" w:cs="Arial"/>
          <w:spacing w:val="4"/>
          <w:sz w:val="20"/>
          <w:szCs w:val="20"/>
        </w:rPr>
        <w:t>Płoszka</w:t>
      </w:r>
      <w:proofErr w:type="spellEnd"/>
      <w:r w:rsidRPr="00F56722">
        <w:rPr>
          <w:rFonts w:ascii="Arial" w:hAnsi="Arial" w:cs="Arial"/>
          <w:spacing w:val="4"/>
          <w:sz w:val="20"/>
          <w:szCs w:val="20"/>
        </w:rPr>
        <w:t xml:space="preserve">, D. Kałuża, Decyzja o warunkach zabudowy, </w:t>
      </w:r>
      <w:proofErr w:type="spellStart"/>
      <w:r w:rsidRPr="00F56722">
        <w:rPr>
          <w:rFonts w:ascii="Arial" w:hAnsi="Arial" w:cs="Arial"/>
          <w:spacing w:val="4"/>
          <w:sz w:val="20"/>
          <w:szCs w:val="20"/>
        </w:rPr>
        <w:t>LexisNexis</w:t>
      </w:r>
      <w:proofErr w:type="spellEnd"/>
      <w:r w:rsidRPr="00F56722">
        <w:rPr>
          <w:rFonts w:ascii="Arial" w:hAnsi="Arial" w:cs="Arial"/>
          <w:spacing w:val="4"/>
          <w:sz w:val="20"/>
          <w:szCs w:val="20"/>
        </w:rPr>
        <w:t xml:space="preserve"> 2014, str. 184). Projekt decyzji podpisany przez osobę, o której mowa w art. 50 ust. 4 </w:t>
      </w:r>
      <w:r w:rsidRPr="00F56722">
        <w:rPr>
          <w:rFonts w:ascii="Arial" w:hAnsi="Arial" w:cs="Arial"/>
          <w:i/>
          <w:spacing w:val="4"/>
          <w:sz w:val="20"/>
          <w:szCs w:val="20"/>
        </w:rPr>
        <w:t xml:space="preserve">ustawy o planowaniu </w:t>
      </w:r>
      <w:r w:rsidRPr="00F56722">
        <w:rPr>
          <w:rFonts w:ascii="Arial" w:hAnsi="Arial" w:cs="Arial"/>
          <w:i/>
          <w:spacing w:val="4"/>
          <w:sz w:val="20"/>
          <w:szCs w:val="20"/>
        </w:rPr>
        <w:br/>
        <w:t>i zagospodarowaniu przestrzennym</w:t>
      </w:r>
      <w:r w:rsidRPr="00F56722">
        <w:rPr>
          <w:rFonts w:ascii="Arial" w:hAnsi="Arial" w:cs="Arial"/>
          <w:spacing w:val="4"/>
          <w:sz w:val="20"/>
          <w:szCs w:val="20"/>
        </w:rPr>
        <w:t xml:space="preserve">, oraz stosowny dowód świadczący o jej uprawnieniach powinny zostać dołączone do akt sprawy. Ich brak może bowiem doprowadzić do uchylenia decyzji na podstawie </w:t>
      </w:r>
      <w:r w:rsidRPr="00F56722">
        <w:rPr>
          <w:rFonts w:ascii="Arial" w:hAnsi="Arial" w:cs="Arial"/>
          <w:spacing w:val="4"/>
          <w:sz w:val="20"/>
          <w:szCs w:val="20"/>
        </w:rPr>
        <w:br/>
        <w:t xml:space="preserve">art. 138 § 2 </w:t>
      </w:r>
      <w:r w:rsidR="000F72BD" w:rsidRPr="00F56722">
        <w:rPr>
          <w:rFonts w:ascii="Arial" w:hAnsi="Arial" w:cs="Arial"/>
          <w:i/>
          <w:spacing w:val="4"/>
          <w:sz w:val="20"/>
          <w:szCs w:val="20"/>
        </w:rPr>
        <w:t>k</w:t>
      </w:r>
      <w:r w:rsidRPr="00F56722">
        <w:rPr>
          <w:rFonts w:ascii="Arial" w:hAnsi="Arial" w:cs="Arial"/>
          <w:i/>
          <w:spacing w:val="4"/>
          <w:sz w:val="20"/>
          <w:szCs w:val="20"/>
        </w:rPr>
        <w:t>pa</w:t>
      </w:r>
      <w:r w:rsidRPr="00F56722">
        <w:rPr>
          <w:rFonts w:ascii="Arial" w:hAnsi="Arial" w:cs="Arial"/>
          <w:spacing w:val="4"/>
          <w:sz w:val="20"/>
          <w:szCs w:val="20"/>
        </w:rPr>
        <w:t xml:space="preserve"> (vide: T. Bąkowski,</w:t>
      </w:r>
      <w:r w:rsidRPr="00F56722">
        <w:rPr>
          <w:rFonts w:ascii="Arial" w:hAnsi="Arial" w:cs="Arial"/>
          <w:i/>
          <w:spacing w:val="4"/>
          <w:sz w:val="20"/>
          <w:szCs w:val="20"/>
        </w:rPr>
        <w:t xml:space="preserve"> </w:t>
      </w:r>
      <w:r w:rsidRPr="00F56722">
        <w:rPr>
          <w:rFonts w:ascii="Arial" w:hAnsi="Arial" w:cs="Arial"/>
          <w:spacing w:val="4"/>
          <w:sz w:val="20"/>
          <w:szCs w:val="20"/>
        </w:rPr>
        <w:t>Komentarz do art. 50 ustawy o planowaniu i zagospodarowaniu przestrzennym, [w:] T. Bąkowski, Ustawa o planowaniu i zagospodarowaniu przestrzennym. Komentarz, LEX 2004).</w:t>
      </w:r>
    </w:p>
    <w:p w:rsidR="000F72BD" w:rsidRPr="00F56722" w:rsidRDefault="00B85B69">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Powyższy pogląd jest prezentowany także w orzecznictwie sądowoadministracyjnym, w którym podkreśla się, że autorstwo planisty powinno być udokumentowane w aktach sprawy, gdyż niezachowanie obowiązku przewidzianego w art. 50 ust. 4 </w:t>
      </w:r>
      <w:r w:rsidRPr="00F56722">
        <w:rPr>
          <w:rFonts w:ascii="Arial" w:hAnsi="Arial" w:cs="Arial"/>
          <w:i/>
          <w:spacing w:val="4"/>
          <w:sz w:val="20"/>
          <w:szCs w:val="20"/>
        </w:rPr>
        <w:t xml:space="preserve">ustawy o planowaniu i zagospodarowaniu przestrzennym  </w:t>
      </w:r>
      <w:r w:rsidRPr="00F56722">
        <w:rPr>
          <w:rFonts w:ascii="Arial" w:hAnsi="Arial" w:cs="Arial"/>
          <w:spacing w:val="4"/>
          <w:sz w:val="20"/>
          <w:szCs w:val="20"/>
        </w:rPr>
        <w:t>jest rażącym naruszeniem prawa (vide: wyroki Wojewódzkiego Sądu Admin</w:t>
      </w:r>
      <w:r w:rsidR="000F72BD" w:rsidRPr="00F56722">
        <w:rPr>
          <w:rFonts w:ascii="Arial" w:hAnsi="Arial" w:cs="Arial"/>
          <w:spacing w:val="4"/>
          <w:sz w:val="20"/>
          <w:szCs w:val="20"/>
        </w:rPr>
        <w:t xml:space="preserve">istracyjnego w Poznaniu z dnia </w:t>
      </w:r>
      <w:r w:rsidRPr="00F56722">
        <w:rPr>
          <w:rFonts w:ascii="Arial" w:hAnsi="Arial" w:cs="Arial"/>
          <w:spacing w:val="4"/>
          <w:sz w:val="20"/>
          <w:szCs w:val="20"/>
        </w:rPr>
        <w:t>10 marca 2011 r., sygn. akt IV SA/Po 876/10, i z dnia 2 czerwca 2011 r</w:t>
      </w:r>
      <w:r w:rsidR="000F72BD" w:rsidRPr="00F56722">
        <w:rPr>
          <w:rFonts w:ascii="Arial" w:hAnsi="Arial" w:cs="Arial"/>
          <w:spacing w:val="4"/>
          <w:sz w:val="20"/>
          <w:szCs w:val="20"/>
        </w:rPr>
        <w:t xml:space="preserve">., sygn. akt </w:t>
      </w:r>
      <w:r w:rsidR="00590635">
        <w:rPr>
          <w:rFonts w:ascii="Arial" w:hAnsi="Arial" w:cs="Arial"/>
          <w:spacing w:val="4"/>
          <w:sz w:val="20"/>
          <w:szCs w:val="20"/>
        </w:rPr>
        <w:br/>
      </w:r>
      <w:r w:rsidR="000F72BD" w:rsidRPr="00F56722">
        <w:rPr>
          <w:rFonts w:ascii="Arial" w:hAnsi="Arial" w:cs="Arial"/>
          <w:spacing w:val="4"/>
          <w:sz w:val="20"/>
          <w:szCs w:val="20"/>
        </w:rPr>
        <w:t xml:space="preserve">IV SA/Po 250/11). </w:t>
      </w:r>
    </w:p>
    <w:p w:rsidR="002A50E4" w:rsidRPr="00F56722" w:rsidRDefault="00B85B69">
      <w:pPr>
        <w:tabs>
          <w:tab w:val="left" w:pos="700"/>
        </w:tabs>
        <w:spacing w:after="240" w:line="240" w:lineRule="exact"/>
        <w:jc w:val="both"/>
        <w:rPr>
          <w:rFonts w:ascii="Arial" w:hAnsi="Arial" w:cs="Arial"/>
          <w:spacing w:val="4"/>
          <w:sz w:val="20"/>
          <w:szCs w:val="20"/>
        </w:rPr>
      </w:pPr>
      <w:r w:rsidRPr="00F56722">
        <w:rPr>
          <w:rFonts w:ascii="Arial" w:hAnsi="Arial" w:cs="Arial"/>
          <w:spacing w:val="4"/>
          <w:sz w:val="20"/>
          <w:szCs w:val="20"/>
        </w:rPr>
        <w:t xml:space="preserve">Dlatego też należy uznać na gruncie rozpatrywanej sprawy, iż brak stosownego potwierdzenia sporządzenia projektu decyzji przez daną osobę stanowi istotną wadę, która </w:t>
      </w:r>
      <w:r w:rsidRPr="00F56722">
        <w:rPr>
          <w:rFonts w:ascii="Arial" w:hAnsi="Arial" w:cs="Arial"/>
          <w:i/>
          <w:spacing w:val="4"/>
          <w:sz w:val="20"/>
          <w:szCs w:val="20"/>
        </w:rPr>
        <w:t>de facto</w:t>
      </w:r>
      <w:r w:rsidRPr="00F56722">
        <w:rPr>
          <w:rFonts w:ascii="Arial" w:hAnsi="Arial" w:cs="Arial"/>
          <w:spacing w:val="4"/>
          <w:sz w:val="20"/>
          <w:szCs w:val="20"/>
        </w:rPr>
        <w:t xml:space="preserve"> uniemożliwia ustalenie, czy jego autorem jest profesjonalista uprawniony do sporządzenia </w:t>
      </w:r>
      <w:r w:rsidR="000F72BD" w:rsidRPr="00F56722">
        <w:rPr>
          <w:rFonts w:ascii="Arial" w:hAnsi="Arial" w:cs="Arial"/>
          <w:spacing w:val="4"/>
          <w:sz w:val="20"/>
          <w:szCs w:val="20"/>
        </w:rPr>
        <w:t>projektu decyzji lokalizacyjnej</w:t>
      </w:r>
      <w:r w:rsidRPr="00F56722">
        <w:rPr>
          <w:rFonts w:ascii="Arial" w:hAnsi="Arial" w:cs="Arial"/>
          <w:spacing w:val="4"/>
          <w:sz w:val="20"/>
          <w:szCs w:val="20"/>
        </w:rPr>
        <w:t>. Uwypuklenia wymaga, że organ odwoławczy nie</w:t>
      </w:r>
      <w:r w:rsidR="000F72BD" w:rsidRPr="00F56722">
        <w:rPr>
          <w:rFonts w:ascii="Arial" w:hAnsi="Arial" w:cs="Arial"/>
          <w:spacing w:val="4"/>
          <w:sz w:val="20"/>
          <w:szCs w:val="20"/>
        </w:rPr>
        <w:t xml:space="preserve"> przesądza, że projekt decyzji </w:t>
      </w:r>
      <w:r w:rsidRPr="00F56722">
        <w:rPr>
          <w:rFonts w:ascii="Arial" w:hAnsi="Arial" w:cs="Arial"/>
          <w:spacing w:val="4"/>
          <w:sz w:val="20"/>
          <w:szCs w:val="20"/>
        </w:rPr>
        <w:t>o ustaleniu lokalizacji danego zamierzenia inwestycyjnego został sporządzony przez nieuprawnioną osobę,</w:t>
      </w:r>
      <w:r w:rsidR="000F72BD" w:rsidRPr="00F56722">
        <w:rPr>
          <w:rFonts w:ascii="Arial" w:hAnsi="Arial" w:cs="Arial"/>
          <w:spacing w:val="4"/>
          <w:sz w:val="20"/>
          <w:szCs w:val="20"/>
        </w:rPr>
        <w:br/>
      </w:r>
      <w:r w:rsidRPr="00F56722">
        <w:rPr>
          <w:rFonts w:ascii="Arial" w:hAnsi="Arial" w:cs="Arial"/>
          <w:spacing w:val="4"/>
          <w:sz w:val="20"/>
          <w:szCs w:val="20"/>
        </w:rPr>
        <w:t>a jedynie zwraca uwagę na znaczące uchybienie formalne, które wymaga wyjaśnienia i ewentualnego uzupełnienia.</w:t>
      </w:r>
    </w:p>
    <w:p w:rsidR="00E400CB" w:rsidRPr="00F56722" w:rsidRDefault="000F72BD">
      <w:pPr>
        <w:spacing w:after="240" w:line="240" w:lineRule="exact"/>
        <w:jc w:val="both"/>
        <w:rPr>
          <w:rFonts w:ascii="Arial" w:hAnsi="Arial" w:cs="Arial"/>
          <w:spacing w:val="4"/>
          <w:sz w:val="20"/>
          <w:szCs w:val="20"/>
          <w:shd w:val="clear" w:color="auto" w:fill="FFFFFF"/>
        </w:rPr>
      </w:pPr>
      <w:r w:rsidRPr="00F56722">
        <w:rPr>
          <w:rFonts w:ascii="Arial" w:hAnsi="Arial" w:cs="Arial"/>
          <w:spacing w:val="4"/>
          <w:sz w:val="20"/>
          <w:szCs w:val="20"/>
        </w:rPr>
        <w:t xml:space="preserve">Stwierdzone przez </w:t>
      </w:r>
      <w:r w:rsidRPr="00D670F6">
        <w:rPr>
          <w:rFonts w:ascii="Arial" w:hAnsi="Arial" w:cs="Arial"/>
          <w:i/>
          <w:spacing w:val="4"/>
          <w:sz w:val="20"/>
          <w:szCs w:val="20"/>
        </w:rPr>
        <w:t>Ministra</w:t>
      </w:r>
      <w:r w:rsidRPr="00E731F0">
        <w:rPr>
          <w:rFonts w:ascii="Arial" w:hAnsi="Arial" w:cs="Arial"/>
          <w:spacing w:val="4"/>
          <w:sz w:val="20"/>
          <w:szCs w:val="20"/>
        </w:rPr>
        <w:t xml:space="preserve"> w niniejszej decyzji uchybienia organu I i</w:t>
      </w:r>
      <w:r w:rsidRPr="00F56722">
        <w:rPr>
          <w:rFonts w:ascii="Arial" w:hAnsi="Arial" w:cs="Arial"/>
          <w:spacing w:val="4"/>
          <w:sz w:val="20"/>
          <w:szCs w:val="20"/>
        </w:rPr>
        <w:t xml:space="preserve">nstancji stanowią o naruszeniu </w:t>
      </w:r>
      <w:r w:rsidRPr="00F56722">
        <w:rPr>
          <w:rFonts w:ascii="Arial" w:hAnsi="Arial" w:cs="Arial"/>
          <w:spacing w:val="4"/>
          <w:sz w:val="20"/>
          <w:szCs w:val="20"/>
        </w:rPr>
        <w:br/>
        <w:t xml:space="preserve">art. 7 </w:t>
      </w:r>
      <w:r w:rsidRPr="00D670F6">
        <w:rPr>
          <w:rFonts w:ascii="Arial" w:hAnsi="Arial" w:cs="Arial"/>
          <w:i/>
          <w:spacing w:val="4"/>
          <w:sz w:val="20"/>
          <w:szCs w:val="20"/>
        </w:rPr>
        <w:t>kpa</w:t>
      </w:r>
      <w:r w:rsidRPr="00E731F0">
        <w:rPr>
          <w:rFonts w:ascii="Arial" w:hAnsi="Arial" w:cs="Arial"/>
          <w:spacing w:val="4"/>
          <w:sz w:val="20"/>
          <w:szCs w:val="20"/>
        </w:rPr>
        <w:t>, który nakazuje podjąć wszelkie kroki niezbędne do dokładnego ustalenia stanu faktycznego, oraz art. 77</w:t>
      </w:r>
      <w:r w:rsidRPr="00F56722">
        <w:rPr>
          <w:rFonts w:ascii="Arial" w:hAnsi="Arial" w:cs="Arial"/>
          <w:spacing w:val="4"/>
          <w:sz w:val="20"/>
          <w:szCs w:val="20"/>
        </w:rPr>
        <w:t xml:space="preserve"> § 1 </w:t>
      </w:r>
      <w:r w:rsidRPr="00D670F6">
        <w:rPr>
          <w:rFonts w:ascii="Arial" w:hAnsi="Arial" w:cs="Arial"/>
          <w:i/>
          <w:spacing w:val="4"/>
          <w:sz w:val="20"/>
          <w:szCs w:val="20"/>
        </w:rPr>
        <w:t>kpa</w:t>
      </w:r>
      <w:r w:rsidRPr="00E731F0">
        <w:rPr>
          <w:rFonts w:ascii="Arial" w:hAnsi="Arial" w:cs="Arial"/>
          <w:spacing w:val="4"/>
          <w:sz w:val="20"/>
          <w:szCs w:val="20"/>
        </w:rPr>
        <w:t xml:space="preserve">, który nakłada na organ administracji obowiązek wyczerpującego zebrania </w:t>
      </w:r>
      <w:r w:rsidR="003112EB" w:rsidRPr="00F56722">
        <w:rPr>
          <w:rFonts w:ascii="Arial" w:hAnsi="Arial" w:cs="Arial"/>
          <w:spacing w:val="4"/>
          <w:sz w:val="20"/>
          <w:szCs w:val="20"/>
        </w:rPr>
        <w:br/>
      </w:r>
      <w:r w:rsidRPr="00F56722">
        <w:rPr>
          <w:rFonts w:ascii="Arial" w:hAnsi="Arial" w:cs="Arial"/>
          <w:spacing w:val="4"/>
          <w:sz w:val="20"/>
          <w:szCs w:val="20"/>
        </w:rPr>
        <w:t xml:space="preserve">i rozpatrzenia całego materiału dowodowego. Powyższe stanowi także naruszenie art. 80 </w:t>
      </w:r>
      <w:r w:rsidRPr="00D670F6">
        <w:rPr>
          <w:rFonts w:ascii="Arial" w:hAnsi="Arial" w:cs="Arial"/>
          <w:i/>
          <w:spacing w:val="4"/>
          <w:sz w:val="20"/>
          <w:szCs w:val="20"/>
        </w:rPr>
        <w:t>kpa</w:t>
      </w:r>
      <w:r w:rsidRPr="00E731F0">
        <w:rPr>
          <w:rFonts w:ascii="Arial" w:hAnsi="Arial" w:cs="Arial"/>
          <w:spacing w:val="4"/>
          <w:sz w:val="20"/>
          <w:szCs w:val="20"/>
        </w:rPr>
        <w:t>, który nakazuje organowi administracji oceniać, czy dana okoliczność została udowodn</w:t>
      </w:r>
      <w:r w:rsidRPr="00F56722">
        <w:rPr>
          <w:rFonts w:ascii="Arial" w:hAnsi="Arial" w:cs="Arial"/>
          <w:spacing w:val="4"/>
          <w:sz w:val="20"/>
          <w:szCs w:val="20"/>
        </w:rPr>
        <w:t xml:space="preserve">iona na podstawie całokształtu materiału dowodowego, jak również art. 75 § 1 </w:t>
      </w:r>
      <w:r w:rsidRPr="00D670F6">
        <w:rPr>
          <w:rFonts w:ascii="Arial" w:hAnsi="Arial" w:cs="Arial"/>
          <w:i/>
          <w:spacing w:val="4"/>
          <w:sz w:val="20"/>
          <w:szCs w:val="20"/>
        </w:rPr>
        <w:t>kpa</w:t>
      </w:r>
      <w:r w:rsidRPr="00E731F0">
        <w:rPr>
          <w:rFonts w:ascii="Arial" w:hAnsi="Arial" w:cs="Arial"/>
          <w:spacing w:val="4"/>
          <w:sz w:val="20"/>
          <w:szCs w:val="20"/>
        </w:rPr>
        <w:t>, dotyczącego zasad prawidłowego gromadzenia i oceny materiału dowodowego.</w:t>
      </w:r>
    </w:p>
    <w:p w:rsidR="000A6ACF" w:rsidRPr="00F56722" w:rsidRDefault="00E401AF" w:rsidP="00D670F6">
      <w:pPr>
        <w:tabs>
          <w:tab w:val="left" w:pos="700"/>
        </w:tabs>
        <w:spacing w:after="240" w:line="240" w:lineRule="exact"/>
        <w:jc w:val="both"/>
        <w:rPr>
          <w:rFonts w:ascii="Arial" w:hAnsi="Arial" w:cs="Arial"/>
          <w:color w:val="000000"/>
          <w:spacing w:val="4"/>
          <w:sz w:val="20"/>
          <w:szCs w:val="20"/>
        </w:rPr>
      </w:pPr>
      <w:r w:rsidRPr="00F56722">
        <w:rPr>
          <w:rFonts w:ascii="Arial" w:hAnsi="Arial" w:cs="Arial"/>
          <w:spacing w:val="4"/>
          <w:sz w:val="20"/>
          <w:szCs w:val="20"/>
        </w:rPr>
        <w:lastRenderedPageBreak/>
        <w:t xml:space="preserve">W sytuacji, gdy </w:t>
      </w:r>
      <w:r w:rsidRPr="00F56722">
        <w:rPr>
          <w:rFonts w:ascii="Arial" w:hAnsi="Arial" w:cs="Arial"/>
          <w:i/>
          <w:spacing w:val="4"/>
          <w:sz w:val="20"/>
          <w:szCs w:val="20"/>
        </w:rPr>
        <w:t>decyzja Wojewody Mazowieckiego</w:t>
      </w:r>
      <w:r w:rsidRPr="00F56722">
        <w:rPr>
          <w:rFonts w:ascii="Arial" w:hAnsi="Arial" w:cs="Arial"/>
          <w:spacing w:val="4"/>
          <w:sz w:val="20"/>
          <w:szCs w:val="20"/>
        </w:rPr>
        <w:t xml:space="preserve"> została wydana bez dostatecznego wyjaśnienia wszystkich okoliczności sprawy, a nadto zawiera wskazane wyżej uchybienie względem norm prawa materialnego</w:t>
      </w:r>
      <w:r w:rsidR="00590635">
        <w:rPr>
          <w:rFonts w:ascii="Arial" w:hAnsi="Arial" w:cs="Arial"/>
          <w:spacing w:val="4"/>
          <w:sz w:val="20"/>
          <w:szCs w:val="20"/>
        </w:rPr>
        <w:t xml:space="preserve"> i przepisów postępowania</w:t>
      </w:r>
      <w:r w:rsidRPr="00F56722">
        <w:rPr>
          <w:rFonts w:ascii="Arial" w:hAnsi="Arial" w:cs="Arial"/>
          <w:spacing w:val="4"/>
          <w:sz w:val="20"/>
          <w:szCs w:val="20"/>
        </w:rPr>
        <w:t xml:space="preserve">, zachodzi konieczność uchylenia przedmiotowej decyzji </w:t>
      </w:r>
      <w:r w:rsidR="00590635">
        <w:rPr>
          <w:rFonts w:ascii="Arial" w:hAnsi="Arial" w:cs="Arial"/>
          <w:spacing w:val="4"/>
          <w:sz w:val="20"/>
          <w:szCs w:val="20"/>
        </w:rPr>
        <w:br/>
      </w:r>
      <w:r w:rsidRPr="00F56722">
        <w:rPr>
          <w:rFonts w:ascii="Arial" w:hAnsi="Arial" w:cs="Arial"/>
          <w:spacing w:val="4"/>
          <w:sz w:val="20"/>
          <w:szCs w:val="20"/>
        </w:rPr>
        <w:t xml:space="preserve">na podstawie art. 138 § 2 </w:t>
      </w:r>
      <w:r w:rsidRPr="00F56722">
        <w:rPr>
          <w:rFonts w:ascii="Arial" w:hAnsi="Arial" w:cs="Arial"/>
          <w:i/>
          <w:spacing w:val="4"/>
          <w:sz w:val="20"/>
          <w:szCs w:val="20"/>
        </w:rPr>
        <w:t>kpa</w:t>
      </w:r>
      <w:r w:rsidRPr="00F56722">
        <w:rPr>
          <w:rFonts w:ascii="Arial" w:hAnsi="Arial" w:cs="Arial"/>
          <w:spacing w:val="4"/>
          <w:sz w:val="20"/>
          <w:szCs w:val="20"/>
        </w:rPr>
        <w:t xml:space="preserve"> oraz przekazania sprawy do ponownego rozpatrzenia przez organ </w:t>
      </w:r>
      <w:r w:rsidR="00590635">
        <w:rPr>
          <w:rFonts w:ascii="Arial" w:hAnsi="Arial" w:cs="Arial"/>
          <w:spacing w:val="4"/>
          <w:sz w:val="20"/>
          <w:szCs w:val="20"/>
        </w:rPr>
        <w:br/>
      </w:r>
      <w:r w:rsidRPr="00F56722">
        <w:rPr>
          <w:rFonts w:ascii="Arial" w:hAnsi="Arial" w:cs="Arial"/>
          <w:spacing w:val="4"/>
          <w:sz w:val="20"/>
          <w:szCs w:val="20"/>
        </w:rPr>
        <w:t>I instancji.</w:t>
      </w:r>
      <w:r w:rsidR="003112EB" w:rsidRPr="00F56722">
        <w:rPr>
          <w:rFonts w:ascii="Arial" w:hAnsi="Arial" w:cs="Arial"/>
          <w:color w:val="000000"/>
          <w:spacing w:val="4"/>
          <w:sz w:val="20"/>
          <w:szCs w:val="20"/>
        </w:rPr>
        <w:t xml:space="preserve"> </w:t>
      </w:r>
      <w:r w:rsidR="000A6ACF" w:rsidRPr="00F56722">
        <w:rPr>
          <w:rFonts w:ascii="Arial" w:hAnsi="Arial" w:cs="Arial"/>
          <w:color w:val="000000"/>
          <w:spacing w:val="4"/>
          <w:sz w:val="20"/>
          <w:szCs w:val="20"/>
        </w:rPr>
        <w:t>Decyzję kasacyjną organ odwoławczy może podjąć w przypadku, gdy łącznie wystąpią dwie przesłanki, tj. zaskarżona decyzja wydana została z naruszeniem przepisów postępowania oraz uznaniem przez organ odwoławczy, że konieczny do wyjaśnienia zakres sprawy ma istotny wpływ na jej rozstrzygnięcie.</w:t>
      </w:r>
      <w:r w:rsidR="003112EB" w:rsidRPr="00F56722">
        <w:rPr>
          <w:rFonts w:ascii="Arial" w:hAnsi="Arial" w:cs="Arial"/>
          <w:color w:val="000000"/>
          <w:spacing w:val="4"/>
          <w:sz w:val="20"/>
          <w:szCs w:val="20"/>
        </w:rPr>
        <w:t xml:space="preserve"> O</w:t>
      </w:r>
      <w:r w:rsidR="000A6ACF" w:rsidRPr="00F56722">
        <w:rPr>
          <w:rFonts w:ascii="Arial" w:hAnsi="Arial" w:cs="Arial"/>
          <w:color w:val="000000"/>
          <w:spacing w:val="4"/>
          <w:sz w:val="20"/>
          <w:szCs w:val="20"/>
        </w:rPr>
        <w:t xml:space="preserve">bie te przesłanki w przedmiotowej sprawie występują, a więc konieczne jest uchylenie, na podstawie art. 138 § 2 </w:t>
      </w:r>
      <w:r w:rsidR="00B14C54" w:rsidRPr="00F56722">
        <w:rPr>
          <w:rFonts w:ascii="Arial" w:hAnsi="Arial" w:cs="Arial"/>
          <w:i/>
          <w:iCs/>
          <w:color w:val="000000"/>
          <w:spacing w:val="4"/>
          <w:sz w:val="20"/>
          <w:szCs w:val="20"/>
        </w:rPr>
        <w:t>k</w:t>
      </w:r>
      <w:r w:rsidR="000A6ACF" w:rsidRPr="00F56722">
        <w:rPr>
          <w:rFonts w:ascii="Arial" w:hAnsi="Arial" w:cs="Arial"/>
          <w:i/>
          <w:iCs/>
          <w:color w:val="000000"/>
          <w:spacing w:val="4"/>
          <w:sz w:val="20"/>
          <w:szCs w:val="20"/>
        </w:rPr>
        <w:t xml:space="preserve">pa, </w:t>
      </w:r>
      <w:r w:rsidR="000A6ACF" w:rsidRPr="00F56722">
        <w:rPr>
          <w:rFonts w:ascii="Arial" w:hAnsi="Arial" w:cs="Arial"/>
          <w:color w:val="000000"/>
          <w:spacing w:val="4"/>
          <w:sz w:val="20"/>
          <w:szCs w:val="20"/>
        </w:rPr>
        <w:t xml:space="preserve">zaskarżonego rozstrzygnięcia i przekazanie sprawy </w:t>
      </w:r>
      <w:r w:rsidR="00590635">
        <w:rPr>
          <w:rFonts w:ascii="Arial" w:hAnsi="Arial" w:cs="Arial"/>
          <w:color w:val="000000"/>
          <w:spacing w:val="4"/>
          <w:sz w:val="20"/>
          <w:szCs w:val="20"/>
        </w:rPr>
        <w:br/>
      </w:r>
      <w:r w:rsidR="000A6ACF" w:rsidRPr="00F56722">
        <w:rPr>
          <w:rFonts w:ascii="Arial" w:hAnsi="Arial" w:cs="Arial"/>
          <w:color w:val="000000"/>
          <w:spacing w:val="4"/>
          <w:sz w:val="20"/>
          <w:szCs w:val="20"/>
        </w:rPr>
        <w:t>do ponownego rozpatrzenia organowi I instancji.</w:t>
      </w:r>
    </w:p>
    <w:p w:rsidR="000A6ACF" w:rsidRPr="00F56722" w:rsidRDefault="000A6ACF" w:rsidP="00E731F0">
      <w:pPr>
        <w:spacing w:after="240" w:line="240" w:lineRule="exact"/>
        <w:jc w:val="both"/>
        <w:rPr>
          <w:rFonts w:ascii="Arial" w:hAnsi="Arial" w:cs="Arial"/>
          <w:color w:val="000000"/>
          <w:spacing w:val="4"/>
          <w:sz w:val="20"/>
          <w:szCs w:val="20"/>
        </w:rPr>
      </w:pPr>
      <w:r w:rsidRPr="00F56722">
        <w:rPr>
          <w:rFonts w:ascii="Arial" w:hAnsi="Arial" w:cs="Arial"/>
          <w:color w:val="000000"/>
          <w:spacing w:val="4"/>
          <w:sz w:val="20"/>
          <w:szCs w:val="20"/>
        </w:rPr>
        <w:t xml:space="preserve">Zgodnie z treścią art. 138 § 2 </w:t>
      </w:r>
      <w:proofErr w:type="spellStart"/>
      <w:r w:rsidRPr="00F56722">
        <w:rPr>
          <w:rFonts w:ascii="Arial" w:hAnsi="Arial" w:cs="Arial"/>
          <w:color w:val="000000"/>
          <w:spacing w:val="4"/>
          <w:sz w:val="20"/>
          <w:szCs w:val="20"/>
        </w:rPr>
        <w:t>zd</w:t>
      </w:r>
      <w:proofErr w:type="spellEnd"/>
      <w:r w:rsidRPr="00F56722">
        <w:rPr>
          <w:rFonts w:ascii="Arial" w:hAnsi="Arial" w:cs="Arial"/>
          <w:color w:val="000000"/>
          <w:spacing w:val="4"/>
          <w:sz w:val="20"/>
          <w:szCs w:val="20"/>
        </w:rPr>
        <w:t xml:space="preserve">. 2 </w:t>
      </w:r>
      <w:r w:rsidR="00B14C54" w:rsidRPr="00F56722">
        <w:rPr>
          <w:rFonts w:ascii="Arial" w:hAnsi="Arial" w:cs="Arial"/>
          <w:i/>
          <w:iCs/>
          <w:color w:val="000000"/>
          <w:spacing w:val="4"/>
          <w:sz w:val="20"/>
          <w:szCs w:val="20"/>
        </w:rPr>
        <w:t>k</w:t>
      </w:r>
      <w:r w:rsidRPr="00F56722">
        <w:rPr>
          <w:rFonts w:ascii="Arial" w:hAnsi="Arial" w:cs="Arial"/>
          <w:i/>
          <w:iCs/>
          <w:color w:val="000000"/>
          <w:spacing w:val="4"/>
          <w:sz w:val="20"/>
          <w:szCs w:val="20"/>
        </w:rPr>
        <w:t>pa,</w:t>
      </w:r>
      <w:r w:rsidRPr="00F56722">
        <w:rPr>
          <w:rFonts w:ascii="Arial" w:hAnsi="Arial" w:cs="Arial"/>
          <w:color w:val="000000"/>
          <w:spacing w:val="4"/>
          <w:sz w:val="20"/>
          <w:szCs w:val="20"/>
        </w:rPr>
        <w:t xml:space="preserve"> organ odwoławczy, uchylając decyzję w całości i przekazując sprawę do ponownego rozpatrzenia organowi I instancji, powinien wskazać, jakie okoliczności należy wziąć pod uwagę przy ponownym rozpatrzeniu sprawy.</w:t>
      </w:r>
    </w:p>
    <w:p w:rsidR="003112EB" w:rsidRPr="00F56722" w:rsidRDefault="000A6ACF">
      <w:pPr>
        <w:spacing w:after="240" w:line="240" w:lineRule="exact"/>
        <w:jc w:val="both"/>
        <w:rPr>
          <w:rFonts w:ascii="Arial" w:hAnsi="Arial" w:cs="Arial"/>
          <w:color w:val="000000"/>
          <w:spacing w:val="4"/>
          <w:sz w:val="20"/>
          <w:szCs w:val="20"/>
        </w:rPr>
      </w:pPr>
      <w:r w:rsidRPr="00F56722">
        <w:rPr>
          <w:rFonts w:ascii="Arial" w:hAnsi="Arial" w:cs="Arial"/>
          <w:color w:val="000000"/>
          <w:spacing w:val="4"/>
          <w:sz w:val="20"/>
          <w:szCs w:val="20"/>
        </w:rPr>
        <w:t xml:space="preserve">W ponownie prowadzonym postępowaniu Wojewoda </w:t>
      </w:r>
      <w:r w:rsidR="0061144A" w:rsidRPr="00F56722">
        <w:rPr>
          <w:rFonts w:ascii="Arial" w:hAnsi="Arial" w:cs="Arial"/>
          <w:color w:val="000000"/>
          <w:spacing w:val="4"/>
          <w:sz w:val="20"/>
          <w:szCs w:val="20"/>
        </w:rPr>
        <w:t>Mazowiecki</w:t>
      </w:r>
      <w:r w:rsidRPr="00F56722">
        <w:rPr>
          <w:rFonts w:ascii="Arial" w:hAnsi="Arial" w:cs="Arial"/>
          <w:color w:val="000000"/>
          <w:spacing w:val="4"/>
          <w:sz w:val="20"/>
          <w:szCs w:val="20"/>
        </w:rPr>
        <w:t xml:space="preserve"> </w:t>
      </w:r>
      <w:r w:rsidR="00756864" w:rsidRPr="00F56722">
        <w:rPr>
          <w:rFonts w:ascii="Arial" w:hAnsi="Arial" w:cs="Arial"/>
          <w:spacing w:val="4"/>
          <w:sz w:val="20"/>
          <w:szCs w:val="20"/>
        </w:rPr>
        <w:t>powinien</w:t>
      </w:r>
      <w:r w:rsidRPr="00F56722">
        <w:rPr>
          <w:rFonts w:ascii="Arial" w:hAnsi="Arial" w:cs="Arial"/>
          <w:color w:val="000000"/>
          <w:spacing w:val="4"/>
          <w:sz w:val="20"/>
          <w:szCs w:val="20"/>
        </w:rPr>
        <w:t xml:space="preserve"> wystąpić o uzgodnienie projektu decyzji o ustaleniu przedmiotowej lokalizacji inwestycji celu publicznego do organu właściwego w sprawach ochrony gruntów leśnych</w:t>
      </w:r>
      <w:r w:rsidR="003112EB" w:rsidRPr="00F56722">
        <w:rPr>
          <w:rFonts w:ascii="Arial" w:hAnsi="Arial" w:cs="Arial"/>
          <w:color w:val="000000"/>
          <w:spacing w:val="4"/>
          <w:sz w:val="20"/>
          <w:szCs w:val="20"/>
        </w:rPr>
        <w:t>. Wojewoda Mazowiecki powinien także wyeliminować wskazane w niniejszej decyzji rozbieżności odnośnie określenia</w:t>
      </w:r>
      <w:r w:rsidR="003112EB" w:rsidRPr="00D670F6">
        <w:rPr>
          <w:spacing w:val="4"/>
        </w:rPr>
        <w:t xml:space="preserve"> </w:t>
      </w:r>
      <w:r w:rsidR="003112EB" w:rsidRPr="00E731F0">
        <w:rPr>
          <w:rFonts w:ascii="Arial" w:hAnsi="Arial" w:cs="Arial"/>
          <w:color w:val="000000"/>
          <w:spacing w:val="4"/>
          <w:sz w:val="20"/>
          <w:szCs w:val="20"/>
        </w:rPr>
        <w:t>lini</w:t>
      </w:r>
      <w:r w:rsidR="003112EB" w:rsidRPr="00F56722">
        <w:rPr>
          <w:rFonts w:ascii="Arial" w:hAnsi="Arial" w:cs="Arial"/>
          <w:color w:val="000000"/>
          <w:spacing w:val="4"/>
          <w:sz w:val="20"/>
          <w:szCs w:val="20"/>
        </w:rPr>
        <w:t xml:space="preserve">i rozgraniczających teren inwestycji. </w:t>
      </w:r>
      <w:r w:rsidR="003112EB" w:rsidRPr="00F56722">
        <w:rPr>
          <w:rFonts w:ascii="Arial" w:hAnsi="Arial" w:cs="Arial"/>
          <w:spacing w:val="4"/>
          <w:sz w:val="20"/>
        </w:rPr>
        <w:t>Ponadto, organ I instancji powinien zadbać o</w:t>
      </w:r>
      <w:r w:rsidR="003112EB" w:rsidRPr="00F56722">
        <w:rPr>
          <w:rFonts w:ascii="Arial" w:hAnsi="Arial" w:cs="Arial"/>
          <w:i/>
          <w:spacing w:val="4"/>
          <w:sz w:val="20"/>
        </w:rPr>
        <w:t xml:space="preserve"> </w:t>
      </w:r>
      <w:r w:rsidR="003112EB" w:rsidRPr="00F56722">
        <w:rPr>
          <w:rFonts w:ascii="Arial" w:hAnsi="Arial" w:cs="Arial"/>
          <w:spacing w:val="4"/>
          <w:sz w:val="20"/>
        </w:rPr>
        <w:t xml:space="preserve">przygotowanie projektu decyzji przez osobę do tego uprawnioną </w:t>
      </w:r>
      <w:r w:rsidR="003112EB" w:rsidRPr="00F56722">
        <w:rPr>
          <w:rFonts w:ascii="Arial" w:hAnsi="Arial" w:cs="Arial"/>
          <w:spacing w:val="4"/>
          <w:sz w:val="20"/>
        </w:rPr>
        <w:br/>
        <w:t>i o stosowne udokumentowanie tego faktu w aktach sprawy.</w:t>
      </w:r>
    </w:p>
    <w:p w:rsidR="00756864" w:rsidRPr="00F56722" w:rsidRDefault="00756864" w:rsidP="00E731F0">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t>Biorąc pod uwagę powyższe ustalenia, orzeczono jak w rozstrzygnięciu.</w:t>
      </w:r>
    </w:p>
    <w:p w:rsidR="00756864" w:rsidRPr="00F56722" w:rsidRDefault="00756864">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t>Niniejsza decyzja jest ostateczna.</w:t>
      </w:r>
    </w:p>
    <w:p w:rsidR="008D1325" w:rsidRPr="00F56722" w:rsidRDefault="008D1325">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t>Na decyzję, na podstawie art. 64a ustawy z dnia 30 sierpnia 2002 r. - Prawo o postępowaniu przed sądami administracyjnymi (Dz. U. z 2019 r. poz. 2325, z późn. zm.), zwanej dalej „</w:t>
      </w:r>
      <w:r w:rsidRPr="00F56722">
        <w:rPr>
          <w:rFonts w:ascii="Arial" w:hAnsi="Arial" w:cs="Arial"/>
          <w:i/>
          <w:spacing w:val="4"/>
          <w:sz w:val="20"/>
          <w:szCs w:val="20"/>
        </w:rPr>
        <w:t>ppsa</w:t>
      </w:r>
      <w:r w:rsidRPr="00F56722">
        <w:rPr>
          <w:rFonts w:ascii="Arial" w:hAnsi="Arial" w:cs="Arial"/>
          <w:spacing w:val="4"/>
          <w:sz w:val="20"/>
          <w:szCs w:val="20"/>
        </w:rPr>
        <w:t xml:space="preserve">”, skarga nie przysługuje, jednakże strona niezadowolona z treści decyzji może wnieść od niej sprzeciw </w:t>
      </w:r>
      <w:r w:rsidR="00F56722" w:rsidRPr="00F56722">
        <w:rPr>
          <w:rFonts w:ascii="Arial" w:hAnsi="Arial" w:cs="Arial"/>
          <w:spacing w:val="4"/>
          <w:sz w:val="20"/>
          <w:szCs w:val="20"/>
        </w:rPr>
        <w:br/>
      </w:r>
      <w:r w:rsidRPr="00F56722">
        <w:rPr>
          <w:rFonts w:ascii="Arial" w:hAnsi="Arial" w:cs="Arial"/>
          <w:spacing w:val="4"/>
          <w:sz w:val="20"/>
          <w:szCs w:val="20"/>
        </w:rPr>
        <w:t>do Wojewódzkiego Sądu Administracyjnego w Warszawie, wnoszony za pośrednictwem Ministra Rozwoju,</w:t>
      </w:r>
      <w:r w:rsidR="00F56722" w:rsidRPr="00F56722">
        <w:rPr>
          <w:rFonts w:ascii="Arial" w:hAnsi="Arial" w:cs="Arial"/>
          <w:spacing w:val="4"/>
          <w:sz w:val="20"/>
          <w:szCs w:val="20"/>
        </w:rPr>
        <w:t xml:space="preserve"> Pracy i Technologii, </w:t>
      </w:r>
      <w:r w:rsidRPr="00F56722">
        <w:rPr>
          <w:rFonts w:ascii="Arial" w:hAnsi="Arial" w:cs="Arial"/>
          <w:spacing w:val="4"/>
          <w:sz w:val="20"/>
          <w:szCs w:val="20"/>
        </w:rPr>
        <w:t xml:space="preserve">w terminie 14 dni od dnia doręczenia decyzji. </w:t>
      </w:r>
    </w:p>
    <w:p w:rsidR="00604B3C" w:rsidRPr="00F56722" w:rsidRDefault="008D1325">
      <w:pPr>
        <w:spacing w:after="240" w:line="240" w:lineRule="exact"/>
        <w:jc w:val="both"/>
        <w:outlineLvl w:val="0"/>
        <w:rPr>
          <w:rFonts w:ascii="Arial" w:hAnsi="Arial" w:cs="Arial"/>
          <w:spacing w:val="4"/>
          <w:sz w:val="20"/>
          <w:szCs w:val="20"/>
        </w:rPr>
      </w:pPr>
      <w:r w:rsidRPr="00F56722">
        <w:rPr>
          <w:rFonts w:ascii="Arial" w:hAnsi="Arial" w:cs="Arial"/>
          <w:spacing w:val="4"/>
          <w:sz w:val="20"/>
          <w:szCs w:val="20"/>
        </w:rPr>
        <w:t xml:space="preserve">Jednocześnie informuję, że do sprzeciwu należy załączyć dowód uiszczenia wpisu do wniesienia sprzeciwu w kwocie 100 zł, płatnego w kasie sądu lub na rachunek bankowy sądu wskazany </w:t>
      </w:r>
      <w:r w:rsidR="00F56722" w:rsidRPr="00F56722">
        <w:rPr>
          <w:rFonts w:ascii="Arial" w:hAnsi="Arial" w:cs="Arial"/>
          <w:spacing w:val="4"/>
          <w:sz w:val="20"/>
          <w:szCs w:val="20"/>
        </w:rPr>
        <w:br/>
      </w:r>
      <w:r w:rsidRPr="00F56722">
        <w:rPr>
          <w:rFonts w:ascii="Arial" w:hAnsi="Arial" w:cs="Arial"/>
          <w:spacing w:val="4"/>
          <w:sz w:val="20"/>
          <w:szCs w:val="20"/>
        </w:rPr>
        <w:t>w publikatorze teleinformatycznym - Biuletynie Informacji Publicznej sądu</w:t>
      </w:r>
      <w:r w:rsidR="00F56722" w:rsidRPr="00F56722">
        <w:rPr>
          <w:rFonts w:ascii="Arial" w:hAnsi="Arial" w:cs="Arial"/>
          <w:spacing w:val="4"/>
          <w:sz w:val="20"/>
          <w:szCs w:val="20"/>
        </w:rPr>
        <w:t xml:space="preserve"> </w:t>
      </w:r>
      <w:r w:rsidRPr="00F56722">
        <w:rPr>
          <w:rFonts w:ascii="Arial" w:hAnsi="Arial" w:cs="Arial"/>
          <w:spacing w:val="4"/>
          <w:sz w:val="20"/>
          <w:szCs w:val="20"/>
        </w:rPr>
        <w:t>(</w:t>
      </w:r>
      <w:r w:rsidRPr="00D670F6">
        <w:rPr>
          <w:rFonts w:ascii="Arial" w:hAnsi="Arial" w:cs="Arial"/>
          <w:i/>
          <w:spacing w:val="4"/>
          <w:sz w:val="20"/>
          <w:szCs w:val="20"/>
        </w:rPr>
        <w:t>http://bip.warszawa.wsa.gov.pl</w:t>
      </w:r>
      <w:r w:rsidRPr="00E731F0">
        <w:rPr>
          <w:rFonts w:ascii="Arial" w:hAnsi="Arial" w:cs="Arial"/>
          <w:spacing w:val="4"/>
          <w:sz w:val="20"/>
          <w:szCs w:val="20"/>
        </w:rPr>
        <w:t>). Strony mogą ubiegać się o przyznanie prawa pomocy, polegającego na zwolnieniu z kosztów sądowych oraz ustanowieniu adwokata lub radcy prawnego. Szczegółowe zasady dotyczące przyznawania prawa pomocy uregulowane są w art. 243</w:t>
      </w:r>
      <w:r w:rsidRPr="00F56722">
        <w:rPr>
          <w:rFonts w:ascii="Arial" w:hAnsi="Arial" w:cs="Arial"/>
          <w:spacing w:val="4"/>
          <w:sz w:val="20"/>
          <w:szCs w:val="20"/>
        </w:rPr>
        <w:t xml:space="preserve">-262 </w:t>
      </w:r>
      <w:r w:rsidRPr="00F56722">
        <w:rPr>
          <w:rFonts w:ascii="Arial" w:hAnsi="Arial" w:cs="Arial"/>
          <w:i/>
          <w:spacing w:val="4"/>
          <w:sz w:val="20"/>
          <w:szCs w:val="20"/>
        </w:rPr>
        <w:t>ppsa</w:t>
      </w:r>
      <w:r w:rsidRPr="00F56722">
        <w:rPr>
          <w:rFonts w:ascii="Arial" w:hAnsi="Arial" w:cs="Arial"/>
          <w:spacing w:val="4"/>
          <w:sz w:val="20"/>
          <w:szCs w:val="20"/>
        </w:rPr>
        <w:t>.</w:t>
      </w:r>
    </w:p>
    <w:p w:rsidR="00D95891" w:rsidRPr="00D95891" w:rsidRDefault="00D95891" w:rsidP="00D96710">
      <w:pPr>
        <w:spacing w:after="240" w:line="240" w:lineRule="exact"/>
        <w:jc w:val="both"/>
        <w:outlineLvl w:val="0"/>
        <w:rPr>
          <w:rFonts w:ascii="Arial" w:hAnsi="Arial" w:cs="Arial"/>
          <w:spacing w:val="4"/>
          <w:sz w:val="20"/>
          <w:szCs w:val="20"/>
        </w:rPr>
      </w:pPr>
    </w:p>
    <w:p w:rsidR="005256BD" w:rsidRPr="00136D5B" w:rsidRDefault="005256BD" w:rsidP="00D96710">
      <w:pPr>
        <w:spacing w:after="240" w:line="240" w:lineRule="exact"/>
        <w:jc w:val="both"/>
        <w:rPr>
          <w:rFonts w:ascii="Arial" w:hAnsi="Arial" w:cs="Arial"/>
          <w:spacing w:val="4"/>
          <w:sz w:val="20"/>
          <w:szCs w:val="20"/>
          <w:highlight w:val="yellow"/>
        </w:rPr>
      </w:pPr>
    </w:p>
    <w:p w:rsidR="008D1325" w:rsidRPr="00FC7FE7" w:rsidRDefault="008D1325" w:rsidP="008D1325">
      <w:pPr>
        <w:pStyle w:val="Akapitzlist"/>
        <w:ind w:left="360"/>
        <w:contextualSpacing w:val="0"/>
        <w:rPr>
          <w:rFonts w:ascii="Arial" w:hAnsi="Arial" w:cs="Arial"/>
          <w:spacing w:val="4"/>
          <w:sz w:val="20"/>
          <w:szCs w:val="20"/>
        </w:rPr>
      </w:pPr>
    </w:p>
    <w:sectPr w:rsidR="008D1325" w:rsidRPr="00FC7FE7" w:rsidSect="00AA4C7E">
      <w:footerReference w:type="default" r:id="rId9"/>
      <w:headerReference w:type="first" r:id="rId10"/>
      <w:footerReference w:type="first" r:id="rId11"/>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D9" w:rsidRDefault="005772D9">
      <w:r>
        <w:separator/>
      </w:r>
    </w:p>
  </w:endnote>
  <w:endnote w:type="continuationSeparator" w:id="0">
    <w:p w:rsidR="005772D9" w:rsidRDefault="0057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8675"/>
      <w:docPartObj>
        <w:docPartGallery w:val="Page Numbers (Bottom of Page)"/>
        <w:docPartUnique/>
      </w:docPartObj>
    </w:sdtPr>
    <w:sdtEndPr>
      <w:rPr>
        <w:rFonts w:ascii="Arial" w:hAnsi="Arial" w:cs="Arial"/>
        <w:color w:val="767171" w:themeColor="background2" w:themeShade="80"/>
        <w:sz w:val="16"/>
      </w:rPr>
    </w:sdtEndPr>
    <w:sdtContent>
      <w:p w:rsidR="006F3EC3" w:rsidRPr="00247891" w:rsidRDefault="006F3EC3" w:rsidP="00247891">
        <w:pPr>
          <w:pStyle w:val="Stopka"/>
          <w:jc w:val="center"/>
          <w:rPr>
            <w:rFonts w:ascii="Arial" w:hAnsi="Arial" w:cs="Arial"/>
            <w:color w:val="767171" w:themeColor="background2" w:themeShade="80"/>
            <w:sz w:val="16"/>
          </w:rPr>
        </w:pPr>
        <w:r w:rsidRPr="00AA4C7E">
          <w:rPr>
            <w:rFonts w:ascii="Arial" w:hAnsi="Arial" w:cs="Arial"/>
            <w:color w:val="767171" w:themeColor="background2" w:themeShade="80"/>
            <w:sz w:val="16"/>
          </w:rPr>
          <w:fldChar w:fldCharType="begin"/>
        </w:r>
        <w:r w:rsidRPr="00AA4C7E">
          <w:rPr>
            <w:rFonts w:ascii="Arial" w:hAnsi="Arial" w:cs="Arial"/>
            <w:color w:val="767171" w:themeColor="background2" w:themeShade="80"/>
            <w:sz w:val="16"/>
          </w:rPr>
          <w:instrText>PAGE   \* MERGEFORMAT</w:instrText>
        </w:r>
        <w:r w:rsidRPr="00AA4C7E">
          <w:rPr>
            <w:rFonts w:ascii="Arial" w:hAnsi="Arial" w:cs="Arial"/>
            <w:color w:val="767171" w:themeColor="background2" w:themeShade="80"/>
            <w:sz w:val="16"/>
          </w:rPr>
          <w:fldChar w:fldCharType="separate"/>
        </w:r>
        <w:r w:rsidR="00B9000C">
          <w:rPr>
            <w:rFonts w:ascii="Arial" w:hAnsi="Arial" w:cs="Arial"/>
            <w:noProof/>
            <w:color w:val="767171" w:themeColor="background2" w:themeShade="80"/>
            <w:sz w:val="16"/>
          </w:rPr>
          <w:t>2</w:t>
        </w:r>
        <w:r w:rsidRPr="00AA4C7E">
          <w:rPr>
            <w:rFonts w:ascii="Arial" w:hAnsi="Arial" w:cs="Arial"/>
            <w:color w:val="767171" w:themeColor="background2" w:themeShade="80"/>
            <w:sz w:val="16"/>
          </w:rPr>
          <w:fldChar w:fldCharType="end"/>
        </w:r>
        <w:r>
          <w:rPr>
            <w:rFonts w:ascii="Arial" w:hAnsi="Arial" w:cs="Arial"/>
            <w:color w:val="767171" w:themeColor="background2" w:themeShade="80"/>
            <w:sz w:val="16"/>
          </w:rPr>
          <w:t>(</w:t>
        </w:r>
        <w:r w:rsidR="008D1325">
          <w:rPr>
            <w:rFonts w:ascii="Arial" w:hAnsi="Arial" w:cs="Arial"/>
            <w:color w:val="767171" w:themeColor="background2" w:themeShade="80"/>
            <w:sz w:val="16"/>
          </w:rPr>
          <w:t>6</w:t>
        </w:r>
        <w:r w:rsidRPr="00AA4C7E">
          <w:rPr>
            <w:rFonts w:ascii="Arial" w:hAnsi="Arial" w:cs="Arial"/>
            <w:color w:val="767171" w:themeColor="background2" w:themeShade="80"/>
            <w:sz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C3" w:rsidRPr="00E32AD4" w:rsidRDefault="006F3EC3"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w:t>
    </w:r>
    <w:r w:rsidR="00ED2A60">
      <w:rPr>
        <w:rFonts w:ascii="Arial" w:hAnsi="Arial" w:cs="Arial"/>
        <w:iCs/>
        <w:color w:val="8C8C8C"/>
        <w:sz w:val="16"/>
        <w:szCs w:val="16"/>
      </w:rPr>
      <w:t xml:space="preserve"> </w:t>
    </w:r>
    <w:r w:rsidRPr="00E32AD4">
      <w:rPr>
        <w:rFonts w:ascii="Arial" w:hAnsi="Arial" w:cs="Arial"/>
        <w:iCs/>
        <w:color w:val="8C8C8C"/>
        <w:sz w:val="16"/>
        <w:szCs w:val="16"/>
      </w:rPr>
      <w:t>i Technologii, Plac Trzech Krzyży 3/5, 00-507 Warszawa</w:t>
    </w:r>
  </w:p>
  <w:p w:rsidR="006F3EC3" w:rsidRPr="00E32AD4" w:rsidRDefault="006F3EC3"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00ED2A60" w:rsidRPr="00ED2A60">
      <w:rPr>
        <w:rFonts w:ascii="Arial" w:hAnsi="Arial" w:cs="Arial"/>
        <w:iCs/>
        <w:color w:val="8C8C8C"/>
        <w:sz w:val="16"/>
        <w:szCs w:val="16"/>
        <w:lang w:val="en-US"/>
      </w:rPr>
      <w:t>www.gov.pl/web/rozwoj-technologia</w:t>
    </w:r>
    <w:r w:rsidR="00ED2A60" w:rsidRPr="00ED2A60" w:rsidDel="00ED2A60">
      <w:rPr>
        <w:rFonts w:ascii="Arial" w:hAnsi="Arial" w:cs="Arial"/>
        <w:iCs/>
        <w:color w:val="8C8C8C"/>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D9" w:rsidRDefault="005772D9">
      <w:r>
        <w:separator/>
      </w:r>
    </w:p>
  </w:footnote>
  <w:footnote w:type="continuationSeparator" w:id="0">
    <w:p w:rsidR="005772D9" w:rsidRDefault="0057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C3" w:rsidRPr="00880FD8" w:rsidRDefault="006F3EC3" w:rsidP="005E487D">
    <w:pPr>
      <w:pStyle w:val="Nagwek"/>
    </w:pPr>
    <w:r>
      <w:rPr>
        <w:noProof/>
      </w:rPr>
      <w:drawing>
        <wp:anchor distT="0" distB="0" distL="114300" distR="114300" simplePos="0" relativeHeight="251658240" behindDoc="1" locked="0" layoutInCell="1" allowOverlap="1" wp14:anchorId="5BB6DEB6" wp14:editId="118ACB6E">
          <wp:simplePos x="0" y="0"/>
          <wp:positionH relativeFrom="column">
            <wp:posOffset>-361950</wp:posOffset>
          </wp:positionH>
          <wp:positionV relativeFrom="paragraph">
            <wp:posOffset>428625</wp:posOffset>
          </wp:positionV>
          <wp:extent cx="3281045" cy="2269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0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4"/>
      <w:numFmt w:val="decimal"/>
      <w:lvlText w:val="%2."/>
      <w:lvlJc w:val="left"/>
      <w:rPr>
        <w:b w:val="0"/>
        <w:bCs w:val="0"/>
        <w:i w:val="0"/>
        <w:iCs w:val="0"/>
        <w:smallCaps w:val="0"/>
        <w:strike w:val="0"/>
        <w:color w:val="000000"/>
        <w:spacing w:val="0"/>
        <w:w w:val="100"/>
        <w:position w:val="0"/>
        <w:sz w:val="20"/>
        <w:szCs w:val="20"/>
        <w:u w:val="none"/>
      </w:rPr>
    </w:lvl>
    <w:lvl w:ilvl="2">
      <w:start w:val="4"/>
      <w:numFmt w:val="decimal"/>
      <w:lvlText w:val="%2."/>
      <w:lvlJc w:val="left"/>
      <w:rPr>
        <w:b w:val="0"/>
        <w:bCs w:val="0"/>
        <w:i w:val="0"/>
        <w:iCs w:val="0"/>
        <w:smallCaps w:val="0"/>
        <w:strike w:val="0"/>
        <w:color w:val="000000"/>
        <w:spacing w:val="0"/>
        <w:w w:val="100"/>
        <w:position w:val="0"/>
        <w:sz w:val="20"/>
        <w:szCs w:val="20"/>
        <w:u w:val="none"/>
      </w:rPr>
    </w:lvl>
    <w:lvl w:ilvl="3">
      <w:start w:val="4"/>
      <w:numFmt w:val="decimal"/>
      <w:lvlText w:val="%2."/>
      <w:lvlJc w:val="left"/>
      <w:rPr>
        <w:b w:val="0"/>
        <w:bCs w:val="0"/>
        <w:i w:val="0"/>
        <w:iCs w:val="0"/>
        <w:smallCaps w:val="0"/>
        <w:strike w:val="0"/>
        <w:color w:val="000000"/>
        <w:spacing w:val="0"/>
        <w:w w:val="100"/>
        <w:position w:val="0"/>
        <w:sz w:val="20"/>
        <w:szCs w:val="20"/>
        <w:u w:val="none"/>
      </w:rPr>
    </w:lvl>
    <w:lvl w:ilvl="4">
      <w:start w:val="4"/>
      <w:numFmt w:val="decimal"/>
      <w:lvlText w:val="%2."/>
      <w:lvlJc w:val="left"/>
      <w:rPr>
        <w:b w:val="0"/>
        <w:bCs w:val="0"/>
        <w:i w:val="0"/>
        <w:iCs w:val="0"/>
        <w:smallCaps w:val="0"/>
        <w:strike w:val="0"/>
        <w:color w:val="000000"/>
        <w:spacing w:val="0"/>
        <w:w w:val="100"/>
        <w:position w:val="0"/>
        <w:sz w:val="20"/>
        <w:szCs w:val="20"/>
        <w:u w:val="none"/>
      </w:rPr>
    </w:lvl>
    <w:lvl w:ilvl="5">
      <w:start w:val="4"/>
      <w:numFmt w:val="decimal"/>
      <w:lvlText w:val="%2."/>
      <w:lvlJc w:val="left"/>
      <w:rPr>
        <w:b w:val="0"/>
        <w:bCs w:val="0"/>
        <w:i w:val="0"/>
        <w:iCs w:val="0"/>
        <w:smallCaps w:val="0"/>
        <w:strike w:val="0"/>
        <w:color w:val="000000"/>
        <w:spacing w:val="0"/>
        <w:w w:val="100"/>
        <w:position w:val="0"/>
        <w:sz w:val="20"/>
        <w:szCs w:val="20"/>
        <w:u w:val="none"/>
      </w:rPr>
    </w:lvl>
    <w:lvl w:ilvl="6">
      <w:start w:val="4"/>
      <w:numFmt w:val="decimal"/>
      <w:lvlText w:val="%2."/>
      <w:lvlJc w:val="left"/>
      <w:rPr>
        <w:b w:val="0"/>
        <w:bCs w:val="0"/>
        <w:i w:val="0"/>
        <w:iCs w:val="0"/>
        <w:smallCaps w:val="0"/>
        <w:strike w:val="0"/>
        <w:color w:val="000000"/>
        <w:spacing w:val="0"/>
        <w:w w:val="100"/>
        <w:position w:val="0"/>
        <w:sz w:val="20"/>
        <w:szCs w:val="20"/>
        <w:u w:val="none"/>
      </w:rPr>
    </w:lvl>
    <w:lvl w:ilvl="7">
      <w:start w:val="4"/>
      <w:numFmt w:val="decimal"/>
      <w:lvlText w:val="%2."/>
      <w:lvlJc w:val="left"/>
      <w:rPr>
        <w:b w:val="0"/>
        <w:bCs w:val="0"/>
        <w:i w:val="0"/>
        <w:iCs w:val="0"/>
        <w:smallCaps w:val="0"/>
        <w:strike w:val="0"/>
        <w:color w:val="000000"/>
        <w:spacing w:val="0"/>
        <w:w w:val="100"/>
        <w:position w:val="0"/>
        <w:sz w:val="20"/>
        <w:szCs w:val="20"/>
        <w:u w:val="none"/>
      </w:rPr>
    </w:lvl>
    <w:lvl w:ilvl="8">
      <w:start w:val="4"/>
      <w:numFmt w:val="decimal"/>
      <w:lvlText w:val="%2."/>
      <w:lvlJc w:val="left"/>
      <w:rPr>
        <w:b w:val="0"/>
        <w:bCs w:val="0"/>
        <w:i w:val="0"/>
        <w:iCs w:val="0"/>
        <w:smallCaps w:val="0"/>
        <w:strike w:val="0"/>
        <w:color w:val="000000"/>
        <w:spacing w:val="0"/>
        <w:w w:val="100"/>
        <w:position w:val="0"/>
        <w:sz w:val="20"/>
        <w:szCs w:val="20"/>
        <w:u w:val="none"/>
      </w:rPr>
    </w:lvl>
  </w:abstractNum>
  <w:abstractNum w:abstractNumId="1">
    <w:nsid w:val="0CC05289"/>
    <w:multiLevelType w:val="hybridMultilevel"/>
    <w:tmpl w:val="50E496B2"/>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C7D21D9"/>
    <w:multiLevelType w:val="hybridMultilevel"/>
    <w:tmpl w:val="841CAE3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B1208A"/>
    <w:multiLevelType w:val="hybridMultilevel"/>
    <w:tmpl w:val="829AF2B0"/>
    <w:lvl w:ilvl="0" w:tplc="5C7C59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366F0FDF"/>
    <w:multiLevelType w:val="hybridMultilevel"/>
    <w:tmpl w:val="32A2C5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555A38"/>
    <w:multiLevelType w:val="hybridMultilevel"/>
    <w:tmpl w:val="A22E6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BA5723F"/>
    <w:multiLevelType w:val="hybridMultilevel"/>
    <w:tmpl w:val="5C1E70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F8D520A"/>
    <w:multiLevelType w:val="hybridMultilevel"/>
    <w:tmpl w:val="3D626C20"/>
    <w:lvl w:ilvl="0" w:tplc="0AA01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F8E7AB4"/>
    <w:multiLevelType w:val="hybridMultilevel"/>
    <w:tmpl w:val="5C1E70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DE349E"/>
    <w:multiLevelType w:val="hybridMultilevel"/>
    <w:tmpl w:val="8422899E"/>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nsid w:val="4A3B72CC"/>
    <w:multiLevelType w:val="hybridMultilevel"/>
    <w:tmpl w:val="CDC45484"/>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A9B586F"/>
    <w:multiLevelType w:val="hybridMultilevel"/>
    <w:tmpl w:val="26943F8E"/>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B566460"/>
    <w:multiLevelType w:val="hybridMultilevel"/>
    <w:tmpl w:val="285E1B1C"/>
    <w:lvl w:ilvl="0" w:tplc="8D3CC05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8E635B"/>
    <w:multiLevelType w:val="hybridMultilevel"/>
    <w:tmpl w:val="A56A689E"/>
    <w:lvl w:ilvl="0" w:tplc="45D2F0DC">
      <w:start w:val="1"/>
      <w:numFmt w:val="bullet"/>
      <w:lvlText w:val=""/>
      <w:lvlJc w:val="center"/>
      <w:pPr>
        <w:ind w:left="64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64CC3F4D"/>
    <w:multiLevelType w:val="hybridMultilevel"/>
    <w:tmpl w:val="D4BE05E2"/>
    <w:lvl w:ilvl="0" w:tplc="0AA01B2E">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nsid w:val="684141C3"/>
    <w:multiLevelType w:val="hybridMultilevel"/>
    <w:tmpl w:val="2F96070C"/>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nsid w:val="6BA84E5F"/>
    <w:multiLevelType w:val="hybridMultilevel"/>
    <w:tmpl w:val="A1A490C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6C374596"/>
    <w:multiLevelType w:val="hybridMultilevel"/>
    <w:tmpl w:val="32A2C5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235BF5"/>
    <w:multiLevelType w:val="hybridMultilevel"/>
    <w:tmpl w:val="834EE802"/>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EF66E2"/>
    <w:multiLevelType w:val="hybridMultilevel"/>
    <w:tmpl w:val="26F4C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73F6E8C"/>
    <w:multiLevelType w:val="hybridMultilevel"/>
    <w:tmpl w:val="6FBC0568"/>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nsid w:val="7F292D5C"/>
    <w:multiLevelType w:val="hybridMultilevel"/>
    <w:tmpl w:val="D0B8DD1A"/>
    <w:lvl w:ilvl="0" w:tplc="7F1CF1A8">
      <w:start w:val="1"/>
      <w:numFmt w:val="upperRoman"/>
      <w:lvlText w:val="%1."/>
      <w:lvlJc w:val="right"/>
      <w:pPr>
        <w:ind w:left="1364" w:hanging="360"/>
      </w:pPr>
      <w:rPr>
        <w:rFonts w:ascii="Arial" w:hAnsi="Arial" w:cs="Aria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3"/>
  </w:num>
  <w:num w:numId="2">
    <w:abstractNumId w:val="10"/>
  </w:num>
  <w:num w:numId="3">
    <w:abstractNumId w:val="22"/>
  </w:num>
  <w:num w:numId="4">
    <w:abstractNumId w:val="15"/>
  </w:num>
  <w:num w:numId="5">
    <w:abstractNumId w:val="20"/>
  </w:num>
  <w:num w:numId="6">
    <w:abstractNumId w:val="9"/>
  </w:num>
  <w:num w:numId="7">
    <w:abstractNumId w:val="13"/>
  </w:num>
  <w:num w:numId="8">
    <w:abstractNumId w:val="11"/>
  </w:num>
  <w:num w:numId="9">
    <w:abstractNumId w:val="18"/>
  </w:num>
  <w:num w:numId="10">
    <w:abstractNumId w:val="6"/>
  </w:num>
  <w:num w:numId="11">
    <w:abstractNumId w:val="1"/>
  </w:num>
  <w:num w:numId="12">
    <w:abstractNumId w:val="21"/>
  </w:num>
  <w:num w:numId="13">
    <w:abstractNumId w:val="8"/>
  </w:num>
  <w:num w:numId="14">
    <w:abstractNumId w:val="17"/>
  </w:num>
  <w:num w:numId="15">
    <w:abstractNumId w:val="0"/>
  </w:num>
  <w:num w:numId="16">
    <w:abstractNumId w:val="4"/>
  </w:num>
  <w:num w:numId="17">
    <w:abstractNumId w:val="16"/>
  </w:num>
  <w:num w:numId="18">
    <w:abstractNumId w:val="19"/>
  </w:num>
  <w:num w:numId="19">
    <w:abstractNumId w:val="25"/>
  </w:num>
  <w:num w:numId="20">
    <w:abstractNumId w:val="24"/>
  </w:num>
  <w:num w:numId="21">
    <w:abstractNumId w:val="2"/>
  </w:num>
  <w:num w:numId="22">
    <w:abstractNumId w:val="14"/>
  </w:num>
  <w:num w:numId="23">
    <w:abstractNumId w:val="23"/>
  </w:num>
  <w:num w:numId="24">
    <w:abstractNumId w:val="12"/>
  </w:num>
  <w:num w:numId="25">
    <w:abstractNumId w:val="5"/>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5E74"/>
    <w:rsid w:val="00006F22"/>
    <w:rsid w:val="00015557"/>
    <w:rsid w:val="00015ED1"/>
    <w:rsid w:val="00016C48"/>
    <w:rsid w:val="00020266"/>
    <w:rsid w:val="00020FCE"/>
    <w:rsid w:val="000224F2"/>
    <w:rsid w:val="00024255"/>
    <w:rsid w:val="000256BE"/>
    <w:rsid w:val="00032046"/>
    <w:rsid w:val="00037F99"/>
    <w:rsid w:val="00043821"/>
    <w:rsid w:val="00043A0D"/>
    <w:rsid w:val="00045367"/>
    <w:rsid w:val="00045EC3"/>
    <w:rsid w:val="000516D8"/>
    <w:rsid w:val="00053B5F"/>
    <w:rsid w:val="00062D02"/>
    <w:rsid w:val="000636A4"/>
    <w:rsid w:val="00063C78"/>
    <w:rsid w:val="00064754"/>
    <w:rsid w:val="000656B4"/>
    <w:rsid w:val="0007138F"/>
    <w:rsid w:val="00071D35"/>
    <w:rsid w:val="000733AD"/>
    <w:rsid w:val="000743B3"/>
    <w:rsid w:val="0007749B"/>
    <w:rsid w:val="000779A7"/>
    <w:rsid w:val="00083A19"/>
    <w:rsid w:val="00086C4C"/>
    <w:rsid w:val="000933A0"/>
    <w:rsid w:val="00093E09"/>
    <w:rsid w:val="00093F26"/>
    <w:rsid w:val="00096198"/>
    <w:rsid w:val="000977F2"/>
    <w:rsid w:val="000A0EA3"/>
    <w:rsid w:val="000A1277"/>
    <w:rsid w:val="000A1717"/>
    <w:rsid w:val="000A21C4"/>
    <w:rsid w:val="000A2951"/>
    <w:rsid w:val="000A3DC1"/>
    <w:rsid w:val="000A3F22"/>
    <w:rsid w:val="000A6ACF"/>
    <w:rsid w:val="000A6B97"/>
    <w:rsid w:val="000A6C3E"/>
    <w:rsid w:val="000B7D14"/>
    <w:rsid w:val="000C507D"/>
    <w:rsid w:val="000C5BE4"/>
    <w:rsid w:val="000C5C02"/>
    <w:rsid w:val="000D2610"/>
    <w:rsid w:val="000D2ED0"/>
    <w:rsid w:val="000D5D6A"/>
    <w:rsid w:val="000E225E"/>
    <w:rsid w:val="000E5899"/>
    <w:rsid w:val="000F4060"/>
    <w:rsid w:val="000F43E0"/>
    <w:rsid w:val="000F72BD"/>
    <w:rsid w:val="00102574"/>
    <w:rsid w:val="00106251"/>
    <w:rsid w:val="0011026B"/>
    <w:rsid w:val="001136B3"/>
    <w:rsid w:val="00113B8C"/>
    <w:rsid w:val="00114722"/>
    <w:rsid w:val="00116A03"/>
    <w:rsid w:val="00117187"/>
    <w:rsid w:val="00120100"/>
    <w:rsid w:val="00121B53"/>
    <w:rsid w:val="0012281F"/>
    <w:rsid w:val="00125D00"/>
    <w:rsid w:val="0013523D"/>
    <w:rsid w:val="00136D5B"/>
    <w:rsid w:val="00136FF6"/>
    <w:rsid w:val="0013731C"/>
    <w:rsid w:val="00155A9B"/>
    <w:rsid w:val="001569A5"/>
    <w:rsid w:val="001579C0"/>
    <w:rsid w:val="0016035B"/>
    <w:rsid w:val="00167291"/>
    <w:rsid w:val="001722F8"/>
    <w:rsid w:val="0017650D"/>
    <w:rsid w:val="00177718"/>
    <w:rsid w:val="00183BDA"/>
    <w:rsid w:val="00184AC4"/>
    <w:rsid w:val="00185867"/>
    <w:rsid w:val="00185D24"/>
    <w:rsid w:val="001939FD"/>
    <w:rsid w:val="001943B8"/>
    <w:rsid w:val="001979F2"/>
    <w:rsid w:val="00197A87"/>
    <w:rsid w:val="001A06EB"/>
    <w:rsid w:val="001A4A38"/>
    <w:rsid w:val="001A5DC6"/>
    <w:rsid w:val="001A6E8B"/>
    <w:rsid w:val="001B3FB8"/>
    <w:rsid w:val="001B6721"/>
    <w:rsid w:val="001B76AE"/>
    <w:rsid w:val="001B7AEC"/>
    <w:rsid w:val="001C436D"/>
    <w:rsid w:val="001C6837"/>
    <w:rsid w:val="001C6FD9"/>
    <w:rsid w:val="001C752F"/>
    <w:rsid w:val="001D0FF2"/>
    <w:rsid w:val="001D3BA3"/>
    <w:rsid w:val="001D4588"/>
    <w:rsid w:val="001D463F"/>
    <w:rsid w:val="001D46D5"/>
    <w:rsid w:val="001D6137"/>
    <w:rsid w:val="001E511C"/>
    <w:rsid w:val="001E7361"/>
    <w:rsid w:val="001F002E"/>
    <w:rsid w:val="001F398F"/>
    <w:rsid w:val="002023DF"/>
    <w:rsid w:val="00204ECD"/>
    <w:rsid w:val="00205CC0"/>
    <w:rsid w:val="00206149"/>
    <w:rsid w:val="00213407"/>
    <w:rsid w:val="00214BD7"/>
    <w:rsid w:val="00215CB4"/>
    <w:rsid w:val="002166CC"/>
    <w:rsid w:val="00216C9E"/>
    <w:rsid w:val="00216D2C"/>
    <w:rsid w:val="002220D9"/>
    <w:rsid w:val="0022373D"/>
    <w:rsid w:val="002251B6"/>
    <w:rsid w:val="002251D7"/>
    <w:rsid w:val="00227D2C"/>
    <w:rsid w:val="00233029"/>
    <w:rsid w:val="0023522A"/>
    <w:rsid w:val="0024221D"/>
    <w:rsid w:val="002439A1"/>
    <w:rsid w:val="00247891"/>
    <w:rsid w:val="0025317F"/>
    <w:rsid w:val="00254591"/>
    <w:rsid w:val="002568C3"/>
    <w:rsid w:val="00256DD6"/>
    <w:rsid w:val="0026180C"/>
    <w:rsid w:val="00264740"/>
    <w:rsid w:val="00264DDE"/>
    <w:rsid w:val="00265B14"/>
    <w:rsid w:val="00273E8B"/>
    <w:rsid w:val="002751EA"/>
    <w:rsid w:val="002755C7"/>
    <w:rsid w:val="00276F72"/>
    <w:rsid w:val="00277449"/>
    <w:rsid w:val="00281009"/>
    <w:rsid w:val="002815E8"/>
    <w:rsid w:val="00282260"/>
    <w:rsid w:val="00283574"/>
    <w:rsid w:val="00283935"/>
    <w:rsid w:val="00285836"/>
    <w:rsid w:val="002858DB"/>
    <w:rsid w:val="00286A94"/>
    <w:rsid w:val="00287245"/>
    <w:rsid w:val="00291D8F"/>
    <w:rsid w:val="00295C52"/>
    <w:rsid w:val="002A2F0F"/>
    <w:rsid w:val="002A40DB"/>
    <w:rsid w:val="002A425F"/>
    <w:rsid w:val="002A50E4"/>
    <w:rsid w:val="002A5860"/>
    <w:rsid w:val="002A67F0"/>
    <w:rsid w:val="002A707B"/>
    <w:rsid w:val="002B0C81"/>
    <w:rsid w:val="002B2ADC"/>
    <w:rsid w:val="002C0381"/>
    <w:rsid w:val="002C2244"/>
    <w:rsid w:val="002C247D"/>
    <w:rsid w:val="002C6309"/>
    <w:rsid w:val="002D1DFA"/>
    <w:rsid w:val="002D5B8E"/>
    <w:rsid w:val="002D7317"/>
    <w:rsid w:val="002E035F"/>
    <w:rsid w:val="002E1833"/>
    <w:rsid w:val="002E52A1"/>
    <w:rsid w:val="002F1BE4"/>
    <w:rsid w:val="002F2581"/>
    <w:rsid w:val="002F3581"/>
    <w:rsid w:val="002F3737"/>
    <w:rsid w:val="002F3B32"/>
    <w:rsid w:val="002F53CE"/>
    <w:rsid w:val="002F5F20"/>
    <w:rsid w:val="002F73D5"/>
    <w:rsid w:val="00300D11"/>
    <w:rsid w:val="003015C7"/>
    <w:rsid w:val="003075F4"/>
    <w:rsid w:val="0031041B"/>
    <w:rsid w:val="00310F43"/>
    <w:rsid w:val="003112EB"/>
    <w:rsid w:val="00311886"/>
    <w:rsid w:val="00312B77"/>
    <w:rsid w:val="00313EA4"/>
    <w:rsid w:val="00314686"/>
    <w:rsid w:val="003215BC"/>
    <w:rsid w:val="003217C1"/>
    <w:rsid w:val="00322AAF"/>
    <w:rsid w:val="0032448C"/>
    <w:rsid w:val="00326CF3"/>
    <w:rsid w:val="003307FC"/>
    <w:rsid w:val="00331277"/>
    <w:rsid w:val="00334D69"/>
    <w:rsid w:val="00335787"/>
    <w:rsid w:val="00335A74"/>
    <w:rsid w:val="003374E1"/>
    <w:rsid w:val="00342319"/>
    <w:rsid w:val="00344352"/>
    <w:rsid w:val="003446EB"/>
    <w:rsid w:val="003463D8"/>
    <w:rsid w:val="003506BB"/>
    <w:rsid w:val="00354341"/>
    <w:rsid w:val="00357194"/>
    <w:rsid w:val="003577AC"/>
    <w:rsid w:val="003651C8"/>
    <w:rsid w:val="00365804"/>
    <w:rsid w:val="00370E10"/>
    <w:rsid w:val="00370FF4"/>
    <w:rsid w:val="003731B1"/>
    <w:rsid w:val="003823A0"/>
    <w:rsid w:val="003962CA"/>
    <w:rsid w:val="00396871"/>
    <w:rsid w:val="00397C65"/>
    <w:rsid w:val="003A3577"/>
    <w:rsid w:val="003A4E7E"/>
    <w:rsid w:val="003A5769"/>
    <w:rsid w:val="003A5E64"/>
    <w:rsid w:val="003B01EE"/>
    <w:rsid w:val="003B05AB"/>
    <w:rsid w:val="003B2A98"/>
    <w:rsid w:val="003C2AF5"/>
    <w:rsid w:val="003C3AC3"/>
    <w:rsid w:val="003C7184"/>
    <w:rsid w:val="003D524E"/>
    <w:rsid w:val="003D5350"/>
    <w:rsid w:val="003D7ECC"/>
    <w:rsid w:val="003E267E"/>
    <w:rsid w:val="003E3272"/>
    <w:rsid w:val="003E3F4D"/>
    <w:rsid w:val="003E47F2"/>
    <w:rsid w:val="003E675F"/>
    <w:rsid w:val="003E7852"/>
    <w:rsid w:val="003F1D0B"/>
    <w:rsid w:val="003F3C74"/>
    <w:rsid w:val="003F429C"/>
    <w:rsid w:val="00400EA1"/>
    <w:rsid w:val="004016F7"/>
    <w:rsid w:val="004037BC"/>
    <w:rsid w:val="00405115"/>
    <w:rsid w:val="004055D5"/>
    <w:rsid w:val="00406F32"/>
    <w:rsid w:val="00407A58"/>
    <w:rsid w:val="0041164E"/>
    <w:rsid w:val="00412173"/>
    <w:rsid w:val="00414329"/>
    <w:rsid w:val="004236E7"/>
    <w:rsid w:val="00427951"/>
    <w:rsid w:val="004311AE"/>
    <w:rsid w:val="004401CD"/>
    <w:rsid w:val="004412DB"/>
    <w:rsid w:val="004451E9"/>
    <w:rsid w:val="00445EDB"/>
    <w:rsid w:val="00446636"/>
    <w:rsid w:val="00447D60"/>
    <w:rsid w:val="00450F50"/>
    <w:rsid w:val="0045227C"/>
    <w:rsid w:val="00454307"/>
    <w:rsid w:val="00455BD2"/>
    <w:rsid w:val="00460D06"/>
    <w:rsid w:val="0046133A"/>
    <w:rsid w:val="0046149A"/>
    <w:rsid w:val="00463AFD"/>
    <w:rsid w:val="00464B59"/>
    <w:rsid w:val="004726F0"/>
    <w:rsid w:val="004731B7"/>
    <w:rsid w:val="00474268"/>
    <w:rsid w:val="004746CB"/>
    <w:rsid w:val="00476815"/>
    <w:rsid w:val="00480943"/>
    <w:rsid w:val="004827DF"/>
    <w:rsid w:val="00493CD3"/>
    <w:rsid w:val="004942EB"/>
    <w:rsid w:val="004971D2"/>
    <w:rsid w:val="004A570B"/>
    <w:rsid w:val="004A61A7"/>
    <w:rsid w:val="004A7B41"/>
    <w:rsid w:val="004B38B1"/>
    <w:rsid w:val="004B3C22"/>
    <w:rsid w:val="004B4DC2"/>
    <w:rsid w:val="004B5894"/>
    <w:rsid w:val="004B5D0A"/>
    <w:rsid w:val="004B72BC"/>
    <w:rsid w:val="004C1EC7"/>
    <w:rsid w:val="004C5170"/>
    <w:rsid w:val="004C6C91"/>
    <w:rsid w:val="004D0CDC"/>
    <w:rsid w:val="004D19BD"/>
    <w:rsid w:val="004D3417"/>
    <w:rsid w:val="004D4FC8"/>
    <w:rsid w:val="004E1796"/>
    <w:rsid w:val="004E43F1"/>
    <w:rsid w:val="004F0C3C"/>
    <w:rsid w:val="004F2871"/>
    <w:rsid w:val="004F54FD"/>
    <w:rsid w:val="004F5D23"/>
    <w:rsid w:val="00500387"/>
    <w:rsid w:val="005020D6"/>
    <w:rsid w:val="0050424F"/>
    <w:rsid w:val="00506FBC"/>
    <w:rsid w:val="00507257"/>
    <w:rsid w:val="00507839"/>
    <w:rsid w:val="0051438B"/>
    <w:rsid w:val="0051746A"/>
    <w:rsid w:val="0052319F"/>
    <w:rsid w:val="005256BD"/>
    <w:rsid w:val="0052653B"/>
    <w:rsid w:val="00530ACD"/>
    <w:rsid w:val="0053500A"/>
    <w:rsid w:val="00535229"/>
    <w:rsid w:val="00537656"/>
    <w:rsid w:val="005427AD"/>
    <w:rsid w:val="00543BDC"/>
    <w:rsid w:val="005452E6"/>
    <w:rsid w:val="0056693C"/>
    <w:rsid w:val="00567620"/>
    <w:rsid w:val="005745E6"/>
    <w:rsid w:val="005769EF"/>
    <w:rsid w:val="00576F53"/>
    <w:rsid w:val="005772D9"/>
    <w:rsid w:val="005775A0"/>
    <w:rsid w:val="00581831"/>
    <w:rsid w:val="00583FC7"/>
    <w:rsid w:val="00585207"/>
    <w:rsid w:val="005852E5"/>
    <w:rsid w:val="00586E06"/>
    <w:rsid w:val="00590635"/>
    <w:rsid w:val="00590FA6"/>
    <w:rsid w:val="00594E9E"/>
    <w:rsid w:val="005A2926"/>
    <w:rsid w:val="005A61E4"/>
    <w:rsid w:val="005B5DB1"/>
    <w:rsid w:val="005B77EC"/>
    <w:rsid w:val="005C2B5D"/>
    <w:rsid w:val="005C492C"/>
    <w:rsid w:val="005C6E74"/>
    <w:rsid w:val="005D1CE3"/>
    <w:rsid w:val="005D4730"/>
    <w:rsid w:val="005D51D2"/>
    <w:rsid w:val="005D64FE"/>
    <w:rsid w:val="005E311E"/>
    <w:rsid w:val="005E487D"/>
    <w:rsid w:val="005E4D24"/>
    <w:rsid w:val="005E5173"/>
    <w:rsid w:val="005F3982"/>
    <w:rsid w:val="005F642A"/>
    <w:rsid w:val="005F6994"/>
    <w:rsid w:val="00603E73"/>
    <w:rsid w:val="00604B3C"/>
    <w:rsid w:val="00605C56"/>
    <w:rsid w:val="0061144A"/>
    <w:rsid w:val="00621B24"/>
    <w:rsid w:val="00624DA0"/>
    <w:rsid w:val="00630135"/>
    <w:rsid w:val="00633854"/>
    <w:rsid w:val="00634FB6"/>
    <w:rsid w:val="00635BAC"/>
    <w:rsid w:val="00636677"/>
    <w:rsid w:val="00637BF4"/>
    <w:rsid w:val="006403C6"/>
    <w:rsid w:val="006407A2"/>
    <w:rsid w:val="00641C22"/>
    <w:rsid w:val="00645A06"/>
    <w:rsid w:val="00646517"/>
    <w:rsid w:val="00652F3E"/>
    <w:rsid w:val="006567BF"/>
    <w:rsid w:val="00660097"/>
    <w:rsid w:val="00662E2E"/>
    <w:rsid w:val="00663FAB"/>
    <w:rsid w:val="00665D47"/>
    <w:rsid w:val="006670CE"/>
    <w:rsid w:val="00671C61"/>
    <w:rsid w:val="00673F39"/>
    <w:rsid w:val="006771F8"/>
    <w:rsid w:val="00677DC9"/>
    <w:rsid w:val="00680473"/>
    <w:rsid w:val="00681B16"/>
    <w:rsid w:val="0068334E"/>
    <w:rsid w:val="00684283"/>
    <w:rsid w:val="00686206"/>
    <w:rsid w:val="0069008F"/>
    <w:rsid w:val="00691566"/>
    <w:rsid w:val="00693419"/>
    <w:rsid w:val="0069391D"/>
    <w:rsid w:val="006944E2"/>
    <w:rsid w:val="00694D99"/>
    <w:rsid w:val="00695910"/>
    <w:rsid w:val="00696CAE"/>
    <w:rsid w:val="006A1876"/>
    <w:rsid w:val="006A3799"/>
    <w:rsid w:val="006A4994"/>
    <w:rsid w:val="006A7A15"/>
    <w:rsid w:val="006B102A"/>
    <w:rsid w:val="006B66B5"/>
    <w:rsid w:val="006B69CC"/>
    <w:rsid w:val="006C5373"/>
    <w:rsid w:val="006C6F9D"/>
    <w:rsid w:val="006D30A2"/>
    <w:rsid w:val="006D3171"/>
    <w:rsid w:val="006D7866"/>
    <w:rsid w:val="006E02ED"/>
    <w:rsid w:val="006E10A6"/>
    <w:rsid w:val="006E110A"/>
    <w:rsid w:val="006E2CB6"/>
    <w:rsid w:val="006F21EE"/>
    <w:rsid w:val="006F366A"/>
    <w:rsid w:val="006F3EC3"/>
    <w:rsid w:val="007000C3"/>
    <w:rsid w:val="007004CA"/>
    <w:rsid w:val="007035A0"/>
    <w:rsid w:val="00703744"/>
    <w:rsid w:val="0070507F"/>
    <w:rsid w:val="007114D5"/>
    <w:rsid w:val="007116D4"/>
    <w:rsid w:val="0071172C"/>
    <w:rsid w:val="007125F6"/>
    <w:rsid w:val="00712A68"/>
    <w:rsid w:val="00715579"/>
    <w:rsid w:val="00722332"/>
    <w:rsid w:val="00724B67"/>
    <w:rsid w:val="007268C7"/>
    <w:rsid w:val="00727578"/>
    <w:rsid w:val="0073196C"/>
    <w:rsid w:val="00731F71"/>
    <w:rsid w:val="00733D6F"/>
    <w:rsid w:val="00734C94"/>
    <w:rsid w:val="00734FB0"/>
    <w:rsid w:val="00737212"/>
    <w:rsid w:val="00741C92"/>
    <w:rsid w:val="00743D47"/>
    <w:rsid w:val="00747D4C"/>
    <w:rsid w:val="007502F0"/>
    <w:rsid w:val="00751954"/>
    <w:rsid w:val="00752124"/>
    <w:rsid w:val="00753E23"/>
    <w:rsid w:val="007564B1"/>
    <w:rsid w:val="00756864"/>
    <w:rsid w:val="00760923"/>
    <w:rsid w:val="00764649"/>
    <w:rsid w:val="00770087"/>
    <w:rsid w:val="0077037E"/>
    <w:rsid w:val="00772FDA"/>
    <w:rsid w:val="007741AB"/>
    <w:rsid w:val="0077631C"/>
    <w:rsid w:val="007767C9"/>
    <w:rsid w:val="00776A61"/>
    <w:rsid w:val="00780F03"/>
    <w:rsid w:val="007810E4"/>
    <w:rsid w:val="00781E31"/>
    <w:rsid w:val="00784744"/>
    <w:rsid w:val="00792A83"/>
    <w:rsid w:val="00795765"/>
    <w:rsid w:val="007A2DAF"/>
    <w:rsid w:val="007A4479"/>
    <w:rsid w:val="007A44CC"/>
    <w:rsid w:val="007B0341"/>
    <w:rsid w:val="007B26C0"/>
    <w:rsid w:val="007B617A"/>
    <w:rsid w:val="007C1009"/>
    <w:rsid w:val="007C381E"/>
    <w:rsid w:val="007C3989"/>
    <w:rsid w:val="007C5A8C"/>
    <w:rsid w:val="007C6FBF"/>
    <w:rsid w:val="007D07E4"/>
    <w:rsid w:val="007D0B16"/>
    <w:rsid w:val="007D3311"/>
    <w:rsid w:val="007D46AF"/>
    <w:rsid w:val="007E1F96"/>
    <w:rsid w:val="007E66B9"/>
    <w:rsid w:val="007F2C48"/>
    <w:rsid w:val="007F4619"/>
    <w:rsid w:val="007F48B6"/>
    <w:rsid w:val="007F5B8C"/>
    <w:rsid w:val="0080289B"/>
    <w:rsid w:val="00812CD9"/>
    <w:rsid w:val="0082432D"/>
    <w:rsid w:val="00825BBB"/>
    <w:rsid w:val="00826848"/>
    <w:rsid w:val="00826FB3"/>
    <w:rsid w:val="008345F8"/>
    <w:rsid w:val="00842C7B"/>
    <w:rsid w:val="00846D3E"/>
    <w:rsid w:val="008470D6"/>
    <w:rsid w:val="00852164"/>
    <w:rsid w:val="00852A52"/>
    <w:rsid w:val="00860B7F"/>
    <w:rsid w:val="00862359"/>
    <w:rsid w:val="00865816"/>
    <w:rsid w:val="0086667B"/>
    <w:rsid w:val="00873371"/>
    <w:rsid w:val="008733D1"/>
    <w:rsid w:val="008760F3"/>
    <w:rsid w:val="00877EB5"/>
    <w:rsid w:val="008842A9"/>
    <w:rsid w:val="008852FC"/>
    <w:rsid w:val="00890194"/>
    <w:rsid w:val="00891729"/>
    <w:rsid w:val="0089188D"/>
    <w:rsid w:val="008918FC"/>
    <w:rsid w:val="008957D7"/>
    <w:rsid w:val="00896A97"/>
    <w:rsid w:val="008A72B5"/>
    <w:rsid w:val="008B01F2"/>
    <w:rsid w:val="008B3EDE"/>
    <w:rsid w:val="008B7AA6"/>
    <w:rsid w:val="008B7F8E"/>
    <w:rsid w:val="008C19A3"/>
    <w:rsid w:val="008C31F9"/>
    <w:rsid w:val="008D1325"/>
    <w:rsid w:val="008E011F"/>
    <w:rsid w:val="008E2A4F"/>
    <w:rsid w:val="008E3862"/>
    <w:rsid w:val="008E51E4"/>
    <w:rsid w:val="008E60F5"/>
    <w:rsid w:val="008E7D94"/>
    <w:rsid w:val="008F0D24"/>
    <w:rsid w:val="009008AD"/>
    <w:rsid w:val="00900CEF"/>
    <w:rsid w:val="009043F9"/>
    <w:rsid w:val="00906928"/>
    <w:rsid w:val="0091224C"/>
    <w:rsid w:val="00913BC8"/>
    <w:rsid w:val="00913DD1"/>
    <w:rsid w:val="009229BC"/>
    <w:rsid w:val="00926A2A"/>
    <w:rsid w:val="00927798"/>
    <w:rsid w:val="0093258E"/>
    <w:rsid w:val="009326D7"/>
    <w:rsid w:val="0093458A"/>
    <w:rsid w:val="00935775"/>
    <w:rsid w:val="009435B1"/>
    <w:rsid w:val="00944684"/>
    <w:rsid w:val="009510A3"/>
    <w:rsid w:val="0095371A"/>
    <w:rsid w:val="0095476B"/>
    <w:rsid w:val="00956E8F"/>
    <w:rsid w:val="00962D04"/>
    <w:rsid w:val="009677EE"/>
    <w:rsid w:val="00967AF4"/>
    <w:rsid w:val="009701D7"/>
    <w:rsid w:val="00971B00"/>
    <w:rsid w:val="00972EA4"/>
    <w:rsid w:val="0097320C"/>
    <w:rsid w:val="00973C18"/>
    <w:rsid w:val="00973E29"/>
    <w:rsid w:val="0097427B"/>
    <w:rsid w:val="0097527A"/>
    <w:rsid w:val="009769E9"/>
    <w:rsid w:val="009809F1"/>
    <w:rsid w:val="00982422"/>
    <w:rsid w:val="009839EA"/>
    <w:rsid w:val="00983D3B"/>
    <w:rsid w:val="00983FD0"/>
    <w:rsid w:val="00985ED0"/>
    <w:rsid w:val="00986355"/>
    <w:rsid w:val="00986A7C"/>
    <w:rsid w:val="00987C61"/>
    <w:rsid w:val="00990B41"/>
    <w:rsid w:val="00994B4C"/>
    <w:rsid w:val="00994E66"/>
    <w:rsid w:val="00995A96"/>
    <w:rsid w:val="009A2B9D"/>
    <w:rsid w:val="009A2FB8"/>
    <w:rsid w:val="009A57DD"/>
    <w:rsid w:val="009A7C3C"/>
    <w:rsid w:val="009B2712"/>
    <w:rsid w:val="009B326E"/>
    <w:rsid w:val="009B3A0D"/>
    <w:rsid w:val="009B4C61"/>
    <w:rsid w:val="009D0747"/>
    <w:rsid w:val="009D27CB"/>
    <w:rsid w:val="009D405F"/>
    <w:rsid w:val="009E3B81"/>
    <w:rsid w:val="009E76CE"/>
    <w:rsid w:val="009F0289"/>
    <w:rsid w:val="009F3977"/>
    <w:rsid w:val="009F6BBC"/>
    <w:rsid w:val="00A01C33"/>
    <w:rsid w:val="00A0473C"/>
    <w:rsid w:val="00A0499B"/>
    <w:rsid w:val="00A0522E"/>
    <w:rsid w:val="00A0661A"/>
    <w:rsid w:val="00A11B97"/>
    <w:rsid w:val="00A13CA2"/>
    <w:rsid w:val="00A17C97"/>
    <w:rsid w:val="00A17CE7"/>
    <w:rsid w:val="00A21128"/>
    <w:rsid w:val="00A2207C"/>
    <w:rsid w:val="00A23CDC"/>
    <w:rsid w:val="00A40456"/>
    <w:rsid w:val="00A43AB1"/>
    <w:rsid w:val="00A47345"/>
    <w:rsid w:val="00A47FD9"/>
    <w:rsid w:val="00A50F68"/>
    <w:rsid w:val="00A5391C"/>
    <w:rsid w:val="00A55124"/>
    <w:rsid w:val="00A56D68"/>
    <w:rsid w:val="00A66ABC"/>
    <w:rsid w:val="00A71C99"/>
    <w:rsid w:val="00A72E31"/>
    <w:rsid w:val="00A7481C"/>
    <w:rsid w:val="00A81227"/>
    <w:rsid w:val="00A831A4"/>
    <w:rsid w:val="00A83476"/>
    <w:rsid w:val="00A868CC"/>
    <w:rsid w:val="00A879A0"/>
    <w:rsid w:val="00A90CD4"/>
    <w:rsid w:val="00A9380F"/>
    <w:rsid w:val="00A93F98"/>
    <w:rsid w:val="00A966B9"/>
    <w:rsid w:val="00AA27B4"/>
    <w:rsid w:val="00AA4C7E"/>
    <w:rsid w:val="00AB15E5"/>
    <w:rsid w:val="00AB4007"/>
    <w:rsid w:val="00AB4660"/>
    <w:rsid w:val="00AC2C13"/>
    <w:rsid w:val="00AC52B6"/>
    <w:rsid w:val="00AC6466"/>
    <w:rsid w:val="00AC7B1A"/>
    <w:rsid w:val="00AD054A"/>
    <w:rsid w:val="00AD3536"/>
    <w:rsid w:val="00AD444B"/>
    <w:rsid w:val="00AD49D8"/>
    <w:rsid w:val="00AD734C"/>
    <w:rsid w:val="00AE0464"/>
    <w:rsid w:val="00AE2DD6"/>
    <w:rsid w:val="00AE3F2A"/>
    <w:rsid w:val="00AE40B3"/>
    <w:rsid w:val="00AE60E7"/>
    <w:rsid w:val="00AE72DD"/>
    <w:rsid w:val="00AF1AF8"/>
    <w:rsid w:val="00AF48D3"/>
    <w:rsid w:val="00AF4FC0"/>
    <w:rsid w:val="00AF5BA8"/>
    <w:rsid w:val="00AF6B14"/>
    <w:rsid w:val="00AF783E"/>
    <w:rsid w:val="00B00AF7"/>
    <w:rsid w:val="00B05F7A"/>
    <w:rsid w:val="00B109E3"/>
    <w:rsid w:val="00B1391E"/>
    <w:rsid w:val="00B14C54"/>
    <w:rsid w:val="00B14D0D"/>
    <w:rsid w:val="00B1508D"/>
    <w:rsid w:val="00B159B1"/>
    <w:rsid w:val="00B16C98"/>
    <w:rsid w:val="00B264B3"/>
    <w:rsid w:val="00B276DD"/>
    <w:rsid w:val="00B34DEF"/>
    <w:rsid w:val="00B35BEC"/>
    <w:rsid w:val="00B3714E"/>
    <w:rsid w:val="00B40521"/>
    <w:rsid w:val="00B41F27"/>
    <w:rsid w:val="00B433D6"/>
    <w:rsid w:val="00B43ABB"/>
    <w:rsid w:val="00B43B28"/>
    <w:rsid w:val="00B4409B"/>
    <w:rsid w:val="00B4539D"/>
    <w:rsid w:val="00B466FA"/>
    <w:rsid w:val="00B47B04"/>
    <w:rsid w:val="00B556BA"/>
    <w:rsid w:val="00B6026A"/>
    <w:rsid w:val="00B63494"/>
    <w:rsid w:val="00B669E9"/>
    <w:rsid w:val="00B769FE"/>
    <w:rsid w:val="00B771FC"/>
    <w:rsid w:val="00B77C28"/>
    <w:rsid w:val="00B8048F"/>
    <w:rsid w:val="00B82E79"/>
    <w:rsid w:val="00B83FBD"/>
    <w:rsid w:val="00B850FF"/>
    <w:rsid w:val="00B85B69"/>
    <w:rsid w:val="00B86C22"/>
    <w:rsid w:val="00B9000C"/>
    <w:rsid w:val="00B90A09"/>
    <w:rsid w:val="00B97270"/>
    <w:rsid w:val="00BA0025"/>
    <w:rsid w:val="00BA0723"/>
    <w:rsid w:val="00BA1876"/>
    <w:rsid w:val="00BA39D4"/>
    <w:rsid w:val="00BA6A5B"/>
    <w:rsid w:val="00BB0091"/>
    <w:rsid w:val="00BB19B1"/>
    <w:rsid w:val="00BB248F"/>
    <w:rsid w:val="00BB7C46"/>
    <w:rsid w:val="00BC76CA"/>
    <w:rsid w:val="00BC79E3"/>
    <w:rsid w:val="00BD1F82"/>
    <w:rsid w:val="00BD3181"/>
    <w:rsid w:val="00BD344B"/>
    <w:rsid w:val="00BD5E4E"/>
    <w:rsid w:val="00BD6A47"/>
    <w:rsid w:val="00BE1AA8"/>
    <w:rsid w:val="00BE352E"/>
    <w:rsid w:val="00BE4AEE"/>
    <w:rsid w:val="00BF177D"/>
    <w:rsid w:val="00C02DAE"/>
    <w:rsid w:val="00C146C1"/>
    <w:rsid w:val="00C20646"/>
    <w:rsid w:val="00C21254"/>
    <w:rsid w:val="00C23119"/>
    <w:rsid w:val="00C3179E"/>
    <w:rsid w:val="00C338F6"/>
    <w:rsid w:val="00C33C70"/>
    <w:rsid w:val="00C346EC"/>
    <w:rsid w:val="00C34F1D"/>
    <w:rsid w:val="00C35365"/>
    <w:rsid w:val="00C40B67"/>
    <w:rsid w:val="00C41B2F"/>
    <w:rsid w:val="00C423C5"/>
    <w:rsid w:val="00C45105"/>
    <w:rsid w:val="00C45C6A"/>
    <w:rsid w:val="00C50AA4"/>
    <w:rsid w:val="00C53D44"/>
    <w:rsid w:val="00C57C41"/>
    <w:rsid w:val="00C62816"/>
    <w:rsid w:val="00C649D8"/>
    <w:rsid w:val="00C64A59"/>
    <w:rsid w:val="00C64D60"/>
    <w:rsid w:val="00C672B8"/>
    <w:rsid w:val="00C70114"/>
    <w:rsid w:val="00C7343C"/>
    <w:rsid w:val="00C7716A"/>
    <w:rsid w:val="00C84B7E"/>
    <w:rsid w:val="00C861D6"/>
    <w:rsid w:val="00C94D59"/>
    <w:rsid w:val="00C979E8"/>
    <w:rsid w:val="00CA0712"/>
    <w:rsid w:val="00CA3081"/>
    <w:rsid w:val="00CA32BA"/>
    <w:rsid w:val="00CA65C7"/>
    <w:rsid w:val="00CA7131"/>
    <w:rsid w:val="00CB0B37"/>
    <w:rsid w:val="00CB4298"/>
    <w:rsid w:val="00CB4D2A"/>
    <w:rsid w:val="00CB4DCD"/>
    <w:rsid w:val="00CB793E"/>
    <w:rsid w:val="00CC04BE"/>
    <w:rsid w:val="00CC19CC"/>
    <w:rsid w:val="00CC5013"/>
    <w:rsid w:val="00CC5511"/>
    <w:rsid w:val="00CC5D3A"/>
    <w:rsid w:val="00CD08DD"/>
    <w:rsid w:val="00CD2591"/>
    <w:rsid w:val="00CD29AD"/>
    <w:rsid w:val="00CE02F7"/>
    <w:rsid w:val="00CE2AD7"/>
    <w:rsid w:val="00CE578F"/>
    <w:rsid w:val="00CE68C6"/>
    <w:rsid w:val="00CF51F4"/>
    <w:rsid w:val="00D0020F"/>
    <w:rsid w:val="00D019D5"/>
    <w:rsid w:val="00D02024"/>
    <w:rsid w:val="00D02542"/>
    <w:rsid w:val="00D025C0"/>
    <w:rsid w:val="00D02D7B"/>
    <w:rsid w:val="00D02ECF"/>
    <w:rsid w:val="00D033E6"/>
    <w:rsid w:val="00D03FF9"/>
    <w:rsid w:val="00D109B4"/>
    <w:rsid w:val="00D10AE2"/>
    <w:rsid w:val="00D14281"/>
    <w:rsid w:val="00D14F55"/>
    <w:rsid w:val="00D16B0A"/>
    <w:rsid w:val="00D202C7"/>
    <w:rsid w:val="00D23E87"/>
    <w:rsid w:val="00D25797"/>
    <w:rsid w:val="00D267EF"/>
    <w:rsid w:val="00D2700A"/>
    <w:rsid w:val="00D277AF"/>
    <w:rsid w:val="00D31298"/>
    <w:rsid w:val="00D33EEE"/>
    <w:rsid w:val="00D40199"/>
    <w:rsid w:val="00D4368A"/>
    <w:rsid w:val="00D445EE"/>
    <w:rsid w:val="00D53DE0"/>
    <w:rsid w:val="00D57B5E"/>
    <w:rsid w:val="00D60098"/>
    <w:rsid w:val="00D60868"/>
    <w:rsid w:val="00D61CD1"/>
    <w:rsid w:val="00D621AD"/>
    <w:rsid w:val="00D63E5E"/>
    <w:rsid w:val="00D64991"/>
    <w:rsid w:val="00D65EFF"/>
    <w:rsid w:val="00D66A29"/>
    <w:rsid w:val="00D670F6"/>
    <w:rsid w:val="00D67C63"/>
    <w:rsid w:val="00D7138C"/>
    <w:rsid w:val="00D765B4"/>
    <w:rsid w:val="00D776B9"/>
    <w:rsid w:val="00D80556"/>
    <w:rsid w:val="00D8140D"/>
    <w:rsid w:val="00D82063"/>
    <w:rsid w:val="00D838BC"/>
    <w:rsid w:val="00D84DC7"/>
    <w:rsid w:val="00D86863"/>
    <w:rsid w:val="00D943F8"/>
    <w:rsid w:val="00D95891"/>
    <w:rsid w:val="00D95DE7"/>
    <w:rsid w:val="00D9606D"/>
    <w:rsid w:val="00D96710"/>
    <w:rsid w:val="00DA262B"/>
    <w:rsid w:val="00DA2CBF"/>
    <w:rsid w:val="00DA6E52"/>
    <w:rsid w:val="00DB4E36"/>
    <w:rsid w:val="00DB6C2C"/>
    <w:rsid w:val="00DC0751"/>
    <w:rsid w:val="00DC2517"/>
    <w:rsid w:val="00DD0557"/>
    <w:rsid w:val="00DD15E8"/>
    <w:rsid w:val="00DD5D86"/>
    <w:rsid w:val="00DE11ED"/>
    <w:rsid w:val="00DE3A91"/>
    <w:rsid w:val="00DE559B"/>
    <w:rsid w:val="00DF1AA1"/>
    <w:rsid w:val="00DF39B9"/>
    <w:rsid w:val="00DF47BB"/>
    <w:rsid w:val="00E02594"/>
    <w:rsid w:val="00E03E37"/>
    <w:rsid w:val="00E046B3"/>
    <w:rsid w:val="00E06E09"/>
    <w:rsid w:val="00E11A2D"/>
    <w:rsid w:val="00E11B6B"/>
    <w:rsid w:val="00E15816"/>
    <w:rsid w:val="00E1650C"/>
    <w:rsid w:val="00E252B7"/>
    <w:rsid w:val="00E30ABE"/>
    <w:rsid w:val="00E30CCB"/>
    <w:rsid w:val="00E3187E"/>
    <w:rsid w:val="00E32802"/>
    <w:rsid w:val="00E32AD4"/>
    <w:rsid w:val="00E32E79"/>
    <w:rsid w:val="00E33DD8"/>
    <w:rsid w:val="00E34DAE"/>
    <w:rsid w:val="00E3765B"/>
    <w:rsid w:val="00E400CB"/>
    <w:rsid w:val="00E401AF"/>
    <w:rsid w:val="00E41108"/>
    <w:rsid w:val="00E4145E"/>
    <w:rsid w:val="00E419F6"/>
    <w:rsid w:val="00E425FD"/>
    <w:rsid w:val="00E52CF1"/>
    <w:rsid w:val="00E553B3"/>
    <w:rsid w:val="00E57DB4"/>
    <w:rsid w:val="00E60390"/>
    <w:rsid w:val="00E608F2"/>
    <w:rsid w:val="00E6305B"/>
    <w:rsid w:val="00E64EF4"/>
    <w:rsid w:val="00E713FA"/>
    <w:rsid w:val="00E72374"/>
    <w:rsid w:val="00E731F0"/>
    <w:rsid w:val="00E7378B"/>
    <w:rsid w:val="00E75C18"/>
    <w:rsid w:val="00E8108B"/>
    <w:rsid w:val="00E83BD9"/>
    <w:rsid w:val="00E83BFE"/>
    <w:rsid w:val="00E8788A"/>
    <w:rsid w:val="00E93430"/>
    <w:rsid w:val="00E9369B"/>
    <w:rsid w:val="00E941A9"/>
    <w:rsid w:val="00E97D54"/>
    <w:rsid w:val="00EA24A1"/>
    <w:rsid w:val="00EA2B51"/>
    <w:rsid w:val="00EA3036"/>
    <w:rsid w:val="00EA52F4"/>
    <w:rsid w:val="00EB0CF5"/>
    <w:rsid w:val="00EB0E6A"/>
    <w:rsid w:val="00EB1214"/>
    <w:rsid w:val="00EC22F0"/>
    <w:rsid w:val="00EC3B42"/>
    <w:rsid w:val="00EC5B3A"/>
    <w:rsid w:val="00EC6D9E"/>
    <w:rsid w:val="00ED0EB9"/>
    <w:rsid w:val="00ED1579"/>
    <w:rsid w:val="00ED1C8A"/>
    <w:rsid w:val="00ED2704"/>
    <w:rsid w:val="00ED2A60"/>
    <w:rsid w:val="00ED5DDB"/>
    <w:rsid w:val="00ED6715"/>
    <w:rsid w:val="00EE4C71"/>
    <w:rsid w:val="00EE648E"/>
    <w:rsid w:val="00EE71DB"/>
    <w:rsid w:val="00EF0B15"/>
    <w:rsid w:val="00EF284F"/>
    <w:rsid w:val="00EF2CA3"/>
    <w:rsid w:val="00EF7A08"/>
    <w:rsid w:val="00EF7A6C"/>
    <w:rsid w:val="00EF7DB2"/>
    <w:rsid w:val="00EF7FA2"/>
    <w:rsid w:val="00F0393C"/>
    <w:rsid w:val="00F104DB"/>
    <w:rsid w:val="00F11645"/>
    <w:rsid w:val="00F1190D"/>
    <w:rsid w:val="00F12298"/>
    <w:rsid w:val="00F12B00"/>
    <w:rsid w:val="00F13E7C"/>
    <w:rsid w:val="00F13EE1"/>
    <w:rsid w:val="00F1449D"/>
    <w:rsid w:val="00F16A09"/>
    <w:rsid w:val="00F17DFD"/>
    <w:rsid w:val="00F20510"/>
    <w:rsid w:val="00F21EC6"/>
    <w:rsid w:val="00F23EEA"/>
    <w:rsid w:val="00F253E2"/>
    <w:rsid w:val="00F25D49"/>
    <w:rsid w:val="00F26C32"/>
    <w:rsid w:val="00F32C60"/>
    <w:rsid w:val="00F33C28"/>
    <w:rsid w:val="00F3755E"/>
    <w:rsid w:val="00F40438"/>
    <w:rsid w:val="00F4160F"/>
    <w:rsid w:val="00F44123"/>
    <w:rsid w:val="00F448BB"/>
    <w:rsid w:val="00F45FBE"/>
    <w:rsid w:val="00F47873"/>
    <w:rsid w:val="00F47B57"/>
    <w:rsid w:val="00F50994"/>
    <w:rsid w:val="00F52CEA"/>
    <w:rsid w:val="00F53ED4"/>
    <w:rsid w:val="00F56453"/>
    <w:rsid w:val="00F56722"/>
    <w:rsid w:val="00F60081"/>
    <w:rsid w:val="00F6153A"/>
    <w:rsid w:val="00F630CB"/>
    <w:rsid w:val="00F63723"/>
    <w:rsid w:val="00F65E96"/>
    <w:rsid w:val="00F6603A"/>
    <w:rsid w:val="00F67FB9"/>
    <w:rsid w:val="00F7271E"/>
    <w:rsid w:val="00F72B32"/>
    <w:rsid w:val="00F74C69"/>
    <w:rsid w:val="00F7577F"/>
    <w:rsid w:val="00F82842"/>
    <w:rsid w:val="00F82E70"/>
    <w:rsid w:val="00F900EB"/>
    <w:rsid w:val="00F9046D"/>
    <w:rsid w:val="00F90CAC"/>
    <w:rsid w:val="00F92636"/>
    <w:rsid w:val="00FA05CD"/>
    <w:rsid w:val="00FA0F18"/>
    <w:rsid w:val="00FA1D21"/>
    <w:rsid w:val="00FA651B"/>
    <w:rsid w:val="00FA6807"/>
    <w:rsid w:val="00FB45BA"/>
    <w:rsid w:val="00FB7EAF"/>
    <w:rsid w:val="00FC2307"/>
    <w:rsid w:val="00FC7AF5"/>
    <w:rsid w:val="00FC7FE7"/>
    <w:rsid w:val="00FD0F28"/>
    <w:rsid w:val="00FD2CBC"/>
    <w:rsid w:val="00FD34E5"/>
    <w:rsid w:val="00FD6D46"/>
    <w:rsid w:val="00FE319C"/>
    <w:rsid w:val="00FE4364"/>
    <w:rsid w:val="00FF1706"/>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 w:type="paragraph" w:styleId="Tekstprzypisukocowego">
    <w:name w:val="endnote text"/>
    <w:basedOn w:val="Normalny"/>
    <w:link w:val="TekstprzypisukocowegoZnak"/>
    <w:semiHidden/>
    <w:unhideWhenUsed/>
    <w:rsid w:val="000F72BD"/>
    <w:rPr>
      <w:sz w:val="20"/>
      <w:szCs w:val="20"/>
    </w:rPr>
  </w:style>
  <w:style w:type="character" w:customStyle="1" w:styleId="TekstprzypisukocowegoZnak">
    <w:name w:val="Tekst przypisu końcowego Znak"/>
    <w:basedOn w:val="Domylnaczcionkaakapitu"/>
    <w:link w:val="Tekstprzypisukocowego"/>
    <w:semiHidden/>
    <w:rsid w:val="000F72BD"/>
    <w:rPr>
      <w:lang w:val="pl-PL" w:eastAsia="pl-PL"/>
    </w:rPr>
  </w:style>
  <w:style w:type="character" w:styleId="Odwoanieprzypisukocowego">
    <w:name w:val="endnote reference"/>
    <w:basedOn w:val="Domylnaczcionkaakapitu"/>
    <w:semiHidden/>
    <w:unhideWhenUsed/>
    <w:rsid w:val="000F72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 w:type="paragraph" w:styleId="Tekstprzypisukocowego">
    <w:name w:val="endnote text"/>
    <w:basedOn w:val="Normalny"/>
    <w:link w:val="TekstprzypisukocowegoZnak"/>
    <w:semiHidden/>
    <w:unhideWhenUsed/>
    <w:rsid w:val="000F72BD"/>
    <w:rPr>
      <w:sz w:val="20"/>
      <w:szCs w:val="20"/>
    </w:rPr>
  </w:style>
  <w:style w:type="character" w:customStyle="1" w:styleId="TekstprzypisukocowegoZnak">
    <w:name w:val="Tekst przypisu końcowego Znak"/>
    <w:basedOn w:val="Domylnaczcionkaakapitu"/>
    <w:link w:val="Tekstprzypisukocowego"/>
    <w:semiHidden/>
    <w:rsid w:val="000F72BD"/>
    <w:rPr>
      <w:lang w:val="pl-PL" w:eastAsia="pl-PL"/>
    </w:rPr>
  </w:style>
  <w:style w:type="character" w:styleId="Odwoanieprzypisukocowego">
    <w:name w:val="endnote reference"/>
    <w:basedOn w:val="Domylnaczcionkaakapitu"/>
    <w:semiHidden/>
    <w:unhideWhenUsed/>
    <w:rsid w:val="000F7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262">
      <w:bodyDiv w:val="1"/>
      <w:marLeft w:val="0"/>
      <w:marRight w:val="0"/>
      <w:marTop w:val="0"/>
      <w:marBottom w:val="0"/>
      <w:divBdr>
        <w:top w:val="none" w:sz="0" w:space="0" w:color="auto"/>
        <w:left w:val="none" w:sz="0" w:space="0" w:color="auto"/>
        <w:bottom w:val="none" w:sz="0" w:space="0" w:color="auto"/>
        <w:right w:val="none" w:sz="0" w:space="0" w:color="auto"/>
      </w:divBdr>
      <w:divsChild>
        <w:div w:id="1926760525">
          <w:marLeft w:val="0"/>
          <w:marRight w:val="0"/>
          <w:marTop w:val="0"/>
          <w:marBottom w:val="0"/>
          <w:divBdr>
            <w:top w:val="none" w:sz="0" w:space="0" w:color="auto"/>
            <w:left w:val="none" w:sz="0" w:space="0" w:color="auto"/>
            <w:bottom w:val="none" w:sz="0" w:space="0" w:color="auto"/>
            <w:right w:val="none" w:sz="0" w:space="0" w:color="auto"/>
          </w:divBdr>
        </w:div>
      </w:divsChild>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30290696">
      <w:bodyDiv w:val="1"/>
      <w:marLeft w:val="0"/>
      <w:marRight w:val="0"/>
      <w:marTop w:val="0"/>
      <w:marBottom w:val="0"/>
      <w:divBdr>
        <w:top w:val="none" w:sz="0" w:space="0" w:color="auto"/>
        <w:left w:val="none" w:sz="0" w:space="0" w:color="auto"/>
        <w:bottom w:val="none" w:sz="0" w:space="0" w:color="auto"/>
        <w:right w:val="none" w:sz="0" w:space="0" w:color="auto"/>
      </w:divBdr>
    </w:div>
    <w:div w:id="167596311">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809135949">
      <w:bodyDiv w:val="1"/>
      <w:marLeft w:val="0"/>
      <w:marRight w:val="0"/>
      <w:marTop w:val="0"/>
      <w:marBottom w:val="0"/>
      <w:divBdr>
        <w:top w:val="none" w:sz="0" w:space="0" w:color="auto"/>
        <w:left w:val="none" w:sz="0" w:space="0" w:color="auto"/>
        <w:bottom w:val="none" w:sz="0" w:space="0" w:color="auto"/>
        <w:right w:val="none" w:sz="0" w:space="0" w:color="auto"/>
      </w:divBdr>
    </w:div>
    <w:div w:id="885138687">
      <w:bodyDiv w:val="1"/>
      <w:marLeft w:val="0"/>
      <w:marRight w:val="0"/>
      <w:marTop w:val="0"/>
      <w:marBottom w:val="0"/>
      <w:divBdr>
        <w:top w:val="none" w:sz="0" w:space="0" w:color="auto"/>
        <w:left w:val="none" w:sz="0" w:space="0" w:color="auto"/>
        <w:bottom w:val="none" w:sz="0" w:space="0" w:color="auto"/>
        <w:right w:val="none" w:sz="0" w:space="0" w:color="auto"/>
      </w:divBdr>
    </w:div>
    <w:div w:id="945774542">
      <w:bodyDiv w:val="1"/>
      <w:marLeft w:val="0"/>
      <w:marRight w:val="0"/>
      <w:marTop w:val="0"/>
      <w:marBottom w:val="0"/>
      <w:divBdr>
        <w:top w:val="none" w:sz="0" w:space="0" w:color="auto"/>
        <w:left w:val="none" w:sz="0" w:space="0" w:color="auto"/>
        <w:bottom w:val="none" w:sz="0" w:space="0" w:color="auto"/>
        <w:right w:val="none" w:sz="0" w:space="0" w:color="auto"/>
      </w:divBdr>
    </w:div>
    <w:div w:id="1092625574">
      <w:bodyDiv w:val="1"/>
      <w:marLeft w:val="0"/>
      <w:marRight w:val="0"/>
      <w:marTop w:val="0"/>
      <w:marBottom w:val="0"/>
      <w:divBdr>
        <w:top w:val="none" w:sz="0" w:space="0" w:color="auto"/>
        <w:left w:val="none" w:sz="0" w:space="0" w:color="auto"/>
        <w:bottom w:val="none" w:sz="0" w:space="0" w:color="auto"/>
        <w:right w:val="none" w:sz="0" w:space="0" w:color="auto"/>
      </w:divBdr>
    </w:div>
    <w:div w:id="1113284822">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348286522">
      <w:bodyDiv w:val="1"/>
      <w:marLeft w:val="0"/>
      <w:marRight w:val="0"/>
      <w:marTop w:val="0"/>
      <w:marBottom w:val="0"/>
      <w:divBdr>
        <w:top w:val="none" w:sz="0" w:space="0" w:color="auto"/>
        <w:left w:val="none" w:sz="0" w:space="0" w:color="auto"/>
        <w:bottom w:val="none" w:sz="0" w:space="0" w:color="auto"/>
        <w:right w:val="none" w:sz="0" w:space="0" w:color="auto"/>
      </w:divBdr>
    </w:div>
    <w:div w:id="1368220454">
      <w:bodyDiv w:val="1"/>
      <w:marLeft w:val="0"/>
      <w:marRight w:val="0"/>
      <w:marTop w:val="0"/>
      <w:marBottom w:val="0"/>
      <w:divBdr>
        <w:top w:val="none" w:sz="0" w:space="0" w:color="auto"/>
        <w:left w:val="none" w:sz="0" w:space="0" w:color="auto"/>
        <w:bottom w:val="none" w:sz="0" w:space="0" w:color="auto"/>
        <w:right w:val="none" w:sz="0" w:space="0" w:color="auto"/>
      </w:divBdr>
    </w:div>
    <w:div w:id="1384597668">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4731669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762140680">
      <w:bodyDiv w:val="1"/>
      <w:marLeft w:val="0"/>
      <w:marRight w:val="0"/>
      <w:marTop w:val="0"/>
      <w:marBottom w:val="0"/>
      <w:divBdr>
        <w:top w:val="none" w:sz="0" w:space="0" w:color="auto"/>
        <w:left w:val="none" w:sz="0" w:space="0" w:color="auto"/>
        <w:bottom w:val="none" w:sz="0" w:space="0" w:color="auto"/>
        <w:right w:val="none" w:sz="0" w:space="0" w:color="auto"/>
      </w:divBdr>
    </w:div>
    <w:div w:id="1794981458">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916935784">
      <w:bodyDiv w:val="1"/>
      <w:marLeft w:val="0"/>
      <w:marRight w:val="0"/>
      <w:marTop w:val="0"/>
      <w:marBottom w:val="0"/>
      <w:divBdr>
        <w:top w:val="none" w:sz="0" w:space="0" w:color="auto"/>
        <w:left w:val="none" w:sz="0" w:space="0" w:color="auto"/>
        <w:bottom w:val="none" w:sz="0" w:space="0" w:color="auto"/>
        <w:right w:val="none" w:sz="0" w:space="0" w:color="auto"/>
      </w:divBdr>
    </w:div>
    <w:div w:id="1957590550">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723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F6EF-92EE-48A1-9371-37C7BBF9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3569</Words>
  <Characters>21416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24936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2021-10-12T09:19:00Z</cp:lastPrinted>
  <dcterms:created xsi:type="dcterms:W3CDTF">2021-10-19T12:18:00Z</dcterms:created>
  <dcterms:modified xsi:type="dcterms:W3CDTF">2021-10-19T12:18:00Z</dcterms:modified>
</cp:coreProperties>
</file>