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charts/chart3.xml" ContentType="application/vnd.openxmlformats-officedocument.drawingml.chart+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056EE" w14:textId="77777777" w:rsidR="00B03DBA" w:rsidRDefault="00B03DBA" w:rsidP="00983C18">
      <w:pPr>
        <w:spacing w:line="276" w:lineRule="auto"/>
        <w:rPr>
          <w:rFonts w:ascii="Lato" w:hAnsi="Lato"/>
          <w:sz w:val="22"/>
        </w:rPr>
      </w:pPr>
    </w:p>
    <w:p w14:paraId="4469C352" w14:textId="77777777" w:rsidR="00782DD6" w:rsidRDefault="00782DD6" w:rsidP="00983C18">
      <w:pPr>
        <w:spacing w:line="276" w:lineRule="auto"/>
        <w:rPr>
          <w:rFonts w:ascii="Lato" w:hAnsi="Lato"/>
          <w:sz w:val="22"/>
        </w:rPr>
      </w:pPr>
    </w:p>
    <w:p w14:paraId="76B36D15" w14:textId="77777777" w:rsidR="00782DD6" w:rsidRPr="00C758B1" w:rsidRDefault="00782DD6" w:rsidP="00983C18">
      <w:pPr>
        <w:spacing w:line="276" w:lineRule="auto"/>
        <w:rPr>
          <w:rFonts w:ascii="Lato" w:hAnsi="Lato"/>
          <w:sz w:val="22"/>
        </w:rPr>
      </w:pPr>
    </w:p>
    <w:p w14:paraId="2F03CAD8" w14:textId="77777777" w:rsidR="00B03DBA" w:rsidRPr="00C758B1" w:rsidRDefault="00B03DBA" w:rsidP="00983C18">
      <w:pPr>
        <w:spacing w:line="276" w:lineRule="auto"/>
        <w:rPr>
          <w:rFonts w:ascii="Lato" w:hAnsi="Lato"/>
          <w:sz w:val="22"/>
        </w:rPr>
      </w:pPr>
    </w:p>
    <w:p w14:paraId="3F8986E7" w14:textId="29BD599B" w:rsidR="00B03DBA" w:rsidRPr="00C758B1" w:rsidRDefault="00C7771E" w:rsidP="00983C18">
      <w:pPr>
        <w:spacing w:line="276" w:lineRule="auto"/>
        <w:jc w:val="center"/>
        <w:rPr>
          <w:rFonts w:ascii="Lato" w:hAnsi="Lato"/>
          <w:sz w:val="40"/>
        </w:rPr>
      </w:pPr>
      <w:r w:rsidRPr="00C758B1">
        <w:rPr>
          <w:rFonts w:ascii="Lato" w:hAnsi="Lato"/>
          <w:noProof/>
          <w:sz w:val="22"/>
        </w:rPr>
        <w:t xml:space="preserve"> </w:t>
      </w:r>
    </w:p>
    <w:p w14:paraId="1A091BDE" w14:textId="77777777" w:rsidR="00B03DBA" w:rsidRPr="00C758B1" w:rsidRDefault="00B03DBA" w:rsidP="00983C18">
      <w:pPr>
        <w:spacing w:line="276" w:lineRule="auto"/>
        <w:jc w:val="center"/>
        <w:rPr>
          <w:rFonts w:ascii="Lato" w:hAnsi="Lato"/>
          <w:sz w:val="20"/>
          <w:szCs w:val="20"/>
        </w:rPr>
      </w:pPr>
    </w:p>
    <w:p w14:paraId="2152D2A1" w14:textId="145D4EC4" w:rsidR="00B03DBA" w:rsidRPr="00C758B1" w:rsidRDefault="00B03DBA" w:rsidP="00983C18">
      <w:pPr>
        <w:spacing w:line="276" w:lineRule="auto"/>
        <w:jc w:val="center"/>
        <w:rPr>
          <w:rFonts w:ascii="Lato" w:hAnsi="Lato"/>
          <w:sz w:val="22"/>
        </w:rPr>
      </w:pPr>
    </w:p>
    <w:p w14:paraId="01672DA1" w14:textId="77777777" w:rsidR="00B03DBA" w:rsidRPr="00C758B1" w:rsidRDefault="00B03DBA" w:rsidP="00983C18">
      <w:pPr>
        <w:pStyle w:val="StandardowyTekst"/>
        <w:spacing w:line="276" w:lineRule="auto"/>
        <w:jc w:val="center"/>
        <w:rPr>
          <w:rFonts w:ascii="Lato" w:hAnsi="Lato"/>
          <w:szCs w:val="22"/>
        </w:rPr>
      </w:pPr>
    </w:p>
    <w:p w14:paraId="6E4E235F" w14:textId="77777777" w:rsidR="00B03DBA" w:rsidRPr="00C758B1" w:rsidRDefault="00B03DBA" w:rsidP="00983C18">
      <w:pPr>
        <w:pStyle w:val="StandardowyTekst"/>
        <w:spacing w:line="276" w:lineRule="auto"/>
        <w:rPr>
          <w:rFonts w:ascii="Lato" w:hAnsi="Lato"/>
          <w:szCs w:val="22"/>
        </w:rPr>
      </w:pPr>
    </w:p>
    <w:p w14:paraId="46AFE1F5" w14:textId="6F8CD7F1" w:rsidR="00B03DBA" w:rsidRPr="00782DD6" w:rsidRDefault="00C7771E" w:rsidP="00782DD6">
      <w:pPr>
        <w:pStyle w:val="StandardowyTekst"/>
        <w:spacing w:after="240" w:line="276" w:lineRule="auto"/>
        <w:jc w:val="center"/>
        <w:rPr>
          <w:rFonts w:ascii="Lato" w:hAnsi="Lato"/>
          <w:b/>
          <w:sz w:val="44"/>
          <w:szCs w:val="44"/>
        </w:rPr>
      </w:pPr>
      <w:r w:rsidRPr="00782DD6">
        <w:rPr>
          <w:rFonts w:ascii="Lato" w:hAnsi="Lato"/>
          <w:b/>
          <w:sz w:val="44"/>
          <w:szCs w:val="44"/>
        </w:rPr>
        <w:t>Plan Działań Zapobiegawczych</w:t>
      </w:r>
    </w:p>
    <w:p w14:paraId="647C4F57" w14:textId="77777777" w:rsidR="00B03DBA" w:rsidRPr="00C758B1" w:rsidRDefault="00B03DBA" w:rsidP="00983C18">
      <w:pPr>
        <w:pStyle w:val="StandardowyTekst"/>
        <w:spacing w:line="276" w:lineRule="auto"/>
        <w:jc w:val="center"/>
        <w:rPr>
          <w:rFonts w:ascii="Lato" w:hAnsi="Lato"/>
          <w:sz w:val="24"/>
          <w:szCs w:val="24"/>
        </w:rPr>
      </w:pPr>
    </w:p>
    <w:p w14:paraId="0FFCA68F" w14:textId="5A8D1188" w:rsidR="00B03DBA" w:rsidRPr="00782DD6" w:rsidRDefault="00C7771E" w:rsidP="00983C18">
      <w:pPr>
        <w:pStyle w:val="StandardowyTekst"/>
        <w:spacing w:line="276" w:lineRule="auto"/>
        <w:jc w:val="center"/>
        <w:rPr>
          <w:rFonts w:ascii="Lato" w:hAnsi="Lato"/>
          <w:sz w:val="28"/>
          <w:szCs w:val="28"/>
        </w:rPr>
      </w:pPr>
      <w:r w:rsidRPr="00782DD6">
        <w:rPr>
          <w:rFonts w:ascii="Lato" w:hAnsi="Lato"/>
          <w:sz w:val="28"/>
          <w:szCs w:val="28"/>
        </w:rPr>
        <w:t xml:space="preserve">opracowany na podstawie art. 8 ust 2 lit. a rozporządzenia </w:t>
      </w:r>
      <w:r w:rsidRPr="00782DD6">
        <w:rPr>
          <w:rFonts w:ascii="Lato" w:hAnsi="Lato"/>
          <w:i/>
          <w:sz w:val="28"/>
          <w:szCs w:val="28"/>
        </w:rPr>
        <w:t>Parlamentu Europejskiego</w:t>
      </w:r>
      <w:r w:rsidR="00EE3AAE" w:rsidRPr="00782DD6">
        <w:rPr>
          <w:rFonts w:ascii="Lato" w:hAnsi="Lato"/>
          <w:i/>
          <w:sz w:val="28"/>
          <w:szCs w:val="28"/>
        </w:rPr>
        <w:t xml:space="preserve"> i </w:t>
      </w:r>
      <w:r w:rsidRPr="00782DD6">
        <w:rPr>
          <w:rFonts w:ascii="Lato" w:hAnsi="Lato"/>
          <w:i/>
          <w:sz w:val="28"/>
          <w:szCs w:val="28"/>
        </w:rPr>
        <w:t xml:space="preserve"> Rady UE Nr 2017/1938 z 25 października 2017 r. w sprawie środków zapewniających bezpieczeństwo dostaw gazu ziemnego i uchylające rozporządzenie (UE) 994/2010</w:t>
      </w:r>
    </w:p>
    <w:p w14:paraId="6A8E6947" w14:textId="77777777" w:rsidR="00B03DBA" w:rsidRPr="00C758B1" w:rsidRDefault="00B03DBA" w:rsidP="00983C18">
      <w:pPr>
        <w:spacing w:line="276" w:lineRule="auto"/>
        <w:jc w:val="center"/>
        <w:rPr>
          <w:rFonts w:ascii="Lato" w:hAnsi="Lato"/>
        </w:rPr>
      </w:pPr>
    </w:p>
    <w:p w14:paraId="7469C4DF" w14:textId="77777777" w:rsidR="00B03DBA" w:rsidRPr="00C758B1" w:rsidRDefault="00B03DBA" w:rsidP="00983C18">
      <w:pPr>
        <w:spacing w:line="276" w:lineRule="auto"/>
        <w:rPr>
          <w:rFonts w:ascii="Lato" w:hAnsi="Lato"/>
        </w:rPr>
      </w:pPr>
    </w:p>
    <w:p w14:paraId="18B2976D" w14:textId="77777777" w:rsidR="00B03DBA" w:rsidRPr="00C758B1" w:rsidRDefault="00B03DBA" w:rsidP="00983C18">
      <w:pPr>
        <w:spacing w:line="276" w:lineRule="auto"/>
        <w:jc w:val="center"/>
        <w:rPr>
          <w:rFonts w:ascii="Lato" w:hAnsi="Lato"/>
        </w:rPr>
      </w:pPr>
    </w:p>
    <w:p w14:paraId="1667E02E" w14:textId="77777777" w:rsidR="00B03DBA" w:rsidRPr="00C758B1" w:rsidRDefault="00B03DBA" w:rsidP="00983C18">
      <w:pPr>
        <w:spacing w:line="276" w:lineRule="auto"/>
        <w:rPr>
          <w:rFonts w:ascii="Lato" w:hAnsi="Lato"/>
        </w:rPr>
      </w:pPr>
    </w:p>
    <w:p w14:paraId="2A10054D" w14:textId="77777777" w:rsidR="00B03DBA" w:rsidRPr="00C758B1" w:rsidRDefault="00B03DBA" w:rsidP="00983C18">
      <w:pPr>
        <w:spacing w:line="276" w:lineRule="auto"/>
        <w:rPr>
          <w:rFonts w:ascii="Lato" w:hAnsi="Lato"/>
        </w:rPr>
      </w:pPr>
    </w:p>
    <w:p w14:paraId="43A8247A" w14:textId="77777777" w:rsidR="00B03DBA" w:rsidRDefault="00B03DBA" w:rsidP="00983C18">
      <w:pPr>
        <w:spacing w:line="276" w:lineRule="auto"/>
        <w:rPr>
          <w:rFonts w:ascii="Lato" w:hAnsi="Lato"/>
        </w:rPr>
      </w:pPr>
    </w:p>
    <w:p w14:paraId="4F6F4AC1" w14:textId="77777777" w:rsidR="00782DD6" w:rsidRDefault="00782DD6" w:rsidP="00983C18">
      <w:pPr>
        <w:spacing w:line="276" w:lineRule="auto"/>
        <w:rPr>
          <w:rFonts w:ascii="Lato" w:hAnsi="Lato"/>
        </w:rPr>
      </w:pPr>
    </w:p>
    <w:p w14:paraId="6A6E2F82" w14:textId="77777777" w:rsidR="00782DD6" w:rsidRDefault="00782DD6" w:rsidP="00983C18">
      <w:pPr>
        <w:spacing w:line="276" w:lineRule="auto"/>
        <w:rPr>
          <w:rFonts w:ascii="Lato" w:hAnsi="Lato"/>
        </w:rPr>
      </w:pPr>
    </w:p>
    <w:p w14:paraId="4153AFCA" w14:textId="77777777" w:rsidR="00782DD6" w:rsidRDefault="00782DD6" w:rsidP="00983C18">
      <w:pPr>
        <w:spacing w:line="276" w:lineRule="auto"/>
        <w:rPr>
          <w:rFonts w:ascii="Lato" w:hAnsi="Lato"/>
        </w:rPr>
      </w:pPr>
    </w:p>
    <w:p w14:paraId="04BF80B1" w14:textId="77777777" w:rsidR="00782DD6" w:rsidRDefault="00782DD6" w:rsidP="00983C18">
      <w:pPr>
        <w:spacing w:line="276" w:lineRule="auto"/>
        <w:rPr>
          <w:rFonts w:ascii="Lato" w:hAnsi="Lato"/>
        </w:rPr>
      </w:pPr>
    </w:p>
    <w:p w14:paraId="327D7815" w14:textId="77777777" w:rsidR="0067393E" w:rsidRDefault="0067393E" w:rsidP="0067393E">
      <w:pPr>
        <w:spacing w:line="276" w:lineRule="auto"/>
        <w:rPr>
          <w:rFonts w:ascii="Lato" w:hAnsi="Lato"/>
        </w:rPr>
      </w:pPr>
    </w:p>
    <w:p w14:paraId="22B070E7" w14:textId="77777777" w:rsidR="00B85038" w:rsidRDefault="00B85038" w:rsidP="0067393E">
      <w:pPr>
        <w:spacing w:line="276" w:lineRule="auto"/>
        <w:rPr>
          <w:rFonts w:ascii="Lato" w:hAnsi="Lato"/>
        </w:rPr>
      </w:pPr>
    </w:p>
    <w:p w14:paraId="12F45590" w14:textId="77777777" w:rsidR="00B85038" w:rsidRDefault="00B85038" w:rsidP="0067393E">
      <w:pPr>
        <w:spacing w:line="276" w:lineRule="auto"/>
        <w:rPr>
          <w:rFonts w:ascii="Lato" w:hAnsi="Lato"/>
        </w:rPr>
      </w:pPr>
    </w:p>
    <w:p w14:paraId="3C22862B" w14:textId="77777777" w:rsidR="00B85038" w:rsidRDefault="00B85038" w:rsidP="0067393E">
      <w:pPr>
        <w:spacing w:line="276" w:lineRule="auto"/>
        <w:rPr>
          <w:rFonts w:ascii="Lato" w:hAnsi="Lato"/>
        </w:rPr>
      </w:pPr>
    </w:p>
    <w:p w14:paraId="2A07ED38" w14:textId="77777777" w:rsidR="00B85038" w:rsidRDefault="00C7771E" w:rsidP="00B85038">
      <w:pPr>
        <w:pStyle w:val="Nagwekspisutreci"/>
        <w:spacing w:before="0"/>
        <w:ind w:right="-142"/>
        <w:jc w:val="center"/>
        <w:rPr>
          <w:rFonts w:ascii="Lato" w:hAnsi="Lato"/>
        </w:rPr>
      </w:pPr>
      <w:r w:rsidRPr="00C758B1">
        <w:rPr>
          <w:rFonts w:ascii="Lato" w:hAnsi="Lato"/>
        </w:rPr>
        <w:t xml:space="preserve">Warszawa, </w:t>
      </w:r>
      <w:r w:rsidR="006976B2" w:rsidRPr="00C758B1">
        <w:rPr>
          <w:rFonts w:ascii="Lato" w:hAnsi="Lato"/>
        </w:rPr>
        <w:t>2023</w:t>
      </w:r>
      <w:r w:rsidR="00664AE6" w:rsidRPr="00C758B1">
        <w:rPr>
          <w:rFonts w:ascii="Lato" w:hAnsi="Lato"/>
        </w:rPr>
        <w:t xml:space="preserve"> </w:t>
      </w:r>
      <w:r w:rsidRPr="00C758B1">
        <w:rPr>
          <w:rFonts w:ascii="Lato" w:hAnsi="Lato"/>
        </w:rPr>
        <w:t>r.</w:t>
      </w:r>
    </w:p>
    <w:p w14:paraId="1BAF713C" w14:textId="0D24352B" w:rsidR="00B03DBA" w:rsidRPr="00EE3AAE" w:rsidRDefault="00B85038" w:rsidP="00B85038">
      <w:pPr>
        <w:spacing w:line="276" w:lineRule="auto"/>
        <w:jc w:val="center"/>
        <w:rPr>
          <w:rFonts w:ascii="Lato" w:hAnsi="Lato"/>
          <w:sz w:val="32"/>
          <w:szCs w:val="32"/>
        </w:rPr>
      </w:pPr>
      <w:r>
        <w:rPr>
          <w:rFonts w:ascii="Lato" w:hAnsi="Lato"/>
          <w:b/>
          <w:bCs/>
        </w:rPr>
        <w:br w:type="column"/>
      </w:r>
    </w:p>
    <w:sdt>
      <w:sdtPr>
        <w:rPr>
          <w:rFonts w:ascii="Lato" w:hAnsi="Lato"/>
          <w:b/>
          <w:bCs/>
        </w:rPr>
        <w:id w:val="-277405305"/>
        <w:docPartObj>
          <w:docPartGallery w:val="Table of Contents"/>
          <w:docPartUnique/>
        </w:docPartObj>
      </w:sdtPr>
      <w:sdtEndPr>
        <w:rPr>
          <w:b w:val="0"/>
          <w:bCs w:val="0"/>
          <w:sz w:val="22"/>
          <w:szCs w:val="20"/>
        </w:rPr>
      </w:sdtEndPr>
      <w:sdtContent>
        <w:p w14:paraId="7B0280D0" w14:textId="77777777" w:rsidR="00B03DBA" w:rsidRPr="00EE3AAE" w:rsidRDefault="00C7771E" w:rsidP="00B85038">
          <w:pPr>
            <w:spacing w:line="276" w:lineRule="auto"/>
            <w:jc w:val="center"/>
            <w:rPr>
              <w:rFonts w:ascii="Lato" w:hAnsi="Lato"/>
              <w:sz w:val="32"/>
              <w:szCs w:val="32"/>
            </w:rPr>
          </w:pPr>
          <w:r w:rsidRPr="00EE3AAE">
            <w:rPr>
              <w:rFonts w:ascii="Lato" w:hAnsi="Lato"/>
              <w:sz w:val="32"/>
              <w:szCs w:val="32"/>
            </w:rPr>
            <w:t>Spis treści</w:t>
          </w:r>
        </w:p>
        <w:p w14:paraId="33FA7689" w14:textId="2E1CDDF3" w:rsidR="00004298" w:rsidRPr="0067393E" w:rsidRDefault="00C7771E" w:rsidP="00BB583E">
          <w:pPr>
            <w:pStyle w:val="Spistreci1"/>
            <w:rPr>
              <w:rFonts w:ascii="Lato" w:eastAsiaTheme="minorEastAsia" w:hAnsi="Lato" w:cstheme="minorBidi"/>
              <w:kern w:val="2"/>
              <w:sz w:val="19"/>
              <w:szCs w:val="19"/>
              <w14:ligatures w14:val="standardContextual"/>
            </w:rPr>
          </w:pPr>
          <w:r w:rsidRPr="00CE63C5">
            <w:rPr>
              <w:rFonts w:ascii="Lato" w:hAnsi="Lato"/>
            </w:rPr>
            <w:fldChar w:fldCharType="begin"/>
          </w:r>
          <w:r w:rsidRPr="00CE63C5">
            <w:rPr>
              <w:rFonts w:ascii="Lato" w:hAnsi="Lato"/>
            </w:rPr>
            <w:instrText xml:space="preserve"> TOC \o "1-3" \h \z \u </w:instrText>
          </w:r>
          <w:r w:rsidRPr="00CE63C5">
            <w:rPr>
              <w:rFonts w:ascii="Lato" w:hAnsi="Lato"/>
            </w:rPr>
            <w:fldChar w:fldCharType="separate"/>
          </w:r>
          <w:hyperlink w:anchor="_Toc142469547" w:history="1">
            <w:r w:rsidR="00004298" w:rsidRPr="0067393E">
              <w:rPr>
                <w:rStyle w:val="Hipercze"/>
                <w:rFonts w:ascii="Lato" w:hAnsi="Lato"/>
                <w:sz w:val="19"/>
                <w:szCs w:val="19"/>
              </w:rPr>
              <w:t>Podsumowanie i wnioski</w:t>
            </w:r>
            <w:r w:rsidR="00004298" w:rsidRPr="0067393E">
              <w:rPr>
                <w:rFonts w:ascii="Lato" w:hAnsi="Lato"/>
                <w:webHidden/>
                <w:sz w:val="19"/>
                <w:szCs w:val="19"/>
              </w:rPr>
              <w:tab/>
            </w:r>
            <w:r w:rsidR="00004298" w:rsidRPr="0067393E">
              <w:rPr>
                <w:rFonts w:ascii="Lato" w:hAnsi="Lato"/>
                <w:webHidden/>
                <w:sz w:val="19"/>
                <w:szCs w:val="19"/>
              </w:rPr>
              <w:fldChar w:fldCharType="begin"/>
            </w:r>
            <w:r w:rsidR="00004298" w:rsidRPr="0067393E">
              <w:rPr>
                <w:rFonts w:ascii="Lato" w:hAnsi="Lato"/>
                <w:webHidden/>
                <w:sz w:val="19"/>
                <w:szCs w:val="19"/>
              </w:rPr>
              <w:instrText xml:space="preserve"> PAGEREF _Toc142469547 \h </w:instrText>
            </w:r>
            <w:r w:rsidR="00004298" w:rsidRPr="0067393E">
              <w:rPr>
                <w:rFonts w:ascii="Lato" w:hAnsi="Lato"/>
                <w:webHidden/>
                <w:sz w:val="19"/>
                <w:szCs w:val="19"/>
              </w:rPr>
            </w:r>
            <w:r w:rsidR="00004298" w:rsidRPr="0067393E">
              <w:rPr>
                <w:rFonts w:ascii="Lato" w:hAnsi="Lato"/>
                <w:webHidden/>
                <w:sz w:val="19"/>
                <w:szCs w:val="19"/>
              </w:rPr>
              <w:fldChar w:fldCharType="separate"/>
            </w:r>
            <w:r w:rsidR="00BB583E" w:rsidRPr="0067393E">
              <w:rPr>
                <w:rFonts w:ascii="Lato" w:hAnsi="Lato"/>
                <w:webHidden/>
                <w:sz w:val="19"/>
                <w:szCs w:val="19"/>
              </w:rPr>
              <w:t>4</w:t>
            </w:r>
            <w:r w:rsidR="00004298" w:rsidRPr="0067393E">
              <w:rPr>
                <w:rFonts w:ascii="Lato" w:hAnsi="Lato"/>
                <w:webHidden/>
                <w:sz w:val="19"/>
                <w:szCs w:val="19"/>
              </w:rPr>
              <w:fldChar w:fldCharType="end"/>
            </w:r>
          </w:hyperlink>
        </w:p>
        <w:p w14:paraId="2AA22EE7" w14:textId="2E949B1A" w:rsidR="00004298" w:rsidRPr="0067393E" w:rsidRDefault="00000000" w:rsidP="00BB583E">
          <w:pPr>
            <w:pStyle w:val="Spistreci1"/>
            <w:rPr>
              <w:rFonts w:ascii="Lato" w:eastAsiaTheme="minorEastAsia" w:hAnsi="Lato" w:cstheme="minorBidi"/>
              <w:kern w:val="2"/>
              <w:sz w:val="19"/>
              <w:szCs w:val="19"/>
              <w14:ligatures w14:val="standardContextual"/>
            </w:rPr>
          </w:pPr>
          <w:hyperlink w:anchor="_Toc142469548" w:history="1">
            <w:r w:rsidR="00004298" w:rsidRPr="0067393E">
              <w:rPr>
                <w:rStyle w:val="Hipercze"/>
                <w:rFonts w:ascii="Lato" w:hAnsi="Lato"/>
                <w:sz w:val="19"/>
                <w:szCs w:val="19"/>
              </w:rPr>
              <w:t>Wstęp</w:t>
            </w:r>
            <w:r w:rsidR="00004298" w:rsidRPr="0067393E">
              <w:rPr>
                <w:rFonts w:ascii="Lato" w:hAnsi="Lato"/>
                <w:webHidden/>
                <w:sz w:val="19"/>
                <w:szCs w:val="19"/>
              </w:rPr>
              <w:tab/>
            </w:r>
            <w:r w:rsidR="00004298" w:rsidRPr="0067393E">
              <w:rPr>
                <w:rFonts w:ascii="Lato" w:hAnsi="Lato"/>
                <w:webHidden/>
                <w:sz w:val="19"/>
                <w:szCs w:val="19"/>
              </w:rPr>
              <w:fldChar w:fldCharType="begin"/>
            </w:r>
            <w:r w:rsidR="00004298" w:rsidRPr="0067393E">
              <w:rPr>
                <w:rFonts w:ascii="Lato" w:hAnsi="Lato"/>
                <w:webHidden/>
                <w:sz w:val="19"/>
                <w:szCs w:val="19"/>
              </w:rPr>
              <w:instrText xml:space="preserve"> PAGEREF _Toc142469548 \h </w:instrText>
            </w:r>
            <w:r w:rsidR="00004298" w:rsidRPr="0067393E">
              <w:rPr>
                <w:rFonts w:ascii="Lato" w:hAnsi="Lato"/>
                <w:webHidden/>
                <w:sz w:val="19"/>
                <w:szCs w:val="19"/>
              </w:rPr>
            </w:r>
            <w:r w:rsidR="00004298" w:rsidRPr="0067393E">
              <w:rPr>
                <w:rFonts w:ascii="Lato" w:hAnsi="Lato"/>
                <w:webHidden/>
                <w:sz w:val="19"/>
                <w:szCs w:val="19"/>
              </w:rPr>
              <w:fldChar w:fldCharType="separate"/>
            </w:r>
            <w:r w:rsidR="00BB583E" w:rsidRPr="0067393E">
              <w:rPr>
                <w:rFonts w:ascii="Lato" w:hAnsi="Lato"/>
                <w:webHidden/>
                <w:sz w:val="19"/>
                <w:szCs w:val="19"/>
              </w:rPr>
              <w:t>6</w:t>
            </w:r>
            <w:r w:rsidR="00004298" w:rsidRPr="0067393E">
              <w:rPr>
                <w:rFonts w:ascii="Lato" w:hAnsi="Lato"/>
                <w:webHidden/>
                <w:sz w:val="19"/>
                <w:szCs w:val="19"/>
              </w:rPr>
              <w:fldChar w:fldCharType="end"/>
            </w:r>
          </w:hyperlink>
        </w:p>
        <w:p w14:paraId="2AEE122F" w14:textId="5B646F86" w:rsidR="00004298" w:rsidRPr="0067393E" w:rsidRDefault="00000000" w:rsidP="00BB583E">
          <w:pPr>
            <w:pStyle w:val="Spistreci1"/>
            <w:rPr>
              <w:rFonts w:ascii="Lato" w:eastAsiaTheme="minorEastAsia" w:hAnsi="Lato" w:cstheme="minorBidi"/>
              <w:kern w:val="2"/>
              <w:sz w:val="19"/>
              <w:szCs w:val="19"/>
              <w14:ligatures w14:val="standardContextual"/>
            </w:rPr>
          </w:pPr>
          <w:hyperlink w:anchor="_Toc142469549" w:history="1">
            <w:r w:rsidR="00004298" w:rsidRPr="0067393E">
              <w:rPr>
                <w:rStyle w:val="Hipercze"/>
                <w:rFonts w:ascii="Lato" w:hAnsi="Lato"/>
                <w:sz w:val="19"/>
                <w:szCs w:val="19"/>
              </w:rPr>
              <w:t>1.</w:t>
            </w:r>
            <w:r w:rsidR="00004298" w:rsidRPr="0067393E">
              <w:rPr>
                <w:rFonts w:ascii="Lato" w:eastAsiaTheme="minorEastAsia" w:hAnsi="Lato" w:cstheme="minorBidi"/>
                <w:kern w:val="2"/>
                <w:sz w:val="19"/>
                <w:szCs w:val="19"/>
                <w14:ligatures w14:val="standardContextual"/>
              </w:rPr>
              <w:tab/>
            </w:r>
            <w:r w:rsidR="00004298" w:rsidRPr="0067393E">
              <w:rPr>
                <w:rStyle w:val="Hipercze"/>
                <w:rFonts w:ascii="Lato" w:hAnsi="Lato"/>
                <w:sz w:val="19"/>
                <w:szCs w:val="19"/>
              </w:rPr>
              <w:t>Opis systemu</w:t>
            </w:r>
            <w:r w:rsidR="00004298" w:rsidRPr="0067393E">
              <w:rPr>
                <w:rFonts w:ascii="Lato" w:hAnsi="Lato"/>
                <w:webHidden/>
                <w:sz w:val="19"/>
                <w:szCs w:val="19"/>
              </w:rPr>
              <w:tab/>
            </w:r>
            <w:r w:rsidR="00004298" w:rsidRPr="0067393E">
              <w:rPr>
                <w:rFonts w:ascii="Lato" w:hAnsi="Lato"/>
                <w:webHidden/>
                <w:sz w:val="19"/>
                <w:szCs w:val="19"/>
              </w:rPr>
              <w:fldChar w:fldCharType="begin"/>
            </w:r>
            <w:r w:rsidR="00004298" w:rsidRPr="0067393E">
              <w:rPr>
                <w:rFonts w:ascii="Lato" w:hAnsi="Lato"/>
                <w:webHidden/>
                <w:sz w:val="19"/>
                <w:szCs w:val="19"/>
              </w:rPr>
              <w:instrText xml:space="preserve"> PAGEREF _Toc142469549 \h </w:instrText>
            </w:r>
            <w:r w:rsidR="00004298" w:rsidRPr="0067393E">
              <w:rPr>
                <w:rFonts w:ascii="Lato" w:hAnsi="Lato"/>
                <w:webHidden/>
                <w:sz w:val="19"/>
                <w:szCs w:val="19"/>
              </w:rPr>
            </w:r>
            <w:r w:rsidR="00004298" w:rsidRPr="0067393E">
              <w:rPr>
                <w:rFonts w:ascii="Lato" w:hAnsi="Lato"/>
                <w:webHidden/>
                <w:sz w:val="19"/>
                <w:szCs w:val="19"/>
              </w:rPr>
              <w:fldChar w:fldCharType="separate"/>
            </w:r>
            <w:r w:rsidR="00BB583E" w:rsidRPr="0067393E">
              <w:rPr>
                <w:rFonts w:ascii="Lato" w:hAnsi="Lato"/>
                <w:webHidden/>
                <w:sz w:val="19"/>
                <w:szCs w:val="19"/>
              </w:rPr>
              <w:t>7</w:t>
            </w:r>
            <w:r w:rsidR="00004298" w:rsidRPr="0067393E">
              <w:rPr>
                <w:rFonts w:ascii="Lato" w:hAnsi="Lato"/>
                <w:webHidden/>
                <w:sz w:val="19"/>
                <w:szCs w:val="19"/>
              </w:rPr>
              <w:fldChar w:fldCharType="end"/>
            </w:r>
          </w:hyperlink>
        </w:p>
        <w:p w14:paraId="0A3C6CBE" w14:textId="16C5889D" w:rsidR="00004298" w:rsidRPr="0067393E" w:rsidRDefault="00000000">
          <w:pPr>
            <w:pStyle w:val="Spistreci2"/>
            <w:rPr>
              <w:rFonts w:eastAsiaTheme="minorEastAsia" w:cstheme="minorBidi"/>
              <w:smallCaps w:val="0"/>
              <w:kern w:val="2"/>
              <w:sz w:val="19"/>
              <w:szCs w:val="19"/>
              <w14:ligatures w14:val="standardContextual"/>
            </w:rPr>
          </w:pPr>
          <w:hyperlink w:anchor="_Toc142469550" w:history="1">
            <w:r w:rsidR="00004298" w:rsidRPr="0067393E">
              <w:rPr>
                <w:rStyle w:val="Hipercze"/>
                <w:sz w:val="19"/>
                <w:szCs w:val="19"/>
              </w:rPr>
              <w:t>1.1.</w:t>
            </w:r>
            <w:r w:rsidR="00004298" w:rsidRPr="0067393E">
              <w:rPr>
                <w:rFonts w:eastAsiaTheme="minorEastAsia" w:cstheme="minorBidi"/>
                <w:smallCaps w:val="0"/>
                <w:kern w:val="2"/>
                <w:sz w:val="19"/>
                <w:szCs w:val="19"/>
                <w14:ligatures w14:val="standardContextual"/>
              </w:rPr>
              <w:tab/>
            </w:r>
            <w:r w:rsidR="00004298" w:rsidRPr="0067393E">
              <w:rPr>
                <w:rStyle w:val="Hipercze"/>
                <w:sz w:val="19"/>
                <w:szCs w:val="19"/>
              </w:rPr>
              <w:t>Opis regionalnego systemu gazowego</w:t>
            </w:r>
            <w:r w:rsidR="00004298" w:rsidRPr="0067393E">
              <w:rPr>
                <w:webHidden/>
                <w:sz w:val="19"/>
                <w:szCs w:val="19"/>
              </w:rPr>
              <w:tab/>
            </w:r>
            <w:r w:rsidR="00004298" w:rsidRPr="0067393E">
              <w:rPr>
                <w:webHidden/>
                <w:sz w:val="19"/>
                <w:szCs w:val="19"/>
              </w:rPr>
              <w:fldChar w:fldCharType="begin"/>
            </w:r>
            <w:r w:rsidR="00004298" w:rsidRPr="0067393E">
              <w:rPr>
                <w:webHidden/>
                <w:sz w:val="19"/>
                <w:szCs w:val="19"/>
              </w:rPr>
              <w:instrText xml:space="preserve"> PAGEREF _Toc142469550 \h </w:instrText>
            </w:r>
            <w:r w:rsidR="00004298" w:rsidRPr="0067393E">
              <w:rPr>
                <w:webHidden/>
                <w:sz w:val="19"/>
                <w:szCs w:val="19"/>
              </w:rPr>
            </w:r>
            <w:r w:rsidR="00004298" w:rsidRPr="0067393E">
              <w:rPr>
                <w:webHidden/>
                <w:sz w:val="19"/>
                <w:szCs w:val="19"/>
              </w:rPr>
              <w:fldChar w:fldCharType="separate"/>
            </w:r>
            <w:r w:rsidR="00BB583E" w:rsidRPr="0067393E">
              <w:rPr>
                <w:webHidden/>
                <w:sz w:val="19"/>
                <w:szCs w:val="19"/>
              </w:rPr>
              <w:t>7</w:t>
            </w:r>
            <w:r w:rsidR="00004298" w:rsidRPr="0067393E">
              <w:rPr>
                <w:webHidden/>
                <w:sz w:val="19"/>
                <w:szCs w:val="19"/>
              </w:rPr>
              <w:fldChar w:fldCharType="end"/>
            </w:r>
          </w:hyperlink>
        </w:p>
        <w:p w14:paraId="4B247C6E" w14:textId="092B4D52" w:rsidR="00004298" w:rsidRPr="0067393E" w:rsidRDefault="00000000">
          <w:pPr>
            <w:pStyle w:val="Spistreci3"/>
            <w:rPr>
              <w:rFonts w:ascii="Lato" w:eastAsiaTheme="minorEastAsia" w:hAnsi="Lato" w:cstheme="minorBidi"/>
              <w:iCs w:val="0"/>
              <w:kern w:val="2"/>
              <w:sz w:val="19"/>
              <w:szCs w:val="19"/>
              <w14:ligatures w14:val="standardContextual"/>
            </w:rPr>
          </w:pPr>
          <w:hyperlink w:anchor="_Toc142469551" w:history="1">
            <w:r w:rsidR="00004298" w:rsidRPr="0067393E">
              <w:rPr>
                <w:rStyle w:val="Hipercze"/>
                <w:rFonts w:ascii="Lato" w:hAnsi="Lato"/>
                <w:sz w:val="19"/>
                <w:szCs w:val="19"/>
              </w:rPr>
              <w:t>1.1.1.</w:t>
            </w:r>
            <w:r w:rsidR="00004298" w:rsidRPr="0067393E">
              <w:rPr>
                <w:rFonts w:ascii="Lato" w:eastAsiaTheme="minorEastAsia" w:hAnsi="Lato" w:cstheme="minorBidi"/>
                <w:iCs w:val="0"/>
                <w:kern w:val="2"/>
                <w:sz w:val="19"/>
                <w:szCs w:val="19"/>
                <w14:ligatures w14:val="standardContextual"/>
              </w:rPr>
              <w:tab/>
            </w:r>
            <w:r w:rsidR="00004298" w:rsidRPr="0067393E">
              <w:rPr>
                <w:rStyle w:val="Hipercze"/>
                <w:rFonts w:ascii="Lato" w:hAnsi="Lato"/>
                <w:sz w:val="19"/>
                <w:szCs w:val="19"/>
              </w:rPr>
              <w:t>Regionalna grupa ryzyka – Białoruś</w:t>
            </w:r>
            <w:r w:rsidR="00004298" w:rsidRPr="0067393E">
              <w:rPr>
                <w:rFonts w:ascii="Lato" w:hAnsi="Lato"/>
                <w:webHidden/>
                <w:sz w:val="19"/>
                <w:szCs w:val="19"/>
              </w:rPr>
              <w:tab/>
            </w:r>
            <w:r w:rsidR="00004298" w:rsidRPr="0067393E">
              <w:rPr>
                <w:rFonts w:ascii="Lato" w:hAnsi="Lato"/>
                <w:webHidden/>
                <w:sz w:val="19"/>
                <w:szCs w:val="19"/>
              </w:rPr>
              <w:fldChar w:fldCharType="begin"/>
            </w:r>
            <w:r w:rsidR="00004298" w:rsidRPr="0067393E">
              <w:rPr>
                <w:rFonts w:ascii="Lato" w:hAnsi="Lato"/>
                <w:webHidden/>
                <w:sz w:val="19"/>
                <w:szCs w:val="19"/>
              </w:rPr>
              <w:instrText xml:space="preserve"> PAGEREF _Toc142469551 \h </w:instrText>
            </w:r>
            <w:r w:rsidR="00004298" w:rsidRPr="0067393E">
              <w:rPr>
                <w:rFonts w:ascii="Lato" w:hAnsi="Lato"/>
                <w:webHidden/>
                <w:sz w:val="19"/>
                <w:szCs w:val="19"/>
              </w:rPr>
            </w:r>
            <w:r w:rsidR="00004298" w:rsidRPr="0067393E">
              <w:rPr>
                <w:rFonts w:ascii="Lato" w:hAnsi="Lato"/>
                <w:webHidden/>
                <w:sz w:val="19"/>
                <w:szCs w:val="19"/>
              </w:rPr>
              <w:fldChar w:fldCharType="separate"/>
            </w:r>
            <w:r w:rsidR="00BB583E" w:rsidRPr="0067393E">
              <w:rPr>
                <w:rFonts w:ascii="Lato" w:hAnsi="Lato"/>
                <w:webHidden/>
                <w:sz w:val="19"/>
                <w:szCs w:val="19"/>
              </w:rPr>
              <w:t>7</w:t>
            </w:r>
            <w:r w:rsidR="00004298" w:rsidRPr="0067393E">
              <w:rPr>
                <w:rFonts w:ascii="Lato" w:hAnsi="Lato"/>
                <w:webHidden/>
                <w:sz w:val="19"/>
                <w:szCs w:val="19"/>
              </w:rPr>
              <w:fldChar w:fldCharType="end"/>
            </w:r>
          </w:hyperlink>
        </w:p>
        <w:p w14:paraId="51C665C5" w14:textId="492F223E" w:rsidR="00004298" w:rsidRPr="0067393E" w:rsidRDefault="00000000">
          <w:pPr>
            <w:pStyle w:val="Spistreci3"/>
            <w:rPr>
              <w:rFonts w:ascii="Lato" w:eastAsiaTheme="minorEastAsia" w:hAnsi="Lato" w:cstheme="minorBidi"/>
              <w:iCs w:val="0"/>
              <w:kern w:val="2"/>
              <w:sz w:val="19"/>
              <w:szCs w:val="19"/>
              <w14:ligatures w14:val="standardContextual"/>
            </w:rPr>
          </w:pPr>
          <w:hyperlink w:anchor="_Toc142469552" w:history="1">
            <w:r w:rsidR="00004298" w:rsidRPr="0067393E">
              <w:rPr>
                <w:rStyle w:val="Hipercze"/>
                <w:rFonts w:ascii="Lato" w:hAnsi="Lato"/>
                <w:sz w:val="19"/>
                <w:szCs w:val="19"/>
              </w:rPr>
              <w:t>1.1.2.</w:t>
            </w:r>
            <w:r w:rsidR="00004298" w:rsidRPr="0067393E">
              <w:rPr>
                <w:rFonts w:ascii="Lato" w:eastAsiaTheme="minorEastAsia" w:hAnsi="Lato" w:cstheme="minorBidi"/>
                <w:iCs w:val="0"/>
                <w:kern w:val="2"/>
                <w:sz w:val="19"/>
                <w:szCs w:val="19"/>
                <w14:ligatures w14:val="standardContextual"/>
              </w:rPr>
              <w:tab/>
            </w:r>
            <w:r w:rsidR="00004298" w:rsidRPr="0067393E">
              <w:rPr>
                <w:rStyle w:val="Hipercze"/>
                <w:rFonts w:ascii="Lato" w:hAnsi="Lato"/>
                <w:sz w:val="19"/>
                <w:szCs w:val="19"/>
              </w:rPr>
              <w:t>Regionalna grupa ryzyka – Ukraina</w:t>
            </w:r>
            <w:r w:rsidR="00004298" w:rsidRPr="0067393E">
              <w:rPr>
                <w:rFonts w:ascii="Lato" w:hAnsi="Lato"/>
                <w:webHidden/>
                <w:sz w:val="19"/>
                <w:szCs w:val="19"/>
              </w:rPr>
              <w:tab/>
            </w:r>
            <w:r w:rsidR="00004298" w:rsidRPr="0067393E">
              <w:rPr>
                <w:rFonts w:ascii="Lato" w:hAnsi="Lato"/>
                <w:webHidden/>
                <w:sz w:val="19"/>
                <w:szCs w:val="19"/>
              </w:rPr>
              <w:fldChar w:fldCharType="begin"/>
            </w:r>
            <w:r w:rsidR="00004298" w:rsidRPr="0067393E">
              <w:rPr>
                <w:rFonts w:ascii="Lato" w:hAnsi="Lato"/>
                <w:webHidden/>
                <w:sz w:val="19"/>
                <w:szCs w:val="19"/>
              </w:rPr>
              <w:instrText xml:space="preserve"> PAGEREF _Toc142469552 \h </w:instrText>
            </w:r>
            <w:r w:rsidR="00004298" w:rsidRPr="0067393E">
              <w:rPr>
                <w:rFonts w:ascii="Lato" w:hAnsi="Lato"/>
                <w:webHidden/>
                <w:sz w:val="19"/>
                <w:szCs w:val="19"/>
              </w:rPr>
            </w:r>
            <w:r w:rsidR="00004298" w:rsidRPr="0067393E">
              <w:rPr>
                <w:rFonts w:ascii="Lato" w:hAnsi="Lato"/>
                <w:webHidden/>
                <w:sz w:val="19"/>
                <w:szCs w:val="19"/>
              </w:rPr>
              <w:fldChar w:fldCharType="separate"/>
            </w:r>
            <w:r w:rsidR="00BB583E" w:rsidRPr="0067393E">
              <w:rPr>
                <w:rFonts w:ascii="Lato" w:hAnsi="Lato"/>
                <w:webHidden/>
                <w:sz w:val="19"/>
                <w:szCs w:val="19"/>
              </w:rPr>
              <w:t>10</w:t>
            </w:r>
            <w:r w:rsidR="00004298" w:rsidRPr="0067393E">
              <w:rPr>
                <w:rFonts w:ascii="Lato" w:hAnsi="Lato"/>
                <w:webHidden/>
                <w:sz w:val="19"/>
                <w:szCs w:val="19"/>
              </w:rPr>
              <w:fldChar w:fldCharType="end"/>
            </w:r>
          </w:hyperlink>
        </w:p>
        <w:p w14:paraId="433B204A" w14:textId="5B5D2A2C" w:rsidR="00004298" w:rsidRPr="0067393E" w:rsidRDefault="00000000">
          <w:pPr>
            <w:pStyle w:val="Spistreci3"/>
            <w:rPr>
              <w:rFonts w:ascii="Lato" w:eastAsiaTheme="minorEastAsia" w:hAnsi="Lato" w:cstheme="minorBidi"/>
              <w:iCs w:val="0"/>
              <w:kern w:val="2"/>
              <w:sz w:val="19"/>
              <w:szCs w:val="19"/>
              <w14:ligatures w14:val="standardContextual"/>
            </w:rPr>
          </w:pPr>
          <w:hyperlink w:anchor="_Toc142469553" w:history="1">
            <w:r w:rsidR="00004298" w:rsidRPr="0067393E">
              <w:rPr>
                <w:rStyle w:val="Hipercze"/>
                <w:rFonts w:ascii="Lato" w:hAnsi="Lato"/>
                <w:sz w:val="19"/>
                <w:szCs w:val="19"/>
              </w:rPr>
              <w:t>1.1.3.</w:t>
            </w:r>
            <w:r w:rsidR="00004298" w:rsidRPr="0067393E">
              <w:rPr>
                <w:rFonts w:ascii="Lato" w:eastAsiaTheme="minorEastAsia" w:hAnsi="Lato" w:cstheme="minorBidi"/>
                <w:iCs w:val="0"/>
                <w:kern w:val="2"/>
                <w:sz w:val="19"/>
                <w:szCs w:val="19"/>
                <w14:ligatures w14:val="standardContextual"/>
              </w:rPr>
              <w:tab/>
            </w:r>
            <w:r w:rsidR="00004298" w:rsidRPr="0067393E">
              <w:rPr>
                <w:rStyle w:val="Hipercze"/>
                <w:rFonts w:ascii="Lato" w:hAnsi="Lato"/>
                <w:sz w:val="19"/>
                <w:szCs w:val="19"/>
              </w:rPr>
              <w:t>Regionalna grupa ryzyka – północny wschód</w:t>
            </w:r>
            <w:r w:rsidR="00004298" w:rsidRPr="0067393E">
              <w:rPr>
                <w:rFonts w:ascii="Lato" w:hAnsi="Lato"/>
                <w:webHidden/>
                <w:sz w:val="19"/>
                <w:szCs w:val="19"/>
              </w:rPr>
              <w:tab/>
            </w:r>
            <w:r w:rsidR="00004298" w:rsidRPr="0067393E">
              <w:rPr>
                <w:rFonts w:ascii="Lato" w:hAnsi="Lato"/>
                <w:webHidden/>
                <w:sz w:val="19"/>
                <w:szCs w:val="19"/>
              </w:rPr>
              <w:fldChar w:fldCharType="begin"/>
            </w:r>
            <w:r w:rsidR="00004298" w:rsidRPr="0067393E">
              <w:rPr>
                <w:rFonts w:ascii="Lato" w:hAnsi="Lato"/>
                <w:webHidden/>
                <w:sz w:val="19"/>
                <w:szCs w:val="19"/>
              </w:rPr>
              <w:instrText xml:space="preserve"> PAGEREF _Toc142469553 \h </w:instrText>
            </w:r>
            <w:r w:rsidR="00004298" w:rsidRPr="0067393E">
              <w:rPr>
                <w:rFonts w:ascii="Lato" w:hAnsi="Lato"/>
                <w:webHidden/>
                <w:sz w:val="19"/>
                <w:szCs w:val="19"/>
              </w:rPr>
            </w:r>
            <w:r w:rsidR="00004298" w:rsidRPr="0067393E">
              <w:rPr>
                <w:rFonts w:ascii="Lato" w:hAnsi="Lato"/>
                <w:webHidden/>
                <w:sz w:val="19"/>
                <w:szCs w:val="19"/>
              </w:rPr>
              <w:fldChar w:fldCharType="separate"/>
            </w:r>
            <w:r w:rsidR="00BB583E" w:rsidRPr="0067393E">
              <w:rPr>
                <w:rFonts w:ascii="Lato" w:hAnsi="Lato"/>
                <w:webHidden/>
                <w:sz w:val="19"/>
                <w:szCs w:val="19"/>
              </w:rPr>
              <w:t>10</w:t>
            </w:r>
            <w:r w:rsidR="00004298" w:rsidRPr="0067393E">
              <w:rPr>
                <w:rFonts w:ascii="Lato" w:hAnsi="Lato"/>
                <w:webHidden/>
                <w:sz w:val="19"/>
                <w:szCs w:val="19"/>
              </w:rPr>
              <w:fldChar w:fldCharType="end"/>
            </w:r>
          </w:hyperlink>
        </w:p>
        <w:p w14:paraId="4E529C09" w14:textId="2F91C729" w:rsidR="00004298" w:rsidRPr="0067393E" w:rsidRDefault="00000000">
          <w:pPr>
            <w:pStyle w:val="Spistreci3"/>
            <w:rPr>
              <w:rFonts w:ascii="Lato" w:eastAsiaTheme="minorEastAsia" w:hAnsi="Lato" w:cstheme="minorBidi"/>
              <w:iCs w:val="0"/>
              <w:kern w:val="2"/>
              <w:sz w:val="19"/>
              <w:szCs w:val="19"/>
              <w14:ligatures w14:val="standardContextual"/>
            </w:rPr>
          </w:pPr>
          <w:hyperlink w:anchor="_Toc142469554" w:history="1">
            <w:r w:rsidR="00004298" w:rsidRPr="0067393E">
              <w:rPr>
                <w:rStyle w:val="Hipercze"/>
                <w:rFonts w:ascii="Lato" w:hAnsi="Lato"/>
                <w:sz w:val="19"/>
                <w:szCs w:val="19"/>
              </w:rPr>
              <w:t>1.1.4.</w:t>
            </w:r>
            <w:r w:rsidR="00004298" w:rsidRPr="0067393E">
              <w:rPr>
                <w:rFonts w:ascii="Lato" w:eastAsiaTheme="minorEastAsia" w:hAnsi="Lato" w:cstheme="minorBidi"/>
                <w:iCs w:val="0"/>
                <w:kern w:val="2"/>
                <w:sz w:val="19"/>
                <w:szCs w:val="19"/>
                <w14:ligatures w14:val="standardContextual"/>
              </w:rPr>
              <w:tab/>
            </w:r>
            <w:r w:rsidR="00004298" w:rsidRPr="0067393E">
              <w:rPr>
                <w:rStyle w:val="Hipercze"/>
                <w:rFonts w:ascii="Lato" w:hAnsi="Lato"/>
                <w:sz w:val="19"/>
                <w:szCs w:val="19"/>
              </w:rPr>
              <w:t>Regionalna grupa ryzyka – Norwegia</w:t>
            </w:r>
            <w:r w:rsidR="00004298" w:rsidRPr="0067393E">
              <w:rPr>
                <w:rFonts w:ascii="Lato" w:hAnsi="Lato"/>
                <w:webHidden/>
                <w:sz w:val="19"/>
                <w:szCs w:val="19"/>
              </w:rPr>
              <w:tab/>
            </w:r>
            <w:r w:rsidR="00004298" w:rsidRPr="0067393E">
              <w:rPr>
                <w:rFonts w:ascii="Lato" w:hAnsi="Lato"/>
                <w:webHidden/>
                <w:sz w:val="19"/>
                <w:szCs w:val="19"/>
              </w:rPr>
              <w:fldChar w:fldCharType="begin"/>
            </w:r>
            <w:r w:rsidR="00004298" w:rsidRPr="0067393E">
              <w:rPr>
                <w:rFonts w:ascii="Lato" w:hAnsi="Lato"/>
                <w:webHidden/>
                <w:sz w:val="19"/>
                <w:szCs w:val="19"/>
              </w:rPr>
              <w:instrText xml:space="preserve"> PAGEREF _Toc142469554 \h </w:instrText>
            </w:r>
            <w:r w:rsidR="00004298" w:rsidRPr="0067393E">
              <w:rPr>
                <w:rFonts w:ascii="Lato" w:hAnsi="Lato"/>
                <w:webHidden/>
                <w:sz w:val="19"/>
                <w:szCs w:val="19"/>
              </w:rPr>
            </w:r>
            <w:r w:rsidR="00004298" w:rsidRPr="0067393E">
              <w:rPr>
                <w:rFonts w:ascii="Lato" w:hAnsi="Lato"/>
                <w:webHidden/>
                <w:sz w:val="19"/>
                <w:szCs w:val="19"/>
              </w:rPr>
              <w:fldChar w:fldCharType="separate"/>
            </w:r>
            <w:r w:rsidR="00BB583E" w:rsidRPr="0067393E">
              <w:rPr>
                <w:rFonts w:ascii="Lato" w:hAnsi="Lato"/>
                <w:webHidden/>
                <w:sz w:val="19"/>
                <w:szCs w:val="19"/>
              </w:rPr>
              <w:t>11</w:t>
            </w:r>
            <w:r w:rsidR="00004298" w:rsidRPr="0067393E">
              <w:rPr>
                <w:rFonts w:ascii="Lato" w:hAnsi="Lato"/>
                <w:webHidden/>
                <w:sz w:val="19"/>
                <w:szCs w:val="19"/>
              </w:rPr>
              <w:fldChar w:fldCharType="end"/>
            </w:r>
          </w:hyperlink>
        </w:p>
        <w:p w14:paraId="5238E75A" w14:textId="329CC011" w:rsidR="00004298" w:rsidRPr="0067393E" w:rsidRDefault="00000000">
          <w:pPr>
            <w:pStyle w:val="Spistreci3"/>
            <w:rPr>
              <w:rFonts w:ascii="Lato" w:eastAsiaTheme="minorEastAsia" w:hAnsi="Lato" w:cstheme="minorBidi"/>
              <w:iCs w:val="0"/>
              <w:kern w:val="2"/>
              <w:sz w:val="19"/>
              <w:szCs w:val="19"/>
              <w14:ligatures w14:val="standardContextual"/>
            </w:rPr>
          </w:pPr>
          <w:hyperlink w:anchor="_Toc142469555" w:history="1">
            <w:r w:rsidR="00004298" w:rsidRPr="0067393E">
              <w:rPr>
                <w:rStyle w:val="Hipercze"/>
                <w:rFonts w:ascii="Lato" w:hAnsi="Lato"/>
                <w:sz w:val="19"/>
                <w:szCs w:val="19"/>
              </w:rPr>
              <w:t>1.1.5.</w:t>
            </w:r>
            <w:r w:rsidR="00004298" w:rsidRPr="0067393E">
              <w:rPr>
                <w:rFonts w:ascii="Lato" w:eastAsiaTheme="minorEastAsia" w:hAnsi="Lato" w:cstheme="minorBidi"/>
                <w:iCs w:val="0"/>
                <w:kern w:val="2"/>
                <w:sz w:val="19"/>
                <w:szCs w:val="19"/>
                <w14:ligatures w14:val="standardContextual"/>
              </w:rPr>
              <w:tab/>
            </w:r>
            <w:r w:rsidR="00004298" w:rsidRPr="0067393E">
              <w:rPr>
                <w:rStyle w:val="Hipercze"/>
                <w:rFonts w:ascii="Lato" w:hAnsi="Lato"/>
                <w:sz w:val="19"/>
                <w:szCs w:val="19"/>
              </w:rPr>
              <w:t>Regionalna grupa ryzyka – Dania</w:t>
            </w:r>
            <w:r w:rsidR="00004298" w:rsidRPr="0067393E">
              <w:rPr>
                <w:rFonts w:ascii="Lato" w:hAnsi="Lato"/>
                <w:webHidden/>
                <w:sz w:val="19"/>
                <w:szCs w:val="19"/>
              </w:rPr>
              <w:tab/>
            </w:r>
            <w:r w:rsidR="00004298" w:rsidRPr="0067393E">
              <w:rPr>
                <w:rFonts w:ascii="Lato" w:hAnsi="Lato"/>
                <w:webHidden/>
                <w:sz w:val="19"/>
                <w:szCs w:val="19"/>
              </w:rPr>
              <w:fldChar w:fldCharType="begin"/>
            </w:r>
            <w:r w:rsidR="00004298" w:rsidRPr="0067393E">
              <w:rPr>
                <w:rFonts w:ascii="Lato" w:hAnsi="Lato"/>
                <w:webHidden/>
                <w:sz w:val="19"/>
                <w:szCs w:val="19"/>
              </w:rPr>
              <w:instrText xml:space="preserve"> PAGEREF _Toc142469555 \h </w:instrText>
            </w:r>
            <w:r w:rsidR="00004298" w:rsidRPr="0067393E">
              <w:rPr>
                <w:rFonts w:ascii="Lato" w:hAnsi="Lato"/>
                <w:webHidden/>
                <w:sz w:val="19"/>
                <w:szCs w:val="19"/>
              </w:rPr>
            </w:r>
            <w:r w:rsidR="00004298" w:rsidRPr="0067393E">
              <w:rPr>
                <w:rFonts w:ascii="Lato" w:hAnsi="Lato"/>
                <w:webHidden/>
                <w:sz w:val="19"/>
                <w:szCs w:val="19"/>
              </w:rPr>
              <w:fldChar w:fldCharType="separate"/>
            </w:r>
            <w:r w:rsidR="00BB583E" w:rsidRPr="0067393E">
              <w:rPr>
                <w:rFonts w:ascii="Lato" w:hAnsi="Lato"/>
                <w:webHidden/>
                <w:sz w:val="19"/>
                <w:szCs w:val="19"/>
              </w:rPr>
              <w:t>11</w:t>
            </w:r>
            <w:r w:rsidR="00004298" w:rsidRPr="0067393E">
              <w:rPr>
                <w:rFonts w:ascii="Lato" w:hAnsi="Lato"/>
                <w:webHidden/>
                <w:sz w:val="19"/>
                <w:szCs w:val="19"/>
              </w:rPr>
              <w:fldChar w:fldCharType="end"/>
            </w:r>
          </w:hyperlink>
        </w:p>
        <w:p w14:paraId="6C10389E" w14:textId="70850EA6" w:rsidR="00004298" w:rsidRPr="0067393E" w:rsidRDefault="00000000">
          <w:pPr>
            <w:pStyle w:val="Spistreci2"/>
            <w:rPr>
              <w:rFonts w:eastAsiaTheme="minorEastAsia" w:cstheme="minorBidi"/>
              <w:smallCaps w:val="0"/>
              <w:kern w:val="2"/>
              <w:sz w:val="19"/>
              <w:szCs w:val="19"/>
              <w14:ligatures w14:val="standardContextual"/>
            </w:rPr>
          </w:pPr>
          <w:hyperlink w:anchor="_Toc142469556" w:history="1">
            <w:r w:rsidR="00004298" w:rsidRPr="0067393E">
              <w:rPr>
                <w:rStyle w:val="Hipercze"/>
                <w:sz w:val="19"/>
                <w:szCs w:val="19"/>
              </w:rPr>
              <w:t>1.2.</w:t>
            </w:r>
            <w:r w:rsidR="00004298" w:rsidRPr="0067393E">
              <w:rPr>
                <w:rFonts w:eastAsiaTheme="minorEastAsia" w:cstheme="minorBidi"/>
                <w:smallCaps w:val="0"/>
                <w:kern w:val="2"/>
                <w:sz w:val="19"/>
                <w:szCs w:val="19"/>
                <w14:ligatures w14:val="standardContextual"/>
              </w:rPr>
              <w:tab/>
            </w:r>
            <w:r w:rsidR="00004298" w:rsidRPr="0067393E">
              <w:rPr>
                <w:rStyle w:val="Hipercze"/>
                <w:sz w:val="19"/>
                <w:szCs w:val="19"/>
              </w:rPr>
              <w:t>Opis krajowego systemu gazowego – Polska</w:t>
            </w:r>
            <w:r w:rsidR="00004298" w:rsidRPr="0067393E">
              <w:rPr>
                <w:webHidden/>
                <w:sz w:val="19"/>
                <w:szCs w:val="19"/>
              </w:rPr>
              <w:tab/>
            </w:r>
            <w:r w:rsidR="00004298" w:rsidRPr="0067393E">
              <w:rPr>
                <w:webHidden/>
                <w:sz w:val="19"/>
                <w:szCs w:val="19"/>
              </w:rPr>
              <w:fldChar w:fldCharType="begin"/>
            </w:r>
            <w:r w:rsidR="00004298" w:rsidRPr="0067393E">
              <w:rPr>
                <w:webHidden/>
                <w:sz w:val="19"/>
                <w:szCs w:val="19"/>
              </w:rPr>
              <w:instrText xml:space="preserve"> PAGEREF _Toc142469556 \h </w:instrText>
            </w:r>
            <w:r w:rsidR="00004298" w:rsidRPr="0067393E">
              <w:rPr>
                <w:webHidden/>
                <w:sz w:val="19"/>
                <w:szCs w:val="19"/>
              </w:rPr>
            </w:r>
            <w:r w:rsidR="00004298" w:rsidRPr="0067393E">
              <w:rPr>
                <w:webHidden/>
                <w:sz w:val="19"/>
                <w:szCs w:val="19"/>
              </w:rPr>
              <w:fldChar w:fldCharType="separate"/>
            </w:r>
            <w:r w:rsidR="00BB583E" w:rsidRPr="0067393E">
              <w:rPr>
                <w:webHidden/>
                <w:sz w:val="19"/>
                <w:szCs w:val="19"/>
              </w:rPr>
              <w:t>12</w:t>
            </w:r>
            <w:r w:rsidR="00004298" w:rsidRPr="0067393E">
              <w:rPr>
                <w:webHidden/>
                <w:sz w:val="19"/>
                <w:szCs w:val="19"/>
              </w:rPr>
              <w:fldChar w:fldCharType="end"/>
            </w:r>
          </w:hyperlink>
        </w:p>
        <w:p w14:paraId="4558E5D5" w14:textId="18D77A41" w:rsidR="00004298" w:rsidRPr="0067393E" w:rsidRDefault="00000000">
          <w:pPr>
            <w:pStyle w:val="Spistreci3"/>
            <w:rPr>
              <w:rFonts w:ascii="Lato" w:eastAsiaTheme="minorEastAsia" w:hAnsi="Lato" w:cstheme="minorBidi"/>
              <w:iCs w:val="0"/>
              <w:kern w:val="2"/>
              <w:sz w:val="19"/>
              <w:szCs w:val="19"/>
              <w14:ligatures w14:val="standardContextual"/>
            </w:rPr>
          </w:pPr>
          <w:hyperlink w:anchor="_Toc142469557" w:history="1">
            <w:r w:rsidR="00004298" w:rsidRPr="0067393E">
              <w:rPr>
                <w:rStyle w:val="Hipercze"/>
                <w:rFonts w:ascii="Lato" w:hAnsi="Lato"/>
                <w:sz w:val="19"/>
                <w:szCs w:val="19"/>
              </w:rPr>
              <w:t>1.2.1.</w:t>
            </w:r>
            <w:r w:rsidR="00004298" w:rsidRPr="0067393E">
              <w:rPr>
                <w:rFonts w:ascii="Lato" w:eastAsiaTheme="minorEastAsia" w:hAnsi="Lato" w:cstheme="minorBidi"/>
                <w:iCs w:val="0"/>
                <w:kern w:val="2"/>
                <w:sz w:val="19"/>
                <w:szCs w:val="19"/>
                <w14:ligatures w14:val="standardContextual"/>
              </w:rPr>
              <w:tab/>
            </w:r>
            <w:r w:rsidR="00004298" w:rsidRPr="0067393E">
              <w:rPr>
                <w:rStyle w:val="Hipercze"/>
                <w:rFonts w:ascii="Lato" w:hAnsi="Lato"/>
                <w:sz w:val="19"/>
                <w:szCs w:val="19"/>
              </w:rPr>
              <w:t>Krajowe zu</w:t>
            </w:r>
            <w:r w:rsidR="00004298" w:rsidRPr="0067393E">
              <w:rPr>
                <w:rStyle w:val="Hipercze"/>
                <w:rFonts w:ascii="Lato" w:hAnsi="Lato" w:cs="Calibri"/>
                <w:sz w:val="19"/>
                <w:szCs w:val="19"/>
              </w:rPr>
              <w:t>ż</w:t>
            </w:r>
            <w:r w:rsidR="00004298" w:rsidRPr="0067393E">
              <w:rPr>
                <w:rStyle w:val="Hipercze"/>
                <w:rFonts w:ascii="Lato" w:hAnsi="Lato"/>
                <w:sz w:val="19"/>
                <w:szCs w:val="19"/>
              </w:rPr>
              <w:t>ycie gazu ziemnego oraz struktura sprzeda</w:t>
            </w:r>
            <w:r w:rsidR="00004298" w:rsidRPr="0067393E">
              <w:rPr>
                <w:rStyle w:val="Hipercze"/>
                <w:rFonts w:ascii="Lato" w:hAnsi="Lato" w:cs="Calibri"/>
                <w:sz w:val="19"/>
                <w:szCs w:val="19"/>
              </w:rPr>
              <w:t>ż</w:t>
            </w:r>
            <w:r w:rsidR="00004298" w:rsidRPr="0067393E">
              <w:rPr>
                <w:rStyle w:val="Hipercze"/>
                <w:rFonts w:ascii="Lato" w:hAnsi="Lato"/>
                <w:sz w:val="19"/>
                <w:szCs w:val="19"/>
              </w:rPr>
              <w:t>y gazu ziemnego do odbiorc</w:t>
            </w:r>
            <w:r w:rsidR="00004298" w:rsidRPr="0067393E">
              <w:rPr>
                <w:rStyle w:val="Hipercze"/>
                <w:rFonts w:ascii="Lato" w:hAnsi="Lato" w:cs="Malgun Gothic"/>
                <w:sz w:val="19"/>
                <w:szCs w:val="19"/>
              </w:rPr>
              <w:t>ó</w:t>
            </w:r>
            <w:r w:rsidR="00004298" w:rsidRPr="0067393E">
              <w:rPr>
                <w:rStyle w:val="Hipercze"/>
                <w:rFonts w:ascii="Lato" w:hAnsi="Lato"/>
                <w:sz w:val="19"/>
                <w:szCs w:val="19"/>
              </w:rPr>
              <w:t>w ko</w:t>
            </w:r>
            <w:r w:rsidR="00004298" w:rsidRPr="0067393E">
              <w:rPr>
                <w:rStyle w:val="Hipercze"/>
                <w:rFonts w:ascii="Lato" w:hAnsi="Lato" w:cs="Calibri"/>
                <w:sz w:val="19"/>
                <w:szCs w:val="19"/>
              </w:rPr>
              <w:t>ń</w:t>
            </w:r>
            <w:r w:rsidR="00004298" w:rsidRPr="0067393E">
              <w:rPr>
                <w:rStyle w:val="Hipercze"/>
                <w:rFonts w:ascii="Lato" w:hAnsi="Lato"/>
                <w:sz w:val="19"/>
                <w:szCs w:val="19"/>
              </w:rPr>
              <w:t>cowych</w:t>
            </w:r>
            <w:r w:rsidR="00004298" w:rsidRPr="0067393E">
              <w:rPr>
                <w:rFonts w:ascii="Lato" w:hAnsi="Lato"/>
                <w:webHidden/>
                <w:sz w:val="19"/>
                <w:szCs w:val="19"/>
              </w:rPr>
              <w:tab/>
            </w:r>
            <w:r w:rsidR="00004298" w:rsidRPr="0067393E">
              <w:rPr>
                <w:rFonts w:ascii="Lato" w:hAnsi="Lato"/>
                <w:webHidden/>
                <w:sz w:val="19"/>
                <w:szCs w:val="19"/>
              </w:rPr>
              <w:fldChar w:fldCharType="begin"/>
            </w:r>
            <w:r w:rsidR="00004298" w:rsidRPr="0067393E">
              <w:rPr>
                <w:rFonts w:ascii="Lato" w:hAnsi="Lato"/>
                <w:webHidden/>
                <w:sz w:val="19"/>
                <w:szCs w:val="19"/>
              </w:rPr>
              <w:instrText xml:space="preserve"> PAGEREF _Toc142469557 \h </w:instrText>
            </w:r>
            <w:r w:rsidR="00004298" w:rsidRPr="0067393E">
              <w:rPr>
                <w:rFonts w:ascii="Lato" w:hAnsi="Lato"/>
                <w:webHidden/>
                <w:sz w:val="19"/>
                <w:szCs w:val="19"/>
              </w:rPr>
            </w:r>
            <w:r w:rsidR="00004298" w:rsidRPr="0067393E">
              <w:rPr>
                <w:rFonts w:ascii="Lato" w:hAnsi="Lato"/>
                <w:webHidden/>
                <w:sz w:val="19"/>
                <w:szCs w:val="19"/>
              </w:rPr>
              <w:fldChar w:fldCharType="separate"/>
            </w:r>
            <w:r w:rsidR="00BB583E" w:rsidRPr="0067393E">
              <w:rPr>
                <w:rFonts w:ascii="Lato" w:hAnsi="Lato"/>
                <w:webHidden/>
                <w:sz w:val="19"/>
                <w:szCs w:val="19"/>
              </w:rPr>
              <w:t>12</w:t>
            </w:r>
            <w:r w:rsidR="00004298" w:rsidRPr="0067393E">
              <w:rPr>
                <w:rFonts w:ascii="Lato" w:hAnsi="Lato"/>
                <w:webHidden/>
                <w:sz w:val="19"/>
                <w:szCs w:val="19"/>
              </w:rPr>
              <w:fldChar w:fldCharType="end"/>
            </w:r>
          </w:hyperlink>
        </w:p>
        <w:p w14:paraId="7E75ED86" w14:textId="667715E9" w:rsidR="00004298" w:rsidRPr="0067393E" w:rsidRDefault="00000000">
          <w:pPr>
            <w:pStyle w:val="Spistreci3"/>
            <w:rPr>
              <w:rFonts w:ascii="Lato" w:eastAsiaTheme="minorEastAsia" w:hAnsi="Lato" w:cstheme="minorBidi"/>
              <w:iCs w:val="0"/>
              <w:kern w:val="2"/>
              <w:sz w:val="19"/>
              <w:szCs w:val="19"/>
              <w14:ligatures w14:val="standardContextual"/>
            </w:rPr>
          </w:pPr>
          <w:hyperlink w:anchor="_Toc142469558" w:history="1">
            <w:r w:rsidR="00004298" w:rsidRPr="0067393E">
              <w:rPr>
                <w:rStyle w:val="Hipercze"/>
                <w:rFonts w:ascii="Lato" w:hAnsi="Lato"/>
                <w:sz w:val="19"/>
                <w:szCs w:val="19"/>
              </w:rPr>
              <w:t>1.2.2.</w:t>
            </w:r>
            <w:r w:rsidR="00004298" w:rsidRPr="0067393E">
              <w:rPr>
                <w:rFonts w:ascii="Lato" w:eastAsiaTheme="minorEastAsia" w:hAnsi="Lato" w:cstheme="minorBidi"/>
                <w:iCs w:val="0"/>
                <w:kern w:val="2"/>
                <w:sz w:val="19"/>
                <w:szCs w:val="19"/>
                <w14:ligatures w14:val="standardContextual"/>
              </w:rPr>
              <w:tab/>
            </w:r>
            <w:r w:rsidR="00004298" w:rsidRPr="0067393E">
              <w:rPr>
                <w:rStyle w:val="Hipercze"/>
                <w:rFonts w:ascii="Lato" w:hAnsi="Lato"/>
                <w:sz w:val="19"/>
                <w:szCs w:val="19"/>
              </w:rPr>
              <w:t>Charakterystyka krajowego systemu gazowego</w:t>
            </w:r>
            <w:r w:rsidR="00004298" w:rsidRPr="0067393E">
              <w:rPr>
                <w:rFonts w:ascii="Lato" w:hAnsi="Lato"/>
                <w:webHidden/>
                <w:sz w:val="19"/>
                <w:szCs w:val="19"/>
              </w:rPr>
              <w:tab/>
            </w:r>
            <w:r w:rsidR="00004298" w:rsidRPr="0067393E">
              <w:rPr>
                <w:rFonts w:ascii="Lato" w:hAnsi="Lato"/>
                <w:webHidden/>
                <w:sz w:val="19"/>
                <w:szCs w:val="19"/>
              </w:rPr>
              <w:fldChar w:fldCharType="begin"/>
            </w:r>
            <w:r w:rsidR="00004298" w:rsidRPr="0067393E">
              <w:rPr>
                <w:rFonts w:ascii="Lato" w:hAnsi="Lato"/>
                <w:webHidden/>
                <w:sz w:val="19"/>
                <w:szCs w:val="19"/>
              </w:rPr>
              <w:instrText xml:space="preserve"> PAGEREF _Toc142469558 \h </w:instrText>
            </w:r>
            <w:r w:rsidR="00004298" w:rsidRPr="0067393E">
              <w:rPr>
                <w:rFonts w:ascii="Lato" w:hAnsi="Lato"/>
                <w:webHidden/>
                <w:sz w:val="19"/>
                <w:szCs w:val="19"/>
              </w:rPr>
            </w:r>
            <w:r w:rsidR="00004298" w:rsidRPr="0067393E">
              <w:rPr>
                <w:rFonts w:ascii="Lato" w:hAnsi="Lato"/>
                <w:webHidden/>
                <w:sz w:val="19"/>
                <w:szCs w:val="19"/>
              </w:rPr>
              <w:fldChar w:fldCharType="separate"/>
            </w:r>
            <w:r w:rsidR="00BB583E" w:rsidRPr="0067393E">
              <w:rPr>
                <w:rFonts w:ascii="Lato" w:hAnsi="Lato"/>
                <w:webHidden/>
                <w:sz w:val="19"/>
                <w:szCs w:val="19"/>
              </w:rPr>
              <w:t>13</w:t>
            </w:r>
            <w:r w:rsidR="00004298" w:rsidRPr="0067393E">
              <w:rPr>
                <w:rFonts w:ascii="Lato" w:hAnsi="Lato"/>
                <w:webHidden/>
                <w:sz w:val="19"/>
                <w:szCs w:val="19"/>
              </w:rPr>
              <w:fldChar w:fldCharType="end"/>
            </w:r>
          </w:hyperlink>
        </w:p>
        <w:p w14:paraId="0D262305" w14:textId="1C7AED3F" w:rsidR="00004298" w:rsidRPr="0067393E" w:rsidRDefault="00000000">
          <w:pPr>
            <w:pStyle w:val="Spistreci3"/>
            <w:rPr>
              <w:rFonts w:ascii="Lato" w:eastAsiaTheme="minorEastAsia" w:hAnsi="Lato" w:cstheme="minorBidi"/>
              <w:iCs w:val="0"/>
              <w:kern w:val="2"/>
              <w:sz w:val="19"/>
              <w:szCs w:val="19"/>
              <w14:ligatures w14:val="standardContextual"/>
            </w:rPr>
          </w:pPr>
          <w:hyperlink w:anchor="_Toc142469559" w:history="1">
            <w:r w:rsidR="00004298" w:rsidRPr="0067393E">
              <w:rPr>
                <w:rStyle w:val="Hipercze"/>
                <w:rFonts w:ascii="Lato" w:hAnsi="Lato"/>
                <w:sz w:val="19"/>
                <w:szCs w:val="19"/>
              </w:rPr>
              <w:t>1.2.3.</w:t>
            </w:r>
            <w:r w:rsidR="00004298" w:rsidRPr="0067393E">
              <w:rPr>
                <w:rFonts w:ascii="Lato" w:eastAsiaTheme="minorEastAsia" w:hAnsi="Lato" w:cstheme="minorBidi"/>
                <w:iCs w:val="0"/>
                <w:kern w:val="2"/>
                <w:sz w:val="19"/>
                <w:szCs w:val="19"/>
                <w14:ligatures w14:val="standardContextual"/>
              </w:rPr>
              <w:tab/>
            </w:r>
            <w:r w:rsidR="00004298" w:rsidRPr="0067393E">
              <w:rPr>
                <w:rStyle w:val="Hipercze"/>
                <w:rFonts w:ascii="Lato" w:hAnsi="Lato"/>
                <w:sz w:val="19"/>
                <w:szCs w:val="19"/>
              </w:rPr>
              <w:t>Infrastruktura gazowa kluczowa dla zapewnienia bezpiecze</w:t>
            </w:r>
            <w:r w:rsidR="00004298" w:rsidRPr="0067393E">
              <w:rPr>
                <w:rStyle w:val="Hipercze"/>
                <w:rFonts w:ascii="Lato" w:hAnsi="Lato" w:cs="Calibri"/>
                <w:sz w:val="19"/>
                <w:szCs w:val="19"/>
              </w:rPr>
              <w:t>ń</w:t>
            </w:r>
            <w:r w:rsidR="00004298" w:rsidRPr="0067393E">
              <w:rPr>
                <w:rStyle w:val="Hipercze"/>
                <w:rFonts w:ascii="Lato" w:hAnsi="Lato"/>
                <w:sz w:val="19"/>
                <w:szCs w:val="19"/>
              </w:rPr>
              <w:t>stwa dostaw gazu ziemnego</w:t>
            </w:r>
            <w:r w:rsidR="00004298" w:rsidRPr="0067393E">
              <w:rPr>
                <w:rFonts w:ascii="Lato" w:hAnsi="Lato"/>
                <w:webHidden/>
                <w:sz w:val="19"/>
                <w:szCs w:val="19"/>
              </w:rPr>
              <w:tab/>
            </w:r>
            <w:r w:rsidR="00004298" w:rsidRPr="0067393E">
              <w:rPr>
                <w:rFonts w:ascii="Lato" w:hAnsi="Lato"/>
                <w:webHidden/>
                <w:sz w:val="19"/>
                <w:szCs w:val="19"/>
              </w:rPr>
              <w:fldChar w:fldCharType="begin"/>
            </w:r>
            <w:r w:rsidR="00004298" w:rsidRPr="0067393E">
              <w:rPr>
                <w:rFonts w:ascii="Lato" w:hAnsi="Lato"/>
                <w:webHidden/>
                <w:sz w:val="19"/>
                <w:szCs w:val="19"/>
              </w:rPr>
              <w:instrText xml:space="preserve"> PAGEREF _Toc142469559 \h </w:instrText>
            </w:r>
            <w:r w:rsidR="00004298" w:rsidRPr="0067393E">
              <w:rPr>
                <w:rFonts w:ascii="Lato" w:hAnsi="Lato"/>
                <w:webHidden/>
                <w:sz w:val="19"/>
                <w:szCs w:val="19"/>
              </w:rPr>
            </w:r>
            <w:r w:rsidR="00004298" w:rsidRPr="0067393E">
              <w:rPr>
                <w:rFonts w:ascii="Lato" w:hAnsi="Lato"/>
                <w:webHidden/>
                <w:sz w:val="19"/>
                <w:szCs w:val="19"/>
              </w:rPr>
              <w:fldChar w:fldCharType="separate"/>
            </w:r>
            <w:r w:rsidR="00BB583E" w:rsidRPr="0067393E">
              <w:rPr>
                <w:rFonts w:ascii="Lato" w:hAnsi="Lato"/>
                <w:webHidden/>
                <w:sz w:val="19"/>
                <w:szCs w:val="19"/>
              </w:rPr>
              <w:t>20</w:t>
            </w:r>
            <w:r w:rsidR="00004298" w:rsidRPr="0067393E">
              <w:rPr>
                <w:rFonts w:ascii="Lato" w:hAnsi="Lato"/>
                <w:webHidden/>
                <w:sz w:val="19"/>
                <w:szCs w:val="19"/>
              </w:rPr>
              <w:fldChar w:fldCharType="end"/>
            </w:r>
          </w:hyperlink>
        </w:p>
        <w:p w14:paraId="0B1A3BAE" w14:textId="2DA182F3" w:rsidR="00004298" w:rsidRPr="0067393E" w:rsidRDefault="00000000">
          <w:pPr>
            <w:pStyle w:val="Spistreci3"/>
            <w:rPr>
              <w:rFonts w:ascii="Lato" w:eastAsiaTheme="minorEastAsia" w:hAnsi="Lato" w:cstheme="minorBidi"/>
              <w:iCs w:val="0"/>
              <w:kern w:val="2"/>
              <w:sz w:val="19"/>
              <w:szCs w:val="19"/>
              <w14:ligatures w14:val="standardContextual"/>
            </w:rPr>
          </w:pPr>
          <w:hyperlink w:anchor="_Toc142469560" w:history="1">
            <w:r w:rsidR="00004298" w:rsidRPr="0067393E">
              <w:rPr>
                <w:rStyle w:val="Hipercze"/>
                <w:rFonts w:ascii="Lato" w:hAnsi="Lato"/>
                <w:sz w:val="19"/>
                <w:szCs w:val="19"/>
              </w:rPr>
              <w:t>1.2.4.</w:t>
            </w:r>
            <w:r w:rsidR="00004298" w:rsidRPr="0067393E">
              <w:rPr>
                <w:rFonts w:ascii="Lato" w:eastAsiaTheme="minorEastAsia" w:hAnsi="Lato" w:cstheme="minorBidi"/>
                <w:iCs w:val="0"/>
                <w:kern w:val="2"/>
                <w:sz w:val="19"/>
                <w:szCs w:val="19"/>
                <w14:ligatures w14:val="standardContextual"/>
              </w:rPr>
              <w:tab/>
            </w:r>
            <w:r w:rsidR="00004298" w:rsidRPr="0067393E">
              <w:rPr>
                <w:rStyle w:val="Hipercze"/>
                <w:rFonts w:ascii="Lato" w:hAnsi="Lato"/>
                <w:sz w:val="19"/>
                <w:szCs w:val="19"/>
              </w:rPr>
              <w:t>Struktura importu gazu ziemnego</w:t>
            </w:r>
            <w:r w:rsidR="00004298" w:rsidRPr="0067393E">
              <w:rPr>
                <w:rFonts w:ascii="Lato" w:hAnsi="Lato"/>
                <w:webHidden/>
                <w:sz w:val="19"/>
                <w:szCs w:val="19"/>
              </w:rPr>
              <w:tab/>
            </w:r>
            <w:r w:rsidR="00004298" w:rsidRPr="0067393E">
              <w:rPr>
                <w:rFonts w:ascii="Lato" w:hAnsi="Lato"/>
                <w:webHidden/>
                <w:sz w:val="19"/>
                <w:szCs w:val="19"/>
              </w:rPr>
              <w:fldChar w:fldCharType="begin"/>
            </w:r>
            <w:r w:rsidR="00004298" w:rsidRPr="0067393E">
              <w:rPr>
                <w:rFonts w:ascii="Lato" w:hAnsi="Lato"/>
                <w:webHidden/>
                <w:sz w:val="19"/>
                <w:szCs w:val="19"/>
              </w:rPr>
              <w:instrText xml:space="preserve"> PAGEREF _Toc142469560 \h </w:instrText>
            </w:r>
            <w:r w:rsidR="00004298" w:rsidRPr="0067393E">
              <w:rPr>
                <w:rFonts w:ascii="Lato" w:hAnsi="Lato"/>
                <w:webHidden/>
                <w:sz w:val="19"/>
                <w:szCs w:val="19"/>
              </w:rPr>
            </w:r>
            <w:r w:rsidR="00004298" w:rsidRPr="0067393E">
              <w:rPr>
                <w:rFonts w:ascii="Lato" w:hAnsi="Lato"/>
                <w:webHidden/>
                <w:sz w:val="19"/>
                <w:szCs w:val="19"/>
              </w:rPr>
              <w:fldChar w:fldCharType="separate"/>
            </w:r>
            <w:r w:rsidR="00BB583E" w:rsidRPr="0067393E">
              <w:rPr>
                <w:rFonts w:ascii="Lato" w:hAnsi="Lato"/>
                <w:webHidden/>
                <w:sz w:val="19"/>
                <w:szCs w:val="19"/>
              </w:rPr>
              <w:t>20</w:t>
            </w:r>
            <w:r w:rsidR="00004298" w:rsidRPr="0067393E">
              <w:rPr>
                <w:rFonts w:ascii="Lato" w:hAnsi="Lato"/>
                <w:webHidden/>
                <w:sz w:val="19"/>
                <w:szCs w:val="19"/>
              </w:rPr>
              <w:fldChar w:fldCharType="end"/>
            </w:r>
          </w:hyperlink>
        </w:p>
        <w:p w14:paraId="087032EB" w14:textId="586CA270" w:rsidR="00004298" w:rsidRPr="0067393E" w:rsidRDefault="00000000">
          <w:pPr>
            <w:pStyle w:val="Spistreci3"/>
            <w:rPr>
              <w:rFonts w:ascii="Lato" w:eastAsiaTheme="minorEastAsia" w:hAnsi="Lato" w:cstheme="minorBidi"/>
              <w:iCs w:val="0"/>
              <w:kern w:val="2"/>
              <w:sz w:val="19"/>
              <w:szCs w:val="19"/>
              <w14:ligatures w14:val="standardContextual"/>
            </w:rPr>
          </w:pPr>
          <w:hyperlink w:anchor="_Toc142469561" w:history="1">
            <w:r w:rsidR="00004298" w:rsidRPr="0067393E">
              <w:rPr>
                <w:rStyle w:val="Hipercze"/>
                <w:rFonts w:ascii="Lato" w:hAnsi="Lato"/>
                <w:sz w:val="19"/>
                <w:szCs w:val="19"/>
              </w:rPr>
              <w:t>1.2.5.</w:t>
            </w:r>
            <w:r w:rsidR="00004298" w:rsidRPr="0067393E">
              <w:rPr>
                <w:rFonts w:ascii="Lato" w:eastAsiaTheme="minorEastAsia" w:hAnsi="Lato" w:cstheme="minorBidi"/>
                <w:iCs w:val="0"/>
                <w:kern w:val="2"/>
                <w:sz w:val="19"/>
                <w:szCs w:val="19"/>
                <w14:ligatures w14:val="standardContextual"/>
              </w:rPr>
              <w:tab/>
            </w:r>
            <w:r w:rsidR="00004298" w:rsidRPr="0067393E">
              <w:rPr>
                <w:rStyle w:val="Hipercze"/>
                <w:rFonts w:ascii="Lato" w:hAnsi="Lato"/>
                <w:sz w:val="19"/>
                <w:szCs w:val="19"/>
              </w:rPr>
              <w:t>System magazynowania gazu ziemnego</w:t>
            </w:r>
            <w:r w:rsidR="00004298" w:rsidRPr="0067393E">
              <w:rPr>
                <w:rFonts w:ascii="Lato" w:hAnsi="Lato"/>
                <w:webHidden/>
                <w:sz w:val="19"/>
                <w:szCs w:val="19"/>
              </w:rPr>
              <w:tab/>
            </w:r>
            <w:r w:rsidR="00004298" w:rsidRPr="0067393E">
              <w:rPr>
                <w:rFonts w:ascii="Lato" w:hAnsi="Lato"/>
                <w:webHidden/>
                <w:sz w:val="19"/>
                <w:szCs w:val="19"/>
              </w:rPr>
              <w:fldChar w:fldCharType="begin"/>
            </w:r>
            <w:r w:rsidR="00004298" w:rsidRPr="0067393E">
              <w:rPr>
                <w:rFonts w:ascii="Lato" w:hAnsi="Lato"/>
                <w:webHidden/>
                <w:sz w:val="19"/>
                <w:szCs w:val="19"/>
              </w:rPr>
              <w:instrText xml:space="preserve"> PAGEREF _Toc142469561 \h </w:instrText>
            </w:r>
            <w:r w:rsidR="00004298" w:rsidRPr="0067393E">
              <w:rPr>
                <w:rFonts w:ascii="Lato" w:hAnsi="Lato"/>
                <w:webHidden/>
                <w:sz w:val="19"/>
                <w:szCs w:val="19"/>
              </w:rPr>
            </w:r>
            <w:r w:rsidR="00004298" w:rsidRPr="0067393E">
              <w:rPr>
                <w:rFonts w:ascii="Lato" w:hAnsi="Lato"/>
                <w:webHidden/>
                <w:sz w:val="19"/>
                <w:szCs w:val="19"/>
              </w:rPr>
              <w:fldChar w:fldCharType="separate"/>
            </w:r>
            <w:r w:rsidR="00BB583E" w:rsidRPr="0067393E">
              <w:rPr>
                <w:rFonts w:ascii="Lato" w:hAnsi="Lato"/>
                <w:webHidden/>
                <w:sz w:val="19"/>
                <w:szCs w:val="19"/>
              </w:rPr>
              <w:t>21</w:t>
            </w:r>
            <w:r w:rsidR="00004298" w:rsidRPr="0067393E">
              <w:rPr>
                <w:rFonts w:ascii="Lato" w:hAnsi="Lato"/>
                <w:webHidden/>
                <w:sz w:val="19"/>
                <w:szCs w:val="19"/>
              </w:rPr>
              <w:fldChar w:fldCharType="end"/>
            </w:r>
          </w:hyperlink>
        </w:p>
        <w:p w14:paraId="535E1765" w14:textId="5D809E73" w:rsidR="00004298" w:rsidRPr="0067393E" w:rsidRDefault="00000000">
          <w:pPr>
            <w:pStyle w:val="Spistreci3"/>
            <w:rPr>
              <w:rFonts w:ascii="Lato" w:eastAsiaTheme="minorEastAsia" w:hAnsi="Lato" w:cstheme="minorBidi"/>
              <w:iCs w:val="0"/>
              <w:kern w:val="2"/>
              <w:sz w:val="19"/>
              <w:szCs w:val="19"/>
              <w14:ligatures w14:val="standardContextual"/>
            </w:rPr>
          </w:pPr>
          <w:hyperlink w:anchor="_Toc142469562" w:history="1">
            <w:r w:rsidR="00004298" w:rsidRPr="0067393E">
              <w:rPr>
                <w:rStyle w:val="Hipercze"/>
                <w:rFonts w:ascii="Lato" w:hAnsi="Lato"/>
                <w:sz w:val="19"/>
                <w:szCs w:val="19"/>
              </w:rPr>
              <w:t>1.2.6.</w:t>
            </w:r>
            <w:r w:rsidR="00004298" w:rsidRPr="0067393E">
              <w:rPr>
                <w:rFonts w:ascii="Lato" w:eastAsiaTheme="minorEastAsia" w:hAnsi="Lato" w:cstheme="minorBidi"/>
                <w:iCs w:val="0"/>
                <w:kern w:val="2"/>
                <w:sz w:val="19"/>
                <w:szCs w:val="19"/>
                <w14:ligatures w14:val="standardContextual"/>
              </w:rPr>
              <w:tab/>
            </w:r>
            <w:r w:rsidR="00004298" w:rsidRPr="0067393E">
              <w:rPr>
                <w:rStyle w:val="Hipercze"/>
                <w:rFonts w:ascii="Lato" w:hAnsi="Lato"/>
                <w:sz w:val="19"/>
                <w:szCs w:val="19"/>
              </w:rPr>
              <w:t>Krajowe wydobycie gazu ziemnego</w:t>
            </w:r>
            <w:r w:rsidR="00004298" w:rsidRPr="0067393E">
              <w:rPr>
                <w:rFonts w:ascii="Lato" w:hAnsi="Lato"/>
                <w:webHidden/>
                <w:sz w:val="19"/>
                <w:szCs w:val="19"/>
              </w:rPr>
              <w:tab/>
            </w:r>
            <w:r w:rsidR="00004298" w:rsidRPr="0067393E">
              <w:rPr>
                <w:rFonts w:ascii="Lato" w:hAnsi="Lato"/>
                <w:webHidden/>
                <w:sz w:val="19"/>
                <w:szCs w:val="19"/>
              </w:rPr>
              <w:fldChar w:fldCharType="begin"/>
            </w:r>
            <w:r w:rsidR="00004298" w:rsidRPr="0067393E">
              <w:rPr>
                <w:rFonts w:ascii="Lato" w:hAnsi="Lato"/>
                <w:webHidden/>
                <w:sz w:val="19"/>
                <w:szCs w:val="19"/>
              </w:rPr>
              <w:instrText xml:space="preserve"> PAGEREF _Toc142469562 \h </w:instrText>
            </w:r>
            <w:r w:rsidR="00004298" w:rsidRPr="0067393E">
              <w:rPr>
                <w:rFonts w:ascii="Lato" w:hAnsi="Lato"/>
                <w:webHidden/>
                <w:sz w:val="19"/>
                <w:szCs w:val="19"/>
              </w:rPr>
            </w:r>
            <w:r w:rsidR="00004298" w:rsidRPr="0067393E">
              <w:rPr>
                <w:rFonts w:ascii="Lato" w:hAnsi="Lato"/>
                <w:webHidden/>
                <w:sz w:val="19"/>
                <w:szCs w:val="19"/>
              </w:rPr>
              <w:fldChar w:fldCharType="separate"/>
            </w:r>
            <w:r w:rsidR="00BB583E" w:rsidRPr="0067393E">
              <w:rPr>
                <w:rFonts w:ascii="Lato" w:hAnsi="Lato"/>
                <w:webHidden/>
                <w:sz w:val="19"/>
                <w:szCs w:val="19"/>
              </w:rPr>
              <w:t>22</w:t>
            </w:r>
            <w:r w:rsidR="00004298" w:rsidRPr="0067393E">
              <w:rPr>
                <w:rFonts w:ascii="Lato" w:hAnsi="Lato"/>
                <w:webHidden/>
                <w:sz w:val="19"/>
                <w:szCs w:val="19"/>
              </w:rPr>
              <w:fldChar w:fldCharType="end"/>
            </w:r>
          </w:hyperlink>
        </w:p>
        <w:p w14:paraId="5BB4561B" w14:textId="4D73810F" w:rsidR="00004298" w:rsidRPr="0067393E" w:rsidRDefault="00000000">
          <w:pPr>
            <w:pStyle w:val="Spistreci3"/>
            <w:rPr>
              <w:rFonts w:ascii="Lato" w:eastAsiaTheme="minorEastAsia" w:hAnsi="Lato" w:cstheme="minorBidi"/>
              <w:iCs w:val="0"/>
              <w:kern w:val="2"/>
              <w:sz w:val="19"/>
              <w:szCs w:val="19"/>
              <w14:ligatures w14:val="standardContextual"/>
            </w:rPr>
          </w:pPr>
          <w:hyperlink w:anchor="_Toc142469563" w:history="1">
            <w:r w:rsidR="00004298" w:rsidRPr="0067393E">
              <w:rPr>
                <w:rStyle w:val="Hipercze"/>
                <w:rFonts w:ascii="Lato" w:hAnsi="Lato"/>
                <w:sz w:val="19"/>
                <w:szCs w:val="19"/>
              </w:rPr>
              <w:t>1.2.7.</w:t>
            </w:r>
            <w:r w:rsidR="00004298" w:rsidRPr="0067393E">
              <w:rPr>
                <w:rFonts w:ascii="Lato" w:eastAsiaTheme="minorEastAsia" w:hAnsi="Lato" w:cstheme="minorBidi"/>
                <w:iCs w:val="0"/>
                <w:kern w:val="2"/>
                <w:sz w:val="19"/>
                <w:szCs w:val="19"/>
                <w14:ligatures w14:val="standardContextual"/>
              </w:rPr>
              <w:tab/>
            </w:r>
            <w:r w:rsidR="00004298" w:rsidRPr="0067393E">
              <w:rPr>
                <w:rStyle w:val="Hipercze"/>
                <w:rFonts w:ascii="Lato" w:hAnsi="Lato"/>
                <w:sz w:val="19"/>
                <w:szCs w:val="19"/>
              </w:rPr>
              <w:t>Wykorzystanie gazu ziemnego przy produkcji energii elektrycznej</w:t>
            </w:r>
            <w:r w:rsidR="00004298" w:rsidRPr="0067393E">
              <w:rPr>
                <w:rFonts w:ascii="Lato" w:hAnsi="Lato"/>
                <w:webHidden/>
                <w:sz w:val="19"/>
                <w:szCs w:val="19"/>
              </w:rPr>
              <w:tab/>
            </w:r>
            <w:r w:rsidR="00004298" w:rsidRPr="0067393E">
              <w:rPr>
                <w:rFonts w:ascii="Lato" w:hAnsi="Lato"/>
                <w:webHidden/>
                <w:sz w:val="19"/>
                <w:szCs w:val="19"/>
              </w:rPr>
              <w:fldChar w:fldCharType="begin"/>
            </w:r>
            <w:r w:rsidR="00004298" w:rsidRPr="0067393E">
              <w:rPr>
                <w:rFonts w:ascii="Lato" w:hAnsi="Lato"/>
                <w:webHidden/>
                <w:sz w:val="19"/>
                <w:szCs w:val="19"/>
              </w:rPr>
              <w:instrText xml:space="preserve"> PAGEREF _Toc142469563 \h </w:instrText>
            </w:r>
            <w:r w:rsidR="00004298" w:rsidRPr="0067393E">
              <w:rPr>
                <w:rFonts w:ascii="Lato" w:hAnsi="Lato"/>
                <w:webHidden/>
                <w:sz w:val="19"/>
                <w:szCs w:val="19"/>
              </w:rPr>
            </w:r>
            <w:r w:rsidR="00004298" w:rsidRPr="0067393E">
              <w:rPr>
                <w:rFonts w:ascii="Lato" w:hAnsi="Lato"/>
                <w:webHidden/>
                <w:sz w:val="19"/>
                <w:szCs w:val="19"/>
              </w:rPr>
              <w:fldChar w:fldCharType="separate"/>
            </w:r>
            <w:r w:rsidR="00BB583E" w:rsidRPr="0067393E">
              <w:rPr>
                <w:rFonts w:ascii="Lato" w:hAnsi="Lato"/>
                <w:webHidden/>
                <w:sz w:val="19"/>
                <w:szCs w:val="19"/>
              </w:rPr>
              <w:t>24</w:t>
            </w:r>
            <w:r w:rsidR="00004298" w:rsidRPr="0067393E">
              <w:rPr>
                <w:rFonts w:ascii="Lato" w:hAnsi="Lato"/>
                <w:webHidden/>
                <w:sz w:val="19"/>
                <w:szCs w:val="19"/>
              </w:rPr>
              <w:fldChar w:fldCharType="end"/>
            </w:r>
          </w:hyperlink>
        </w:p>
        <w:p w14:paraId="30583089" w14:textId="5E50CFC9" w:rsidR="00004298" w:rsidRPr="0067393E" w:rsidRDefault="00000000">
          <w:pPr>
            <w:pStyle w:val="Spistreci3"/>
            <w:rPr>
              <w:rFonts w:ascii="Lato" w:eastAsiaTheme="minorEastAsia" w:hAnsi="Lato" w:cstheme="minorBidi"/>
              <w:iCs w:val="0"/>
              <w:kern w:val="2"/>
              <w:sz w:val="19"/>
              <w:szCs w:val="19"/>
              <w14:ligatures w14:val="standardContextual"/>
            </w:rPr>
          </w:pPr>
          <w:hyperlink w:anchor="_Toc142469564" w:history="1">
            <w:r w:rsidR="00004298" w:rsidRPr="0067393E">
              <w:rPr>
                <w:rStyle w:val="Hipercze"/>
                <w:rFonts w:ascii="Lato" w:hAnsi="Lato"/>
                <w:sz w:val="19"/>
                <w:szCs w:val="19"/>
              </w:rPr>
              <w:t>1.2.8.</w:t>
            </w:r>
            <w:r w:rsidR="00004298" w:rsidRPr="0067393E">
              <w:rPr>
                <w:rFonts w:ascii="Lato" w:eastAsiaTheme="minorEastAsia" w:hAnsi="Lato" w:cstheme="minorBidi"/>
                <w:iCs w:val="0"/>
                <w:kern w:val="2"/>
                <w:sz w:val="19"/>
                <w:szCs w:val="19"/>
                <w14:ligatures w14:val="standardContextual"/>
              </w:rPr>
              <w:tab/>
            </w:r>
            <w:r w:rsidR="00004298" w:rsidRPr="0067393E">
              <w:rPr>
                <w:rStyle w:val="Hipercze"/>
                <w:rFonts w:ascii="Lato" w:hAnsi="Lato"/>
                <w:sz w:val="19"/>
                <w:szCs w:val="19"/>
              </w:rPr>
              <w:t>Rola środków na rzecz efektywności energetycznej</w:t>
            </w:r>
            <w:r w:rsidR="00004298" w:rsidRPr="0067393E">
              <w:rPr>
                <w:rFonts w:ascii="Lato" w:hAnsi="Lato"/>
                <w:webHidden/>
                <w:sz w:val="19"/>
                <w:szCs w:val="19"/>
              </w:rPr>
              <w:tab/>
            </w:r>
            <w:r w:rsidR="00004298" w:rsidRPr="0067393E">
              <w:rPr>
                <w:rFonts w:ascii="Lato" w:hAnsi="Lato"/>
                <w:webHidden/>
                <w:sz w:val="19"/>
                <w:szCs w:val="19"/>
              </w:rPr>
              <w:fldChar w:fldCharType="begin"/>
            </w:r>
            <w:r w:rsidR="00004298" w:rsidRPr="0067393E">
              <w:rPr>
                <w:rFonts w:ascii="Lato" w:hAnsi="Lato"/>
                <w:webHidden/>
                <w:sz w:val="19"/>
                <w:szCs w:val="19"/>
              </w:rPr>
              <w:instrText xml:space="preserve"> PAGEREF _Toc142469564 \h </w:instrText>
            </w:r>
            <w:r w:rsidR="00004298" w:rsidRPr="0067393E">
              <w:rPr>
                <w:rFonts w:ascii="Lato" w:hAnsi="Lato"/>
                <w:webHidden/>
                <w:sz w:val="19"/>
                <w:szCs w:val="19"/>
              </w:rPr>
            </w:r>
            <w:r w:rsidR="00004298" w:rsidRPr="0067393E">
              <w:rPr>
                <w:rFonts w:ascii="Lato" w:hAnsi="Lato"/>
                <w:webHidden/>
                <w:sz w:val="19"/>
                <w:szCs w:val="19"/>
              </w:rPr>
              <w:fldChar w:fldCharType="separate"/>
            </w:r>
            <w:r w:rsidR="00BB583E" w:rsidRPr="0067393E">
              <w:rPr>
                <w:rFonts w:ascii="Lato" w:hAnsi="Lato"/>
                <w:webHidden/>
                <w:sz w:val="19"/>
                <w:szCs w:val="19"/>
              </w:rPr>
              <w:t>24</w:t>
            </w:r>
            <w:r w:rsidR="00004298" w:rsidRPr="0067393E">
              <w:rPr>
                <w:rFonts w:ascii="Lato" w:hAnsi="Lato"/>
                <w:webHidden/>
                <w:sz w:val="19"/>
                <w:szCs w:val="19"/>
              </w:rPr>
              <w:fldChar w:fldCharType="end"/>
            </w:r>
          </w:hyperlink>
        </w:p>
        <w:p w14:paraId="424AD2BC" w14:textId="0693D269" w:rsidR="00004298" w:rsidRPr="0067393E" w:rsidRDefault="00000000" w:rsidP="00BB583E">
          <w:pPr>
            <w:pStyle w:val="Spistreci1"/>
            <w:rPr>
              <w:rFonts w:ascii="Lato" w:eastAsiaTheme="minorEastAsia" w:hAnsi="Lato" w:cstheme="minorBidi"/>
              <w:kern w:val="2"/>
              <w:sz w:val="19"/>
              <w:szCs w:val="19"/>
              <w14:ligatures w14:val="standardContextual"/>
            </w:rPr>
          </w:pPr>
          <w:hyperlink w:anchor="_Toc142469565" w:history="1">
            <w:r w:rsidR="00004298" w:rsidRPr="0067393E">
              <w:rPr>
                <w:rStyle w:val="Hipercze"/>
                <w:rFonts w:ascii="Lato" w:hAnsi="Lato"/>
                <w:sz w:val="19"/>
                <w:szCs w:val="19"/>
              </w:rPr>
              <w:t>2.</w:t>
            </w:r>
            <w:r w:rsidR="00004298" w:rsidRPr="0067393E">
              <w:rPr>
                <w:rFonts w:ascii="Lato" w:eastAsiaTheme="minorEastAsia" w:hAnsi="Lato" w:cstheme="minorBidi"/>
                <w:kern w:val="2"/>
                <w:sz w:val="19"/>
                <w:szCs w:val="19"/>
                <w14:ligatures w14:val="standardContextual"/>
              </w:rPr>
              <w:tab/>
            </w:r>
            <w:r w:rsidR="00004298" w:rsidRPr="0067393E">
              <w:rPr>
                <w:rStyle w:val="Hipercze"/>
                <w:rFonts w:ascii="Lato" w:hAnsi="Lato"/>
                <w:sz w:val="19"/>
                <w:szCs w:val="19"/>
              </w:rPr>
              <w:t>Streszczenie oceny ryzyka</w:t>
            </w:r>
            <w:r w:rsidR="00004298" w:rsidRPr="0067393E">
              <w:rPr>
                <w:rFonts w:ascii="Lato" w:hAnsi="Lato"/>
                <w:webHidden/>
                <w:sz w:val="19"/>
                <w:szCs w:val="19"/>
              </w:rPr>
              <w:tab/>
            </w:r>
            <w:r w:rsidR="00004298" w:rsidRPr="0067393E">
              <w:rPr>
                <w:rFonts w:ascii="Lato" w:hAnsi="Lato"/>
                <w:webHidden/>
                <w:sz w:val="19"/>
                <w:szCs w:val="19"/>
              </w:rPr>
              <w:fldChar w:fldCharType="begin"/>
            </w:r>
            <w:r w:rsidR="00004298" w:rsidRPr="0067393E">
              <w:rPr>
                <w:rFonts w:ascii="Lato" w:hAnsi="Lato"/>
                <w:webHidden/>
                <w:sz w:val="19"/>
                <w:szCs w:val="19"/>
              </w:rPr>
              <w:instrText xml:space="preserve"> PAGEREF _Toc142469565 \h </w:instrText>
            </w:r>
            <w:r w:rsidR="00004298" w:rsidRPr="0067393E">
              <w:rPr>
                <w:rFonts w:ascii="Lato" w:hAnsi="Lato"/>
                <w:webHidden/>
                <w:sz w:val="19"/>
                <w:szCs w:val="19"/>
              </w:rPr>
            </w:r>
            <w:r w:rsidR="00004298" w:rsidRPr="0067393E">
              <w:rPr>
                <w:rFonts w:ascii="Lato" w:hAnsi="Lato"/>
                <w:webHidden/>
                <w:sz w:val="19"/>
                <w:szCs w:val="19"/>
              </w:rPr>
              <w:fldChar w:fldCharType="separate"/>
            </w:r>
            <w:r w:rsidR="00BB583E" w:rsidRPr="0067393E">
              <w:rPr>
                <w:rFonts w:ascii="Lato" w:hAnsi="Lato"/>
                <w:webHidden/>
                <w:sz w:val="19"/>
                <w:szCs w:val="19"/>
              </w:rPr>
              <w:t>26</w:t>
            </w:r>
            <w:r w:rsidR="00004298" w:rsidRPr="0067393E">
              <w:rPr>
                <w:rFonts w:ascii="Lato" w:hAnsi="Lato"/>
                <w:webHidden/>
                <w:sz w:val="19"/>
                <w:szCs w:val="19"/>
              </w:rPr>
              <w:fldChar w:fldCharType="end"/>
            </w:r>
          </w:hyperlink>
        </w:p>
        <w:p w14:paraId="4B833D67" w14:textId="26ED3BDC" w:rsidR="00004298" w:rsidRPr="0067393E" w:rsidRDefault="00000000">
          <w:pPr>
            <w:pStyle w:val="Spistreci2"/>
            <w:rPr>
              <w:rFonts w:eastAsiaTheme="minorEastAsia" w:cstheme="minorBidi"/>
              <w:smallCaps w:val="0"/>
              <w:kern w:val="2"/>
              <w:sz w:val="19"/>
              <w:szCs w:val="19"/>
              <w14:ligatures w14:val="standardContextual"/>
            </w:rPr>
          </w:pPr>
          <w:hyperlink w:anchor="_Toc142469566" w:history="1">
            <w:r w:rsidR="00004298" w:rsidRPr="0067393E">
              <w:rPr>
                <w:rStyle w:val="Hipercze"/>
                <w:sz w:val="19"/>
                <w:szCs w:val="19"/>
              </w:rPr>
              <w:t>2.1.</w:t>
            </w:r>
            <w:r w:rsidR="00004298" w:rsidRPr="0067393E">
              <w:rPr>
                <w:rFonts w:eastAsiaTheme="minorEastAsia" w:cstheme="minorBidi"/>
                <w:smallCaps w:val="0"/>
                <w:kern w:val="2"/>
                <w:sz w:val="19"/>
                <w:szCs w:val="19"/>
                <w14:ligatures w14:val="standardContextual"/>
              </w:rPr>
              <w:tab/>
            </w:r>
            <w:r w:rsidR="00004298" w:rsidRPr="0067393E">
              <w:rPr>
                <w:rStyle w:val="Hipercze"/>
                <w:sz w:val="19"/>
                <w:szCs w:val="19"/>
              </w:rPr>
              <w:t>Wspólna ocena ryzyka</w:t>
            </w:r>
            <w:r w:rsidR="00004298" w:rsidRPr="0067393E">
              <w:rPr>
                <w:webHidden/>
                <w:sz w:val="19"/>
                <w:szCs w:val="19"/>
              </w:rPr>
              <w:tab/>
            </w:r>
            <w:r w:rsidR="00004298" w:rsidRPr="0067393E">
              <w:rPr>
                <w:webHidden/>
                <w:sz w:val="19"/>
                <w:szCs w:val="19"/>
              </w:rPr>
              <w:fldChar w:fldCharType="begin"/>
            </w:r>
            <w:r w:rsidR="00004298" w:rsidRPr="0067393E">
              <w:rPr>
                <w:webHidden/>
                <w:sz w:val="19"/>
                <w:szCs w:val="19"/>
              </w:rPr>
              <w:instrText xml:space="preserve"> PAGEREF _Toc142469566 \h </w:instrText>
            </w:r>
            <w:r w:rsidR="00004298" w:rsidRPr="0067393E">
              <w:rPr>
                <w:webHidden/>
                <w:sz w:val="19"/>
                <w:szCs w:val="19"/>
              </w:rPr>
            </w:r>
            <w:r w:rsidR="00004298" w:rsidRPr="0067393E">
              <w:rPr>
                <w:webHidden/>
                <w:sz w:val="19"/>
                <w:szCs w:val="19"/>
              </w:rPr>
              <w:fldChar w:fldCharType="separate"/>
            </w:r>
            <w:r w:rsidR="00BB583E" w:rsidRPr="0067393E">
              <w:rPr>
                <w:webHidden/>
                <w:sz w:val="19"/>
                <w:szCs w:val="19"/>
              </w:rPr>
              <w:t>26</w:t>
            </w:r>
            <w:r w:rsidR="00004298" w:rsidRPr="0067393E">
              <w:rPr>
                <w:webHidden/>
                <w:sz w:val="19"/>
                <w:szCs w:val="19"/>
              </w:rPr>
              <w:fldChar w:fldCharType="end"/>
            </w:r>
          </w:hyperlink>
        </w:p>
        <w:p w14:paraId="04D780B9" w14:textId="7CE48158" w:rsidR="00004298" w:rsidRPr="0067393E" w:rsidRDefault="00000000">
          <w:pPr>
            <w:pStyle w:val="Spistreci2"/>
            <w:rPr>
              <w:rFonts w:eastAsiaTheme="minorEastAsia" w:cstheme="minorBidi"/>
              <w:smallCaps w:val="0"/>
              <w:kern w:val="2"/>
              <w:sz w:val="19"/>
              <w:szCs w:val="19"/>
              <w14:ligatures w14:val="standardContextual"/>
            </w:rPr>
          </w:pPr>
          <w:hyperlink w:anchor="_Toc142469567" w:history="1">
            <w:r w:rsidR="00004298" w:rsidRPr="0067393E">
              <w:rPr>
                <w:rStyle w:val="Hipercze"/>
                <w:sz w:val="19"/>
                <w:szCs w:val="19"/>
              </w:rPr>
              <w:t>2.2.</w:t>
            </w:r>
            <w:r w:rsidR="00004298" w:rsidRPr="0067393E">
              <w:rPr>
                <w:rFonts w:eastAsiaTheme="minorEastAsia" w:cstheme="minorBidi"/>
                <w:smallCaps w:val="0"/>
                <w:kern w:val="2"/>
                <w:sz w:val="19"/>
                <w:szCs w:val="19"/>
                <w14:ligatures w14:val="standardContextual"/>
              </w:rPr>
              <w:tab/>
            </w:r>
            <w:r w:rsidR="00004298" w:rsidRPr="0067393E">
              <w:rPr>
                <w:rStyle w:val="Hipercze"/>
                <w:sz w:val="19"/>
                <w:szCs w:val="19"/>
              </w:rPr>
              <w:t>Krajowa ocena ryzyka</w:t>
            </w:r>
            <w:r w:rsidR="00004298" w:rsidRPr="0067393E">
              <w:rPr>
                <w:webHidden/>
                <w:sz w:val="19"/>
                <w:szCs w:val="19"/>
              </w:rPr>
              <w:tab/>
            </w:r>
            <w:r w:rsidR="00004298" w:rsidRPr="0067393E">
              <w:rPr>
                <w:webHidden/>
                <w:sz w:val="19"/>
                <w:szCs w:val="19"/>
              </w:rPr>
              <w:fldChar w:fldCharType="begin"/>
            </w:r>
            <w:r w:rsidR="00004298" w:rsidRPr="0067393E">
              <w:rPr>
                <w:webHidden/>
                <w:sz w:val="19"/>
                <w:szCs w:val="19"/>
              </w:rPr>
              <w:instrText xml:space="preserve"> PAGEREF _Toc142469567 \h </w:instrText>
            </w:r>
            <w:r w:rsidR="00004298" w:rsidRPr="0067393E">
              <w:rPr>
                <w:webHidden/>
                <w:sz w:val="19"/>
                <w:szCs w:val="19"/>
              </w:rPr>
            </w:r>
            <w:r w:rsidR="00004298" w:rsidRPr="0067393E">
              <w:rPr>
                <w:webHidden/>
                <w:sz w:val="19"/>
                <w:szCs w:val="19"/>
              </w:rPr>
              <w:fldChar w:fldCharType="separate"/>
            </w:r>
            <w:r w:rsidR="00BB583E" w:rsidRPr="0067393E">
              <w:rPr>
                <w:webHidden/>
                <w:sz w:val="19"/>
                <w:szCs w:val="19"/>
              </w:rPr>
              <w:t>27</w:t>
            </w:r>
            <w:r w:rsidR="00004298" w:rsidRPr="0067393E">
              <w:rPr>
                <w:webHidden/>
                <w:sz w:val="19"/>
                <w:szCs w:val="19"/>
              </w:rPr>
              <w:fldChar w:fldCharType="end"/>
            </w:r>
          </w:hyperlink>
        </w:p>
        <w:p w14:paraId="5A71E6B0" w14:textId="55B6C140" w:rsidR="00004298" w:rsidRPr="0067393E" w:rsidRDefault="00000000" w:rsidP="00BB583E">
          <w:pPr>
            <w:pStyle w:val="Spistreci1"/>
            <w:rPr>
              <w:rFonts w:ascii="Lato" w:eastAsiaTheme="minorEastAsia" w:hAnsi="Lato" w:cstheme="minorBidi"/>
              <w:kern w:val="2"/>
              <w:sz w:val="19"/>
              <w:szCs w:val="19"/>
              <w14:ligatures w14:val="standardContextual"/>
            </w:rPr>
          </w:pPr>
          <w:hyperlink w:anchor="_Toc142469568" w:history="1">
            <w:r w:rsidR="00004298" w:rsidRPr="0067393E">
              <w:rPr>
                <w:rStyle w:val="Hipercze"/>
                <w:rFonts w:ascii="Lato" w:hAnsi="Lato"/>
                <w:sz w:val="19"/>
                <w:szCs w:val="19"/>
              </w:rPr>
              <w:t>3.</w:t>
            </w:r>
            <w:r w:rsidR="00004298" w:rsidRPr="0067393E">
              <w:rPr>
                <w:rFonts w:ascii="Lato" w:eastAsiaTheme="minorEastAsia" w:hAnsi="Lato" w:cstheme="minorBidi"/>
                <w:kern w:val="2"/>
                <w:sz w:val="19"/>
                <w:szCs w:val="19"/>
                <w14:ligatures w14:val="standardContextual"/>
              </w:rPr>
              <w:tab/>
            </w:r>
            <w:r w:rsidR="00004298" w:rsidRPr="0067393E">
              <w:rPr>
                <w:rStyle w:val="Hipercze"/>
                <w:rFonts w:ascii="Lato" w:hAnsi="Lato"/>
                <w:sz w:val="19"/>
                <w:szCs w:val="19"/>
              </w:rPr>
              <w:t>Standard w zakresie infrastruktury</w:t>
            </w:r>
            <w:r w:rsidR="00004298" w:rsidRPr="0067393E">
              <w:rPr>
                <w:rFonts w:ascii="Lato" w:hAnsi="Lato"/>
                <w:webHidden/>
                <w:sz w:val="19"/>
                <w:szCs w:val="19"/>
              </w:rPr>
              <w:tab/>
            </w:r>
            <w:r w:rsidR="00004298" w:rsidRPr="0067393E">
              <w:rPr>
                <w:rFonts w:ascii="Lato" w:hAnsi="Lato"/>
                <w:webHidden/>
                <w:sz w:val="19"/>
                <w:szCs w:val="19"/>
              </w:rPr>
              <w:fldChar w:fldCharType="begin"/>
            </w:r>
            <w:r w:rsidR="00004298" w:rsidRPr="0067393E">
              <w:rPr>
                <w:rFonts w:ascii="Lato" w:hAnsi="Lato"/>
                <w:webHidden/>
                <w:sz w:val="19"/>
                <w:szCs w:val="19"/>
              </w:rPr>
              <w:instrText xml:space="preserve"> PAGEREF _Toc142469568 \h </w:instrText>
            </w:r>
            <w:r w:rsidR="00004298" w:rsidRPr="0067393E">
              <w:rPr>
                <w:rFonts w:ascii="Lato" w:hAnsi="Lato"/>
                <w:webHidden/>
                <w:sz w:val="19"/>
                <w:szCs w:val="19"/>
              </w:rPr>
            </w:r>
            <w:r w:rsidR="00004298" w:rsidRPr="0067393E">
              <w:rPr>
                <w:rFonts w:ascii="Lato" w:hAnsi="Lato"/>
                <w:webHidden/>
                <w:sz w:val="19"/>
                <w:szCs w:val="19"/>
              </w:rPr>
              <w:fldChar w:fldCharType="separate"/>
            </w:r>
            <w:r w:rsidR="00BB583E" w:rsidRPr="0067393E">
              <w:rPr>
                <w:rFonts w:ascii="Lato" w:hAnsi="Lato"/>
                <w:webHidden/>
                <w:sz w:val="19"/>
                <w:szCs w:val="19"/>
              </w:rPr>
              <w:t>28</w:t>
            </w:r>
            <w:r w:rsidR="00004298" w:rsidRPr="0067393E">
              <w:rPr>
                <w:rFonts w:ascii="Lato" w:hAnsi="Lato"/>
                <w:webHidden/>
                <w:sz w:val="19"/>
                <w:szCs w:val="19"/>
              </w:rPr>
              <w:fldChar w:fldCharType="end"/>
            </w:r>
          </w:hyperlink>
        </w:p>
        <w:p w14:paraId="5EABD197" w14:textId="01F75780" w:rsidR="00004298" w:rsidRPr="0067393E" w:rsidRDefault="00000000">
          <w:pPr>
            <w:pStyle w:val="Spistreci2"/>
            <w:rPr>
              <w:rFonts w:eastAsiaTheme="minorEastAsia" w:cstheme="minorBidi"/>
              <w:smallCaps w:val="0"/>
              <w:kern w:val="2"/>
              <w:sz w:val="19"/>
              <w:szCs w:val="19"/>
              <w14:ligatures w14:val="standardContextual"/>
            </w:rPr>
          </w:pPr>
          <w:hyperlink w:anchor="_Toc142469569" w:history="1">
            <w:r w:rsidR="00004298" w:rsidRPr="0067393E">
              <w:rPr>
                <w:rStyle w:val="Hipercze"/>
                <w:sz w:val="19"/>
                <w:szCs w:val="19"/>
              </w:rPr>
              <w:t>3.1.</w:t>
            </w:r>
            <w:r w:rsidR="00004298" w:rsidRPr="0067393E">
              <w:rPr>
                <w:rFonts w:eastAsiaTheme="minorEastAsia" w:cstheme="minorBidi"/>
                <w:smallCaps w:val="0"/>
                <w:kern w:val="2"/>
                <w:sz w:val="19"/>
                <w:szCs w:val="19"/>
                <w14:ligatures w14:val="standardContextual"/>
              </w:rPr>
              <w:tab/>
            </w:r>
            <w:r w:rsidR="00004298" w:rsidRPr="0067393E">
              <w:rPr>
                <w:rStyle w:val="Hipercze"/>
                <w:sz w:val="19"/>
                <w:szCs w:val="19"/>
              </w:rPr>
              <w:t>Wskaźnik N-1 na szczeblu krajowym</w:t>
            </w:r>
            <w:r w:rsidR="00004298" w:rsidRPr="0067393E">
              <w:rPr>
                <w:webHidden/>
                <w:sz w:val="19"/>
                <w:szCs w:val="19"/>
              </w:rPr>
              <w:tab/>
            </w:r>
            <w:r w:rsidR="00004298" w:rsidRPr="0067393E">
              <w:rPr>
                <w:webHidden/>
                <w:sz w:val="19"/>
                <w:szCs w:val="19"/>
              </w:rPr>
              <w:fldChar w:fldCharType="begin"/>
            </w:r>
            <w:r w:rsidR="00004298" w:rsidRPr="0067393E">
              <w:rPr>
                <w:webHidden/>
                <w:sz w:val="19"/>
                <w:szCs w:val="19"/>
              </w:rPr>
              <w:instrText xml:space="preserve"> PAGEREF _Toc142469569 \h </w:instrText>
            </w:r>
            <w:r w:rsidR="00004298" w:rsidRPr="0067393E">
              <w:rPr>
                <w:webHidden/>
                <w:sz w:val="19"/>
                <w:szCs w:val="19"/>
              </w:rPr>
            </w:r>
            <w:r w:rsidR="00004298" w:rsidRPr="0067393E">
              <w:rPr>
                <w:webHidden/>
                <w:sz w:val="19"/>
                <w:szCs w:val="19"/>
              </w:rPr>
              <w:fldChar w:fldCharType="separate"/>
            </w:r>
            <w:r w:rsidR="00BB583E" w:rsidRPr="0067393E">
              <w:rPr>
                <w:webHidden/>
                <w:sz w:val="19"/>
                <w:szCs w:val="19"/>
              </w:rPr>
              <w:t>29</w:t>
            </w:r>
            <w:r w:rsidR="00004298" w:rsidRPr="0067393E">
              <w:rPr>
                <w:webHidden/>
                <w:sz w:val="19"/>
                <w:szCs w:val="19"/>
              </w:rPr>
              <w:fldChar w:fldCharType="end"/>
            </w:r>
          </w:hyperlink>
        </w:p>
        <w:p w14:paraId="00947E07" w14:textId="425EA031" w:rsidR="00004298" w:rsidRPr="0067393E" w:rsidRDefault="00000000">
          <w:pPr>
            <w:pStyle w:val="Spistreci3"/>
            <w:rPr>
              <w:rFonts w:ascii="Lato" w:eastAsiaTheme="minorEastAsia" w:hAnsi="Lato" w:cstheme="minorBidi"/>
              <w:iCs w:val="0"/>
              <w:kern w:val="2"/>
              <w:sz w:val="19"/>
              <w:szCs w:val="19"/>
              <w14:ligatures w14:val="standardContextual"/>
            </w:rPr>
          </w:pPr>
          <w:hyperlink w:anchor="_Toc142469570" w:history="1">
            <w:r w:rsidR="00004298" w:rsidRPr="0067393E">
              <w:rPr>
                <w:rStyle w:val="Hipercze"/>
                <w:rFonts w:ascii="Lato" w:hAnsi="Lato"/>
                <w:sz w:val="19"/>
                <w:szCs w:val="19"/>
              </w:rPr>
              <w:t>3.1.1.</w:t>
            </w:r>
            <w:r w:rsidR="00004298" w:rsidRPr="0067393E">
              <w:rPr>
                <w:rFonts w:ascii="Lato" w:eastAsiaTheme="minorEastAsia" w:hAnsi="Lato" w:cstheme="minorBidi"/>
                <w:iCs w:val="0"/>
                <w:kern w:val="2"/>
                <w:sz w:val="19"/>
                <w:szCs w:val="19"/>
                <w14:ligatures w14:val="standardContextual"/>
              </w:rPr>
              <w:tab/>
            </w:r>
            <w:r w:rsidR="00004298" w:rsidRPr="0067393E">
              <w:rPr>
                <w:rStyle w:val="Hipercze"/>
                <w:rFonts w:ascii="Lato" w:hAnsi="Lato"/>
                <w:sz w:val="19"/>
                <w:szCs w:val="19"/>
              </w:rPr>
              <w:t>Wska</w:t>
            </w:r>
            <w:r w:rsidR="00004298" w:rsidRPr="0067393E">
              <w:rPr>
                <w:rStyle w:val="Hipercze"/>
                <w:rFonts w:ascii="Lato" w:hAnsi="Lato" w:cs="Calibri"/>
                <w:sz w:val="19"/>
                <w:szCs w:val="19"/>
              </w:rPr>
              <w:t>ź</w:t>
            </w:r>
            <w:r w:rsidR="00004298" w:rsidRPr="0067393E">
              <w:rPr>
                <w:rStyle w:val="Hipercze"/>
                <w:rFonts w:ascii="Lato" w:hAnsi="Lato"/>
                <w:sz w:val="19"/>
                <w:szCs w:val="19"/>
              </w:rPr>
              <w:t>nik N-1 dla systemu gazu ziemnego wysokometanowego</w:t>
            </w:r>
            <w:r w:rsidR="00004298" w:rsidRPr="0067393E">
              <w:rPr>
                <w:rFonts w:ascii="Lato" w:hAnsi="Lato"/>
                <w:webHidden/>
                <w:sz w:val="19"/>
                <w:szCs w:val="19"/>
              </w:rPr>
              <w:tab/>
            </w:r>
            <w:r w:rsidR="00004298" w:rsidRPr="0067393E">
              <w:rPr>
                <w:rFonts w:ascii="Lato" w:hAnsi="Lato"/>
                <w:webHidden/>
                <w:sz w:val="19"/>
                <w:szCs w:val="19"/>
              </w:rPr>
              <w:fldChar w:fldCharType="begin"/>
            </w:r>
            <w:r w:rsidR="00004298" w:rsidRPr="0067393E">
              <w:rPr>
                <w:rFonts w:ascii="Lato" w:hAnsi="Lato"/>
                <w:webHidden/>
                <w:sz w:val="19"/>
                <w:szCs w:val="19"/>
              </w:rPr>
              <w:instrText xml:space="preserve"> PAGEREF _Toc142469570 \h </w:instrText>
            </w:r>
            <w:r w:rsidR="00004298" w:rsidRPr="0067393E">
              <w:rPr>
                <w:rFonts w:ascii="Lato" w:hAnsi="Lato"/>
                <w:webHidden/>
                <w:sz w:val="19"/>
                <w:szCs w:val="19"/>
              </w:rPr>
            </w:r>
            <w:r w:rsidR="00004298" w:rsidRPr="0067393E">
              <w:rPr>
                <w:rFonts w:ascii="Lato" w:hAnsi="Lato"/>
                <w:webHidden/>
                <w:sz w:val="19"/>
                <w:szCs w:val="19"/>
              </w:rPr>
              <w:fldChar w:fldCharType="separate"/>
            </w:r>
            <w:r w:rsidR="00BB583E" w:rsidRPr="0067393E">
              <w:rPr>
                <w:rFonts w:ascii="Lato" w:hAnsi="Lato"/>
                <w:webHidden/>
                <w:sz w:val="19"/>
                <w:szCs w:val="19"/>
              </w:rPr>
              <w:t>29</w:t>
            </w:r>
            <w:r w:rsidR="00004298" w:rsidRPr="0067393E">
              <w:rPr>
                <w:rFonts w:ascii="Lato" w:hAnsi="Lato"/>
                <w:webHidden/>
                <w:sz w:val="19"/>
                <w:szCs w:val="19"/>
              </w:rPr>
              <w:fldChar w:fldCharType="end"/>
            </w:r>
          </w:hyperlink>
        </w:p>
        <w:p w14:paraId="5BB382CC" w14:textId="4794489A" w:rsidR="00004298" w:rsidRPr="0067393E" w:rsidRDefault="00000000">
          <w:pPr>
            <w:pStyle w:val="Spistreci3"/>
            <w:rPr>
              <w:rFonts w:ascii="Lato" w:eastAsiaTheme="minorEastAsia" w:hAnsi="Lato" w:cstheme="minorBidi"/>
              <w:iCs w:val="0"/>
              <w:kern w:val="2"/>
              <w:sz w:val="19"/>
              <w:szCs w:val="19"/>
              <w14:ligatures w14:val="standardContextual"/>
            </w:rPr>
          </w:pPr>
          <w:hyperlink w:anchor="_Toc142469571" w:history="1">
            <w:r w:rsidR="00004298" w:rsidRPr="0067393E">
              <w:rPr>
                <w:rStyle w:val="Hipercze"/>
                <w:rFonts w:ascii="Lato" w:hAnsi="Lato"/>
                <w:sz w:val="19"/>
                <w:szCs w:val="19"/>
              </w:rPr>
              <w:t>3.1.2.</w:t>
            </w:r>
            <w:r w:rsidR="00004298" w:rsidRPr="0067393E">
              <w:rPr>
                <w:rFonts w:ascii="Lato" w:eastAsiaTheme="minorEastAsia" w:hAnsi="Lato" w:cstheme="minorBidi"/>
                <w:iCs w:val="0"/>
                <w:kern w:val="2"/>
                <w:sz w:val="19"/>
                <w:szCs w:val="19"/>
                <w14:ligatures w14:val="standardContextual"/>
              </w:rPr>
              <w:tab/>
            </w:r>
            <w:r w:rsidR="00004298" w:rsidRPr="0067393E">
              <w:rPr>
                <w:rStyle w:val="Hipercze"/>
                <w:rFonts w:ascii="Lato" w:hAnsi="Lato"/>
                <w:sz w:val="19"/>
                <w:szCs w:val="19"/>
              </w:rPr>
              <w:t>Wska</w:t>
            </w:r>
            <w:r w:rsidR="00004298" w:rsidRPr="0067393E">
              <w:rPr>
                <w:rStyle w:val="Hipercze"/>
                <w:rFonts w:ascii="Lato" w:hAnsi="Lato" w:cs="Calibri"/>
                <w:sz w:val="19"/>
                <w:szCs w:val="19"/>
              </w:rPr>
              <w:t>ź</w:t>
            </w:r>
            <w:r w:rsidR="00004298" w:rsidRPr="0067393E">
              <w:rPr>
                <w:rStyle w:val="Hipercze"/>
                <w:rFonts w:ascii="Lato" w:hAnsi="Lato"/>
                <w:sz w:val="19"/>
                <w:szCs w:val="19"/>
              </w:rPr>
              <w:t>nik N-1 dla systemu gazu zaazotowanego</w:t>
            </w:r>
            <w:r w:rsidR="00004298" w:rsidRPr="0067393E">
              <w:rPr>
                <w:rFonts w:ascii="Lato" w:hAnsi="Lato"/>
                <w:webHidden/>
                <w:sz w:val="19"/>
                <w:szCs w:val="19"/>
              </w:rPr>
              <w:tab/>
            </w:r>
            <w:r w:rsidR="00004298" w:rsidRPr="0067393E">
              <w:rPr>
                <w:rFonts w:ascii="Lato" w:hAnsi="Lato"/>
                <w:webHidden/>
                <w:sz w:val="19"/>
                <w:szCs w:val="19"/>
              </w:rPr>
              <w:fldChar w:fldCharType="begin"/>
            </w:r>
            <w:r w:rsidR="00004298" w:rsidRPr="0067393E">
              <w:rPr>
                <w:rFonts w:ascii="Lato" w:hAnsi="Lato"/>
                <w:webHidden/>
                <w:sz w:val="19"/>
                <w:szCs w:val="19"/>
              </w:rPr>
              <w:instrText xml:space="preserve"> PAGEREF _Toc142469571 \h </w:instrText>
            </w:r>
            <w:r w:rsidR="00004298" w:rsidRPr="0067393E">
              <w:rPr>
                <w:rFonts w:ascii="Lato" w:hAnsi="Lato"/>
                <w:webHidden/>
                <w:sz w:val="19"/>
                <w:szCs w:val="19"/>
              </w:rPr>
            </w:r>
            <w:r w:rsidR="00004298" w:rsidRPr="0067393E">
              <w:rPr>
                <w:rFonts w:ascii="Lato" w:hAnsi="Lato"/>
                <w:webHidden/>
                <w:sz w:val="19"/>
                <w:szCs w:val="19"/>
              </w:rPr>
              <w:fldChar w:fldCharType="separate"/>
            </w:r>
            <w:r w:rsidR="00BB583E" w:rsidRPr="0067393E">
              <w:rPr>
                <w:rFonts w:ascii="Lato" w:hAnsi="Lato"/>
                <w:webHidden/>
                <w:sz w:val="19"/>
                <w:szCs w:val="19"/>
              </w:rPr>
              <w:t>30</w:t>
            </w:r>
            <w:r w:rsidR="00004298" w:rsidRPr="0067393E">
              <w:rPr>
                <w:rFonts w:ascii="Lato" w:hAnsi="Lato"/>
                <w:webHidden/>
                <w:sz w:val="19"/>
                <w:szCs w:val="19"/>
              </w:rPr>
              <w:fldChar w:fldCharType="end"/>
            </w:r>
          </w:hyperlink>
        </w:p>
        <w:p w14:paraId="10ADA50E" w14:textId="320E8547" w:rsidR="00004298" w:rsidRPr="0067393E" w:rsidRDefault="00000000">
          <w:pPr>
            <w:pStyle w:val="Spistreci3"/>
            <w:rPr>
              <w:rFonts w:ascii="Lato" w:eastAsiaTheme="minorEastAsia" w:hAnsi="Lato" w:cstheme="minorBidi"/>
              <w:iCs w:val="0"/>
              <w:kern w:val="2"/>
              <w:sz w:val="19"/>
              <w:szCs w:val="19"/>
              <w14:ligatures w14:val="standardContextual"/>
            </w:rPr>
          </w:pPr>
          <w:hyperlink w:anchor="_Toc142469572" w:history="1">
            <w:r w:rsidR="00004298" w:rsidRPr="0067393E">
              <w:rPr>
                <w:rStyle w:val="Hipercze"/>
                <w:rFonts w:ascii="Lato" w:hAnsi="Lato"/>
                <w:sz w:val="19"/>
                <w:szCs w:val="19"/>
              </w:rPr>
              <w:t>3.1.3.</w:t>
            </w:r>
            <w:r w:rsidR="00004298" w:rsidRPr="0067393E">
              <w:rPr>
                <w:rFonts w:ascii="Lato" w:eastAsiaTheme="minorEastAsia" w:hAnsi="Lato" w:cstheme="minorBidi"/>
                <w:iCs w:val="0"/>
                <w:kern w:val="2"/>
                <w:sz w:val="19"/>
                <w:szCs w:val="19"/>
                <w14:ligatures w14:val="standardContextual"/>
              </w:rPr>
              <w:tab/>
            </w:r>
            <w:r w:rsidR="00004298" w:rsidRPr="0067393E">
              <w:rPr>
                <w:rStyle w:val="Hipercze"/>
                <w:rFonts w:ascii="Lato" w:hAnsi="Lato"/>
                <w:sz w:val="19"/>
                <w:szCs w:val="19"/>
              </w:rPr>
              <w:t>System gazu ziemnego Ls</w:t>
            </w:r>
            <w:r w:rsidR="00004298" w:rsidRPr="0067393E">
              <w:rPr>
                <w:rFonts w:ascii="Lato" w:hAnsi="Lato"/>
                <w:webHidden/>
                <w:sz w:val="19"/>
                <w:szCs w:val="19"/>
              </w:rPr>
              <w:tab/>
            </w:r>
            <w:r w:rsidR="00004298" w:rsidRPr="0067393E">
              <w:rPr>
                <w:rFonts w:ascii="Lato" w:hAnsi="Lato"/>
                <w:webHidden/>
                <w:sz w:val="19"/>
                <w:szCs w:val="19"/>
              </w:rPr>
              <w:fldChar w:fldCharType="begin"/>
            </w:r>
            <w:r w:rsidR="00004298" w:rsidRPr="0067393E">
              <w:rPr>
                <w:rFonts w:ascii="Lato" w:hAnsi="Lato"/>
                <w:webHidden/>
                <w:sz w:val="19"/>
                <w:szCs w:val="19"/>
              </w:rPr>
              <w:instrText xml:space="preserve"> PAGEREF _Toc142469572 \h </w:instrText>
            </w:r>
            <w:r w:rsidR="00004298" w:rsidRPr="0067393E">
              <w:rPr>
                <w:rFonts w:ascii="Lato" w:hAnsi="Lato"/>
                <w:webHidden/>
                <w:sz w:val="19"/>
                <w:szCs w:val="19"/>
              </w:rPr>
            </w:r>
            <w:r w:rsidR="00004298" w:rsidRPr="0067393E">
              <w:rPr>
                <w:rFonts w:ascii="Lato" w:hAnsi="Lato"/>
                <w:webHidden/>
                <w:sz w:val="19"/>
                <w:szCs w:val="19"/>
              </w:rPr>
              <w:fldChar w:fldCharType="separate"/>
            </w:r>
            <w:r w:rsidR="00BB583E" w:rsidRPr="0067393E">
              <w:rPr>
                <w:rFonts w:ascii="Lato" w:hAnsi="Lato"/>
                <w:webHidden/>
                <w:sz w:val="19"/>
                <w:szCs w:val="19"/>
              </w:rPr>
              <w:t>30</w:t>
            </w:r>
            <w:r w:rsidR="00004298" w:rsidRPr="0067393E">
              <w:rPr>
                <w:rFonts w:ascii="Lato" w:hAnsi="Lato"/>
                <w:webHidden/>
                <w:sz w:val="19"/>
                <w:szCs w:val="19"/>
              </w:rPr>
              <w:fldChar w:fldCharType="end"/>
            </w:r>
          </w:hyperlink>
        </w:p>
        <w:p w14:paraId="70A1B9F6" w14:textId="2DF5C3FE" w:rsidR="00004298" w:rsidRPr="0067393E" w:rsidRDefault="00000000">
          <w:pPr>
            <w:pStyle w:val="Spistreci2"/>
            <w:rPr>
              <w:rFonts w:eastAsiaTheme="minorEastAsia" w:cstheme="minorBidi"/>
              <w:smallCaps w:val="0"/>
              <w:kern w:val="2"/>
              <w:sz w:val="19"/>
              <w:szCs w:val="19"/>
              <w14:ligatures w14:val="standardContextual"/>
            </w:rPr>
          </w:pPr>
          <w:hyperlink w:anchor="_Toc142469573" w:history="1">
            <w:r w:rsidR="00004298" w:rsidRPr="0067393E">
              <w:rPr>
                <w:rStyle w:val="Hipercze"/>
                <w:sz w:val="19"/>
                <w:szCs w:val="19"/>
              </w:rPr>
              <w:t>3.2.</w:t>
            </w:r>
            <w:r w:rsidR="00004298" w:rsidRPr="0067393E">
              <w:rPr>
                <w:rFonts w:eastAsiaTheme="minorEastAsia" w:cstheme="minorBidi"/>
                <w:smallCaps w:val="0"/>
                <w:kern w:val="2"/>
                <w:sz w:val="19"/>
                <w:szCs w:val="19"/>
                <w14:ligatures w14:val="standardContextual"/>
              </w:rPr>
              <w:tab/>
            </w:r>
            <w:r w:rsidR="00004298" w:rsidRPr="0067393E">
              <w:rPr>
                <w:rStyle w:val="Hipercze"/>
                <w:sz w:val="19"/>
                <w:szCs w:val="19"/>
              </w:rPr>
              <w:t>Zdolność przepływu w obu kierunkach</w:t>
            </w:r>
            <w:r w:rsidR="00004298" w:rsidRPr="0067393E">
              <w:rPr>
                <w:webHidden/>
                <w:sz w:val="19"/>
                <w:szCs w:val="19"/>
              </w:rPr>
              <w:tab/>
            </w:r>
            <w:r w:rsidR="00004298" w:rsidRPr="0067393E">
              <w:rPr>
                <w:webHidden/>
                <w:sz w:val="19"/>
                <w:szCs w:val="19"/>
              </w:rPr>
              <w:fldChar w:fldCharType="begin"/>
            </w:r>
            <w:r w:rsidR="00004298" w:rsidRPr="0067393E">
              <w:rPr>
                <w:webHidden/>
                <w:sz w:val="19"/>
                <w:szCs w:val="19"/>
              </w:rPr>
              <w:instrText xml:space="preserve"> PAGEREF _Toc142469573 \h </w:instrText>
            </w:r>
            <w:r w:rsidR="00004298" w:rsidRPr="0067393E">
              <w:rPr>
                <w:webHidden/>
                <w:sz w:val="19"/>
                <w:szCs w:val="19"/>
              </w:rPr>
            </w:r>
            <w:r w:rsidR="00004298" w:rsidRPr="0067393E">
              <w:rPr>
                <w:webHidden/>
                <w:sz w:val="19"/>
                <w:szCs w:val="19"/>
              </w:rPr>
              <w:fldChar w:fldCharType="separate"/>
            </w:r>
            <w:r w:rsidR="00BB583E" w:rsidRPr="0067393E">
              <w:rPr>
                <w:webHidden/>
                <w:sz w:val="19"/>
                <w:szCs w:val="19"/>
              </w:rPr>
              <w:t>31</w:t>
            </w:r>
            <w:r w:rsidR="00004298" w:rsidRPr="0067393E">
              <w:rPr>
                <w:webHidden/>
                <w:sz w:val="19"/>
                <w:szCs w:val="19"/>
              </w:rPr>
              <w:fldChar w:fldCharType="end"/>
            </w:r>
          </w:hyperlink>
        </w:p>
        <w:p w14:paraId="07681532" w14:textId="0E30D31C" w:rsidR="00004298" w:rsidRPr="0067393E" w:rsidRDefault="00000000" w:rsidP="00BB583E">
          <w:pPr>
            <w:pStyle w:val="Spistreci1"/>
            <w:rPr>
              <w:rFonts w:ascii="Lato" w:eastAsiaTheme="minorEastAsia" w:hAnsi="Lato" w:cstheme="minorBidi"/>
              <w:kern w:val="2"/>
              <w:sz w:val="19"/>
              <w:szCs w:val="19"/>
              <w14:ligatures w14:val="standardContextual"/>
            </w:rPr>
          </w:pPr>
          <w:hyperlink w:anchor="_Toc142469574" w:history="1">
            <w:r w:rsidR="00004298" w:rsidRPr="0067393E">
              <w:rPr>
                <w:rStyle w:val="Hipercze"/>
                <w:rFonts w:ascii="Lato" w:hAnsi="Lato"/>
                <w:sz w:val="19"/>
                <w:szCs w:val="19"/>
              </w:rPr>
              <w:t>4.</w:t>
            </w:r>
            <w:r w:rsidR="00004298" w:rsidRPr="0067393E">
              <w:rPr>
                <w:rFonts w:ascii="Lato" w:eastAsiaTheme="minorEastAsia" w:hAnsi="Lato" w:cstheme="minorBidi"/>
                <w:kern w:val="2"/>
                <w:sz w:val="19"/>
                <w:szCs w:val="19"/>
                <w14:ligatures w14:val="standardContextual"/>
              </w:rPr>
              <w:tab/>
            </w:r>
            <w:r w:rsidR="00004298" w:rsidRPr="0067393E">
              <w:rPr>
                <w:rStyle w:val="Hipercze"/>
                <w:rFonts w:ascii="Lato" w:hAnsi="Lato"/>
                <w:sz w:val="19"/>
                <w:szCs w:val="19"/>
              </w:rPr>
              <w:t>Zgodność ze standardem w zakresie dostaw</w:t>
            </w:r>
            <w:r w:rsidR="00004298" w:rsidRPr="0067393E">
              <w:rPr>
                <w:rFonts w:ascii="Lato" w:hAnsi="Lato"/>
                <w:webHidden/>
                <w:sz w:val="19"/>
                <w:szCs w:val="19"/>
              </w:rPr>
              <w:tab/>
            </w:r>
            <w:r w:rsidR="00004298" w:rsidRPr="0067393E">
              <w:rPr>
                <w:rFonts w:ascii="Lato" w:hAnsi="Lato"/>
                <w:webHidden/>
                <w:sz w:val="19"/>
                <w:szCs w:val="19"/>
              </w:rPr>
              <w:fldChar w:fldCharType="begin"/>
            </w:r>
            <w:r w:rsidR="00004298" w:rsidRPr="0067393E">
              <w:rPr>
                <w:rFonts w:ascii="Lato" w:hAnsi="Lato"/>
                <w:webHidden/>
                <w:sz w:val="19"/>
                <w:szCs w:val="19"/>
              </w:rPr>
              <w:instrText xml:space="preserve"> PAGEREF _Toc142469574 \h </w:instrText>
            </w:r>
            <w:r w:rsidR="00004298" w:rsidRPr="0067393E">
              <w:rPr>
                <w:rFonts w:ascii="Lato" w:hAnsi="Lato"/>
                <w:webHidden/>
                <w:sz w:val="19"/>
                <w:szCs w:val="19"/>
              </w:rPr>
            </w:r>
            <w:r w:rsidR="00004298" w:rsidRPr="0067393E">
              <w:rPr>
                <w:rFonts w:ascii="Lato" w:hAnsi="Lato"/>
                <w:webHidden/>
                <w:sz w:val="19"/>
                <w:szCs w:val="19"/>
              </w:rPr>
              <w:fldChar w:fldCharType="separate"/>
            </w:r>
            <w:r w:rsidR="00BB583E" w:rsidRPr="0067393E">
              <w:rPr>
                <w:rFonts w:ascii="Lato" w:hAnsi="Lato"/>
                <w:webHidden/>
                <w:sz w:val="19"/>
                <w:szCs w:val="19"/>
              </w:rPr>
              <w:t>33</w:t>
            </w:r>
            <w:r w:rsidR="00004298" w:rsidRPr="0067393E">
              <w:rPr>
                <w:rFonts w:ascii="Lato" w:hAnsi="Lato"/>
                <w:webHidden/>
                <w:sz w:val="19"/>
                <w:szCs w:val="19"/>
              </w:rPr>
              <w:fldChar w:fldCharType="end"/>
            </w:r>
          </w:hyperlink>
        </w:p>
        <w:p w14:paraId="3F01D856" w14:textId="0EA5D684" w:rsidR="00004298" w:rsidRPr="0067393E" w:rsidRDefault="00000000" w:rsidP="00BB583E">
          <w:pPr>
            <w:pStyle w:val="Spistreci1"/>
            <w:rPr>
              <w:rFonts w:ascii="Lato" w:eastAsiaTheme="minorEastAsia" w:hAnsi="Lato" w:cstheme="minorBidi"/>
              <w:kern w:val="2"/>
              <w:sz w:val="19"/>
              <w:szCs w:val="19"/>
              <w14:ligatures w14:val="standardContextual"/>
            </w:rPr>
          </w:pPr>
          <w:hyperlink w:anchor="_Toc142469575" w:history="1">
            <w:r w:rsidR="00004298" w:rsidRPr="0067393E">
              <w:rPr>
                <w:rStyle w:val="Hipercze"/>
                <w:rFonts w:ascii="Lato" w:hAnsi="Lato"/>
                <w:sz w:val="19"/>
                <w:szCs w:val="19"/>
              </w:rPr>
              <w:t>5.</w:t>
            </w:r>
            <w:r w:rsidR="00004298" w:rsidRPr="0067393E">
              <w:rPr>
                <w:rFonts w:ascii="Lato" w:eastAsiaTheme="minorEastAsia" w:hAnsi="Lato" w:cstheme="minorBidi"/>
                <w:kern w:val="2"/>
                <w:sz w:val="19"/>
                <w:szCs w:val="19"/>
                <w14:ligatures w14:val="standardContextual"/>
              </w:rPr>
              <w:tab/>
            </w:r>
            <w:r w:rsidR="00004298" w:rsidRPr="0067393E">
              <w:rPr>
                <w:rStyle w:val="Hipercze"/>
                <w:rFonts w:ascii="Lato" w:hAnsi="Lato"/>
                <w:sz w:val="19"/>
                <w:szCs w:val="19"/>
              </w:rPr>
              <w:t>Środki zapobiegawcze</w:t>
            </w:r>
            <w:r w:rsidR="00004298" w:rsidRPr="0067393E">
              <w:rPr>
                <w:rFonts w:ascii="Lato" w:hAnsi="Lato"/>
                <w:webHidden/>
                <w:sz w:val="19"/>
                <w:szCs w:val="19"/>
              </w:rPr>
              <w:tab/>
            </w:r>
            <w:r w:rsidR="00004298" w:rsidRPr="0067393E">
              <w:rPr>
                <w:rFonts w:ascii="Lato" w:hAnsi="Lato"/>
                <w:webHidden/>
                <w:sz w:val="19"/>
                <w:szCs w:val="19"/>
              </w:rPr>
              <w:fldChar w:fldCharType="begin"/>
            </w:r>
            <w:r w:rsidR="00004298" w:rsidRPr="0067393E">
              <w:rPr>
                <w:rFonts w:ascii="Lato" w:hAnsi="Lato"/>
                <w:webHidden/>
                <w:sz w:val="19"/>
                <w:szCs w:val="19"/>
              </w:rPr>
              <w:instrText xml:space="preserve"> PAGEREF _Toc142469575 \h </w:instrText>
            </w:r>
            <w:r w:rsidR="00004298" w:rsidRPr="0067393E">
              <w:rPr>
                <w:rFonts w:ascii="Lato" w:hAnsi="Lato"/>
                <w:webHidden/>
                <w:sz w:val="19"/>
                <w:szCs w:val="19"/>
              </w:rPr>
            </w:r>
            <w:r w:rsidR="00004298" w:rsidRPr="0067393E">
              <w:rPr>
                <w:rFonts w:ascii="Lato" w:hAnsi="Lato"/>
                <w:webHidden/>
                <w:sz w:val="19"/>
                <w:szCs w:val="19"/>
              </w:rPr>
              <w:fldChar w:fldCharType="separate"/>
            </w:r>
            <w:r w:rsidR="00BB583E" w:rsidRPr="0067393E">
              <w:rPr>
                <w:rFonts w:ascii="Lato" w:hAnsi="Lato"/>
                <w:webHidden/>
                <w:sz w:val="19"/>
                <w:szCs w:val="19"/>
              </w:rPr>
              <w:t>38</w:t>
            </w:r>
            <w:r w:rsidR="00004298" w:rsidRPr="0067393E">
              <w:rPr>
                <w:rFonts w:ascii="Lato" w:hAnsi="Lato"/>
                <w:webHidden/>
                <w:sz w:val="19"/>
                <w:szCs w:val="19"/>
              </w:rPr>
              <w:fldChar w:fldCharType="end"/>
            </w:r>
          </w:hyperlink>
        </w:p>
        <w:p w14:paraId="44D5256C" w14:textId="61D21476" w:rsidR="00004298" w:rsidRPr="0067393E" w:rsidRDefault="00000000">
          <w:pPr>
            <w:pStyle w:val="Spistreci2"/>
            <w:rPr>
              <w:rFonts w:eastAsiaTheme="minorEastAsia" w:cstheme="minorBidi"/>
              <w:smallCaps w:val="0"/>
              <w:kern w:val="2"/>
              <w:sz w:val="19"/>
              <w:szCs w:val="19"/>
              <w14:ligatures w14:val="standardContextual"/>
            </w:rPr>
          </w:pPr>
          <w:hyperlink w:anchor="_Toc142469576" w:history="1">
            <w:r w:rsidR="00004298" w:rsidRPr="0067393E">
              <w:rPr>
                <w:rStyle w:val="Hipercze"/>
                <w:sz w:val="19"/>
                <w:szCs w:val="19"/>
              </w:rPr>
              <w:t>5.1.</w:t>
            </w:r>
            <w:r w:rsidR="00004298" w:rsidRPr="0067393E">
              <w:rPr>
                <w:rFonts w:eastAsiaTheme="minorEastAsia" w:cstheme="minorBidi"/>
                <w:smallCaps w:val="0"/>
                <w:kern w:val="2"/>
                <w:sz w:val="19"/>
                <w:szCs w:val="19"/>
                <w14:ligatures w14:val="standardContextual"/>
              </w:rPr>
              <w:tab/>
            </w:r>
            <w:r w:rsidR="00004298" w:rsidRPr="0067393E">
              <w:rPr>
                <w:rStyle w:val="Hipercze"/>
                <w:sz w:val="19"/>
                <w:szCs w:val="19"/>
              </w:rPr>
              <w:t>Środki rynkowe</w:t>
            </w:r>
            <w:r w:rsidR="00004298" w:rsidRPr="0067393E">
              <w:rPr>
                <w:webHidden/>
                <w:sz w:val="19"/>
                <w:szCs w:val="19"/>
              </w:rPr>
              <w:tab/>
            </w:r>
            <w:r w:rsidR="00004298" w:rsidRPr="0067393E">
              <w:rPr>
                <w:webHidden/>
                <w:sz w:val="19"/>
                <w:szCs w:val="19"/>
              </w:rPr>
              <w:fldChar w:fldCharType="begin"/>
            </w:r>
            <w:r w:rsidR="00004298" w:rsidRPr="0067393E">
              <w:rPr>
                <w:webHidden/>
                <w:sz w:val="19"/>
                <w:szCs w:val="19"/>
              </w:rPr>
              <w:instrText xml:space="preserve"> PAGEREF _Toc142469576 \h </w:instrText>
            </w:r>
            <w:r w:rsidR="00004298" w:rsidRPr="0067393E">
              <w:rPr>
                <w:webHidden/>
                <w:sz w:val="19"/>
                <w:szCs w:val="19"/>
              </w:rPr>
            </w:r>
            <w:r w:rsidR="00004298" w:rsidRPr="0067393E">
              <w:rPr>
                <w:webHidden/>
                <w:sz w:val="19"/>
                <w:szCs w:val="19"/>
              </w:rPr>
              <w:fldChar w:fldCharType="separate"/>
            </w:r>
            <w:r w:rsidR="00BB583E" w:rsidRPr="0067393E">
              <w:rPr>
                <w:webHidden/>
                <w:sz w:val="19"/>
                <w:szCs w:val="19"/>
              </w:rPr>
              <w:t>38</w:t>
            </w:r>
            <w:r w:rsidR="00004298" w:rsidRPr="0067393E">
              <w:rPr>
                <w:webHidden/>
                <w:sz w:val="19"/>
                <w:szCs w:val="19"/>
              </w:rPr>
              <w:fldChar w:fldCharType="end"/>
            </w:r>
          </w:hyperlink>
        </w:p>
        <w:p w14:paraId="40097355" w14:textId="52C2CF4B" w:rsidR="00004298" w:rsidRPr="0067393E" w:rsidRDefault="00000000">
          <w:pPr>
            <w:pStyle w:val="Spistreci2"/>
            <w:rPr>
              <w:rFonts w:eastAsiaTheme="minorEastAsia" w:cstheme="minorBidi"/>
              <w:smallCaps w:val="0"/>
              <w:kern w:val="2"/>
              <w:sz w:val="19"/>
              <w:szCs w:val="19"/>
              <w14:ligatures w14:val="standardContextual"/>
            </w:rPr>
          </w:pPr>
          <w:hyperlink w:anchor="_Toc142469577" w:history="1">
            <w:r w:rsidR="00004298" w:rsidRPr="0067393E">
              <w:rPr>
                <w:rStyle w:val="Hipercze"/>
                <w:sz w:val="19"/>
                <w:szCs w:val="19"/>
              </w:rPr>
              <w:t>5.2.</w:t>
            </w:r>
            <w:r w:rsidR="00004298" w:rsidRPr="0067393E">
              <w:rPr>
                <w:rFonts w:eastAsiaTheme="minorEastAsia" w:cstheme="minorBidi"/>
                <w:smallCaps w:val="0"/>
                <w:kern w:val="2"/>
                <w:sz w:val="19"/>
                <w:szCs w:val="19"/>
                <w14:ligatures w14:val="standardContextual"/>
              </w:rPr>
              <w:tab/>
            </w:r>
            <w:r w:rsidR="00004298" w:rsidRPr="0067393E">
              <w:rPr>
                <w:rStyle w:val="Hipercze"/>
                <w:sz w:val="19"/>
                <w:szCs w:val="19"/>
              </w:rPr>
              <w:t>Środki nierynkowe</w:t>
            </w:r>
            <w:r w:rsidR="00004298" w:rsidRPr="0067393E">
              <w:rPr>
                <w:webHidden/>
                <w:sz w:val="19"/>
                <w:szCs w:val="19"/>
              </w:rPr>
              <w:tab/>
            </w:r>
            <w:r w:rsidR="00004298" w:rsidRPr="0067393E">
              <w:rPr>
                <w:webHidden/>
                <w:sz w:val="19"/>
                <w:szCs w:val="19"/>
              </w:rPr>
              <w:fldChar w:fldCharType="begin"/>
            </w:r>
            <w:r w:rsidR="00004298" w:rsidRPr="0067393E">
              <w:rPr>
                <w:webHidden/>
                <w:sz w:val="19"/>
                <w:szCs w:val="19"/>
              </w:rPr>
              <w:instrText xml:space="preserve"> PAGEREF _Toc142469577 \h </w:instrText>
            </w:r>
            <w:r w:rsidR="00004298" w:rsidRPr="0067393E">
              <w:rPr>
                <w:webHidden/>
                <w:sz w:val="19"/>
                <w:szCs w:val="19"/>
              </w:rPr>
            </w:r>
            <w:r w:rsidR="00004298" w:rsidRPr="0067393E">
              <w:rPr>
                <w:webHidden/>
                <w:sz w:val="19"/>
                <w:szCs w:val="19"/>
              </w:rPr>
              <w:fldChar w:fldCharType="separate"/>
            </w:r>
            <w:r w:rsidR="00BB583E" w:rsidRPr="0067393E">
              <w:rPr>
                <w:webHidden/>
                <w:sz w:val="19"/>
                <w:szCs w:val="19"/>
              </w:rPr>
              <w:t>39</w:t>
            </w:r>
            <w:r w:rsidR="00004298" w:rsidRPr="0067393E">
              <w:rPr>
                <w:webHidden/>
                <w:sz w:val="19"/>
                <w:szCs w:val="19"/>
              </w:rPr>
              <w:fldChar w:fldCharType="end"/>
            </w:r>
          </w:hyperlink>
        </w:p>
        <w:p w14:paraId="459A4837" w14:textId="44C5A261" w:rsidR="00004298" w:rsidRPr="0067393E" w:rsidRDefault="00000000" w:rsidP="00BB583E">
          <w:pPr>
            <w:pStyle w:val="Spistreci1"/>
            <w:rPr>
              <w:rFonts w:ascii="Lato" w:eastAsiaTheme="minorEastAsia" w:hAnsi="Lato" w:cstheme="minorBidi"/>
              <w:kern w:val="2"/>
              <w:sz w:val="19"/>
              <w:szCs w:val="19"/>
              <w14:ligatures w14:val="standardContextual"/>
            </w:rPr>
          </w:pPr>
          <w:hyperlink w:anchor="_Toc142469578" w:history="1">
            <w:r w:rsidR="00004298" w:rsidRPr="0067393E">
              <w:rPr>
                <w:rStyle w:val="Hipercze"/>
                <w:rFonts w:ascii="Lato" w:hAnsi="Lato"/>
                <w:sz w:val="19"/>
                <w:szCs w:val="19"/>
              </w:rPr>
              <w:t>6.</w:t>
            </w:r>
            <w:r w:rsidR="00004298" w:rsidRPr="0067393E">
              <w:rPr>
                <w:rFonts w:ascii="Lato" w:eastAsiaTheme="minorEastAsia" w:hAnsi="Lato" w:cstheme="minorBidi"/>
                <w:kern w:val="2"/>
                <w:sz w:val="19"/>
                <w:szCs w:val="19"/>
                <w14:ligatures w14:val="standardContextual"/>
              </w:rPr>
              <w:tab/>
            </w:r>
            <w:r w:rsidR="00004298" w:rsidRPr="0067393E">
              <w:rPr>
                <w:rStyle w:val="Hipercze"/>
                <w:rFonts w:ascii="Lato" w:hAnsi="Lato"/>
                <w:sz w:val="19"/>
                <w:szCs w:val="19"/>
              </w:rPr>
              <w:t>Inne środki i obowiązki w zakresie bezpieczeństwa funkcjonowania systemu</w:t>
            </w:r>
            <w:r w:rsidR="00004298" w:rsidRPr="0067393E">
              <w:rPr>
                <w:rFonts w:ascii="Lato" w:hAnsi="Lato"/>
                <w:webHidden/>
                <w:sz w:val="19"/>
                <w:szCs w:val="19"/>
              </w:rPr>
              <w:tab/>
            </w:r>
            <w:r w:rsidR="00004298" w:rsidRPr="0067393E">
              <w:rPr>
                <w:rFonts w:ascii="Lato" w:hAnsi="Lato"/>
                <w:webHidden/>
                <w:sz w:val="19"/>
                <w:szCs w:val="19"/>
              </w:rPr>
              <w:fldChar w:fldCharType="begin"/>
            </w:r>
            <w:r w:rsidR="00004298" w:rsidRPr="0067393E">
              <w:rPr>
                <w:rFonts w:ascii="Lato" w:hAnsi="Lato"/>
                <w:webHidden/>
                <w:sz w:val="19"/>
                <w:szCs w:val="19"/>
              </w:rPr>
              <w:instrText xml:space="preserve"> PAGEREF _Toc142469578 \h </w:instrText>
            </w:r>
            <w:r w:rsidR="00004298" w:rsidRPr="0067393E">
              <w:rPr>
                <w:rFonts w:ascii="Lato" w:hAnsi="Lato"/>
                <w:webHidden/>
                <w:sz w:val="19"/>
                <w:szCs w:val="19"/>
              </w:rPr>
            </w:r>
            <w:r w:rsidR="00004298" w:rsidRPr="0067393E">
              <w:rPr>
                <w:rFonts w:ascii="Lato" w:hAnsi="Lato"/>
                <w:webHidden/>
                <w:sz w:val="19"/>
                <w:szCs w:val="19"/>
              </w:rPr>
              <w:fldChar w:fldCharType="separate"/>
            </w:r>
            <w:r w:rsidR="00BB583E" w:rsidRPr="0067393E">
              <w:rPr>
                <w:rFonts w:ascii="Lato" w:hAnsi="Lato"/>
                <w:webHidden/>
                <w:sz w:val="19"/>
                <w:szCs w:val="19"/>
              </w:rPr>
              <w:t>42</w:t>
            </w:r>
            <w:r w:rsidR="00004298" w:rsidRPr="0067393E">
              <w:rPr>
                <w:rFonts w:ascii="Lato" w:hAnsi="Lato"/>
                <w:webHidden/>
                <w:sz w:val="19"/>
                <w:szCs w:val="19"/>
              </w:rPr>
              <w:fldChar w:fldCharType="end"/>
            </w:r>
          </w:hyperlink>
        </w:p>
        <w:p w14:paraId="4AD132A2" w14:textId="4BE249C5" w:rsidR="00004298" w:rsidRPr="0067393E" w:rsidRDefault="00000000">
          <w:pPr>
            <w:pStyle w:val="Spistreci2"/>
            <w:rPr>
              <w:rFonts w:eastAsiaTheme="minorEastAsia" w:cstheme="minorBidi"/>
              <w:smallCaps w:val="0"/>
              <w:kern w:val="2"/>
              <w:sz w:val="19"/>
              <w:szCs w:val="19"/>
              <w14:ligatures w14:val="standardContextual"/>
            </w:rPr>
          </w:pPr>
          <w:hyperlink w:anchor="_Toc142469579" w:history="1">
            <w:r w:rsidR="00004298" w:rsidRPr="0067393E">
              <w:rPr>
                <w:rStyle w:val="Hipercze"/>
                <w:sz w:val="19"/>
                <w:szCs w:val="19"/>
              </w:rPr>
              <w:t>6.1.</w:t>
            </w:r>
            <w:r w:rsidR="00004298" w:rsidRPr="0067393E">
              <w:rPr>
                <w:rFonts w:eastAsiaTheme="minorEastAsia" w:cstheme="minorBidi"/>
                <w:smallCaps w:val="0"/>
                <w:kern w:val="2"/>
                <w:sz w:val="19"/>
                <w:szCs w:val="19"/>
                <w14:ligatures w14:val="standardContextual"/>
              </w:rPr>
              <w:tab/>
            </w:r>
            <w:r w:rsidR="00004298" w:rsidRPr="0067393E">
              <w:rPr>
                <w:rStyle w:val="Hipercze"/>
                <w:sz w:val="19"/>
                <w:szCs w:val="19"/>
              </w:rPr>
              <w:t>Rola operatorów w zapewnieniu bezpieczeństwa dostaw gazu ziemnego</w:t>
            </w:r>
            <w:r w:rsidR="00004298" w:rsidRPr="0067393E">
              <w:rPr>
                <w:webHidden/>
                <w:sz w:val="19"/>
                <w:szCs w:val="19"/>
              </w:rPr>
              <w:tab/>
            </w:r>
            <w:r w:rsidR="00004298" w:rsidRPr="0067393E">
              <w:rPr>
                <w:webHidden/>
                <w:sz w:val="19"/>
                <w:szCs w:val="19"/>
              </w:rPr>
              <w:fldChar w:fldCharType="begin"/>
            </w:r>
            <w:r w:rsidR="00004298" w:rsidRPr="0067393E">
              <w:rPr>
                <w:webHidden/>
                <w:sz w:val="19"/>
                <w:szCs w:val="19"/>
              </w:rPr>
              <w:instrText xml:space="preserve"> PAGEREF _Toc142469579 \h </w:instrText>
            </w:r>
            <w:r w:rsidR="00004298" w:rsidRPr="0067393E">
              <w:rPr>
                <w:webHidden/>
                <w:sz w:val="19"/>
                <w:szCs w:val="19"/>
              </w:rPr>
            </w:r>
            <w:r w:rsidR="00004298" w:rsidRPr="0067393E">
              <w:rPr>
                <w:webHidden/>
                <w:sz w:val="19"/>
                <w:szCs w:val="19"/>
              </w:rPr>
              <w:fldChar w:fldCharType="separate"/>
            </w:r>
            <w:r w:rsidR="00BB583E" w:rsidRPr="0067393E">
              <w:rPr>
                <w:webHidden/>
                <w:sz w:val="19"/>
                <w:szCs w:val="19"/>
              </w:rPr>
              <w:t>42</w:t>
            </w:r>
            <w:r w:rsidR="00004298" w:rsidRPr="0067393E">
              <w:rPr>
                <w:webHidden/>
                <w:sz w:val="19"/>
                <w:szCs w:val="19"/>
              </w:rPr>
              <w:fldChar w:fldCharType="end"/>
            </w:r>
          </w:hyperlink>
        </w:p>
        <w:p w14:paraId="569043B9" w14:textId="62671635" w:rsidR="00004298" w:rsidRPr="0067393E" w:rsidRDefault="00000000">
          <w:pPr>
            <w:pStyle w:val="Spistreci2"/>
            <w:rPr>
              <w:rFonts w:eastAsiaTheme="minorEastAsia" w:cstheme="minorBidi"/>
              <w:smallCaps w:val="0"/>
              <w:kern w:val="2"/>
              <w:sz w:val="19"/>
              <w:szCs w:val="19"/>
              <w14:ligatures w14:val="standardContextual"/>
            </w:rPr>
          </w:pPr>
          <w:hyperlink w:anchor="_Toc142469580" w:history="1">
            <w:r w:rsidR="00004298" w:rsidRPr="0067393E">
              <w:rPr>
                <w:rStyle w:val="Hipercze"/>
                <w:sz w:val="19"/>
                <w:szCs w:val="19"/>
              </w:rPr>
              <w:t>6.2.</w:t>
            </w:r>
            <w:r w:rsidR="00004298" w:rsidRPr="0067393E">
              <w:rPr>
                <w:rFonts w:eastAsiaTheme="minorEastAsia" w:cstheme="minorBidi"/>
                <w:smallCaps w:val="0"/>
                <w:kern w:val="2"/>
                <w:sz w:val="19"/>
                <w:szCs w:val="19"/>
                <w14:ligatures w14:val="standardContextual"/>
              </w:rPr>
              <w:tab/>
            </w:r>
            <w:r w:rsidR="00004298" w:rsidRPr="0067393E">
              <w:rPr>
                <w:rStyle w:val="Hipercze"/>
                <w:sz w:val="19"/>
                <w:szCs w:val="19"/>
              </w:rPr>
              <w:t>Zadania przedsiębiorstw energetycznych w zapewnianiu bezpieczeństwa dostaw gazu ziemnego</w:t>
            </w:r>
            <w:r w:rsidR="00004298" w:rsidRPr="0067393E">
              <w:rPr>
                <w:webHidden/>
                <w:sz w:val="19"/>
                <w:szCs w:val="19"/>
              </w:rPr>
              <w:tab/>
            </w:r>
            <w:r w:rsidR="00004298" w:rsidRPr="0067393E">
              <w:rPr>
                <w:webHidden/>
                <w:sz w:val="19"/>
                <w:szCs w:val="19"/>
              </w:rPr>
              <w:fldChar w:fldCharType="begin"/>
            </w:r>
            <w:r w:rsidR="00004298" w:rsidRPr="0067393E">
              <w:rPr>
                <w:webHidden/>
                <w:sz w:val="19"/>
                <w:szCs w:val="19"/>
              </w:rPr>
              <w:instrText xml:space="preserve"> PAGEREF _Toc142469580 \h </w:instrText>
            </w:r>
            <w:r w:rsidR="00004298" w:rsidRPr="0067393E">
              <w:rPr>
                <w:webHidden/>
                <w:sz w:val="19"/>
                <w:szCs w:val="19"/>
              </w:rPr>
            </w:r>
            <w:r w:rsidR="00004298" w:rsidRPr="0067393E">
              <w:rPr>
                <w:webHidden/>
                <w:sz w:val="19"/>
                <w:szCs w:val="19"/>
              </w:rPr>
              <w:fldChar w:fldCharType="separate"/>
            </w:r>
            <w:r w:rsidR="00BB583E" w:rsidRPr="0067393E">
              <w:rPr>
                <w:webHidden/>
                <w:sz w:val="19"/>
                <w:szCs w:val="19"/>
              </w:rPr>
              <w:t>43</w:t>
            </w:r>
            <w:r w:rsidR="00004298" w:rsidRPr="0067393E">
              <w:rPr>
                <w:webHidden/>
                <w:sz w:val="19"/>
                <w:szCs w:val="19"/>
              </w:rPr>
              <w:fldChar w:fldCharType="end"/>
            </w:r>
          </w:hyperlink>
        </w:p>
        <w:p w14:paraId="7782E5FF" w14:textId="50392C07" w:rsidR="00004298" w:rsidRPr="0067393E" w:rsidRDefault="00000000" w:rsidP="00BB583E">
          <w:pPr>
            <w:pStyle w:val="Spistreci1"/>
            <w:rPr>
              <w:rFonts w:ascii="Lato" w:eastAsiaTheme="minorEastAsia" w:hAnsi="Lato" w:cstheme="minorBidi"/>
              <w:kern w:val="2"/>
              <w:sz w:val="19"/>
              <w:szCs w:val="19"/>
              <w14:ligatures w14:val="standardContextual"/>
            </w:rPr>
          </w:pPr>
          <w:hyperlink w:anchor="_Toc142469581" w:history="1">
            <w:r w:rsidR="00004298" w:rsidRPr="0067393E">
              <w:rPr>
                <w:rStyle w:val="Hipercze"/>
                <w:rFonts w:ascii="Lato" w:hAnsi="Lato"/>
                <w:sz w:val="19"/>
                <w:szCs w:val="19"/>
              </w:rPr>
              <w:t>7.</w:t>
            </w:r>
            <w:r w:rsidR="00004298" w:rsidRPr="0067393E">
              <w:rPr>
                <w:rFonts w:ascii="Lato" w:eastAsiaTheme="minorEastAsia" w:hAnsi="Lato" w:cstheme="minorBidi"/>
                <w:kern w:val="2"/>
                <w:sz w:val="19"/>
                <w:szCs w:val="19"/>
                <w14:ligatures w14:val="standardContextual"/>
              </w:rPr>
              <w:tab/>
            </w:r>
            <w:r w:rsidR="00004298" w:rsidRPr="0067393E">
              <w:rPr>
                <w:rStyle w:val="Hipercze"/>
                <w:rFonts w:ascii="Lato" w:hAnsi="Lato"/>
                <w:sz w:val="19"/>
                <w:szCs w:val="19"/>
              </w:rPr>
              <w:t>Projekty infrastrukturalne</w:t>
            </w:r>
            <w:r w:rsidR="00004298" w:rsidRPr="0067393E">
              <w:rPr>
                <w:rFonts w:ascii="Lato" w:hAnsi="Lato"/>
                <w:webHidden/>
                <w:sz w:val="19"/>
                <w:szCs w:val="19"/>
              </w:rPr>
              <w:tab/>
            </w:r>
            <w:r w:rsidR="00004298" w:rsidRPr="0067393E">
              <w:rPr>
                <w:rFonts w:ascii="Lato" w:hAnsi="Lato"/>
                <w:webHidden/>
                <w:sz w:val="19"/>
                <w:szCs w:val="19"/>
              </w:rPr>
              <w:fldChar w:fldCharType="begin"/>
            </w:r>
            <w:r w:rsidR="00004298" w:rsidRPr="0067393E">
              <w:rPr>
                <w:rFonts w:ascii="Lato" w:hAnsi="Lato"/>
                <w:webHidden/>
                <w:sz w:val="19"/>
                <w:szCs w:val="19"/>
              </w:rPr>
              <w:instrText xml:space="preserve"> PAGEREF _Toc142469581 \h </w:instrText>
            </w:r>
            <w:r w:rsidR="00004298" w:rsidRPr="0067393E">
              <w:rPr>
                <w:rFonts w:ascii="Lato" w:hAnsi="Lato"/>
                <w:webHidden/>
                <w:sz w:val="19"/>
                <w:szCs w:val="19"/>
              </w:rPr>
            </w:r>
            <w:r w:rsidR="00004298" w:rsidRPr="0067393E">
              <w:rPr>
                <w:rFonts w:ascii="Lato" w:hAnsi="Lato"/>
                <w:webHidden/>
                <w:sz w:val="19"/>
                <w:szCs w:val="19"/>
              </w:rPr>
              <w:fldChar w:fldCharType="separate"/>
            </w:r>
            <w:r w:rsidR="00BB583E" w:rsidRPr="0067393E">
              <w:rPr>
                <w:rFonts w:ascii="Lato" w:hAnsi="Lato"/>
                <w:webHidden/>
                <w:sz w:val="19"/>
                <w:szCs w:val="19"/>
              </w:rPr>
              <w:t>45</w:t>
            </w:r>
            <w:r w:rsidR="00004298" w:rsidRPr="0067393E">
              <w:rPr>
                <w:rFonts w:ascii="Lato" w:hAnsi="Lato"/>
                <w:webHidden/>
                <w:sz w:val="19"/>
                <w:szCs w:val="19"/>
              </w:rPr>
              <w:fldChar w:fldCharType="end"/>
            </w:r>
          </w:hyperlink>
        </w:p>
        <w:p w14:paraId="73BE6703" w14:textId="06CB0E58" w:rsidR="00004298" w:rsidRPr="0067393E" w:rsidRDefault="00000000" w:rsidP="00BB583E">
          <w:pPr>
            <w:pStyle w:val="Spistreci1"/>
            <w:rPr>
              <w:rFonts w:ascii="Lato" w:eastAsiaTheme="minorEastAsia" w:hAnsi="Lato" w:cstheme="minorBidi"/>
              <w:kern w:val="2"/>
              <w:sz w:val="19"/>
              <w:szCs w:val="19"/>
              <w14:ligatures w14:val="standardContextual"/>
            </w:rPr>
          </w:pPr>
          <w:hyperlink w:anchor="_Toc142469582" w:history="1">
            <w:r w:rsidR="00004298" w:rsidRPr="0067393E">
              <w:rPr>
                <w:rStyle w:val="Hipercze"/>
                <w:rFonts w:ascii="Lato" w:hAnsi="Lato"/>
                <w:sz w:val="19"/>
                <w:szCs w:val="19"/>
              </w:rPr>
              <w:t>8.</w:t>
            </w:r>
            <w:r w:rsidR="00004298" w:rsidRPr="0067393E">
              <w:rPr>
                <w:rFonts w:ascii="Lato" w:eastAsiaTheme="minorEastAsia" w:hAnsi="Lato" w:cstheme="minorBidi"/>
                <w:kern w:val="2"/>
                <w:sz w:val="19"/>
                <w:szCs w:val="19"/>
                <w14:ligatures w14:val="standardContextual"/>
              </w:rPr>
              <w:tab/>
            </w:r>
            <w:r w:rsidR="00004298" w:rsidRPr="0067393E">
              <w:rPr>
                <w:rStyle w:val="Hipercze"/>
                <w:rFonts w:ascii="Lato" w:hAnsi="Lato"/>
                <w:sz w:val="19"/>
                <w:szCs w:val="19"/>
              </w:rPr>
              <w:t>Obowiązki świadczenia usług użyteczności publicznej związane z bezpieczeństwem dostaw</w:t>
            </w:r>
            <w:r w:rsidR="00004298" w:rsidRPr="0067393E">
              <w:rPr>
                <w:rFonts w:ascii="Lato" w:hAnsi="Lato"/>
                <w:webHidden/>
                <w:sz w:val="19"/>
                <w:szCs w:val="19"/>
              </w:rPr>
              <w:tab/>
            </w:r>
            <w:r w:rsidR="00004298" w:rsidRPr="0067393E">
              <w:rPr>
                <w:rFonts w:ascii="Lato" w:hAnsi="Lato"/>
                <w:webHidden/>
                <w:sz w:val="19"/>
                <w:szCs w:val="19"/>
              </w:rPr>
              <w:fldChar w:fldCharType="begin"/>
            </w:r>
            <w:r w:rsidR="00004298" w:rsidRPr="0067393E">
              <w:rPr>
                <w:rFonts w:ascii="Lato" w:hAnsi="Lato"/>
                <w:webHidden/>
                <w:sz w:val="19"/>
                <w:szCs w:val="19"/>
              </w:rPr>
              <w:instrText xml:space="preserve"> PAGEREF _Toc142469582 \h </w:instrText>
            </w:r>
            <w:r w:rsidR="00004298" w:rsidRPr="0067393E">
              <w:rPr>
                <w:rFonts w:ascii="Lato" w:hAnsi="Lato"/>
                <w:webHidden/>
                <w:sz w:val="19"/>
                <w:szCs w:val="19"/>
              </w:rPr>
            </w:r>
            <w:r w:rsidR="00004298" w:rsidRPr="0067393E">
              <w:rPr>
                <w:rFonts w:ascii="Lato" w:hAnsi="Lato"/>
                <w:webHidden/>
                <w:sz w:val="19"/>
                <w:szCs w:val="19"/>
              </w:rPr>
              <w:fldChar w:fldCharType="separate"/>
            </w:r>
            <w:r w:rsidR="00BB583E" w:rsidRPr="0067393E">
              <w:rPr>
                <w:rFonts w:ascii="Lato" w:hAnsi="Lato"/>
                <w:webHidden/>
                <w:sz w:val="19"/>
                <w:szCs w:val="19"/>
              </w:rPr>
              <w:t>49</w:t>
            </w:r>
            <w:r w:rsidR="00004298" w:rsidRPr="0067393E">
              <w:rPr>
                <w:rFonts w:ascii="Lato" w:hAnsi="Lato"/>
                <w:webHidden/>
                <w:sz w:val="19"/>
                <w:szCs w:val="19"/>
              </w:rPr>
              <w:fldChar w:fldCharType="end"/>
            </w:r>
          </w:hyperlink>
        </w:p>
        <w:p w14:paraId="6A82D633" w14:textId="7D658BCA" w:rsidR="00004298" w:rsidRPr="0067393E" w:rsidRDefault="00000000">
          <w:pPr>
            <w:pStyle w:val="Spistreci2"/>
            <w:rPr>
              <w:rFonts w:eastAsiaTheme="minorEastAsia" w:cstheme="minorBidi"/>
              <w:smallCaps w:val="0"/>
              <w:kern w:val="2"/>
              <w:sz w:val="19"/>
              <w:szCs w:val="19"/>
              <w14:ligatures w14:val="standardContextual"/>
            </w:rPr>
          </w:pPr>
          <w:hyperlink w:anchor="_Toc142469583" w:history="1">
            <w:r w:rsidR="00004298" w:rsidRPr="0067393E">
              <w:rPr>
                <w:rStyle w:val="Hipercze"/>
                <w:sz w:val="19"/>
                <w:szCs w:val="19"/>
              </w:rPr>
              <w:t>8.1.</w:t>
            </w:r>
            <w:r w:rsidR="00004298" w:rsidRPr="0067393E">
              <w:rPr>
                <w:rFonts w:eastAsiaTheme="minorEastAsia" w:cstheme="minorBidi"/>
                <w:smallCaps w:val="0"/>
                <w:kern w:val="2"/>
                <w:sz w:val="19"/>
                <w:szCs w:val="19"/>
                <w14:ligatures w14:val="standardContextual"/>
              </w:rPr>
              <w:tab/>
            </w:r>
            <w:r w:rsidR="00004298" w:rsidRPr="0067393E">
              <w:rPr>
                <w:rStyle w:val="Hipercze"/>
                <w:sz w:val="19"/>
                <w:szCs w:val="19"/>
              </w:rPr>
              <w:t>Ustawa – Prawo energetyczne</w:t>
            </w:r>
            <w:r w:rsidR="00004298" w:rsidRPr="0067393E">
              <w:rPr>
                <w:webHidden/>
                <w:sz w:val="19"/>
                <w:szCs w:val="19"/>
              </w:rPr>
              <w:tab/>
            </w:r>
            <w:r w:rsidR="00004298" w:rsidRPr="0067393E">
              <w:rPr>
                <w:webHidden/>
                <w:sz w:val="19"/>
                <w:szCs w:val="19"/>
              </w:rPr>
              <w:fldChar w:fldCharType="begin"/>
            </w:r>
            <w:r w:rsidR="00004298" w:rsidRPr="0067393E">
              <w:rPr>
                <w:webHidden/>
                <w:sz w:val="19"/>
                <w:szCs w:val="19"/>
              </w:rPr>
              <w:instrText xml:space="preserve"> PAGEREF _Toc142469583 \h </w:instrText>
            </w:r>
            <w:r w:rsidR="00004298" w:rsidRPr="0067393E">
              <w:rPr>
                <w:webHidden/>
                <w:sz w:val="19"/>
                <w:szCs w:val="19"/>
              </w:rPr>
            </w:r>
            <w:r w:rsidR="00004298" w:rsidRPr="0067393E">
              <w:rPr>
                <w:webHidden/>
                <w:sz w:val="19"/>
                <w:szCs w:val="19"/>
              </w:rPr>
              <w:fldChar w:fldCharType="separate"/>
            </w:r>
            <w:r w:rsidR="00BB583E" w:rsidRPr="0067393E">
              <w:rPr>
                <w:webHidden/>
                <w:sz w:val="19"/>
                <w:szCs w:val="19"/>
              </w:rPr>
              <w:t>49</w:t>
            </w:r>
            <w:r w:rsidR="00004298" w:rsidRPr="0067393E">
              <w:rPr>
                <w:webHidden/>
                <w:sz w:val="19"/>
                <w:szCs w:val="19"/>
              </w:rPr>
              <w:fldChar w:fldCharType="end"/>
            </w:r>
          </w:hyperlink>
        </w:p>
        <w:p w14:paraId="386042F6" w14:textId="044DA474" w:rsidR="00004298" w:rsidRPr="0067393E" w:rsidRDefault="00000000">
          <w:pPr>
            <w:pStyle w:val="Spistreci2"/>
            <w:rPr>
              <w:rFonts w:eastAsiaTheme="minorEastAsia" w:cstheme="minorBidi"/>
              <w:smallCaps w:val="0"/>
              <w:kern w:val="2"/>
              <w:sz w:val="19"/>
              <w:szCs w:val="19"/>
              <w14:ligatures w14:val="standardContextual"/>
            </w:rPr>
          </w:pPr>
          <w:hyperlink w:anchor="_Toc142469584" w:history="1">
            <w:r w:rsidR="00004298" w:rsidRPr="0067393E">
              <w:rPr>
                <w:rStyle w:val="Hipercze"/>
                <w:sz w:val="19"/>
                <w:szCs w:val="19"/>
              </w:rPr>
              <w:t>8.2.</w:t>
            </w:r>
            <w:r w:rsidR="00004298" w:rsidRPr="0067393E">
              <w:rPr>
                <w:rFonts w:eastAsiaTheme="minorEastAsia" w:cstheme="minorBidi"/>
                <w:smallCaps w:val="0"/>
                <w:kern w:val="2"/>
                <w:sz w:val="19"/>
                <w:szCs w:val="19"/>
                <w14:ligatures w14:val="standardContextual"/>
              </w:rPr>
              <w:tab/>
            </w:r>
            <w:r w:rsidR="00004298" w:rsidRPr="0067393E">
              <w:rPr>
                <w:rStyle w:val="Hipercze"/>
                <w:sz w:val="19"/>
                <w:szCs w:val="19"/>
              </w:rPr>
              <w:t>Ustawa o zapasach</w:t>
            </w:r>
            <w:r w:rsidR="00004298" w:rsidRPr="0067393E">
              <w:rPr>
                <w:webHidden/>
                <w:sz w:val="19"/>
                <w:szCs w:val="19"/>
              </w:rPr>
              <w:tab/>
            </w:r>
            <w:r w:rsidR="00004298" w:rsidRPr="0067393E">
              <w:rPr>
                <w:webHidden/>
                <w:sz w:val="19"/>
                <w:szCs w:val="19"/>
              </w:rPr>
              <w:fldChar w:fldCharType="begin"/>
            </w:r>
            <w:r w:rsidR="00004298" w:rsidRPr="0067393E">
              <w:rPr>
                <w:webHidden/>
                <w:sz w:val="19"/>
                <w:szCs w:val="19"/>
              </w:rPr>
              <w:instrText xml:space="preserve"> PAGEREF _Toc142469584 \h </w:instrText>
            </w:r>
            <w:r w:rsidR="00004298" w:rsidRPr="0067393E">
              <w:rPr>
                <w:webHidden/>
                <w:sz w:val="19"/>
                <w:szCs w:val="19"/>
              </w:rPr>
            </w:r>
            <w:r w:rsidR="00004298" w:rsidRPr="0067393E">
              <w:rPr>
                <w:webHidden/>
                <w:sz w:val="19"/>
                <w:szCs w:val="19"/>
              </w:rPr>
              <w:fldChar w:fldCharType="separate"/>
            </w:r>
            <w:r w:rsidR="00BB583E" w:rsidRPr="0067393E">
              <w:rPr>
                <w:webHidden/>
                <w:sz w:val="19"/>
                <w:szCs w:val="19"/>
              </w:rPr>
              <w:t>50</w:t>
            </w:r>
            <w:r w:rsidR="00004298" w:rsidRPr="0067393E">
              <w:rPr>
                <w:webHidden/>
                <w:sz w:val="19"/>
                <w:szCs w:val="19"/>
              </w:rPr>
              <w:fldChar w:fldCharType="end"/>
            </w:r>
          </w:hyperlink>
        </w:p>
        <w:p w14:paraId="5FF5A870" w14:textId="776306B3" w:rsidR="00004298" w:rsidRPr="0067393E" w:rsidRDefault="00000000" w:rsidP="00BB583E">
          <w:pPr>
            <w:pStyle w:val="Spistreci1"/>
            <w:rPr>
              <w:rFonts w:ascii="Lato" w:eastAsiaTheme="minorEastAsia" w:hAnsi="Lato" w:cstheme="minorBidi"/>
              <w:kern w:val="2"/>
              <w:sz w:val="19"/>
              <w:szCs w:val="19"/>
              <w14:ligatures w14:val="standardContextual"/>
            </w:rPr>
          </w:pPr>
          <w:hyperlink w:anchor="_Toc142469585" w:history="1">
            <w:r w:rsidR="00004298" w:rsidRPr="0067393E">
              <w:rPr>
                <w:rStyle w:val="Hipercze"/>
                <w:rFonts w:ascii="Lato" w:hAnsi="Lato"/>
                <w:sz w:val="19"/>
                <w:szCs w:val="19"/>
              </w:rPr>
              <w:t>9.</w:t>
            </w:r>
            <w:r w:rsidR="00004298" w:rsidRPr="0067393E">
              <w:rPr>
                <w:rFonts w:ascii="Lato" w:eastAsiaTheme="minorEastAsia" w:hAnsi="Lato" w:cstheme="minorBidi"/>
                <w:kern w:val="2"/>
                <w:sz w:val="19"/>
                <w:szCs w:val="19"/>
                <w14:ligatures w14:val="standardContextual"/>
              </w:rPr>
              <w:tab/>
            </w:r>
            <w:r w:rsidR="0067393E" w:rsidRPr="0067393E">
              <w:rPr>
                <w:rFonts w:ascii="Lato" w:eastAsiaTheme="minorEastAsia" w:hAnsi="Lato" w:cstheme="minorBidi"/>
                <w:kern w:val="2"/>
                <w:sz w:val="19"/>
                <w:szCs w:val="19"/>
                <w14:ligatures w14:val="standardContextual"/>
              </w:rPr>
              <w:t xml:space="preserve"> </w:t>
            </w:r>
            <w:r w:rsidR="00004298" w:rsidRPr="0067393E">
              <w:rPr>
                <w:rStyle w:val="Hipercze"/>
                <w:rFonts w:ascii="Lato" w:hAnsi="Lato"/>
                <w:sz w:val="19"/>
                <w:szCs w:val="19"/>
              </w:rPr>
              <w:t>Konsultacje z zainteresowanymi stronami</w:t>
            </w:r>
            <w:r w:rsidR="00004298" w:rsidRPr="0067393E">
              <w:rPr>
                <w:rFonts w:ascii="Lato" w:hAnsi="Lato"/>
                <w:webHidden/>
                <w:sz w:val="19"/>
                <w:szCs w:val="19"/>
              </w:rPr>
              <w:tab/>
            </w:r>
            <w:r w:rsidR="00004298" w:rsidRPr="0067393E">
              <w:rPr>
                <w:rFonts w:ascii="Lato" w:hAnsi="Lato"/>
                <w:webHidden/>
                <w:sz w:val="19"/>
                <w:szCs w:val="19"/>
              </w:rPr>
              <w:fldChar w:fldCharType="begin"/>
            </w:r>
            <w:r w:rsidR="00004298" w:rsidRPr="0067393E">
              <w:rPr>
                <w:rFonts w:ascii="Lato" w:hAnsi="Lato"/>
                <w:webHidden/>
                <w:sz w:val="19"/>
                <w:szCs w:val="19"/>
              </w:rPr>
              <w:instrText xml:space="preserve"> PAGEREF _Toc142469585 \h </w:instrText>
            </w:r>
            <w:r w:rsidR="00004298" w:rsidRPr="0067393E">
              <w:rPr>
                <w:rFonts w:ascii="Lato" w:hAnsi="Lato"/>
                <w:webHidden/>
                <w:sz w:val="19"/>
                <w:szCs w:val="19"/>
              </w:rPr>
            </w:r>
            <w:r w:rsidR="00004298" w:rsidRPr="0067393E">
              <w:rPr>
                <w:rFonts w:ascii="Lato" w:hAnsi="Lato"/>
                <w:webHidden/>
                <w:sz w:val="19"/>
                <w:szCs w:val="19"/>
              </w:rPr>
              <w:fldChar w:fldCharType="separate"/>
            </w:r>
            <w:r w:rsidR="00BB583E" w:rsidRPr="0067393E">
              <w:rPr>
                <w:rFonts w:ascii="Lato" w:hAnsi="Lato"/>
                <w:webHidden/>
                <w:sz w:val="19"/>
                <w:szCs w:val="19"/>
              </w:rPr>
              <w:t>52</w:t>
            </w:r>
            <w:r w:rsidR="00004298" w:rsidRPr="0067393E">
              <w:rPr>
                <w:rFonts w:ascii="Lato" w:hAnsi="Lato"/>
                <w:webHidden/>
                <w:sz w:val="19"/>
                <w:szCs w:val="19"/>
              </w:rPr>
              <w:fldChar w:fldCharType="end"/>
            </w:r>
          </w:hyperlink>
        </w:p>
        <w:p w14:paraId="6E4BBF0E" w14:textId="39867C80" w:rsidR="00004298" w:rsidRPr="0067393E" w:rsidRDefault="00000000" w:rsidP="00BB583E">
          <w:pPr>
            <w:pStyle w:val="Spistreci1"/>
            <w:rPr>
              <w:rFonts w:ascii="Lato" w:eastAsiaTheme="minorEastAsia" w:hAnsi="Lato" w:cstheme="minorBidi"/>
              <w:kern w:val="2"/>
              <w:sz w:val="19"/>
              <w:szCs w:val="19"/>
              <w14:ligatures w14:val="standardContextual"/>
            </w:rPr>
          </w:pPr>
          <w:hyperlink w:anchor="_Toc142469586" w:history="1">
            <w:r w:rsidR="00004298" w:rsidRPr="0067393E">
              <w:rPr>
                <w:rStyle w:val="Hipercze"/>
                <w:rFonts w:ascii="Lato" w:hAnsi="Lato"/>
                <w:sz w:val="19"/>
                <w:szCs w:val="19"/>
              </w:rPr>
              <w:t>10.</w:t>
            </w:r>
            <w:r w:rsidR="0067393E" w:rsidRPr="0067393E">
              <w:rPr>
                <w:rStyle w:val="Hipercze"/>
                <w:rFonts w:ascii="Lato" w:hAnsi="Lato"/>
                <w:sz w:val="19"/>
                <w:szCs w:val="19"/>
              </w:rPr>
              <w:t xml:space="preserve"> </w:t>
            </w:r>
            <w:r w:rsidR="00004298" w:rsidRPr="0067393E">
              <w:rPr>
                <w:rStyle w:val="Hipercze"/>
                <w:rFonts w:ascii="Lato" w:hAnsi="Lato"/>
                <w:sz w:val="19"/>
                <w:szCs w:val="19"/>
              </w:rPr>
              <w:t>Wymiar regionalny – grupy ryzyka</w:t>
            </w:r>
            <w:r w:rsidR="00004298" w:rsidRPr="0067393E">
              <w:rPr>
                <w:rFonts w:ascii="Lato" w:hAnsi="Lato"/>
                <w:webHidden/>
                <w:sz w:val="19"/>
                <w:szCs w:val="19"/>
              </w:rPr>
              <w:tab/>
            </w:r>
            <w:r w:rsidR="00004298" w:rsidRPr="0067393E">
              <w:rPr>
                <w:rFonts w:ascii="Lato" w:hAnsi="Lato"/>
                <w:webHidden/>
                <w:sz w:val="19"/>
                <w:szCs w:val="19"/>
              </w:rPr>
              <w:fldChar w:fldCharType="begin"/>
            </w:r>
            <w:r w:rsidR="00004298" w:rsidRPr="0067393E">
              <w:rPr>
                <w:rFonts w:ascii="Lato" w:hAnsi="Lato"/>
                <w:webHidden/>
                <w:sz w:val="19"/>
                <w:szCs w:val="19"/>
              </w:rPr>
              <w:instrText xml:space="preserve"> PAGEREF _Toc142469586 \h </w:instrText>
            </w:r>
            <w:r w:rsidR="00004298" w:rsidRPr="0067393E">
              <w:rPr>
                <w:rFonts w:ascii="Lato" w:hAnsi="Lato"/>
                <w:webHidden/>
                <w:sz w:val="19"/>
                <w:szCs w:val="19"/>
              </w:rPr>
            </w:r>
            <w:r w:rsidR="00004298" w:rsidRPr="0067393E">
              <w:rPr>
                <w:rFonts w:ascii="Lato" w:hAnsi="Lato"/>
                <w:webHidden/>
                <w:sz w:val="19"/>
                <w:szCs w:val="19"/>
              </w:rPr>
              <w:fldChar w:fldCharType="separate"/>
            </w:r>
            <w:r w:rsidR="00BB583E" w:rsidRPr="0067393E">
              <w:rPr>
                <w:rFonts w:ascii="Lato" w:hAnsi="Lato"/>
                <w:webHidden/>
                <w:sz w:val="19"/>
                <w:szCs w:val="19"/>
              </w:rPr>
              <w:t>53</w:t>
            </w:r>
            <w:r w:rsidR="00004298" w:rsidRPr="0067393E">
              <w:rPr>
                <w:rFonts w:ascii="Lato" w:hAnsi="Lato"/>
                <w:webHidden/>
                <w:sz w:val="19"/>
                <w:szCs w:val="19"/>
              </w:rPr>
              <w:fldChar w:fldCharType="end"/>
            </w:r>
          </w:hyperlink>
        </w:p>
        <w:p w14:paraId="6AED6B47" w14:textId="7F0A358B" w:rsidR="00004298" w:rsidRPr="0067393E" w:rsidRDefault="00000000">
          <w:pPr>
            <w:pStyle w:val="Spistreci2"/>
            <w:rPr>
              <w:rFonts w:eastAsiaTheme="minorEastAsia" w:cstheme="minorBidi"/>
              <w:smallCaps w:val="0"/>
              <w:kern w:val="2"/>
              <w:sz w:val="19"/>
              <w:szCs w:val="19"/>
              <w14:ligatures w14:val="standardContextual"/>
            </w:rPr>
          </w:pPr>
          <w:hyperlink w:anchor="_Toc142469587" w:history="1">
            <w:r w:rsidR="00004298" w:rsidRPr="0067393E">
              <w:rPr>
                <w:rStyle w:val="Hipercze"/>
                <w:sz w:val="19"/>
                <w:szCs w:val="19"/>
              </w:rPr>
              <w:t>10.1.</w:t>
            </w:r>
            <w:r w:rsidR="00004298" w:rsidRPr="0067393E">
              <w:rPr>
                <w:rFonts w:eastAsiaTheme="minorEastAsia" w:cstheme="minorBidi"/>
                <w:smallCaps w:val="0"/>
                <w:kern w:val="2"/>
                <w:sz w:val="19"/>
                <w:szCs w:val="19"/>
                <w14:ligatures w14:val="standardContextual"/>
              </w:rPr>
              <w:tab/>
            </w:r>
            <w:r w:rsidR="00004298" w:rsidRPr="0067393E">
              <w:rPr>
                <w:rStyle w:val="Hipercze"/>
                <w:sz w:val="19"/>
                <w:szCs w:val="19"/>
              </w:rPr>
              <w:t>Środki przyjmowane w poszczególnych stanach kryzysowych</w:t>
            </w:r>
            <w:r w:rsidR="00004298" w:rsidRPr="0067393E">
              <w:rPr>
                <w:webHidden/>
                <w:sz w:val="19"/>
                <w:szCs w:val="19"/>
              </w:rPr>
              <w:tab/>
            </w:r>
            <w:r w:rsidR="00004298" w:rsidRPr="0067393E">
              <w:rPr>
                <w:webHidden/>
                <w:sz w:val="19"/>
                <w:szCs w:val="19"/>
              </w:rPr>
              <w:fldChar w:fldCharType="begin"/>
            </w:r>
            <w:r w:rsidR="00004298" w:rsidRPr="0067393E">
              <w:rPr>
                <w:webHidden/>
                <w:sz w:val="19"/>
                <w:szCs w:val="19"/>
              </w:rPr>
              <w:instrText xml:space="preserve"> PAGEREF _Toc142469587 \h </w:instrText>
            </w:r>
            <w:r w:rsidR="00004298" w:rsidRPr="0067393E">
              <w:rPr>
                <w:webHidden/>
                <w:sz w:val="19"/>
                <w:szCs w:val="19"/>
              </w:rPr>
            </w:r>
            <w:r w:rsidR="00004298" w:rsidRPr="0067393E">
              <w:rPr>
                <w:webHidden/>
                <w:sz w:val="19"/>
                <w:szCs w:val="19"/>
              </w:rPr>
              <w:fldChar w:fldCharType="separate"/>
            </w:r>
            <w:r w:rsidR="00BB583E" w:rsidRPr="0067393E">
              <w:rPr>
                <w:webHidden/>
                <w:sz w:val="19"/>
                <w:szCs w:val="19"/>
              </w:rPr>
              <w:t>53</w:t>
            </w:r>
            <w:r w:rsidR="00004298" w:rsidRPr="0067393E">
              <w:rPr>
                <w:webHidden/>
                <w:sz w:val="19"/>
                <w:szCs w:val="19"/>
              </w:rPr>
              <w:fldChar w:fldCharType="end"/>
            </w:r>
          </w:hyperlink>
        </w:p>
        <w:p w14:paraId="313971EA" w14:textId="4D9E5654" w:rsidR="00004298" w:rsidRPr="0067393E" w:rsidRDefault="00000000">
          <w:pPr>
            <w:pStyle w:val="Spistreci2"/>
            <w:rPr>
              <w:rFonts w:eastAsiaTheme="minorEastAsia" w:cstheme="minorBidi"/>
              <w:smallCaps w:val="0"/>
              <w:kern w:val="2"/>
              <w:sz w:val="19"/>
              <w:szCs w:val="19"/>
              <w14:ligatures w14:val="standardContextual"/>
            </w:rPr>
          </w:pPr>
          <w:hyperlink w:anchor="_Toc142469588" w:history="1">
            <w:r w:rsidR="00004298" w:rsidRPr="0067393E">
              <w:rPr>
                <w:rStyle w:val="Hipercze"/>
                <w:sz w:val="19"/>
                <w:szCs w:val="19"/>
              </w:rPr>
              <w:t>10.2.</w:t>
            </w:r>
            <w:r w:rsidR="00004298" w:rsidRPr="0067393E">
              <w:rPr>
                <w:rFonts w:eastAsiaTheme="minorEastAsia" w:cstheme="minorBidi"/>
                <w:smallCaps w:val="0"/>
                <w:kern w:val="2"/>
                <w:sz w:val="19"/>
                <w:szCs w:val="19"/>
                <w14:ligatures w14:val="standardContextual"/>
              </w:rPr>
              <w:tab/>
            </w:r>
            <w:r w:rsidR="00004298" w:rsidRPr="0067393E">
              <w:rPr>
                <w:rStyle w:val="Hipercze"/>
                <w:sz w:val="19"/>
                <w:szCs w:val="19"/>
              </w:rPr>
              <w:t>Współpraca w ramach grup ryzyka</w:t>
            </w:r>
            <w:r w:rsidR="00004298" w:rsidRPr="0067393E">
              <w:rPr>
                <w:webHidden/>
                <w:sz w:val="19"/>
                <w:szCs w:val="19"/>
              </w:rPr>
              <w:tab/>
            </w:r>
            <w:r w:rsidR="00004298" w:rsidRPr="0067393E">
              <w:rPr>
                <w:webHidden/>
                <w:sz w:val="19"/>
                <w:szCs w:val="19"/>
              </w:rPr>
              <w:fldChar w:fldCharType="begin"/>
            </w:r>
            <w:r w:rsidR="00004298" w:rsidRPr="0067393E">
              <w:rPr>
                <w:webHidden/>
                <w:sz w:val="19"/>
                <w:szCs w:val="19"/>
              </w:rPr>
              <w:instrText xml:space="preserve"> PAGEREF _Toc142469588 \h </w:instrText>
            </w:r>
            <w:r w:rsidR="00004298" w:rsidRPr="0067393E">
              <w:rPr>
                <w:webHidden/>
                <w:sz w:val="19"/>
                <w:szCs w:val="19"/>
              </w:rPr>
            </w:r>
            <w:r w:rsidR="00004298" w:rsidRPr="0067393E">
              <w:rPr>
                <w:webHidden/>
                <w:sz w:val="19"/>
                <w:szCs w:val="19"/>
              </w:rPr>
              <w:fldChar w:fldCharType="separate"/>
            </w:r>
            <w:r w:rsidR="00BB583E" w:rsidRPr="0067393E">
              <w:rPr>
                <w:webHidden/>
                <w:sz w:val="19"/>
                <w:szCs w:val="19"/>
              </w:rPr>
              <w:t>55</w:t>
            </w:r>
            <w:r w:rsidR="00004298" w:rsidRPr="0067393E">
              <w:rPr>
                <w:webHidden/>
                <w:sz w:val="19"/>
                <w:szCs w:val="19"/>
              </w:rPr>
              <w:fldChar w:fldCharType="end"/>
            </w:r>
          </w:hyperlink>
        </w:p>
        <w:p w14:paraId="03D3DFE0" w14:textId="3A51D009" w:rsidR="00004298" w:rsidRPr="0067393E" w:rsidRDefault="00000000">
          <w:pPr>
            <w:pStyle w:val="Spistreci3"/>
            <w:rPr>
              <w:rFonts w:ascii="Lato" w:eastAsiaTheme="minorEastAsia" w:hAnsi="Lato" w:cstheme="minorBidi"/>
              <w:iCs w:val="0"/>
              <w:kern w:val="2"/>
              <w:sz w:val="19"/>
              <w:szCs w:val="19"/>
              <w14:ligatures w14:val="standardContextual"/>
            </w:rPr>
          </w:pPr>
          <w:hyperlink w:anchor="_Toc142469589" w:history="1">
            <w:r w:rsidR="00004298" w:rsidRPr="0067393E">
              <w:rPr>
                <w:rStyle w:val="Hipercze"/>
                <w:rFonts w:ascii="Lato" w:hAnsi="Lato"/>
                <w:sz w:val="19"/>
                <w:szCs w:val="19"/>
              </w:rPr>
              <w:t>10.2.1.</w:t>
            </w:r>
            <w:r w:rsidR="00004298" w:rsidRPr="0067393E">
              <w:rPr>
                <w:rFonts w:ascii="Lato" w:eastAsiaTheme="minorEastAsia" w:hAnsi="Lato" w:cstheme="minorBidi"/>
                <w:iCs w:val="0"/>
                <w:kern w:val="2"/>
                <w:sz w:val="19"/>
                <w:szCs w:val="19"/>
                <w14:ligatures w14:val="standardContextual"/>
              </w:rPr>
              <w:tab/>
            </w:r>
            <w:r w:rsidR="00004298" w:rsidRPr="0067393E">
              <w:rPr>
                <w:rStyle w:val="Hipercze"/>
                <w:rFonts w:ascii="Lato" w:hAnsi="Lato"/>
                <w:sz w:val="19"/>
                <w:szCs w:val="19"/>
              </w:rPr>
              <w:t>Mechanizmy współpracy</w:t>
            </w:r>
            <w:r w:rsidR="00004298" w:rsidRPr="0067393E">
              <w:rPr>
                <w:rFonts w:ascii="Lato" w:hAnsi="Lato"/>
                <w:webHidden/>
                <w:sz w:val="19"/>
                <w:szCs w:val="19"/>
              </w:rPr>
              <w:tab/>
            </w:r>
            <w:r w:rsidR="00004298" w:rsidRPr="0067393E">
              <w:rPr>
                <w:rFonts w:ascii="Lato" w:hAnsi="Lato"/>
                <w:webHidden/>
                <w:sz w:val="19"/>
                <w:szCs w:val="19"/>
              </w:rPr>
              <w:fldChar w:fldCharType="begin"/>
            </w:r>
            <w:r w:rsidR="00004298" w:rsidRPr="0067393E">
              <w:rPr>
                <w:rFonts w:ascii="Lato" w:hAnsi="Lato"/>
                <w:webHidden/>
                <w:sz w:val="19"/>
                <w:szCs w:val="19"/>
              </w:rPr>
              <w:instrText xml:space="preserve"> PAGEREF _Toc142469589 \h </w:instrText>
            </w:r>
            <w:r w:rsidR="00004298" w:rsidRPr="0067393E">
              <w:rPr>
                <w:rFonts w:ascii="Lato" w:hAnsi="Lato"/>
                <w:webHidden/>
                <w:sz w:val="19"/>
                <w:szCs w:val="19"/>
              </w:rPr>
            </w:r>
            <w:r w:rsidR="00004298" w:rsidRPr="0067393E">
              <w:rPr>
                <w:rFonts w:ascii="Lato" w:hAnsi="Lato"/>
                <w:webHidden/>
                <w:sz w:val="19"/>
                <w:szCs w:val="19"/>
              </w:rPr>
              <w:fldChar w:fldCharType="separate"/>
            </w:r>
            <w:r w:rsidR="00BB583E" w:rsidRPr="0067393E">
              <w:rPr>
                <w:rFonts w:ascii="Lato" w:hAnsi="Lato"/>
                <w:webHidden/>
                <w:sz w:val="19"/>
                <w:szCs w:val="19"/>
              </w:rPr>
              <w:t>56</w:t>
            </w:r>
            <w:r w:rsidR="00004298" w:rsidRPr="0067393E">
              <w:rPr>
                <w:rFonts w:ascii="Lato" w:hAnsi="Lato"/>
                <w:webHidden/>
                <w:sz w:val="19"/>
                <w:szCs w:val="19"/>
              </w:rPr>
              <w:fldChar w:fldCharType="end"/>
            </w:r>
          </w:hyperlink>
        </w:p>
        <w:p w14:paraId="72403AE3" w14:textId="6667DC97" w:rsidR="00004298" w:rsidRPr="0067393E" w:rsidRDefault="00000000" w:rsidP="00BB583E">
          <w:pPr>
            <w:pStyle w:val="Spistreci1"/>
            <w:rPr>
              <w:rFonts w:ascii="Lato" w:eastAsiaTheme="minorEastAsia" w:hAnsi="Lato" w:cstheme="minorBidi"/>
              <w:kern w:val="2"/>
              <w:sz w:val="19"/>
              <w:szCs w:val="19"/>
              <w14:ligatures w14:val="standardContextual"/>
            </w:rPr>
          </w:pPr>
          <w:hyperlink w:anchor="_Toc142469590" w:history="1">
            <w:r w:rsidR="00004298" w:rsidRPr="0067393E">
              <w:rPr>
                <w:rStyle w:val="Hipercze"/>
                <w:rFonts w:ascii="Lato" w:hAnsi="Lato"/>
                <w:sz w:val="19"/>
                <w:szCs w:val="19"/>
              </w:rPr>
              <w:t>11.</w:t>
            </w:r>
            <w:r w:rsidR="0067393E" w:rsidRPr="0067393E">
              <w:rPr>
                <w:rFonts w:ascii="Lato" w:eastAsiaTheme="minorEastAsia" w:hAnsi="Lato" w:cstheme="minorBidi"/>
                <w:kern w:val="2"/>
                <w:sz w:val="19"/>
                <w:szCs w:val="19"/>
                <w14:ligatures w14:val="standardContextual"/>
              </w:rPr>
              <w:t xml:space="preserve"> </w:t>
            </w:r>
            <w:r w:rsidR="00004298" w:rsidRPr="0067393E">
              <w:rPr>
                <w:rStyle w:val="Hipercze"/>
                <w:rFonts w:ascii="Lato" w:hAnsi="Lato"/>
                <w:sz w:val="19"/>
                <w:szCs w:val="19"/>
              </w:rPr>
              <w:t>Sprawozdawczość</w:t>
            </w:r>
            <w:r w:rsidR="00004298" w:rsidRPr="0067393E">
              <w:rPr>
                <w:rFonts w:ascii="Lato" w:hAnsi="Lato"/>
                <w:webHidden/>
                <w:sz w:val="19"/>
                <w:szCs w:val="19"/>
              </w:rPr>
              <w:tab/>
            </w:r>
            <w:r w:rsidR="00004298" w:rsidRPr="0067393E">
              <w:rPr>
                <w:rFonts w:ascii="Lato" w:hAnsi="Lato"/>
                <w:webHidden/>
                <w:sz w:val="19"/>
                <w:szCs w:val="19"/>
              </w:rPr>
              <w:fldChar w:fldCharType="begin"/>
            </w:r>
            <w:r w:rsidR="00004298" w:rsidRPr="0067393E">
              <w:rPr>
                <w:rFonts w:ascii="Lato" w:hAnsi="Lato"/>
                <w:webHidden/>
                <w:sz w:val="19"/>
                <w:szCs w:val="19"/>
              </w:rPr>
              <w:instrText xml:space="preserve"> PAGEREF _Toc142469590 \h </w:instrText>
            </w:r>
            <w:r w:rsidR="00004298" w:rsidRPr="0067393E">
              <w:rPr>
                <w:rFonts w:ascii="Lato" w:hAnsi="Lato"/>
                <w:webHidden/>
                <w:sz w:val="19"/>
                <w:szCs w:val="19"/>
              </w:rPr>
            </w:r>
            <w:r w:rsidR="00004298" w:rsidRPr="0067393E">
              <w:rPr>
                <w:rFonts w:ascii="Lato" w:hAnsi="Lato"/>
                <w:webHidden/>
                <w:sz w:val="19"/>
                <w:szCs w:val="19"/>
              </w:rPr>
              <w:fldChar w:fldCharType="separate"/>
            </w:r>
            <w:r w:rsidR="00BB583E" w:rsidRPr="0067393E">
              <w:rPr>
                <w:rFonts w:ascii="Lato" w:hAnsi="Lato"/>
                <w:webHidden/>
                <w:sz w:val="19"/>
                <w:szCs w:val="19"/>
              </w:rPr>
              <w:t>57</w:t>
            </w:r>
            <w:r w:rsidR="00004298" w:rsidRPr="0067393E">
              <w:rPr>
                <w:rFonts w:ascii="Lato" w:hAnsi="Lato"/>
                <w:webHidden/>
                <w:sz w:val="19"/>
                <w:szCs w:val="19"/>
              </w:rPr>
              <w:fldChar w:fldCharType="end"/>
            </w:r>
          </w:hyperlink>
        </w:p>
        <w:p w14:paraId="0A03F1FD" w14:textId="251FFE3E" w:rsidR="00CE63C5" w:rsidRDefault="00C7771E" w:rsidP="00CE63C5">
          <w:pPr>
            <w:spacing w:after="240"/>
            <w:ind w:right="-142"/>
            <w:rPr>
              <w:rFonts w:ascii="Lato" w:hAnsi="Lato"/>
              <w:sz w:val="22"/>
              <w:szCs w:val="20"/>
            </w:rPr>
          </w:pPr>
          <w:r w:rsidRPr="00CE63C5">
            <w:rPr>
              <w:rFonts w:ascii="Lato" w:hAnsi="Lato"/>
              <w:bCs/>
              <w:sz w:val="18"/>
              <w:szCs w:val="18"/>
            </w:rPr>
            <w:fldChar w:fldCharType="end"/>
          </w:r>
        </w:p>
      </w:sdtContent>
    </w:sdt>
    <w:p w14:paraId="1C4C6FCB" w14:textId="165F4A65" w:rsidR="00B03DBA" w:rsidRPr="00381EF8" w:rsidRDefault="00C7771E" w:rsidP="00983C18">
      <w:pPr>
        <w:pStyle w:val="StandardowyTekst"/>
        <w:spacing w:after="240" w:line="276" w:lineRule="auto"/>
        <w:rPr>
          <w:rFonts w:ascii="Lato" w:eastAsia="Malgun Gothic" w:hAnsi="Lato"/>
          <w:b/>
          <w:sz w:val="24"/>
          <w:szCs w:val="24"/>
        </w:rPr>
      </w:pPr>
      <w:r w:rsidRPr="00381EF8">
        <w:rPr>
          <w:rFonts w:ascii="Lato" w:eastAsia="Malgun Gothic" w:hAnsi="Lato"/>
          <w:b/>
          <w:sz w:val="24"/>
          <w:szCs w:val="24"/>
        </w:rPr>
        <w:t>Skróty u</w:t>
      </w:r>
      <w:r w:rsidRPr="00381EF8">
        <w:rPr>
          <w:rFonts w:ascii="Lato" w:eastAsia="Malgun Gothic" w:hAnsi="Lato" w:cs="Calibri"/>
          <w:b/>
          <w:sz w:val="24"/>
          <w:szCs w:val="24"/>
        </w:rPr>
        <w:t>ż</w:t>
      </w:r>
      <w:r w:rsidRPr="00381EF8">
        <w:rPr>
          <w:rFonts w:ascii="Lato" w:eastAsia="Malgun Gothic" w:hAnsi="Lato"/>
          <w:b/>
          <w:sz w:val="24"/>
          <w:szCs w:val="24"/>
        </w:rPr>
        <w:t>ywane w tek</w:t>
      </w:r>
      <w:r w:rsidRPr="00381EF8">
        <w:rPr>
          <w:rFonts w:ascii="Lato" w:eastAsia="Malgun Gothic" w:hAnsi="Lato" w:cs="Calibri"/>
          <w:b/>
          <w:sz w:val="24"/>
          <w:szCs w:val="24"/>
        </w:rPr>
        <w:t>ś</w:t>
      </w:r>
      <w:r w:rsidRPr="00381EF8">
        <w:rPr>
          <w:rFonts w:ascii="Lato" w:eastAsia="Malgun Gothic" w:hAnsi="Lato"/>
          <w:b/>
          <w:sz w:val="24"/>
          <w:szCs w:val="24"/>
        </w:rPr>
        <w:t>cie:</w:t>
      </w:r>
    </w:p>
    <w:p w14:paraId="3B699238" w14:textId="6A61E4AF" w:rsidR="00B03DBA" w:rsidRPr="00381EF8" w:rsidRDefault="00C7771E" w:rsidP="00983C18">
      <w:pPr>
        <w:spacing w:after="0" w:line="276" w:lineRule="auto"/>
        <w:ind w:left="2836" w:hanging="2835"/>
        <w:rPr>
          <w:rFonts w:ascii="Lato" w:eastAsia="Malgun Gothic" w:hAnsi="Lato"/>
          <w:sz w:val="22"/>
        </w:rPr>
      </w:pPr>
      <w:r w:rsidRPr="00381EF8">
        <w:rPr>
          <w:rFonts w:ascii="Lato" w:eastAsia="Malgun Gothic" w:hAnsi="Lato"/>
          <w:sz w:val="22"/>
        </w:rPr>
        <w:lastRenderedPageBreak/>
        <w:t>EFTA</w:t>
      </w:r>
      <w:r w:rsidRPr="00381EF8">
        <w:rPr>
          <w:rFonts w:ascii="Lato" w:eastAsia="Malgun Gothic" w:hAnsi="Lato"/>
          <w:sz w:val="22"/>
        </w:rPr>
        <w:tab/>
      </w:r>
      <w:r w:rsidR="006031E8" w:rsidRPr="00381EF8">
        <w:rPr>
          <w:rFonts w:ascii="Lato" w:eastAsia="Malgun Gothic" w:hAnsi="Lato"/>
          <w:sz w:val="22"/>
        </w:rPr>
        <w:tab/>
      </w:r>
      <w:r w:rsidRPr="00381EF8">
        <w:rPr>
          <w:rFonts w:ascii="Lato" w:eastAsia="Malgun Gothic" w:hAnsi="Lato"/>
          <w:sz w:val="22"/>
        </w:rPr>
        <w:t>- Europejskie Porozumienie o Wolnym Handlu</w:t>
      </w:r>
    </w:p>
    <w:p w14:paraId="5C1B2F28" w14:textId="31D40955" w:rsidR="00B03DBA" w:rsidRPr="00381EF8" w:rsidRDefault="00C7771E" w:rsidP="00983C18">
      <w:pPr>
        <w:spacing w:after="0" w:line="276" w:lineRule="auto"/>
        <w:ind w:left="2836" w:hanging="2835"/>
        <w:rPr>
          <w:rFonts w:ascii="Lato" w:eastAsia="Malgun Gothic" w:hAnsi="Lato"/>
          <w:sz w:val="22"/>
        </w:rPr>
      </w:pPr>
      <w:r w:rsidRPr="00381EF8">
        <w:rPr>
          <w:rFonts w:ascii="Lato" w:eastAsia="Malgun Gothic" w:hAnsi="Lato"/>
          <w:sz w:val="22"/>
        </w:rPr>
        <w:t>GIM</w:t>
      </w:r>
      <w:r w:rsidRPr="00381EF8">
        <w:rPr>
          <w:rFonts w:ascii="Lato" w:eastAsia="Malgun Gothic" w:hAnsi="Lato"/>
          <w:sz w:val="22"/>
        </w:rPr>
        <w:tab/>
      </w:r>
      <w:r w:rsidR="006031E8" w:rsidRPr="00381EF8">
        <w:rPr>
          <w:rFonts w:ascii="Lato" w:eastAsia="Malgun Gothic" w:hAnsi="Lato"/>
          <w:sz w:val="22"/>
        </w:rPr>
        <w:tab/>
      </w:r>
      <w:r w:rsidRPr="00381EF8">
        <w:rPr>
          <w:rFonts w:ascii="Lato" w:eastAsia="Malgun Gothic" w:hAnsi="Lato"/>
          <w:sz w:val="22"/>
        </w:rPr>
        <w:t>- grupa instalacji magazynowych</w:t>
      </w:r>
    </w:p>
    <w:p w14:paraId="19ECEFF2" w14:textId="580E1275" w:rsidR="00B03DBA" w:rsidRPr="00381EF8" w:rsidRDefault="00C7771E" w:rsidP="00983C18">
      <w:pPr>
        <w:spacing w:after="0" w:line="276" w:lineRule="auto"/>
        <w:rPr>
          <w:rFonts w:ascii="Lato" w:eastAsia="Malgun Gothic" w:hAnsi="Lato"/>
          <w:sz w:val="22"/>
        </w:rPr>
      </w:pPr>
      <w:r w:rsidRPr="00381EF8">
        <w:rPr>
          <w:rFonts w:ascii="Lato" w:eastAsia="Malgun Gothic" w:hAnsi="Lato"/>
          <w:sz w:val="22"/>
        </w:rPr>
        <w:t>KE</w:t>
      </w:r>
      <w:r w:rsidRPr="00381EF8">
        <w:rPr>
          <w:rFonts w:ascii="Lato" w:eastAsia="Malgun Gothic" w:hAnsi="Lato"/>
          <w:sz w:val="22"/>
        </w:rPr>
        <w:tab/>
      </w:r>
      <w:r w:rsidRPr="00381EF8">
        <w:rPr>
          <w:rFonts w:ascii="Lato" w:eastAsia="Malgun Gothic" w:hAnsi="Lato"/>
          <w:sz w:val="22"/>
        </w:rPr>
        <w:tab/>
      </w:r>
      <w:r w:rsidRPr="00381EF8">
        <w:rPr>
          <w:rFonts w:ascii="Lato" w:eastAsia="Malgun Gothic" w:hAnsi="Lato"/>
          <w:sz w:val="22"/>
        </w:rPr>
        <w:tab/>
      </w:r>
      <w:r w:rsidRPr="00381EF8">
        <w:rPr>
          <w:rFonts w:ascii="Lato" w:eastAsia="Malgun Gothic" w:hAnsi="Lato"/>
          <w:sz w:val="22"/>
        </w:rPr>
        <w:tab/>
      </w:r>
      <w:r w:rsidR="006031E8" w:rsidRPr="00381EF8">
        <w:rPr>
          <w:rFonts w:ascii="Lato" w:eastAsia="Malgun Gothic" w:hAnsi="Lato"/>
          <w:sz w:val="22"/>
        </w:rPr>
        <w:tab/>
      </w:r>
      <w:r w:rsidRPr="00381EF8">
        <w:rPr>
          <w:rFonts w:ascii="Lato" w:eastAsia="Malgun Gothic" w:hAnsi="Lato"/>
          <w:sz w:val="22"/>
        </w:rPr>
        <w:t>- Komisja Europejska</w:t>
      </w:r>
    </w:p>
    <w:p w14:paraId="31BDC54C" w14:textId="5FD72AE0" w:rsidR="00B03DBA" w:rsidRPr="00381EF8" w:rsidRDefault="00C7771E" w:rsidP="00983C18">
      <w:pPr>
        <w:spacing w:after="0" w:line="276" w:lineRule="auto"/>
        <w:rPr>
          <w:rFonts w:ascii="Lato" w:eastAsia="Malgun Gothic" w:hAnsi="Lato"/>
          <w:sz w:val="22"/>
        </w:rPr>
      </w:pPr>
      <w:r w:rsidRPr="00381EF8">
        <w:rPr>
          <w:rFonts w:ascii="Lato" w:eastAsia="Malgun Gothic" w:hAnsi="Lato"/>
          <w:sz w:val="22"/>
        </w:rPr>
        <w:t>KPMG</w:t>
      </w:r>
      <w:r w:rsidRPr="00381EF8">
        <w:rPr>
          <w:rFonts w:ascii="Lato" w:eastAsia="Malgun Gothic" w:hAnsi="Lato"/>
          <w:sz w:val="22"/>
        </w:rPr>
        <w:tab/>
      </w:r>
      <w:r w:rsidRPr="00381EF8">
        <w:rPr>
          <w:rFonts w:ascii="Lato" w:eastAsia="Malgun Gothic" w:hAnsi="Lato"/>
          <w:sz w:val="22"/>
        </w:rPr>
        <w:tab/>
      </w:r>
      <w:r w:rsidRPr="00381EF8">
        <w:rPr>
          <w:rFonts w:ascii="Lato" w:eastAsia="Malgun Gothic" w:hAnsi="Lato"/>
          <w:sz w:val="22"/>
        </w:rPr>
        <w:tab/>
      </w:r>
      <w:r w:rsidRPr="00381EF8">
        <w:rPr>
          <w:rFonts w:ascii="Lato" w:eastAsia="Malgun Gothic" w:hAnsi="Lato"/>
          <w:sz w:val="22"/>
        </w:rPr>
        <w:tab/>
      </w:r>
      <w:r w:rsidR="006031E8" w:rsidRPr="00381EF8">
        <w:rPr>
          <w:rFonts w:ascii="Lato" w:eastAsia="Malgun Gothic" w:hAnsi="Lato"/>
          <w:sz w:val="22"/>
        </w:rPr>
        <w:tab/>
      </w:r>
      <w:r w:rsidRPr="00381EF8">
        <w:rPr>
          <w:rFonts w:ascii="Lato" w:eastAsia="Malgun Gothic" w:hAnsi="Lato"/>
          <w:sz w:val="22"/>
        </w:rPr>
        <w:t>- kawernowy podziemny magazyn gazu</w:t>
      </w:r>
    </w:p>
    <w:p w14:paraId="5846B8CB" w14:textId="3E87E2BB" w:rsidR="00B03DBA" w:rsidRPr="00381EF8" w:rsidRDefault="00C7771E" w:rsidP="00983C18">
      <w:pPr>
        <w:spacing w:after="0" w:line="276" w:lineRule="auto"/>
        <w:rPr>
          <w:rFonts w:ascii="Lato" w:eastAsia="Malgun Gothic" w:hAnsi="Lato"/>
          <w:sz w:val="22"/>
        </w:rPr>
      </w:pPr>
      <w:r w:rsidRPr="00381EF8">
        <w:rPr>
          <w:rFonts w:ascii="Lato" w:eastAsia="Malgun Gothic" w:hAnsi="Lato"/>
          <w:sz w:val="22"/>
        </w:rPr>
        <w:t>LNG</w:t>
      </w:r>
      <w:r w:rsidRPr="00381EF8">
        <w:rPr>
          <w:rFonts w:ascii="Lato" w:eastAsia="Malgun Gothic" w:hAnsi="Lato"/>
          <w:sz w:val="22"/>
        </w:rPr>
        <w:tab/>
      </w:r>
      <w:r w:rsidRPr="00381EF8">
        <w:rPr>
          <w:rFonts w:ascii="Lato" w:eastAsia="Malgun Gothic" w:hAnsi="Lato"/>
          <w:sz w:val="22"/>
        </w:rPr>
        <w:tab/>
      </w:r>
      <w:r w:rsidRPr="00381EF8">
        <w:rPr>
          <w:rFonts w:ascii="Lato" w:eastAsia="Malgun Gothic" w:hAnsi="Lato"/>
          <w:sz w:val="22"/>
        </w:rPr>
        <w:tab/>
      </w:r>
      <w:r w:rsidRPr="00381EF8">
        <w:rPr>
          <w:rFonts w:ascii="Lato" w:eastAsia="Malgun Gothic" w:hAnsi="Lato"/>
          <w:sz w:val="22"/>
        </w:rPr>
        <w:tab/>
      </w:r>
      <w:r w:rsidR="006031E8" w:rsidRPr="00381EF8">
        <w:rPr>
          <w:rFonts w:ascii="Lato" w:eastAsia="Malgun Gothic" w:hAnsi="Lato"/>
          <w:sz w:val="22"/>
        </w:rPr>
        <w:tab/>
      </w:r>
      <w:r w:rsidRPr="00381EF8">
        <w:rPr>
          <w:rFonts w:ascii="Lato" w:eastAsia="Malgun Gothic" w:hAnsi="Lato"/>
          <w:sz w:val="22"/>
        </w:rPr>
        <w:t>- skroplony gaz ziemny</w:t>
      </w:r>
      <w:r w:rsidRPr="00381EF8">
        <w:rPr>
          <w:rFonts w:ascii="Lato" w:eastAsia="Malgun Gothic" w:hAnsi="Lato"/>
          <w:i/>
          <w:sz w:val="22"/>
        </w:rPr>
        <w:t xml:space="preserve"> </w:t>
      </w:r>
      <w:r w:rsidRPr="00381EF8">
        <w:rPr>
          <w:rFonts w:ascii="Lato" w:eastAsia="Malgun Gothic" w:hAnsi="Lato"/>
          <w:sz w:val="22"/>
        </w:rPr>
        <w:t>(</w:t>
      </w:r>
      <w:r w:rsidRPr="00381EF8">
        <w:rPr>
          <w:rFonts w:ascii="Lato" w:eastAsia="Malgun Gothic" w:hAnsi="Lato"/>
          <w:i/>
          <w:sz w:val="22"/>
        </w:rPr>
        <w:t>Liquefied Natural Gas</w:t>
      </w:r>
      <w:r w:rsidRPr="00381EF8">
        <w:rPr>
          <w:rFonts w:ascii="Lato" w:eastAsia="Malgun Gothic" w:hAnsi="Lato"/>
          <w:sz w:val="22"/>
        </w:rPr>
        <w:t>)</w:t>
      </w:r>
    </w:p>
    <w:p w14:paraId="2C2C28D3" w14:textId="0BF65813" w:rsidR="00B03DBA" w:rsidRPr="00381EF8" w:rsidRDefault="00C7771E" w:rsidP="00983C18">
      <w:pPr>
        <w:spacing w:after="0" w:line="276" w:lineRule="auto"/>
        <w:rPr>
          <w:rFonts w:ascii="Lato" w:eastAsia="Malgun Gothic" w:hAnsi="Lato"/>
          <w:sz w:val="22"/>
        </w:rPr>
      </w:pPr>
      <w:r w:rsidRPr="00381EF8">
        <w:rPr>
          <w:rFonts w:ascii="Lato" w:eastAsia="Malgun Gothic" w:hAnsi="Lato"/>
          <w:sz w:val="22"/>
        </w:rPr>
        <w:t xml:space="preserve">OGP Gaz-System S.A. </w:t>
      </w:r>
      <w:r>
        <w:tab/>
      </w:r>
      <w:r w:rsidR="006031E8">
        <w:tab/>
      </w:r>
      <w:r w:rsidR="004A3020">
        <w:tab/>
      </w:r>
      <w:r w:rsidRPr="00381EF8">
        <w:rPr>
          <w:rFonts w:ascii="Lato" w:eastAsia="Malgun Gothic" w:hAnsi="Lato"/>
          <w:sz w:val="22"/>
        </w:rPr>
        <w:t>- Operator Gazoci</w:t>
      </w:r>
      <w:r w:rsidRPr="00381EF8">
        <w:rPr>
          <w:rFonts w:ascii="Lato" w:eastAsia="Malgun Gothic" w:hAnsi="Lato" w:cs="Calibri"/>
          <w:sz w:val="22"/>
        </w:rPr>
        <w:t>ą</w:t>
      </w:r>
      <w:r w:rsidRPr="00381EF8">
        <w:rPr>
          <w:rFonts w:ascii="Lato" w:eastAsia="Malgun Gothic" w:hAnsi="Lato"/>
          <w:sz w:val="22"/>
        </w:rPr>
        <w:t>g</w:t>
      </w:r>
      <w:r w:rsidRPr="00381EF8">
        <w:rPr>
          <w:rFonts w:ascii="Lato" w:eastAsia="Malgun Gothic" w:hAnsi="Lato" w:cs="Malgun Gothic"/>
          <w:sz w:val="22"/>
        </w:rPr>
        <w:t>ó</w:t>
      </w:r>
      <w:r w:rsidRPr="00381EF8">
        <w:rPr>
          <w:rFonts w:ascii="Lato" w:eastAsia="Malgun Gothic" w:hAnsi="Lato"/>
          <w:sz w:val="22"/>
        </w:rPr>
        <w:t>w Przesy</w:t>
      </w:r>
      <w:r w:rsidRPr="00381EF8">
        <w:rPr>
          <w:rFonts w:ascii="Lato" w:eastAsia="Malgun Gothic" w:hAnsi="Lato" w:cs="Malgun Gothic"/>
          <w:sz w:val="22"/>
        </w:rPr>
        <w:t>ł</w:t>
      </w:r>
      <w:r w:rsidRPr="00381EF8">
        <w:rPr>
          <w:rFonts w:ascii="Lato" w:eastAsia="Malgun Gothic" w:hAnsi="Lato"/>
          <w:sz w:val="22"/>
        </w:rPr>
        <w:t>owych Gaz-System S.A.</w:t>
      </w:r>
    </w:p>
    <w:p w14:paraId="352701C4" w14:textId="3F88E548" w:rsidR="00B03DBA" w:rsidRPr="00381EF8" w:rsidRDefault="00C7771E" w:rsidP="00983C18">
      <w:pPr>
        <w:spacing w:after="0" w:line="276" w:lineRule="auto"/>
        <w:rPr>
          <w:rFonts w:ascii="Lato" w:eastAsia="Malgun Gothic" w:hAnsi="Lato"/>
          <w:sz w:val="22"/>
        </w:rPr>
      </w:pPr>
      <w:r w:rsidRPr="00381EF8">
        <w:rPr>
          <w:rFonts w:ascii="Lato" w:eastAsia="Malgun Gothic" w:hAnsi="Lato"/>
          <w:sz w:val="22"/>
        </w:rPr>
        <w:t>OSM</w:t>
      </w:r>
      <w:r w:rsidRPr="00381EF8">
        <w:rPr>
          <w:rFonts w:ascii="Lato" w:eastAsia="Malgun Gothic" w:hAnsi="Lato"/>
          <w:sz w:val="22"/>
        </w:rPr>
        <w:tab/>
      </w:r>
      <w:r w:rsidRPr="00381EF8">
        <w:rPr>
          <w:rFonts w:ascii="Lato" w:eastAsia="Malgun Gothic" w:hAnsi="Lato"/>
          <w:sz w:val="22"/>
        </w:rPr>
        <w:tab/>
      </w:r>
      <w:r w:rsidRPr="00381EF8">
        <w:rPr>
          <w:rFonts w:ascii="Lato" w:eastAsia="Malgun Gothic" w:hAnsi="Lato"/>
          <w:sz w:val="22"/>
        </w:rPr>
        <w:tab/>
      </w:r>
      <w:r w:rsidRPr="00381EF8">
        <w:rPr>
          <w:rFonts w:ascii="Lato" w:eastAsia="Malgun Gothic" w:hAnsi="Lato"/>
          <w:sz w:val="22"/>
        </w:rPr>
        <w:tab/>
      </w:r>
      <w:r w:rsidR="006031E8" w:rsidRPr="00381EF8">
        <w:rPr>
          <w:rFonts w:ascii="Lato" w:eastAsia="Malgun Gothic" w:hAnsi="Lato"/>
          <w:sz w:val="22"/>
        </w:rPr>
        <w:tab/>
      </w:r>
      <w:r w:rsidRPr="00381EF8">
        <w:rPr>
          <w:rFonts w:ascii="Lato" w:eastAsia="Malgun Gothic" w:hAnsi="Lato"/>
          <w:sz w:val="22"/>
        </w:rPr>
        <w:t>- operator systemu magazynowania</w:t>
      </w:r>
    </w:p>
    <w:p w14:paraId="347B913F" w14:textId="28733FB3" w:rsidR="00B03DBA" w:rsidRPr="00381EF8" w:rsidRDefault="00C7771E" w:rsidP="00983C18">
      <w:pPr>
        <w:spacing w:after="0" w:line="276" w:lineRule="auto"/>
        <w:rPr>
          <w:rFonts w:ascii="Lato" w:eastAsia="Malgun Gothic" w:hAnsi="Lato"/>
          <w:sz w:val="22"/>
        </w:rPr>
      </w:pPr>
      <w:r w:rsidRPr="00381EF8">
        <w:rPr>
          <w:rFonts w:ascii="Lato" w:eastAsia="Malgun Gothic" w:hAnsi="Lato"/>
          <w:sz w:val="22"/>
        </w:rPr>
        <w:t>OSP</w:t>
      </w:r>
      <w:r>
        <w:tab/>
      </w:r>
      <w:r>
        <w:tab/>
      </w:r>
      <w:r>
        <w:tab/>
      </w:r>
      <w:r>
        <w:tab/>
      </w:r>
      <w:r w:rsidR="006031E8">
        <w:tab/>
      </w:r>
      <w:r w:rsidRPr="00381EF8">
        <w:rPr>
          <w:rFonts w:ascii="Lato" w:eastAsia="Malgun Gothic" w:hAnsi="Lato"/>
          <w:sz w:val="22"/>
        </w:rPr>
        <w:t>- operator systemu przesyłowego</w:t>
      </w:r>
      <w:r w:rsidR="00B20392" w:rsidRPr="00381EF8">
        <w:rPr>
          <w:rFonts w:ascii="Lato" w:eastAsia="Malgun Gothic" w:hAnsi="Lato"/>
          <w:sz w:val="22"/>
        </w:rPr>
        <w:t xml:space="preserve"> gazowego</w:t>
      </w:r>
    </w:p>
    <w:p w14:paraId="445C1373" w14:textId="2AF90748" w:rsidR="00B20392" w:rsidRPr="00381EF8" w:rsidRDefault="00B20392" w:rsidP="00983C18">
      <w:pPr>
        <w:spacing w:after="0" w:line="276" w:lineRule="auto"/>
        <w:rPr>
          <w:rFonts w:ascii="Lato" w:eastAsia="Malgun Gothic" w:hAnsi="Lato"/>
          <w:sz w:val="22"/>
        </w:rPr>
      </w:pPr>
      <w:r w:rsidRPr="00381EF8">
        <w:rPr>
          <w:rFonts w:ascii="Lato" w:eastAsia="Malgun Gothic" w:hAnsi="Lato"/>
          <w:sz w:val="22"/>
        </w:rPr>
        <w:t xml:space="preserve">OSD </w:t>
      </w:r>
      <w:r w:rsidRPr="00381EF8">
        <w:rPr>
          <w:rFonts w:ascii="Lato" w:eastAsia="Malgun Gothic" w:hAnsi="Lato"/>
          <w:sz w:val="22"/>
        </w:rPr>
        <w:tab/>
      </w:r>
      <w:r w:rsidRPr="00381EF8">
        <w:rPr>
          <w:rFonts w:ascii="Lato" w:eastAsia="Malgun Gothic" w:hAnsi="Lato"/>
          <w:sz w:val="22"/>
        </w:rPr>
        <w:tab/>
      </w:r>
      <w:r w:rsidRPr="00381EF8">
        <w:rPr>
          <w:rFonts w:ascii="Lato" w:eastAsia="Malgun Gothic" w:hAnsi="Lato"/>
          <w:sz w:val="22"/>
        </w:rPr>
        <w:tab/>
      </w:r>
      <w:r w:rsidRPr="00381EF8">
        <w:rPr>
          <w:rFonts w:ascii="Lato" w:eastAsia="Malgun Gothic" w:hAnsi="Lato"/>
          <w:sz w:val="22"/>
        </w:rPr>
        <w:tab/>
      </w:r>
      <w:r w:rsidR="006031E8" w:rsidRPr="00381EF8">
        <w:rPr>
          <w:rFonts w:ascii="Lato" w:eastAsia="Malgun Gothic" w:hAnsi="Lato"/>
          <w:sz w:val="22"/>
        </w:rPr>
        <w:tab/>
      </w:r>
      <w:r w:rsidRPr="00381EF8">
        <w:rPr>
          <w:rFonts w:ascii="Lato" w:eastAsia="Malgun Gothic" w:hAnsi="Lato"/>
          <w:sz w:val="22"/>
        </w:rPr>
        <w:t>- operator systemu dystrybucyjnego gazowego</w:t>
      </w:r>
    </w:p>
    <w:p w14:paraId="037FFDF3" w14:textId="21E4B627" w:rsidR="00B03DBA" w:rsidRPr="00381EF8" w:rsidRDefault="00C7771E" w:rsidP="00983C18">
      <w:pPr>
        <w:spacing w:after="0" w:line="276" w:lineRule="auto"/>
        <w:ind w:left="3540" w:hanging="3540"/>
        <w:rPr>
          <w:rFonts w:ascii="Lato" w:eastAsia="Malgun Gothic" w:hAnsi="Lato"/>
          <w:sz w:val="22"/>
        </w:rPr>
      </w:pPr>
      <w:r w:rsidRPr="00381EF8">
        <w:rPr>
          <w:rFonts w:ascii="Lato" w:eastAsia="Malgun Gothic" w:hAnsi="Lato"/>
          <w:sz w:val="22"/>
        </w:rPr>
        <w:t>PGNiG S.A.</w:t>
      </w:r>
      <w:r w:rsidRPr="00381EF8">
        <w:rPr>
          <w:rFonts w:ascii="Lato" w:eastAsia="Malgun Gothic" w:hAnsi="Lato"/>
          <w:sz w:val="22"/>
        </w:rPr>
        <w:tab/>
        <w:t>-</w:t>
      </w:r>
      <w:r w:rsidR="006031E8" w:rsidRPr="00381EF8">
        <w:rPr>
          <w:rFonts w:ascii="Lato" w:eastAsia="Malgun Gothic" w:hAnsi="Lato"/>
          <w:sz w:val="22"/>
        </w:rPr>
        <w:t xml:space="preserve"> </w:t>
      </w:r>
      <w:r w:rsidRPr="00381EF8">
        <w:rPr>
          <w:rFonts w:ascii="Lato" w:eastAsia="Malgun Gothic" w:hAnsi="Lato"/>
          <w:sz w:val="22"/>
        </w:rPr>
        <w:t>Polskie Górnictwo Naftowe i Gazownictwo S.A.</w:t>
      </w:r>
      <w:r w:rsidR="006031E8" w:rsidRPr="00381EF8">
        <w:rPr>
          <w:rFonts w:ascii="Lato" w:eastAsia="Malgun Gothic" w:hAnsi="Lato"/>
          <w:sz w:val="22"/>
        </w:rPr>
        <w:t xml:space="preserve"> </w:t>
      </w:r>
      <w:r w:rsidR="004F42B0" w:rsidRPr="00381EF8">
        <w:rPr>
          <w:rFonts w:ascii="Lato" w:eastAsia="Malgun Gothic" w:hAnsi="Lato"/>
          <w:sz w:val="22"/>
        </w:rPr>
        <w:t>(obecnie Orlen S.A.)</w:t>
      </w:r>
      <w:r w:rsidR="004F42B0" w:rsidRPr="00381EF8">
        <w:rPr>
          <w:rStyle w:val="Odwoanieprzypisudolnego"/>
          <w:rFonts w:ascii="Lato" w:eastAsia="Malgun Gothic" w:hAnsi="Lato"/>
          <w:sz w:val="22"/>
        </w:rPr>
        <w:footnoteReference w:id="2"/>
      </w:r>
    </w:p>
    <w:p w14:paraId="603E0182" w14:textId="35B3C0E7" w:rsidR="00B03DBA" w:rsidRPr="00381EF8" w:rsidRDefault="00C7771E" w:rsidP="00983C18">
      <w:pPr>
        <w:spacing w:after="0" w:line="276" w:lineRule="auto"/>
        <w:rPr>
          <w:rFonts w:ascii="Lato" w:eastAsia="Malgun Gothic" w:hAnsi="Lato"/>
          <w:sz w:val="22"/>
        </w:rPr>
      </w:pPr>
      <w:r w:rsidRPr="00381EF8">
        <w:rPr>
          <w:rFonts w:ascii="Lato" w:eastAsia="Malgun Gothic" w:hAnsi="Lato"/>
          <w:sz w:val="22"/>
        </w:rPr>
        <w:t>PMG</w:t>
      </w:r>
      <w:r w:rsidRPr="00381EF8">
        <w:rPr>
          <w:rFonts w:ascii="Lato" w:eastAsia="Malgun Gothic" w:hAnsi="Lato"/>
          <w:sz w:val="22"/>
        </w:rPr>
        <w:tab/>
      </w:r>
      <w:r w:rsidRPr="00381EF8">
        <w:rPr>
          <w:rFonts w:ascii="Lato" w:eastAsia="Malgun Gothic" w:hAnsi="Lato"/>
          <w:sz w:val="22"/>
        </w:rPr>
        <w:tab/>
      </w:r>
      <w:r w:rsidRPr="00381EF8">
        <w:rPr>
          <w:rFonts w:ascii="Lato" w:eastAsia="Malgun Gothic" w:hAnsi="Lato"/>
          <w:sz w:val="22"/>
        </w:rPr>
        <w:tab/>
      </w:r>
      <w:r w:rsidRPr="00381EF8">
        <w:rPr>
          <w:rFonts w:ascii="Lato" w:eastAsia="Malgun Gothic" w:hAnsi="Lato"/>
          <w:sz w:val="22"/>
        </w:rPr>
        <w:tab/>
      </w:r>
      <w:r w:rsidR="006031E8" w:rsidRPr="00381EF8">
        <w:rPr>
          <w:rFonts w:ascii="Lato" w:eastAsia="Malgun Gothic" w:hAnsi="Lato"/>
          <w:sz w:val="22"/>
        </w:rPr>
        <w:tab/>
      </w:r>
      <w:r w:rsidRPr="00381EF8">
        <w:rPr>
          <w:rFonts w:ascii="Lato" w:eastAsia="Malgun Gothic" w:hAnsi="Lato"/>
          <w:sz w:val="22"/>
        </w:rPr>
        <w:t xml:space="preserve">- podziemny magazyn gazu </w:t>
      </w:r>
    </w:p>
    <w:p w14:paraId="45CCB4D7" w14:textId="71D1C6E4" w:rsidR="00B03DBA" w:rsidRPr="00381EF8" w:rsidRDefault="00C7771E" w:rsidP="00983C18">
      <w:pPr>
        <w:spacing w:after="0" w:line="276" w:lineRule="auto"/>
        <w:rPr>
          <w:rFonts w:ascii="Lato" w:eastAsia="Malgun Gothic" w:hAnsi="Lato"/>
          <w:sz w:val="22"/>
        </w:rPr>
      </w:pPr>
      <w:r w:rsidRPr="00381EF8">
        <w:rPr>
          <w:rFonts w:ascii="Lato" w:eastAsia="Malgun Gothic" w:hAnsi="Lato"/>
          <w:sz w:val="22"/>
        </w:rPr>
        <w:t>Prezes URE</w:t>
      </w:r>
      <w:r w:rsidRPr="00381EF8">
        <w:rPr>
          <w:rFonts w:ascii="Lato" w:eastAsia="Malgun Gothic" w:hAnsi="Lato"/>
          <w:sz w:val="22"/>
        </w:rPr>
        <w:tab/>
      </w:r>
      <w:r w:rsidRPr="00381EF8">
        <w:rPr>
          <w:rFonts w:ascii="Lato" w:eastAsia="Malgun Gothic" w:hAnsi="Lato"/>
          <w:sz w:val="22"/>
        </w:rPr>
        <w:tab/>
      </w:r>
      <w:r w:rsidRPr="00381EF8">
        <w:rPr>
          <w:rFonts w:ascii="Lato" w:eastAsia="Malgun Gothic" w:hAnsi="Lato"/>
          <w:sz w:val="22"/>
        </w:rPr>
        <w:tab/>
      </w:r>
      <w:r w:rsidR="006031E8" w:rsidRPr="00381EF8">
        <w:rPr>
          <w:rFonts w:ascii="Lato" w:eastAsia="Malgun Gothic" w:hAnsi="Lato"/>
          <w:sz w:val="22"/>
        </w:rPr>
        <w:tab/>
      </w:r>
      <w:r w:rsidRPr="00381EF8">
        <w:rPr>
          <w:rFonts w:ascii="Lato" w:eastAsia="Malgun Gothic" w:hAnsi="Lato"/>
          <w:sz w:val="22"/>
        </w:rPr>
        <w:t>- Prezes Urz</w:t>
      </w:r>
      <w:r w:rsidRPr="00381EF8">
        <w:rPr>
          <w:rFonts w:ascii="Lato" w:eastAsia="Malgun Gothic" w:hAnsi="Lato" w:cs="Calibri"/>
          <w:sz w:val="22"/>
        </w:rPr>
        <w:t>ę</w:t>
      </w:r>
      <w:r w:rsidRPr="00381EF8">
        <w:rPr>
          <w:rFonts w:ascii="Lato" w:eastAsia="Malgun Gothic" w:hAnsi="Lato"/>
          <w:sz w:val="22"/>
        </w:rPr>
        <w:t>du Regulacji Energetyki</w:t>
      </w:r>
    </w:p>
    <w:p w14:paraId="59426310" w14:textId="7DBE7984" w:rsidR="00B03DBA" w:rsidRPr="00381EF8" w:rsidRDefault="00C7771E" w:rsidP="00983C18">
      <w:pPr>
        <w:spacing w:after="0" w:line="276" w:lineRule="auto"/>
        <w:rPr>
          <w:rFonts w:ascii="Lato" w:eastAsia="Malgun Gothic" w:hAnsi="Lato"/>
          <w:sz w:val="22"/>
        </w:rPr>
      </w:pPr>
      <w:r w:rsidRPr="00381EF8">
        <w:rPr>
          <w:rFonts w:ascii="Lato" w:eastAsia="Malgun Gothic" w:hAnsi="Lato"/>
          <w:sz w:val="22"/>
        </w:rPr>
        <w:t xml:space="preserve">PSG </w:t>
      </w:r>
      <w:r w:rsidR="299916EA" w:rsidRPr="68937914">
        <w:rPr>
          <w:rFonts w:ascii="Lato" w:eastAsia="Malgun Gothic" w:hAnsi="Lato"/>
          <w:sz w:val="22"/>
        </w:rPr>
        <w:t>s</w:t>
      </w:r>
      <w:r w:rsidRPr="00381EF8">
        <w:rPr>
          <w:rFonts w:ascii="Lato" w:eastAsia="Malgun Gothic" w:hAnsi="Lato"/>
          <w:sz w:val="22"/>
        </w:rPr>
        <w:t>p. z o.o.</w:t>
      </w:r>
      <w:r>
        <w:tab/>
      </w:r>
      <w:r>
        <w:tab/>
      </w:r>
      <w:r>
        <w:tab/>
      </w:r>
      <w:r w:rsidR="00381EF8">
        <w:tab/>
      </w:r>
      <w:r w:rsidRPr="00381EF8">
        <w:rPr>
          <w:rFonts w:ascii="Lato" w:eastAsia="Malgun Gothic" w:hAnsi="Lato"/>
          <w:sz w:val="22"/>
        </w:rPr>
        <w:t xml:space="preserve">- Polska Spółka Gazownictwa </w:t>
      </w:r>
      <w:r w:rsidR="0609DCFD" w:rsidRPr="68937914">
        <w:rPr>
          <w:rFonts w:ascii="Lato" w:eastAsia="Malgun Gothic" w:hAnsi="Lato"/>
          <w:sz w:val="22"/>
        </w:rPr>
        <w:t>s</w:t>
      </w:r>
      <w:r w:rsidRPr="00381EF8">
        <w:rPr>
          <w:rFonts w:ascii="Lato" w:eastAsia="Malgun Gothic" w:hAnsi="Lato"/>
          <w:sz w:val="22"/>
        </w:rPr>
        <w:t>p. z o.o.</w:t>
      </w:r>
    </w:p>
    <w:p w14:paraId="62DF372D" w14:textId="763BB612" w:rsidR="00B03DBA" w:rsidRPr="00381EF8" w:rsidRDefault="00C7771E" w:rsidP="00983C18">
      <w:pPr>
        <w:spacing w:after="0" w:line="276" w:lineRule="auto"/>
        <w:rPr>
          <w:rFonts w:ascii="Lato" w:eastAsia="Malgun Gothic" w:hAnsi="Lato"/>
          <w:sz w:val="22"/>
        </w:rPr>
      </w:pPr>
      <w:r w:rsidRPr="00381EF8">
        <w:rPr>
          <w:rFonts w:ascii="Lato" w:eastAsia="Malgun Gothic" w:hAnsi="Lato"/>
          <w:sz w:val="22"/>
        </w:rPr>
        <w:t>PWP</w:t>
      </w:r>
      <w:r w:rsidRPr="00381EF8">
        <w:rPr>
          <w:rFonts w:ascii="Lato" w:eastAsia="Malgun Gothic" w:hAnsi="Lato"/>
          <w:sz w:val="22"/>
        </w:rPr>
        <w:tab/>
      </w:r>
      <w:r w:rsidRPr="00381EF8">
        <w:rPr>
          <w:rFonts w:ascii="Lato" w:eastAsia="Malgun Gothic" w:hAnsi="Lato"/>
          <w:sz w:val="22"/>
        </w:rPr>
        <w:tab/>
      </w:r>
      <w:r w:rsidRPr="00381EF8">
        <w:rPr>
          <w:rFonts w:ascii="Lato" w:eastAsia="Malgun Gothic" w:hAnsi="Lato"/>
          <w:sz w:val="22"/>
        </w:rPr>
        <w:tab/>
      </w:r>
      <w:r w:rsidRPr="00381EF8">
        <w:rPr>
          <w:rFonts w:ascii="Lato" w:eastAsia="Malgun Gothic" w:hAnsi="Lato"/>
          <w:sz w:val="22"/>
        </w:rPr>
        <w:tab/>
      </w:r>
      <w:r w:rsidR="006031E8" w:rsidRPr="00381EF8">
        <w:rPr>
          <w:rFonts w:ascii="Lato" w:eastAsia="Malgun Gothic" w:hAnsi="Lato"/>
          <w:sz w:val="22"/>
        </w:rPr>
        <w:tab/>
      </w:r>
      <w:r w:rsidRPr="00381EF8">
        <w:rPr>
          <w:rFonts w:ascii="Lato" w:eastAsia="Malgun Gothic" w:hAnsi="Lato"/>
          <w:sz w:val="22"/>
        </w:rPr>
        <w:t>- Punkt Wzajemnego Poł</w:t>
      </w:r>
      <w:r w:rsidRPr="00381EF8">
        <w:rPr>
          <w:rFonts w:ascii="Lato" w:eastAsia="Malgun Gothic" w:hAnsi="Lato" w:cs="Calibri"/>
          <w:sz w:val="22"/>
        </w:rPr>
        <w:t>ą</w:t>
      </w:r>
      <w:r w:rsidRPr="00381EF8">
        <w:rPr>
          <w:rFonts w:ascii="Lato" w:eastAsia="Malgun Gothic" w:hAnsi="Lato"/>
          <w:sz w:val="22"/>
        </w:rPr>
        <w:t>czenia</w:t>
      </w:r>
    </w:p>
    <w:p w14:paraId="28549570" w14:textId="649CDB31" w:rsidR="00B03DBA" w:rsidRPr="00381EF8" w:rsidRDefault="00C7771E" w:rsidP="00983C18">
      <w:pPr>
        <w:spacing w:after="0" w:line="276" w:lineRule="auto"/>
        <w:ind w:left="3540" w:hanging="3540"/>
        <w:rPr>
          <w:rFonts w:ascii="Lato" w:eastAsia="Malgun Gothic" w:hAnsi="Lato"/>
          <w:sz w:val="22"/>
        </w:rPr>
      </w:pPr>
      <w:r w:rsidRPr="00381EF8">
        <w:rPr>
          <w:rFonts w:ascii="Lato" w:eastAsia="Malgun Gothic" w:hAnsi="Lato"/>
          <w:sz w:val="22"/>
        </w:rPr>
        <w:t>rozporz</w:t>
      </w:r>
      <w:r w:rsidRPr="00381EF8">
        <w:rPr>
          <w:rFonts w:ascii="Lato" w:eastAsia="Malgun Gothic" w:hAnsi="Lato" w:cs="Calibri"/>
          <w:sz w:val="22"/>
        </w:rPr>
        <w:t>ą</w:t>
      </w:r>
      <w:r w:rsidRPr="00381EF8">
        <w:rPr>
          <w:rFonts w:ascii="Lato" w:eastAsia="Malgun Gothic" w:hAnsi="Lato"/>
          <w:sz w:val="22"/>
        </w:rPr>
        <w:t>dzenie 994/2010</w:t>
      </w:r>
      <w:r w:rsidRPr="00381EF8">
        <w:rPr>
          <w:rFonts w:ascii="Lato" w:eastAsia="Malgun Gothic" w:hAnsi="Lato"/>
          <w:sz w:val="22"/>
        </w:rPr>
        <w:tab/>
        <w:t>- rozporz</w:t>
      </w:r>
      <w:r w:rsidRPr="00381EF8">
        <w:rPr>
          <w:rFonts w:ascii="Lato" w:eastAsia="Malgun Gothic" w:hAnsi="Lato" w:cs="Calibri"/>
          <w:sz w:val="22"/>
        </w:rPr>
        <w:t>ą</w:t>
      </w:r>
      <w:r w:rsidRPr="00381EF8">
        <w:rPr>
          <w:rFonts w:ascii="Lato" w:eastAsia="Malgun Gothic" w:hAnsi="Lato"/>
          <w:sz w:val="22"/>
        </w:rPr>
        <w:t xml:space="preserve">dzenie Parlamentu Europejskiego i Rady UE </w:t>
      </w:r>
      <w:r w:rsidR="006031E8" w:rsidRPr="00381EF8">
        <w:rPr>
          <w:rFonts w:ascii="Lato" w:eastAsia="Malgun Gothic" w:hAnsi="Lato"/>
          <w:sz w:val="22"/>
        </w:rPr>
        <w:t>n</w:t>
      </w:r>
      <w:r w:rsidRPr="00381EF8">
        <w:rPr>
          <w:rFonts w:ascii="Lato" w:eastAsia="Malgun Gothic" w:hAnsi="Lato"/>
          <w:sz w:val="22"/>
        </w:rPr>
        <w:t>r 994/2010 z 20 pa</w:t>
      </w:r>
      <w:r w:rsidRPr="00381EF8">
        <w:rPr>
          <w:rFonts w:ascii="Lato" w:eastAsia="Malgun Gothic" w:hAnsi="Lato" w:cs="Calibri"/>
          <w:sz w:val="22"/>
        </w:rPr>
        <w:t>ź</w:t>
      </w:r>
      <w:r w:rsidRPr="00381EF8">
        <w:rPr>
          <w:rFonts w:ascii="Lato" w:eastAsia="Malgun Gothic" w:hAnsi="Lato"/>
          <w:sz w:val="22"/>
        </w:rPr>
        <w:t xml:space="preserve">dziernika 2010 r. </w:t>
      </w:r>
      <w:r w:rsidRPr="00381EF8">
        <w:rPr>
          <w:rFonts w:ascii="Lato" w:eastAsia="Malgun Gothic" w:hAnsi="Lato"/>
          <w:i/>
          <w:sz w:val="22"/>
        </w:rPr>
        <w:t xml:space="preserve">w sprawie </w:t>
      </w:r>
      <w:r w:rsidRPr="00381EF8">
        <w:rPr>
          <w:rFonts w:ascii="Lato" w:eastAsia="Malgun Gothic" w:hAnsi="Lato" w:cs="Calibri"/>
          <w:i/>
          <w:sz w:val="22"/>
        </w:rPr>
        <w:t>ś</w:t>
      </w:r>
      <w:r w:rsidRPr="00381EF8">
        <w:rPr>
          <w:rFonts w:ascii="Lato" w:eastAsia="Malgun Gothic" w:hAnsi="Lato"/>
          <w:i/>
          <w:sz w:val="22"/>
        </w:rPr>
        <w:t>rodk</w:t>
      </w:r>
      <w:r w:rsidRPr="00381EF8">
        <w:rPr>
          <w:rFonts w:ascii="Lato" w:eastAsia="Malgun Gothic" w:hAnsi="Lato" w:cs="Malgun Gothic"/>
          <w:i/>
          <w:sz w:val="22"/>
        </w:rPr>
        <w:t>ó</w:t>
      </w:r>
      <w:r w:rsidRPr="00381EF8">
        <w:rPr>
          <w:rFonts w:ascii="Lato" w:eastAsia="Malgun Gothic" w:hAnsi="Lato"/>
          <w:i/>
          <w:sz w:val="22"/>
        </w:rPr>
        <w:t>w zapewniaj</w:t>
      </w:r>
      <w:r w:rsidRPr="00381EF8">
        <w:rPr>
          <w:rFonts w:ascii="Lato" w:eastAsia="Malgun Gothic" w:hAnsi="Lato" w:cs="Calibri"/>
          <w:i/>
          <w:sz w:val="22"/>
        </w:rPr>
        <w:t>ą</w:t>
      </w:r>
      <w:r w:rsidRPr="00381EF8">
        <w:rPr>
          <w:rFonts w:ascii="Lato" w:eastAsia="Malgun Gothic" w:hAnsi="Lato"/>
          <w:i/>
          <w:sz w:val="22"/>
        </w:rPr>
        <w:t>cych bezpiecze</w:t>
      </w:r>
      <w:r w:rsidRPr="00381EF8">
        <w:rPr>
          <w:rFonts w:ascii="Lato" w:eastAsia="Malgun Gothic" w:hAnsi="Lato" w:cs="Calibri"/>
          <w:i/>
          <w:sz w:val="22"/>
        </w:rPr>
        <w:t>ń</w:t>
      </w:r>
      <w:r w:rsidRPr="00381EF8">
        <w:rPr>
          <w:rFonts w:ascii="Lato" w:eastAsia="Malgun Gothic" w:hAnsi="Lato"/>
          <w:i/>
          <w:sz w:val="22"/>
        </w:rPr>
        <w:t>stwo dostaw gazu ziemnego i uchylenia dyrektywy Rady 2004/67/WE</w:t>
      </w:r>
    </w:p>
    <w:p w14:paraId="4FF5A63B" w14:textId="23C9E2CD" w:rsidR="00B03DBA" w:rsidRPr="00381EF8" w:rsidRDefault="00C7771E" w:rsidP="00983C18">
      <w:pPr>
        <w:spacing w:after="0" w:line="276" w:lineRule="auto"/>
        <w:ind w:left="3540" w:hanging="3540"/>
        <w:rPr>
          <w:rFonts w:ascii="Lato" w:eastAsia="Malgun Gothic" w:hAnsi="Lato"/>
          <w:i/>
          <w:sz w:val="22"/>
        </w:rPr>
      </w:pPr>
      <w:r w:rsidRPr="00381EF8">
        <w:rPr>
          <w:rFonts w:ascii="Lato" w:eastAsia="Malgun Gothic" w:hAnsi="Lato"/>
          <w:sz w:val="22"/>
        </w:rPr>
        <w:t>rozporz</w:t>
      </w:r>
      <w:r w:rsidRPr="00381EF8">
        <w:rPr>
          <w:rFonts w:ascii="Lato" w:eastAsia="Malgun Gothic" w:hAnsi="Lato" w:cs="Calibri"/>
          <w:sz w:val="22"/>
        </w:rPr>
        <w:t>ą</w:t>
      </w:r>
      <w:r w:rsidRPr="00381EF8">
        <w:rPr>
          <w:rFonts w:ascii="Lato" w:eastAsia="Malgun Gothic" w:hAnsi="Lato"/>
          <w:sz w:val="22"/>
        </w:rPr>
        <w:t>dzenie 2017/1938</w:t>
      </w:r>
      <w:r w:rsidRPr="00381EF8">
        <w:rPr>
          <w:rFonts w:ascii="Lato" w:eastAsia="Malgun Gothic" w:hAnsi="Lato"/>
          <w:sz w:val="22"/>
        </w:rPr>
        <w:tab/>
      </w:r>
      <w:r w:rsidR="006031E8" w:rsidRPr="00381EF8">
        <w:rPr>
          <w:rFonts w:ascii="Lato" w:eastAsia="Malgun Gothic" w:hAnsi="Lato"/>
          <w:sz w:val="22"/>
        </w:rPr>
        <w:t xml:space="preserve">- </w:t>
      </w:r>
      <w:r w:rsidRPr="00381EF8">
        <w:rPr>
          <w:rFonts w:ascii="Lato" w:eastAsia="Malgun Gothic" w:hAnsi="Lato"/>
          <w:sz w:val="22"/>
        </w:rPr>
        <w:t>rozporz</w:t>
      </w:r>
      <w:r w:rsidRPr="00381EF8">
        <w:rPr>
          <w:rFonts w:ascii="Lato" w:eastAsia="Malgun Gothic" w:hAnsi="Lato" w:cs="Calibri"/>
          <w:sz w:val="22"/>
        </w:rPr>
        <w:t>ą</w:t>
      </w:r>
      <w:r w:rsidRPr="00381EF8">
        <w:rPr>
          <w:rFonts w:ascii="Lato" w:eastAsia="Malgun Gothic" w:hAnsi="Lato"/>
          <w:sz w:val="22"/>
        </w:rPr>
        <w:t>dzenie Parlamentu Europejskiego i Rady (UE) nr 2017/1938 z dnia 25 pa</w:t>
      </w:r>
      <w:r w:rsidRPr="00381EF8">
        <w:rPr>
          <w:rFonts w:ascii="Lato" w:eastAsia="Malgun Gothic" w:hAnsi="Lato" w:cs="Calibri"/>
          <w:sz w:val="22"/>
        </w:rPr>
        <w:t>ź</w:t>
      </w:r>
      <w:r w:rsidRPr="00381EF8">
        <w:rPr>
          <w:rFonts w:ascii="Lato" w:eastAsia="Malgun Gothic" w:hAnsi="Lato"/>
          <w:sz w:val="22"/>
        </w:rPr>
        <w:t xml:space="preserve">dziernika 2017 r. </w:t>
      </w:r>
      <w:r w:rsidRPr="00381EF8">
        <w:rPr>
          <w:rFonts w:ascii="Lato" w:eastAsia="Malgun Gothic" w:hAnsi="Lato"/>
          <w:i/>
          <w:sz w:val="22"/>
        </w:rPr>
        <w:t>dotycz</w:t>
      </w:r>
      <w:r w:rsidRPr="00381EF8">
        <w:rPr>
          <w:rFonts w:ascii="Lato" w:eastAsia="Malgun Gothic" w:hAnsi="Lato" w:cs="Calibri"/>
          <w:i/>
          <w:sz w:val="22"/>
        </w:rPr>
        <w:t>ą</w:t>
      </w:r>
      <w:r w:rsidRPr="00381EF8">
        <w:rPr>
          <w:rFonts w:ascii="Lato" w:eastAsia="Malgun Gothic" w:hAnsi="Lato"/>
          <w:i/>
          <w:sz w:val="22"/>
        </w:rPr>
        <w:t xml:space="preserve">ce  </w:t>
      </w:r>
      <w:r w:rsidRPr="00381EF8">
        <w:rPr>
          <w:rFonts w:ascii="Lato" w:eastAsia="Malgun Gothic" w:hAnsi="Lato" w:cs="Calibri"/>
          <w:i/>
          <w:sz w:val="22"/>
        </w:rPr>
        <w:t>ś</w:t>
      </w:r>
      <w:r w:rsidRPr="00381EF8">
        <w:rPr>
          <w:rFonts w:ascii="Lato" w:eastAsia="Malgun Gothic" w:hAnsi="Lato"/>
          <w:i/>
          <w:sz w:val="22"/>
        </w:rPr>
        <w:t>rodk</w:t>
      </w:r>
      <w:r w:rsidRPr="00381EF8">
        <w:rPr>
          <w:rFonts w:ascii="Lato" w:eastAsia="Malgun Gothic" w:hAnsi="Lato" w:cs="Malgun Gothic"/>
          <w:i/>
          <w:sz w:val="22"/>
        </w:rPr>
        <w:t>ó</w:t>
      </w:r>
      <w:r w:rsidRPr="00381EF8">
        <w:rPr>
          <w:rFonts w:ascii="Lato" w:eastAsia="Malgun Gothic" w:hAnsi="Lato"/>
          <w:i/>
          <w:sz w:val="22"/>
        </w:rPr>
        <w:t>w zapewniaj</w:t>
      </w:r>
      <w:r w:rsidRPr="00381EF8">
        <w:rPr>
          <w:rFonts w:ascii="Lato" w:eastAsia="Malgun Gothic" w:hAnsi="Lato" w:cs="Calibri"/>
          <w:i/>
          <w:sz w:val="22"/>
        </w:rPr>
        <w:t>ą</w:t>
      </w:r>
      <w:r w:rsidRPr="00381EF8">
        <w:rPr>
          <w:rFonts w:ascii="Lato" w:eastAsia="Malgun Gothic" w:hAnsi="Lato"/>
          <w:i/>
          <w:sz w:val="22"/>
        </w:rPr>
        <w:t>cych bezpiecze</w:t>
      </w:r>
      <w:r w:rsidRPr="00381EF8">
        <w:rPr>
          <w:rFonts w:ascii="Lato" w:eastAsia="Malgun Gothic" w:hAnsi="Lato" w:cs="Calibri"/>
          <w:i/>
          <w:sz w:val="22"/>
        </w:rPr>
        <w:t>ń</w:t>
      </w:r>
      <w:r w:rsidRPr="00381EF8">
        <w:rPr>
          <w:rFonts w:ascii="Lato" w:eastAsia="Malgun Gothic" w:hAnsi="Lato"/>
          <w:i/>
          <w:sz w:val="22"/>
        </w:rPr>
        <w:t>stwo dostaw gazu ziemnego i uchylaj</w:t>
      </w:r>
      <w:r w:rsidRPr="00381EF8">
        <w:rPr>
          <w:rFonts w:ascii="Lato" w:eastAsia="Malgun Gothic" w:hAnsi="Lato" w:cs="Calibri"/>
          <w:i/>
          <w:sz w:val="22"/>
        </w:rPr>
        <w:t>ą</w:t>
      </w:r>
      <w:r w:rsidRPr="00381EF8">
        <w:rPr>
          <w:rFonts w:ascii="Lato" w:eastAsia="Malgun Gothic" w:hAnsi="Lato"/>
          <w:i/>
          <w:sz w:val="22"/>
        </w:rPr>
        <w:t>ce rozporz</w:t>
      </w:r>
      <w:r w:rsidRPr="00381EF8">
        <w:rPr>
          <w:rFonts w:ascii="Lato" w:eastAsia="Malgun Gothic" w:hAnsi="Lato" w:cs="Calibri"/>
          <w:i/>
          <w:sz w:val="22"/>
        </w:rPr>
        <w:t>ą</w:t>
      </w:r>
      <w:r w:rsidRPr="00381EF8">
        <w:rPr>
          <w:rFonts w:ascii="Lato" w:eastAsia="Malgun Gothic" w:hAnsi="Lato"/>
          <w:i/>
          <w:sz w:val="22"/>
        </w:rPr>
        <w:t>dzenia (UE) nr 994/2010</w:t>
      </w:r>
    </w:p>
    <w:p w14:paraId="1DF6F649" w14:textId="0A47790E" w:rsidR="00B03DBA" w:rsidRPr="00381EF8" w:rsidRDefault="00C7771E" w:rsidP="00983C18">
      <w:pPr>
        <w:spacing w:after="0" w:line="276" w:lineRule="auto"/>
        <w:rPr>
          <w:rFonts w:ascii="Lato" w:hAnsi="Lato"/>
          <w:sz w:val="22"/>
        </w:rPr>
      </w:pPr>
      <w:r w:rsidRPr="00381EF8">
        <w:rPr>
          <w:rFonts w:ascii="Lato" w:hAnsi="Lato"/>
          <w:sz w:val="22"/>
        </w:rPr>
        <w:t>RP</w:t>
      </w:r>
      <w:r w:rsidRPr="00381EF8">
        <w:rPr>
          <w:rFonts w:ascii="Lato" w:hAnsi="Lato"/>
          <w:sz w:val="22"/>
        </w:rPr>
        <w:tab/>
      </w:r>
      <w:r w:rsidRPr="00381EF8">
        <w:rPr>
          <w:rFonts w:ascii="Lato" w:hAnsi="Lato"/>
          <w:sz w:val="22"/>
        </w:rPr>
        <w:tab/>
      </w:r>
      <w:r w:rsidRPr="00381EF8">
        <w:rPr>
          <w:rFonts w:ascii="Lato" w:hAnsi="Lato"/>
          <w:sz w:val="22"/>
        </w:rPr>
        <w:tab/>
      </w:r>
      <w:r w:rsidRPr="00381EF8">
        <w:rPr>
          <w:rFonts w:ascii="Lato" w:hAnsi="Lato"/>
          <w:sz w:val="22"/>
        </w:rPr>
        <w:tab/>
      </w:r>
      <w:r w:rsidR="006031E8" w:rsidRPr="00381EF8">
        <w:rPr>
          <w:rFonts w:ascii="Lato" w:hAnsi="Lato"/>
          <w:sz w:val="22"/>
        </w:rPr>
        <w:tab/>
      </w:r>
      <w:r w:rsidRPr="00381EF8">
        <w:rPr>
          <w:rFonts w:ascii="Lato" w:hAnsi="Lato"/>
          <w:sz w:val="22"/>
        </w:rPr>
        <w:t>- Rzeczpospolita Polska</w:t>
      </w:r>
    </w:p>
    <w:p w14:paraId="2653019F" w14:textId="220EE180" w:rsidR="00B03DBA" w:rsidRPr="00381EF8" w:rsidRDefault="00C7771E" w:rsidP="00983C18">
      <w:pPr>
        <w:spacing w:after="0" w:line="276" w:lineRule="auto"/>
        <w:rPr>
          <w:rFonts w:ascii="Lato" w:eastAsia="Malgun Gothic" w:hAnsi="Lato"/>
          <w:sz w:val="22"/>
        </w:rPr>
      </w:pPr>
      <w:r w:rsidRPr="00381EF8">
        <w:rPr>
          <w:rFonts w:ascii="Lato" w:eastAsia="Malgun Gothic" w:hAnsi="Lato"/>
          <w:sz w:val="22"/>
        </w:rPr>
        <w:t>SGT</w:t>
      </w:r>
      <w:r w:rsidRPr="00381EF8">
        <w:rPr>
          <w:rFonts w:ascii="Lato" w:eastAsia="Malgun Gothic" w:hAnsi="Lato"/>
          <w:sz w:val="22"/>
        </w:rPr>
        <w:tab/>
      </w:r>
      <w:r w:rsidRPr="00381EF8">
        <w:rPr>
          <w:rFonts w:ascii="Lato" w:eastAsia="Malgun Gothic" w:hAnsi="Lato"/>
          <w:sz w:val="22"/>
        </w:rPr>
        <w:tab/>
      </w:r>
      <w:r w:rsidRPr="00381EF8">
        <w:rPr>
          <w:rFonts w:ascii="Lato" w:eastAsia="Malgun Gothic" w:hAnsi="Lato"/>
          <w:sz w:val="22"/>
        </w:rPr>
        <w:tab/>
      </w:r>
      <w:r w:rsidRPr="00381EF8">
        <w:rPr>
          <w:rFonts w:ascii="Lato" w:eastAsia="Malgun Gothic" w:hAnsi="Lato"/>
          <w:sz w:val="22"/>
        </w:rPr>
        <w:tab/>
      </w:r>
      <w:r w:rsidR="006031E8" w:rsidRPr="00381EF8">
        <w:rPr>
          <w:rFonts w:ascii="Lato" w:eastAsia="Malgun Gothic" w:hAnsi="Lato"/>
          <w:sz w:val="22"/>
        </w:rPr>
        <w:tab/>
      </w:r>
      <w:r w:rsidRPr="00381EF8">
        <w:rPr>
          <w:rFonts w:ascii="Lato" w:eastAsia="Malgun Gothic" w:hAnsi="Lato"/>
          <w:sz w:val="22"/>
        </w:rPr>
        <w:t>- system gazoci</w:t>
      </w:r>
      <w:r w:rsidRPr="00381EF8">
        <w:rPr>
          <w:rFonts w:ascii="Lato" w:eastAsia="Malgun Gothic" w:hAnsi="Lato" w:cs="Calibri"/>
          <w:sz w:val="22"/>
        </w:rPr>
        <w:t>ą</w:t>
      </w:r>
      <w:r w:rsidRPr="00381EF8">
        <w:rPr>
          <w:rFonts w:ascii="Lato" w:eastAsia="Malgun Gothic" w:hAnsi="Lato"/>
          <w:sz w:val="22"/>
        </w:rPr>
        <w:t>g</w:t>
      </w:r>
      <w:r w:rsidRPr="00381EF8">
        <w:rPr>
          <w:rFonts w:ascii="Lato" w:eastAsia="Malgun Gothic" w:hAnsi="Lato" w:cs="Malgun Gothic"/>
          <w:sz w:val="22"/>
        </w:rPr>
        <w:t>ó</w:t>
      </w:r>
      <w:r w:rsidRPr="00381EF8">
        <w:rPr>
          <w:rFonts w:ascii="Lato" w:eastAsia="Malgun Gothic" w:hAnsi="Lato"/>
          <w:sz w:val="22"/>
        </w:rPr>
        <w:t>w tranzytowych</w:t>
      </w:r>
    </w:p>
    <w:p w14:paraId="597205F4" w14:textId="1701F4F0" w:rsidR="00B03DBA" w:rsidRPr="00381EF8" w:rsidRDefault="00C7771E" w:rsidP="00983C18">
      <w:pPr>
        <w:spacing w:after="0" w:line="276" w:lineRule="auto"/>
        <w:rPr>
          <w:rFonts w:ascii="Lato" w:eastAsia="Malgun Gothic" w:hAnsi="Lato"/>
          <w:sz w:val="22"/>
        </w:rPr>
      </w:pPr>
      <w:r w:rsidRPr="00381EF8">
        <w:rPr>
          <w:rFonts w:ascii="Lato" w:eastAsia="Malgun Gothic" w:hAnsi="Lato"/>
          <w:sz w:val="22"/>
        </w:rPr>
        <w:t>SGT EuRoPol GAZ S.A.</w:t>
      </w:r>
      <w:r w:rsidRPr="00381EF8">
        <w:rPr>
          <w:rFonts w:ascii="Lato" w:eastAsia="Malgun Gothic" w:hAnsi="Lato"/>
          <w:sz w:val="22"/>
        </w:rPr>
        <w:tab/>
      </w:r>
      <w:r w:rsidR="006031E8" w:rsidRPr="00381EF8">
        <w:rPr>
          <w:rFonts w:ascii="Lato" w:eastAsia="Malgun Gothic" w:hAnsi="Lato"/>
          <w:sz w:val="22"/>
        </w:rPr>
        <w:tab/>
      </w:r>
      <w:r w:rsidRPr="00381EF8">
        <w:rPr>
          <w:rFonts w:ascii="Lato" w:eastAsia="Malgun Gothic" w:hAnsi="Lato"/>
          <w:sz w:val="22"/>
        </w:rPr>
        <w:t>- System Gazoci</w:t>
      </w:r>
      <w:r w:rsidRPr="00381EF8">
        <w:rPr>
          <w:rFonts w:ascii="Lato" w:eastAsia="Malgun Gothic" w:hAnsi="Lato" w:cs="Calibri"/>
          <w:sz w:val="22"/>
        </w:rPr>
        <w:t>ą</w:t>
      </w:r>
      <w:r w:rsidRPr="00381EF8">
        <w:rPr>
          <w:rFonts w:ascii="Lato" w:eastAsia="Malgun Gothic" w:hAnsi="Lato"/>
          <w:sz w:val="22"/>
        </w:rPr>
        <w:t>g</w:t>
      </w:r>
      <w:r w:rsidRPr="00381EF8">
        <w:rPr>
          <w:rFonts w:ascii="Lato" w:eastAsia="Malgun Gothic" w:hAnsi="Lato" w:cs="Malgun Gothic"/>
          <w:sz w:val="22"/>
        </w:rPr>
        <w:t>ó</w:t>
      </w:r>
      <w:r w:rsidRPr="00381EF8">
        <w:rPr>
          <w:rFonts w:ascii="Lato" w:eastAsia="Malgun Gothic" w:hAnsi="Lato"/>
          <w:sz w:val="22"/>
        </w:rPr>
        <w:t>w Tranzytowych EuRoPol GAZ S.A.</w:t>
      </w:r>
    </w:p>
    <w:p w14:paraId="065B4FA4" w14:textId="363888D6" w:rsidR="00B03DBA" w:rsidRPr="00381EF8" w:rsidRDefault="00C7771E" w:rsidP="00983C18">
      <w:pPr>
        <w:spacing w:after="0" w:line="276" w:lineRule="auto"/>
        <w:rPr>
          <w:rFonts w:ascii="Lato" w:eastAsia="Malgun Gothic" w:hAnsi="Lato"/>
          <w:sz w:val="22"/>
        </w:rPr>
      </w:pPr>
      <w:r w:rsidRPr="00381EF8">
        <w:rPr>
          <w:rFonts w:ascii="Lato" w:eastAsia="Malgun Gothic" w:hAnsi="Lato"/>
          <w:sz w:val="22"/>
        </w:rPr>
        <w:t>UE</w:t>
      </w:r>
      <w:r w:rsidRPr="00381EF8">
        <w:rPr>
          <w:rFonts w:ascii="Lato" w:eastAsia="Malgun Gothic" w:hAnsi="Lato"/>
          <w:sz w:val="22"/>
        </w:rPr>
        <w:tab/>
      </w:r>
      <w:r w:rsidRPr="00381EF8">
        <w:rPr>
          <w:rFonts w:ascii="Lato" w:eastAsia="Malgun Gothic" w:hAnsi="Lato"/>
          <w:sz w:val="22"/>
        </w:rPr>
        <w:tab/>
      </w:r>
      <w:r w:rsidRPr="00381EF8">
        <w:rPr>
          <w:rFonts w:ascii="Lato" w:eastAsia="Malgun Gothic" w:hAnsi="Lato"/>
          <w:sz w:val="22"/>
        </w:rPr>
        <w:tab/>
      </w:r>
      <w:r w:rsidRPr="00381EF8">
        <w:rPr>
          <w:rFonts w:ascii="Lato" w:eastAsia="Malgun Gothic" w:hAnsi="Lato"/>
          <w:sz w:val="22"/>
        </w:rPr>
        <w:tab/>
      </w:r>
      <w:r w:rsidR="006031E8" w:rsidRPr="00381EF8">
        <w:rPr>
          <w:rFonts w:ascii="Lato" w:eastAsia="Malgun Gothic" w:hAnsi="Lato"/>
          <w:sz w:val="22"/>
        </w:rPr>
        <w:tab/>
      </w:r>
      <w:r w:rsidRPr="00381EF8">
        <w:rPr>
          <w:rFonts w:ascii="Lato" w:eastAsia="Malgun Gothic" w:hAnsi="Lato"/>
          <w:sz w:val="22"/>
        </w:rPr>
        <w:t>- Unia Europejska</w:t>
      </w:r>
    </w:p>
    <w:p w14:paraId="3A4C8488" w14:textId="35A784BA" w:rsidR="00414233" w:rsidRPr="00381EF8" w:rsidRDefault="00C7771E" w:rsidP="00983C18">
      <w:pPr>
        <w:spacing w:after="0" w:line="276" w:lineRule="auto"/>
        <w:ind w:left="3540" w:hanging="3540"/>
        <w:rPr>
          <w:rFonts w:ascii="Lato" w:hAnsi="Lato"/>
          <w:b/>
          <w:sz w:val="22"/>
        </w:rPr>
      </w:pPr>
      <w:r w:rsidRPr="00381EF8">
        <w:rPr>
          <w:rFonts w:ascii="Lato" w:eastAsia="Malgun Gothic" w:hAnsi="Lato"/>
          <w:sz w:val="22"/>
        </w:rPr>
        <w:t>ustawa o zapasach</w:t>
      </w:r>
      <w:r w:rsidRPr="00381EF8">
        <w:rPr>
          <w:rFonts w:ascii="Lato" w:eastAsia="Malgun Gothic" w:hAnsi="Lato"/>
          <w:sz w:val="22"/>
        </w:rPr>
        <w:tab/>
        <w:t xml:space="preserve">- </w:t>
      </w:r>
      <w:r w:rsidRPr="00381EF8">
        <w:rPr>
          <w:rFonts w:ascii="Lato" w:hAnsi="Lato"/>
          <w:sz w:val="22"/>
        </w:rPr>
        <w:t xml:space="preserve">ustawa z dnia 16 lutego 2007 r. </w:t>
      </w:r>
      <w:r w:rsidRPr="00381EF8">
        <w:rPr>
          <w:rFonts w:ascii="Lato" w:hAnsi="Lato"/>
          <w:i/>
          <w:sz w:val="22"/>
        </w:rPr>
        <w:t>o zapasach ropy naftowej, produktów naftowych i gazu ziemnego oraz zasadach postępowania w sytuacjach zagrożenia bezpieczeństwa paliwowego państwa i zakłóceń na rynku naftowym</w:t>
      </w:r>
      <w:bookmarkStart w:id="0" w:name="_Toc12953891"/>
      <w:r w:rsidR="00414233" w:rsidRPr="00381EF8">
        <w:rPr>
          <w:rFonts w:ascii="Lato" w:hAnsi="Lato"/>
          <w:sz w:val="22"/>
        </w:rPr>
        <w:br w:type="page"/>
      </w:r>
    </w:p>
    <w:p w14:paraId="31A6691E" w14:textId="49BEDDB7" w:rsidR="00B03DBA" w:rsidRPr="006E0158" w:rsidRDefault="00C7771E" w:rsidP="00A41E5A">
      <w:pPr>
        <w:pStyle w:val="Rozdzia1"/>
        <w:numPr>
          <w:ilvl w:val="0"/>
          <w:numId w:val="0"/>
        </w:numPr>
        <w:ind w:left="360" w:hanging="360"/>
        <w:rPr>
          <w:rFonts w:ascii="Lato" w:hAnsi="Lato"/>
          <w:sz w:val="28"/>
          <w:szCs w:val="28"/>
        </w:rPr>
      </w:pPr>
      <w:bookmarkStart w:id="1" w:name="_Toc19782923"/>
      <w:bookmarkStart w:id="2" w:name="_Toc142469547"/>
      <w:r w:rsidRPr="006E0158">
        <w:rPr>
          <w:rFonts w:ascii="Lato" w:hAnsi="Lato"/>
          <w:sz w:val="28"/>
          <w:szCs w:val="28"/>
        </w:rPr>
        <w:lastRenderedPageBreak/>
        <w:t>Podsumowanie i wnioski</w:t>
      </w:r>
      <w:bookmarkEnd w:id="1"/>
      <w:bookmarkEnd w:id="2"/>
    </w:p>
    <w:p w14:paraId="408E3A55" w14:textId="298913CC" w:rsidR="00B03DBA" w:rsidRPr="00630443" w:rsidRDefault="007E38A1" w:rsidP="000A7C68">
      <w:pPr>
        <w:pStyle w:val="Tekstzwyky"/>
        <w:spacing w:after="60"/>
        <w:rPr>
          <w:rFonts w:ascii="Lato" w:hAnsi="Lato"/>
        </w:rPr>
      </w:pPr>
      <w:r>
        <w:rPr>
          <w:rFonts w:ascii="Lato" w:hAnsi="Lato"/>
        </w:rPr>
        <w:tab/>
      </w:r>
      <w:r w:rsidR="00C7771E" w:rsidRPr="00C758B1">
        <w:rPr>
          <w:rFonts w:ascii="Lato" w:hAnsi="Lato"/>
          <w:i/>
        </w:rPr>
        <w:t xml:space="preserve">Plan działań zapobiegawczych </w:t>
      </w:r>
      <w:r w:rsidR="00C7771E" w:rsidRPr="00C758B1">
        <w:rPr>
          <w:rFonts w:ascii="Lato" w:hAnsi="Lato"/>
          <w:spacing w:val="3"/>
        </w:rPr>
        <w:t>określa</w:t>
      </w:r>
      <w:r w:rsidR="00C7771E" w:rsidRPr="00C758B1">
        <w:rPr>
          <w:rFonts w:ascii="Lato" w:hAnsi="Lato"/>
        </w:rPr>
        <w:t xml:space="preserve"> środki mające na celu usunięcie lub złagodzenie ryzyka i </w:t>
      </w:r>
      <w:r w:rsidR="00C7771E" w:rsidRPr="00630443">
        <w:rPr>
          <w:rFonts w:ascii="Lato" w:hAnsi="Lato"/>
        </w:rPr>
        <w:t>zagrożeń w dostawach gazu ziemnego wysokometanowego.</w:t>
      </w:r>
      <w:r w:rsidR="003F0FCF" w:rsidRPr="00630443">
        <w:rPr>
          <w:rFonts w:ascii="Lato" w:hAnsi="Lato"/>
        </w:rPr>
        <w:t xml:space="preserve"> Plan charakteryzuje również </w:t>
      </w:r>
      <w:r w:rsidR="00C7771E" w:rsidRPr="00630443">
        <w:rPr>
          <w:rFonts w:ascii="Lato" w:hAnsi="Lato"/>
        </w:rPr>
        <w:t xml:space="preserve">zdolności Polski do dostarczania gazu ziemnego zgodnie </w:t>
      </w:r>
      <w:r w:rsidR="00EE3AAE" w:rsidRPr="00630443">
        <w:rPr>
          <w:rFonts w:ascii="Lato" w:hAnsi="Lato"/>
        </w:rPr>
        <w:t xml:space="preserve">ze standardami </w:t>
      </w:r>
      <w:r w:rsidR="00C7771E" w:rsidRPr="00630443">
        <w:rPr>
          <w:rFonts w:ascii="Lato" w:hAnsi="Lato"/>
        </w:rPr>
        <w:t>określonymi w rozporządzeniu</w:t>
      </w:r>
      <w:r w:rsidR="002135F1" w:rsidRPr="00630443">
        <w:rPr>
          <w:rFonts w:ascii="Lato" w:hAnsi="Lato"/>
        </w:rPr>
        <w:t xml:space="preserve"> </w:t>
      </w:r>
      <w:r w:rsidR="00630443" w:rsidRPr="00630443">
        <w:rPr>
          <w:rFonts w:ascii="Lato" w:eastAsia="Malgun Gothic" w:hAnsi="Lato"/>
        </w:rPr>
        <w:t>Parlamentu Europejskiego i Rady (UE) nr 2017/1938 z dnia 25 pa</w:t>
      </w:r>
      <w:r w:rsidR="00630443" w:rsidRPr="00630443">
        <w:rPr>
          <w:rFonts w:ascii="Lato" w:eastAsia="Malgun Gothic" w:hAnsi="Lato" w:cs="Calibri"/>
        </w:rPr>
        <w:t>ź</w:t>
      </w:r>
      <w:r w:rsidR="00630443" w:rsidRPr="00630443">
        <w:rPr>
          <w:rFonts w:ascii="Lato" w:eastAsia="Malgun Gothic" w:hAnsi="Lato"/>
        </w:rPr>
        <w:t xml:space="preserve">dziernika 2017 r. </w:t>
      </w:r>
      <w:r w:rsidR="00630443" w:rsidRPr="00630443">
        <w:rPr>
          <w:rFonts w:ascii="Lato" w:eastAsia="Malgun Gothic" w:hAnsi="Lato"/>
          <w:i/>
        </w:rPr>
        <w:t>dotycz</w:t>
      </w:r>
      <w:r w:rsidR="00630443" w:rsidRPr="00630443">
        <w:rPr>
          <w:rFonts w:ascii="Lato" w:eastAsia="Malgun Gothic" w:hAnsi="Lato" w:cs="Calibri"/>
          <w:i/>
        </w:rPr>
        <w:t>ą</w:t>
      </w:r>
      <w:r w:rsidR="00630443" w:rsidRPr="00630443">
        <w:rPr>
          <w:rFonts w:ascii="Lato" w:eastAsia="Malgun Gothic" w:hAnsi="Lato"/>
          <w:i/>
        </w:rPr>
        <w:t xml:space="preserve">cym </w:t>
      </w:r>
      <w:r w:rsidR="00630443" w:rsidRPr="00630443">
        <w:rPr>
          <w:rFonts w:ascii="Lato" w:eastAsia="Malgun Gothic" w:hAnsi="Lato" w:cs="Calibri"/>
          <w:i/>
        </w:rPr>
        <w:t>ś</w:t>
      </w:r>
      <w:r w:rsidR="00630443" w:rsidRPr="00630443">
        <w:rPr>
          <w:rFonts w:ascii="Lato" w:eastAsia="Malgun Gothic" w:hAnsi="Lato"/>
          <w:i/>
        </w:rPr>
        <w:t>rodk</w:t>
      </w:r>
      <w:r w:rsidR="00630443" w:rsidRPr="00630443">
        <w:rPr>
          <w:rFonts w:ascii="Lato" w:eastAsia="Malgun Gothic" w:hAnsi="Lato" w:cs="Malgun Gothic"/>
          <w:i/>
        </w:rPr>
        <w:t>ó</w:t>
      </w:r>
      <w:r w:rsidR="00630443" w:rsidRPr="00630443">
        <w:rPr>
          <w:rFonts w:ascii="Lato" w:eastAsia="Malgun Gothic" w:hAnsi="Lato"/>
          <w:i/>
        </w:rPr>
        <w:t>w zapewniaj</w:t>
      </w:r>
      <w:r w:rsidR="00630443" w:rsidRPr="00630443">
        <w:rPr>
          <w:rFonts w:ascii="Lato" w:eastAsia="Malgun Gothic" w:hAnsi="Lato" w:cs="Calibri"/>
          <w:i/>
        </w:rPr>
        <w:t>ą</w:t>
      </w:r>
      <w:r w:rsidR="00630443" w:rsidRPr="00630443">
        <w:rPr>
          <w:rFonts w:ascii="Lato" w:eastAsia="Malgun Gothic" w:hAnsi="Lato"/>
          <w:i/>
        </w:rPr>
        <w:t>cych bezpiecze</w:t>
      </w:r>
      <w:r w:rsidR="00630443" w:rsidRPr="00630443">
        <w:rPr>
          <w:rFonts w:ascii="Lato" w:eastAsia="Malgun Gothic" w:hAnsi="Lato" w:cs="Calibri"/>
          <w:i/>
        </w:rPr>
        <w:t>ń</w:t>
      </w:r>
      <w:r w:rsidR="00630443" w:rsidRPr="00630443">
        <w:rPr>
          <w:rFonts w:ascii="Lato" w:eastAsia="Malgun Gothic" w:hAnsi="Lato"/>
          <w:i/>
        </w:rPr>
        <w:t>stwo dostaw gazu ziemnego i uchylaj</w:t>
      </w:r>
      <w:r w:rsidR="00630443" w:rsidRPr="00630443">
        <w:rPr>
          <w:rFonts w:ascii="Lato" w:eastAsia="Malgun Gothic" w:hAnsi="Lato" w:cs="Calibri"/>
          <w:i/>
        </w:rPr>
        <w:t>ą</w:t>
      </w:r>
      <w:r w:rsidR="00630443" w:rsidRPr="00630443">
        <w:rPr>
          <w:rFonts w:ascii="Lato" w:eastAsia="Malgun Gothic" w:hAnsi="Lato"/>
          <w:i/>
        </w:rPr>
        <w:t>ce rozporz</w:t>
      </w:r>
      <w:r w:rsidR="00630443" w:rsidRPr="00630443">
        <w:rPr>
          <w:rFonts w:ascii="Lato" w:eastAsia="Malgun Gothic" w:hAnsi="Lato" w:cs="Calibri"/>
          <w:i/>
        </w:rPr>
        <w:t>ą</w:t>
      </w:r>
      <w:r w:rsidR="00630443" w:rsidRPr="00630443">
        <w:rPr>
          <w:rFonts w:ascii="Lato" w:eastAsia="Malgun Gothic" w:hAnsi="Lato"/>
          <w:i/>
        </w:rPr>
        <w:t xml:space="preserve">dzenia (UE) nr 994/2010 </w:t>
      </w:r>
      <w:r w:rsidR="00C7771E" w:rsidRPr="00630443">
        <w:rPr>
          <w:rFonts w:ascii="Lato" w:hAnsi="Lato"/>
        </w:rPr>
        <w:t>(tj. standardem w</w:t>
      </w:r>
      <w:r w:rsidR="00EE3AAE" w:rsidRPr="00630443">
        <w:rPr>
          <w:rFonts w:ascii="Lato" w:hAnsi="Lato"/>
        </w:rPr>
        <w:t xml:space="preserve"> </w:t>
      </w:r>
      <w:r w:rsidR="00C7771E" w:rsidRPr="00630443">
        <w:rPr>
          <w:rFonts w:ascii="Lato" w:hAnsi="Lato"/>
        </w:rPr>
        <w:t>zakresie infrastruktury oraz standardem w</w:t>
      </w:r>
      <w:r w:rsidR="00EE3AAE" w:rsidRPr="00630443">
        <w:rPr>
          <w:rFonts w:ascii="Lato" w:hAnsi="Lato"/>
        </w:rPr>
        <w:t xml:space="preserve"> </w:t>
      </w:r>
      <w:r w:rsidR="00C7771E" w:rsidRPr="00630443">
        <w:rPr>
          <w:rFonts w:ascii="Lato" w:hAnsi="Lato"/>
        </w:rPr>
        <w:t>zakresie dostaw).</w:t>
      </w:r>
    </w:p>
    <w:p w14:paraId="32E572AB" w14:textId="563EDD38" w:rsidR="00B03DBA" w:rsidRPr="003F0FCF" w:rsidRDefault="00C7771E" w:rsidP="000A7C68">
      <w:pPr>
        <w:pStyle w:val="Tekstzwyky"/>
        <w:spacing w:after="60"/>
        <w:rPr>
          <w:rFonts w:ascii="Lato" w:hAnsi="Lato"/>
        </w:rPr>
      </w:pPr>
      <w:r w:rsidRPr="00C758B1">
        <w:rPr>
          <w:rFonts w:ascii="Lato" w:hAnsi="Lato"/>
          <w:spacing w:val="3"/>
        </w:rPr>
        <w:tab/>
        <w:t>Standard w zakresie infrastruktury, określany przez tzw. wskaźnik N-1,</w:t>
      </w:r>
      <w:r w:rsidRPr="00C758B1">
        <w:rPr>
          <w:rFonts w:ascii="Lato" w:hAnsi="Lato"/>
        </w:rPr>
        <w:t xml:space="preserve"> opisuje zdolno</w:t>
      </w:r>
      <w:r w:rsidRPr="00C758B1">
        <w:rPr>
          <w:rFonts w:ascii="Lato" w:hAnsi="Lato" w:cs="Calibri"/>
        </w:rPr>
        <w:t>ść</w:t>
      </w:r>
      <w:r w:rsidRPr="00C758B1">
        <w:rPr>
          <w:rFonts w:ascii="Lato" w:hAnsi="Lato"/>
        </w:rPr>
        <w:t xml:space="preserve"> techniczn</w:t>
      </w:r>
      <w:r w:rsidRPr="00C758B1">
        <w:rPr>
          <w:rFonts w:ascii="Lato" w:hAnsi="Lato" w:cs="Calibri"/>
        </w:rPr>
        <w:t>ą</w:t>
      </w:r>
      <w:r w:rsidRPr="00C758B1">
        <w:rPr>
          <w:rFonts w:ascii="Lato" w:hAnsi="Lato"/>
        </w:rPr>
        <w:t xml:space="preserve"> infrastruktury gazowej do zaspokojenia ca</w:t>
      </w:r>
      <w:r w:rsidRPr="00C758B1">
        <w:rPr>
          <w:rFonts w:ascii="Lato" w:hAnsi="Lato" w:cs="Malgun Gothic"/>
        </w:rPr>
        <w:t>ł</w:t>
      </w:r>
      <w:r w:rsidRPr="00C758B1">
        <w:rPr>
          <w:rFonts w:ascii="Lato" w:hAnsi="Lato"/>
        </w:rPr>
        <w:t>kowitego zapotrzebowania na gaz ziemny na analizowanym</w:t>
      </w:r>
      <w:r w:rsidR="00630443" w:rsidRPr="00630443">
        <w:rPr>
          <w:rFonts w:ascii="Lato" w:hAnsi="Lato"/>
        </w:rPr>
        <w:t xml:space="preserve"> </w:t>
      </w:r>
      <w:r w:rsidR="00630443" w:rsidRPr="00C758B1">
        <w:rPr>
          <w:rFonts w:ascii="Lato" w:hAnsi="Lato"/>
        </w:rPr>
        <w:t>obszarze</w:t>
      </w:r>
      <w:r w:rsidRPr="00C758B1">
        <w:rPr>
          <w:rFonts w:ascii="Lato" w:hAnsi="Lato"/>
        </w:rPr>
        <w:t>, w przypadku zakłóce</w:t>
      </w:r>
      <w:r w:rsidRPr="00C758B1">
        <w:rPr>
          <w:rFonts w:ascii="Lato" w:hAnsi="Lato" w:cs="Calibri"/>
        </w:rPr>
        <w:t>ń</w:t>
      </w:r>
      <w:r w:rsidRPr="00C758B1">
        <w:rPr>
          <w:rFonts w:ascii="Lato" w:hAnsi="Lato"/>
        </w:rPr>
        <w:t xml:space="preserve"> w</w:t>
      </w:r>
      <w:r w:rsidRPr="00C758B1">
        <w:rPr>
          <w:rFonts w:ascii="Lato" w:hAnsi="Lato" w:cs="Malgun Gothic"/>
        </w:rPr>
        <w:t> </w:t>
      </w:r>
      <w:r w:rsidRPr="00C758B1">
        <w:rPr>
          <w:rFonts w:ascii="Lato" w:hAnsi="Lato"/>
        </w:rPr>
        <w:t>funkcjonowaniu najwi</w:t>
      </w:r>
      <w:r w:rsidRPr="00C758B1">
        <w:rPr>
          <w:rFonts w:ascii="Lato" w:hAnsi="Lato" w:cs="Calibri"/>
        </w:rPr>
        <w:t>ę</w:t>
      </w:r>
      <w:r w:rsidRPr="00C758B1">
        <w:rPr>
          <w:rFonts w:ascii="Lato" w:hAnsi="Lato"/>
        </w:rPr>
        <w:t>kszego pojedynczego elementu tej infrastruktury, w</w:t>
      </w:r>
      <w:r w:rsidR="003F0FCF">
        <w:rPr>
          <w:rFonts w:ascii="Lato" w:hAnsi="Lato"/>
        </w:rPr>
        <w:t xml:space="preserve"> </w:t>
      </w:r>
      <w:r w:rsidRPr="00C758B1">
        <w:rPr>
          <w:rFonts w:ascii="Lato" w:hAnsi="Lato"/>
        </w:rPr>
        <w:t>dniu nadzwyczajnie wysokiego zapotrzebowania, wyst</w:t>
      </w:r>
      <w:r w:rsidRPr="00C758B1">
        <w:rPr>
          <w:rFonts w:ascii="Lato" w:hAnsi="Lato" w:cs="Calibri"/>
        </w:rPr>
        <w:t>ę</w:t>
      </w:r>
      <w:r w:rsidRPr="00C758B1">
        <w:rPr>
          <w:rFonts w:ascii="Lato" w:hAnsi="Lato"/>
        </w:rPr>
        <w:t>puj</w:t>
      </w:r>
      <w:r w:rsidRPr="00C758B1">
        <w:rPr>
          <w:rFonts w:ascii="Lato" w:hAnsi="Lato" w:cs="Calibri"/>
        </w:rPr>
        <w:t>ą</w:t>
      </w:r>
      <w:r w:rsidRPr="00C758B1">
        <w:rPr>
          <w:rFonts w:ascii="Lato" w:hAnsi="Lato"/>
        </w:rPr>
        <w:t>cym statystycznie raz na 20 lat.</w:t>
      </w:r>
      <w:r w:rsidR="00630443">
        <w:rPr>
          <w:rFonts w:ascii="Lato" w:hAnsi="Lato"/>
        </w:rPr>
        <w:t xml:space="preserve"> </w:t>
      </w:r>
      <w:r w:rsidRPr="003F0FCF">
        <w:rPr>
          <w:rFonts w:ascii="Lato" w:hAnsi="Lato"/>
        </w:rPr>
        <w:t>Wskaźnik N-1 obliczony dla Polski, przy założeniu awarii</w:t>
      </w:r>
      <w:r w:rsidR="005537C3" w:rsidRPr="003F0FCF">
        <w:rPr>
          <w:rFonts w:ascii="Lato" w:hAnsi="Lato"/>
        </w:rPr>
        <w:t xml:space="preserve"> </w:t>
      </w:r>
      <w:r w:rsidR="00BA1A77" w:rsidRPr="00C758B1">
        <w:rPr>
          <w:rFonts w:ascii="Lato" w:hAnsi="Lato"/>
        </w:rPr>
        <w:t>największego pojedy</w:t>
      </w:r>
      <w:r w:rsidR="005F4549" w:rsidRPr="00C758B1">
        <w:rPr>
          <w:rFonts w:ascii="Lato" w:hAnsi="Lato"/>
        </w:rPr>
        <w:t>nczego elementu infrastruktury w systemie przesyłowym</w:t>
      </w:r>
      <w:r w:rsidR="003F0FCF">
        <w:rPr>
          <w:rFonts w:ascii="Lato" w:hAnsi="Lato"/>
        </w:rPr>
        <w:t>,</w:t>
      </w:r>
      <w:r w:rsidR="005F4549" w:rsidRPr="00C758B1">
        <w:rPr>
          <w:rFonts w:ascii="Lato" w:hAnsi="Lato"/>
        </w:rPr>
        <w:t xml:space="preserve"> wynosi</w:t>
      </w:r>
      <w:r w:rsidR="005537C3" w:rsidRPr="00C758B1">
        <w:rPr>
          <w:rFonts w:ascii="Lato" w:hAnsi="Lato"/>
        </w:rPr>
        <w:t xml:space="preserve"> 143,</w:t>
      </w:r>
      <w:r w:rsidR="006976B2" w:rsidRPr="00C758B1">
        <w:rPr>
          <w:rFonts w:ascii="Lato" w:hAnsi="Lato"/>
        </w:rPr>
        <w:t>8</w:t>
      </w:r>
      <w:r w:rsidRPr="003F0FCF">
        <w:rPr>
          <w:rFonts w:ascii="Lato" w:hAnsi="Lato"/>
        </w:rPr>
        <w:t>%. Przekroczenie przez wskaźnik N-1 wartości powyżej 100%</w:t>
      </w:r>
      <w:r w:rsidR="00630443">
        <w:rPr>
          <w:rFonts w:ascii="Lato" w:hAnsi="Lato"/>
        </w:rPr>
        <w:t xml:space="preserve"> </w:t>
      </w:r>
      <w:r w:rsidRPr="003F0FCF">
        <w:rPr>
          <w:rFonts w:ascii="Lato" w:hAnsi="Lato"/>
        </w:rPr>
        <w:t>oznacza, że</w:t>
      </w:r>
      <w:r w:rsidR="003F0FCF">
        <w:rPr>
          <w:rFonts w:ascii="Lato" w:hAnsi="Lato"/>
        </w:rPr>
        <w:t xml:space="preserve"> </w:t>
      </w:r>
      <w:r w:rsidRPr="003F0FCF">
        <w:rPr>
          <w:rFonts w:ascii="Lato" w:hAnsi="Lato"/>
        </w:rPr>
        <w:t>istniejąca infrastruktura gazowa pozwala na zabezpieczenie dostaw na potrzeby odbiorców nawet w przypadku awarii jej największego elementu.</w:t>
      </w:r>
    </w:p>
    <w:p w14:paraId="59A21241" w14:textId="77777777" w:rsidR="00630443" w:rsidRDefault="00C7771E" w:rsidP="000A7C68">
      <w:pPr>
        <w:pStyle w:val="Tekstzwyky"/>
        <w:spacing w:after="60"/>
        <w:rPr>
          <w:rFonts w:ascii="Lato" w:hAnsi="Lato"/>
        </w:rPr>
      </w:pPr>
      <w:r w:rsidRPr="00C758B1">
        <w:rPr>
          <w:rFonts w:ascii="Lato" w:hAnsi="Lato"/>
          <w:spacing w:val="3"/>
        </w:rPr>
        <w:tab/>
      </w:r>
      <w:r w:rsidR="005F4549" w:rsidRPr="00C758B1">
        <w:rPr>
          <w:rFonts w:ascii="Lato" w:hAnsi="Lato"/>
        </w:rPr>
        <w:t>I</w:t>
      </w:r>
      <w:r w:rsidRPr="00C758B1">
        <w:rPr>
          <w:rFonts w:ascii="Lato" w:hAnsi="Lato"/>
        </w:rPr>
        <w:t>lość gazu ziemnego potrzebnego do zapewnienia zgodności ze standardem w zakresie dostaw do odbiorców należących do grupy odbiorców chronionych, w czasie</w:t>
      </w:r>
      <w:r w:rsidR="003F0FCF">
        <w:rPr>
          <w:rFonts w:ascii="Lato" w:hAnsi="Lato"/>
        </w:rPr>
        <w:t xml:space="preserve"> </w:t>
      </w:r>
      <w:r w:rsidRPr="00C758B1">
        <w:rPr>
          <w:rFonts w:ascii="Lato" w:hAnsi="Lato"/>
        </w:rPr>
        <w:t>30</w:t>
      </w:r>
      <w:r w:rsidR="003F0FCF">
        <w:rPr>
          <w:rFonts w:ascii="Lato" w:hAnsi="Lato"/>
        </w:rPr>
        <w:t xml:space="preserve"> </w:t>
      </w:r>
      <w:r w:rsidRPr="00C758B1">
        <w:rPr>
          <w:rFonts w:ascii="Lato" w:hAnsi="Lato"/>
        </w:rPr>
        <w:t>dni</w:t>
      </w:r>
      <w:r w:rsidR="003F0FCF">
        <w:rPr>
          <w:rFonts w:ascii="Lato" w:hAnsi="Lato"/>
        </w:rPr>
        <w:t xml:space="preserve"> </w:t>
      </w:r>
      <w:r w:rsidRPr="00C758B1">
        <w:rPr>
          <w:rFonts w:ascii="Lato" w:hAnsi="Lato"/>
        </w:rPr>
        <w:t>nadzwyczajnie wysokiego zapotrzebowania na gaz ziemny</w:t>
      </w:r>
      <w:r w:rsidR="003F0FCF">
        <w:rPr>
          <w:rFonts w:ascii="Lato" w:hAnsi="Lato"/>
        </w:rPr>
        <w:t xml:space="preserve">, </w:t>
      </w:r>
      <w:r w:rsidRPr="00C758B1">
        <w:rPr>
          <w:rFonts w:ascii="Lato" w:hAnsi="Lato"/>
        </w:rPr>
        <w:t>z prawdopodobieństwem wystąpienia raz na 20 lat</w:t>
      </w:r>
      <w:r w:rsidR="003F0FCF">
        <w:rPr>
          <w:rFonts w:ascii="Lato" w:hAnsi="Lato"/>
        </w:rPr>
        <w:t>,</w:t>
      </w:r>
      <w:r w:rsidRPr="00C758B1">
        <w:rPr>
          <w:rFonts w:ascii="Lato" w:hAnsi="Lato"/>
          <w:spacing w:val="3"/>
        </w:rPr>
        <w:t xml:space="preserve"> </w:t>
      </w:r>
      <w:r w:rsidRPr="00C758B1">
        <w:rPr>
          <w:rFonts w:ascii="Lato" w:hAnsi="Lato"/>
        </w:rPr>
        <w:t>wynosi ok.</w:t>
      </w:r>
      <w:r w:rsidR="00D643E1" w:rsidRPr="00C758B1">
        <w:rPr>
          <w:rFonts w:ascii="Lato" w:hAnsi="Lato"/>
        </w:rPr>
        <w:t xml:space="preserve"> </w:t>
      </w:r>
      <w:r w:rsidR="00E0261B" w:rsidRPr="00C758B1">
        <w:rPr>
          <w:rFonts w:ascii="Lato" w:hAnsi="Lato"/>
        </w:rPr>
        <w:t>1 2</w:t>
      </w:r>
      <w:r w:rsidR="00C7584D" w:rsidRPr="00C758B1">
        <w:rPr>
          <w:rFonts w:ascii="Lato" w:hAnsi="Lato"/>
        </w:rPr>
        <w:t>26</w:t>
      </w:r>
      <w:r w:rsidR="00E0261B" w:rsidRPr="00C758B1">
        <w:rPr>
          <w:rFonts w:ascii="Lato" w:hAnsi="Lato"/>
        </w:rPr>
        <w:t>,</w:t>
      </w:r>
      <w:r w:rsidR="00C7584D" w:rsidRPr="00C758B1">
        <w:rPr>
          <w:rFonts w:ascii="Lato" w:hAnsi="Lato"/>
        </w:rPr>
        <w:t>8</w:t>
      </w:r>
      <w:r w:rsidR="00A22745" w:rsidRPr="00C758B1">
        <w:rPr>
          <w:rFonts w:ascii="Lato" w:hAnsi="Lato"/>
        </w:rPr>
        <w:t xml:space="preserve"> mln m</w:t>
      </w:r>
      <w:r w:rsidR="00A22745" w:rsidRPr="00C758B1">
        <w:rPr>
          <w:rFonts w:ascii="Lato" w:hAnsi="Lato"/>
          <w:vertAlign w:val="superscript"/>
        </w:rPr>
        <w:t>3</w:t>
      </w:r>
      <w:r w:rsidR="00A22745" w:rsidRPr="00C758B1">
        <w:rPr>
          <w:rFonts w:ascii="Lato" w:hAnsi="Lato"/>
        </w:rPr>
        <w:t xml:space="preserve"> (</w:t>
      </w:r>
      <w:r w:rsidR="0036571A" w:rsidRPr="00C758B1">
        <w:rPr>
          <w:rFonts w:ascii="Lato" w:hAnsi="Lato"/>
        </w:rPr>
        <w:t>13 387,5</w:t>
      </w:r>
      <w:r w:rsidR="00A22745" w:rsidRPr="00C758B1">
        <w:rPr>
          <w:rFonts w:ascii="Lato" w:hAnsi="Lato"/>
        </w:rPr>
        <w:t xml:space="preserve"> GWh).</w:t>
      </w:r>
      <w:r w:rsidRPr="00C758B1">
        <w:rPr>
          <w:rFonts w:ascii="Lato" w:hAnsi="Lato"/>
        </w:rPr>
        <w:t xml:space="preserve"> </w:t>
      </w:r>
    </w:p>
    <w:p w14:paraId="11396263" w14:textId="0F48B644" w:rsidR="00630443" w:rsidRPr="00630443" w:rsidRDefault="00630443" w:rsidP="000A7C68">
      <w:pPr>
        <w:pStyle w:val="Tekstzwyky"/>
        <w:spacing w:after="60"/>
        <w:rPr>
          <w:rFonts w:ascii="Lato" w:hAnsi="Lato"/>
        </w:rPr>
      </w:pPr>
      <w:r>
        <w:rPr>
          <w:rFonts w:ascii="Lato" w:hAnsi="Lato"/>
        </w:rPr>
        <w:tab/>
      </w:r>
      <w:r w:rsidRPr="00C758B1">
        <w:rPr>
          <w:rFonts w:ascii="Lato" w:hAnsi="Lato"/>
        </w:rPr>
        <w:t>Z uwagi na zasilanie systemu gazu zaazotowanego wył</w:t>
      </w:r>
      <w:r w:rsidRPr="00C758B1">
        <w:rPr>
          <w:rFonts w:ascii="Lato" w:hAnsi="Lato" w:cs="Calibri"/>
        </w:rPr>
        <w:t>ą</w:t>
      </w:r>
      <w:r w:rsidRPr="00C758B1">
        <w:rPr>
          <w:rFonts w:ascii="Lato" w:hAnsi="Lato"/>
        </w:rPr>
        <w:t xml:space="preserve">cznie z krajowych </w:t>
      </w:r>
      <w:r w:rsidRPr="00C758B1">
        <w:rPr>
          <w:rFonts w:ascii="Lato" w:hAnsi="Lato" w:cs="Calibri"/>
        </w:rPr>
        <w:t>ź</w:t>
      </w:r>
      <w:r w:rsidRPr="00C758B1">
        <w:rPr>
          <w:rFonts w:ascii="Lato" w:hAnsi="Lato"/>
        </w:rPr>
        <w:t>r</w:t>
      </w:r>
      <w:r w:rsidRPr="00C758B1">
        <w:rPr>
          <w:rFonts w:ascii="Lato" w:hAnsi="Lato" w:cs="Malgun Gothic"/>
        </w:rPr>
        <w:t>ó</w:t>
      </w:r>
      <w:r w:rsidRPr="00C758B1">
        <w:rPr>
          <w:rFonts w:ascii="Lato" w:hAnsi="Lato"/>
        </w:rPr>
        <w:t>de</w:t>
      </w:r>
      <w:r w:rsidRPr="00C758B1">
        <w:rPr>
          <w:rFonts w:ascii="Lato" w:hAnsi="Lato" w:cs="Malgun Gothic"/>
        </w:rPr>
        <w:t>ł</w:t>
      </w:r>
      <w:r w:rsidRPr="00C758B1">
        <w:rPr>
          <w:rFonts w:ascii="Lato" w:hAnsi="Lato"/>
        </w:rPr>
        <w:t xml:space="preserve"> (kopalni gazu) oraz rozproszony charakter wydobycia, ci</w:t>
      </w:r>
      <w:r w:rsidRPr="00C758B1">
        <w:rPr>
          <w:rFonts w:ascii="Lato" w:hAnsi="Lato" w:cs="Calibri"/>
        </w:rPr>
        <w:t>ą</w:t>
      </w:r>
      <w:r w:rsidRPr="00C758B1">
        <w:rPr>
          <w:rFonts w:ascii="Lato" w:hAnsi="Lato"/>
        </w:rPr>
        <w:t>g</w:t>
      </w:r>
      <w:r w:rsidRPr="00C758B1">
        <w:rPr>
          <w:rFonts w:ascii="Lato" w:hAnsi="Lato" w:cs="Malgun Gothic"/>
        </w:rPr>
        <w:t>ł</w:t>
      </w:r>
      <w:r w:rsidRPr="00C758B1">
        <w:rPr>
          <w:rFonts w:ascii="Lato" w:hAnsi="Lato"/>
        </w:rPr>
        <w:t>o</w:t>
      </w:r>
      <w:r w:rsidRPr="00C758B1">
        <w:rPr>
          <w:rFonts w:ascii="Lato" w:hAnsi="Lato" w:cs="Calibri"/>
        </w:rPr>
        <w:t>ść</w:t>
      </w:r>
      <w:r w:rsidRPr="00C758B1">
        <w:rPr>
          <w:rFonts w:ascii="Lato" w:hAnsi="Lato"/>
        </w:rPr>
        <w:t xml:space="preserve"> dostarczania gazu ziemnego do odbiorc</w:t>
      </w:r>
      <w:r w:rsidRPr="00C758B1">
        <w:rPr>
          <w:rFonts w:ascii="Lato" w:hAnsi="Lato" w:cs="Malgun Gothic"/>
        </w:rPr>
        <w:t>ó</w:t>
      </w:r>
      <w:r w:rsidRPr="00C758B1">
        <w:rPr>
          <w:rFonts w:ascii="Lato" w:hAnsi="Lato"/>
        </w:rPr>
        <w:t>w przy</w:t>
      </w:r>
      <w:r w:rsidRPr="00C758B1">
        <w:rPr>
          <w:rFonts w:ascii="Lato" w:hAnsi="Lato" w:cs="Malgun Gothic"/>
        </w:rPr>
        <w:t>ł</w:t>
      </w:r>
      <w:r w:rsidRPr="00C758B1">
        <w:rPr>
          <w:rFonts w:ascii="Lato" w:hAnsi="Lato" w:cs="Calibri"/>
        </w:rPr>
        <w:t>ą</w:t>
      </w:r>
      <w:r w:rsidRPr="00C758B1">
        <w:rPr>
          <w:rFonts w:ascii="Lato" w:hAnsi="Lato"/>
        </w:rPr>
        <w:t>czonych do tego systemu obarczona jest du</w:t>
      </w:r>
      <w:r w:rsidRPr="00C758B1">
        <w:rPr>
          <w:rFonts w:ascii="Lato" w:hAnsi="Lato" w:cs="Calibri"/>
        </w:rPr>
        <w:t>ż</w:t>
      </w:r>
      <w:r w:rsidRPr="00C758B1">
        <w:rPr>
          <w:rFonts w:ascii="Lato" w:hAnsi="Lato"/>
        </w:rPr>
        <w:t>o mniejszym ryzykiem ni</w:t>
      </w:r>
      <w:r w:rsidRPr="00C758B1">
        <w:rPr>
          <w:rFonts w:ascii="Lato" w:hAnsi="Lato" w:cs="Calibri"/>
        </w:rPr>
        <w:t>ż</w:t>
      </w:r>
      <w:r w:rsidRPr="00C758B1">
        <w:rPr>
          <w:rFonts w:ascii="Lato" w:hAnsi="Lato"/>
        </w:rPr>
        <w:t xml:space="preserve"> ma to miejsce w przypadku systemu gazu ziemnego wysokometanowego. Cz</w:t>
      </w:r>
      <w:r w:rsidRPr="00C758B1">
        <w:rPr>
          <w:rFonts w:ascii="Lato" w:hAnsi="Lato" w:cs="Calibri"/>
        </w:rPr>
        <w:t>ęść</w:t>
      </w:r>
      <w:r w:rsidRPr="00C758B1">
        <w:rPr>
          <w:rFonts w:ascii="Lato" w:hAnsi="Lato"/>
        </w:rPr>
        <w:t xml:space="preserve"> ryzyk istotnych dla systemu gazu ziemnego wysokometanowego nie mo</w:t>
      </w:r>
      <w:r w:rsidRPr="00C758B1">
        <w:rPr>
          <w:rFonts w:ascii="Lato" w:hAnsi="Lato" w:cs="Calibri"/>
        </w:rPr>
        <w:t>ż</w:t>
      </w:r>
      <w:r w:rsidRPr="00C758B1">
        <w:rPr>
          <w:rFonts w:ascii="Lato" w:hAnsi="Lato"/>
        </w:rPr>
        <w:t>e zosta</w:t>
      </w:r>
      <w:r w:rsidRPr="00C758B1">
        <w:rPr>
          <w:rFonts w:ascii="Lato" w:hAnsi="Lato" w:cs="Calibri"/>
        </w:rPr>
        <w:t>ć</w:t>
      </w:r>
      <w:r w:rsidRPr="00C758B1">
        <w:rPr>
          <w:rFonts w:ascii="Lato" w:hAnsi="Lato"/>
        </w:rPr>
        <w:t xml:space="preserve"> uznana za zagra</w:t>
      </w:r>
      <w:r w:rsidRPr="00C758B1">
        <w:rPr>
          <w:rFonts w:ascii="Lato" w:hAnsi="Lato" w:cs="Calibri"/>
        </w:rPr>
        <w:t>ż</w:t>
      </w:r>
      <w:r w:rsidRPr="00C758B1">
        <w:rPr>
          <w:rFonts w:ascii="Lato" w:hAnsi="Lato"/>
        </w:rPr>
        <w:t>aj</w:t>
      </w:r>
      <w:r w:rsidRPr="00C758B1">
        <w:rPr>
          <w:rFonts w:ascii="Lato" w:hAnsi="Lato" w:cs="Calibri"/>
        </w:rPr>
        <w:t>ą</w:t>
      </w:r>
      <w:r w:rsidRPr="00C758B1">
        <w:rPr>
          <w:rFonts w:ascii="Lato" w:hAnsi="Lato"/>
        </w:rPr>
        <w:t>ce tej cz</w:t>
      </w:r>
      <w:r w:rsidRPr="00C758B1">
        <w:rPr>
          <w:rFonts w:ascii="Lato" w:hAnsi="Lato" w:cs="Calibri"/>
        </w:rPr>
        <w:t>ęś</w:t>
      </w:r>
      <w:r w:rsidRPr="00C758B1">
        <w:rPr>
          <w:rFonts w:ascii="Lato" w:hAnsi="Lato"/>
        </w:rPr>
        <w:t>ci rynku. Drobne awarie wyst</w:t>
      </w:r>
      <w:r w:rsidRPr="00C758B1">
        <w:rPr>
          <w:rFonts w:ascii="Lato" w:hAnsi="Lato" w:cs="Calibri"/>
        </w:rPr>
        <w:t>ę</w:t>
      </w:r>
      <w:r w:rsidRPr="00C758B1">
        <w:rPr>
          <w:rFonts w:ascii="Lato" w:hAnsi="Lato"/>
        </w:rPr>
        <w:t>puj</w:t>
      </w:r>
      <w:r w:rsidRPr="00C758B1">
        <w:rPr>
          <w:rFonts w:ascii="Lato" w:hAnsi="Lato" w:cs="Calibri"/>
        </w:rPr>
        <w:t>ą</w:t>
      </w:r>
      <w:r w:rsidRPr="00C758B1">
        <w:rPr>
          <w:rFonts w:ascii="Lato" w:hAnsi="Lato"/>
        </w:rPr>
        <w:t>ce na instalacjach eksploatacyjnych i technicznych skutkuj</w:t>
      </w:r>
      <w:r w:rsidRPr="00C758B1">
        <w:rPr>
          <w:rFonts w:ascii="Lato" w:hAnsi="Lato" w:cs="Calibri"/>
        </w:rPr>
        <w:t>ą</w:t>
      </w:r>
      <w:r w:rsidRPr="00C758B1">
        <w:rPr>
          <w:rFonts w:ascii="Lato" w:hAnsi="Lato"/>
        </w:rPr>
        <w:t>ce zakłóceniami w</w:t>
      </w:r>
      <w:r w:rsidR="00CA062E">
        <w:rPr>
          <w:rFonts w:ascii="Lato" w:hAnsi="Lato"/>
        </w:rPr>
        <w:t xml:space="preserve"> </w:t>
      </w:r>
      <w:r w:rsidRPr="00C758B1">
        <w:rPr>
          <w:rFonts w:ascii="Lato" w:hAnsi="Lato"/>
        </w:rPr>
        <w:t>dostawach gazu z poszczególnych obiektów są kompensowane przez gaz zaazotowany pochodz</w:t>
      </w:r>
      <w:r w:rsidRPr="00C758B1">
        <w:rPr>
          <w:rFonts w:ascii="Lato" w:hAnsi="Lato" w:cs="Calibri"/>
        </w:rPr>
        <w:t>ą</w:t>
      </w:r>
      <w:r w:rsidRPr="00C758B1">
        <w:rPr>
          <w:rFonts w:ascii="Lato" w:hAnsi="Lato"/>
        </w:rPr>
        <w:t>cy z akumulacji w gazoci</w:t>
      </w:r>
      <w:r w:rsidRPr="00C758B1">
        <w:rPr>
          <w:rFonts w:ascii="Lato" w:hAnsi="Lato" w:cs="Calibri"/>
        </w:rPr>
        <w:t>ą</w:t>
      </w:r>
      <w:r w:rsidRPr="00C758B1">
        <w:rPr>
          <w:rFonts w:ascii="Lato" w:hAnsi="Lato"/>
        </w:rPr>
        <w:t>gach b</w:t>
      </w:r>
      <w:r w:rsidRPr="00C758B1">
        <w:rPr>
          <w:rFonts w:ascii="Lato" w:hAnsi="Lato" w:cs="Calibri"/>
        </w:rPr>
        <w:t>ą</w:t>
      </w:r>
      <w:r w:rsidRPr="00C758B1">
        <w:rPr>
          <w:rFonts w:ascii="Lato" w:hAnsi="Lato"/>
        </w:rPr>
        <w:t>d</w:t>
      </w:r>
      <w:r w:rsidRPr="00C758B1">
        <w:rPr>
          <w:rFonts w:ascii="Lato" w:hAnsi="Lato" w:cs="Calibri"/>
        </w:rPr>
        <w:t>ź</w:t>
      </w:r>
      <w:r w:rsidRPr="00C758B1">
        <w:rPr>
          <w:rFonts w:ascii="Lato" w:hAnsi="Lato"/>
        </w:rPr>
        <w:t xml:space="preserve"> przez zwi</w:t>
      </w:r>
      <w:r w:rsidRPr="00C758B1">
        <w:rPr>
          <w:rFonts w:ascii="Lato" w:hAnsi="Lato" w:cs="Calibri"/>
        </w:rPr>
        <w:t>ę</w:t>
      </w:r>
      <w:r w:rsidRPr="00C758B1">
        <w:rPr>
          <w:rFonts w:ascii="Lato" w:hAnsi="Lato"/>
        </w:rPr>
        <w:t xml:space="preserve">kszanie dostaw z innych </w:t>
      </w:r>
      <w:r w:rsidRPr="00C758B1">
        <w:rPr>
          <w:rFonts w:ascii="Lato" w:hAnsi="Lato" w:cs="Calibri"/>
        </w:rPr>
        <w:t>ź</w:t>
      </w:r>
      <w:r w:rsidRPr="00C758B1">
        <w:rPr>
          <w:rFonts w:ascii="Lato" w:hAnsi="Lato"/>
        </w:rPr>
        <w:t>r</w:t>
      </w:r>
      <w:r w:rsidRPr="00C758B1">
        <w:rPr>
          <w:rFonts w:ascii="Lato" w:hAnsi="Lato" w:cs="Malgun Gothic"/>
        </w:rPr>
        <w:t>ó</w:t>
      </w:r>
      <w:r w:rsidRPr="00C758B1">
        <w:rPr>
          <w:rFonts w:ascii="Lato" w:hAnsi="Lato"/>
        </w:rPr>
        <w:t>de</w:t>
      </w:r>
      <w:r w:rsidRPr="00C758B1">
        <w:rPr>
          <w:rFonts w:ascii="Lato" w:hAnsi="Lato" w:cs="Malgun Gothic"/>
        </w:rPr>
        <w:t>ł</w:t>
      </w:r>
      <w:r w:rsidRPr="00C758B1">
        <w:rPr>
          <w:rFonts w:ascii="Lato" w:hAnsi="Lato"/>
        </w:rPr>
        <w:t>.</w:t>
      </w:r>
    </w:p>
    <w:p w14:paraId="1597DB61" w14:textId="4940FD24" w:rsidR="00B03DBA" w:rsidRPr="00630443" w:rsidRDefault="00EE3AAE" w:rsidP="000A7C68">
      <w:pPr>
        <w:pStyle w:val="Tekstzwyky"/>
        <w:spacing w:after="60"/>
        <w:contextualSpacing/>
        <w:rPr>
          <w:rFonts w:ascii="Lato" w:hAnsi="Lato"/>
        </w:rPr>
      </w:pPr>
      <w:r>
        <w:rPr>
          <w:rFonts w:ascii="Lato" w:hAnsi="Lato"/>
        </w:rPr>
        <w:tab/>
      </w:r>
      <w:r w:rsidR="00C7771E" w:rsidRPr="00C758B1">
        <w:rPr>
          <w:rFonts w:ascii="Lato" w:hAnsi="Lato"/>
        </w:rPr>
        <w:t xml:space="preserve">Ze względu na istotną rolę państw członkowskich poszczególnych grup ryzyka w zapewnieniu bezpieczeństwa dostaw gazu ziemnego do Polski, w niniejszym dokumencie </w:t>
      </w:r>
      <w:r w:rsidR="00630443">
        <w:rPr>
          <w:rFonts w:ascii="Lato" w:hAnsi="Lato"/>
        </w:rPr>
        <w:t>wskazano również najważniejsze elementy</w:t>
      </w:r>
      <w:r w:rsidR="00C7771E" w:rsidRPr="00C758B1">
        <w:rPr>
          <w:rFonts w:ascii="Lato" w:hAnsi="Lato"/>
        </w:rPr>
        <w:t xml:space="preserve"> współpracy regionalnej. </w:t>
      </w:r>
      <w:r w:rsidR="00630443">
        <w:rPr>
          <w:rFonts w:ascii="Lato" w:hAnsi="Lato"/>
        </w:rPr>
        <w:t xml:space="preserve">Ponadto w </w:t>
      </w:r>
      <w:r w:rsidR="00C7771E" w:rsidRPr="00C758B1">
        <w:rPr>
          <w:rFonts w:ascii="Lato" w:hAnsi="Lato"/>
        </w:rPr>
        <w:t>planie zawarto opis mechanizmów stosowanych do celów współpracy pomiędzy państwami członkowskimi w odpowiednich grupach ryzyka</w:t>
      </w:r>
      <w:r w:rsidR="00630443">
        <w:rPr>
          <w:rFonts w:ascii="Lato" w:hAnsi="Lato"/>
        </w:rPr>
        <w:t xml:space="preserve">. </w:t>
      </w:r>
      <w:r w:rsidR="00C7771E" w:rsidRPr="00C758B1">
        <w:rPr>
          <w:rFonts w:ascii="Lato" w:hAnsi="Lato"/>
        </w:rPr>
        <w:t xml:space="preserve">Polska </w:t>
      </w:r>
      <w:r w:rsidR="00630443">
        <w:rPr>
          <w:rFonts w:ascii="Lato" w:hAnsi="Lato"/>
        </w:rPr>
        <w:t xml:space="preserve">należy do pięciu </w:t>
      </w:r>
      <w:r w:rsidR="00DA125A">
        <w:rPr>
          <w:rFonts w:ascii="Lato" w:hAnsi="Lato"/>
        </w:rPr>
        <w:t xml:space="preserve">regionalnych </w:t>
      </w:r>
      <w:r w:rsidR="00630443">
        <w:rPr>
          <w:rFonts w:ascii="Lato" w:hAnsi="Lato"/>
        </w:rPr>
        <w:t>grup</w:t>
      </w:r>
      <w:r w:rsidR="00DA125A">
        <w:rPr>
          <w:rFonts w:ascii="Lato" w:hAnsi="Lato"/>
        </w:rPr>
        <w:t xml:space="preserve"> ryzyka</w:t>
      </w:r>
      <w:r w:rsidR="00630443">
        <w:rPr>
          <w:rFonts w:ascii="Lato" w:hAnsi="Lato"/>
        </w:rPr>
        <w:t>, którymi są:</w:t>
      </w:r>
    </w:p>
    <w:p w14:paraId="7DC7E70F" w14:textId="415E18E8" w:rsidR="00B03DBA" w:rsidRPr="00C758B1" w:rsidRDefault="00DA125A" w:rsidP="005577BE">
      <w:pPr>
        <w:pStyle w:val="TekstWypunktowany"/>
        <w:spacing w:after="120"/>
        <w:rPr>
          <w:rFonts w:ascii="Lato" w:hAnsi="Lato"/>
        </w:rPr>
      </w:pPr>
      <w:r>
        <w:rPr>
          <w:rFonts w:ascii="Lato" w:hAnsi="Lato"/>
        </w:rPr>
        <w:t xml:space="preserve">regionalna białoruska grupa ryzyka - </w:t>
      </w:r>
      <w:r w:rsidR="00C7771E" w:rsidRPr="00C758B1">
        <w:rPr>
          <w:rFonts w:ascii="Lato" w:hAnsi="Lato"/>
        </w:rPr>
        <w:t>państwa członkowskie należące do grupy: Belgia, Cze</w:t>
      </w:r>
      <w:r w:rsidR="003F0FCF">
        <w:rPr>
          <w:rFonts w:ascii="Lato" w:hAnsi="Lato"/>
        </w:rPr>
        <w:t>chy</w:t>
      </w:r>
      <w:r w:rsidR="00C7771E" w:rsidRPr="00C758B1">
        <w:rPr>
          <w:rFonts w:ascii="Lato" w:hAnsi="Lato"/>
        </w:rPr>
        <w:t xml:space="preserve">, </w:t>
      </w:r>
      <w:r w:rsidR="00097F69" w:rsidRPr="00C758B1">
        <w:rPr>
          <w:rFonts w:ascii="Lato" w:hAnsi="Lato"/>
        </w:rPr>
        <w:t xml:space="preserve">Dania, </w:t>
      </w:r>
      <w:r w:rsidR="00C7771E" w:rsidRPr="00C758B1">
        <w:rPr>
          <w:rFonts w:ascii="Lato" w:hAnsi="Lato"/>
        </w:rPr>
        <w:t xml:space="preserve">Niemcy, Estonia, Łotwa, Litwa, Luksemburg, </w:t>
      </w:r>
      <w:r>
        <w:rPr>
          <w:rFonts w:ascii="Lato" w:hAnsi="Lato"/>
        </w:rPr>
        <w:t>Holandia</w:t>
      </w:r>
      <w:r w:rsidR="00C7771E" w:rsidRPr="00C758B1">
        <w:rPr>
          <w:rFonts w:ascii="Lato" w:hAnsi="Lato"/>
        </w:rPr>
        <w:t>, Polska, Słowacja</w:t>
      </w:r>
      <w:r w:rsidR="00097F69" w:rsidRPr="00C758B1">
        <w:rPr>
          <w:rFonts w:ascii="Lato" w:hAnsi="Lato"/>
        </w:rPr>
        <w:t xml:space="preserve">, </w:t>
      </w:r>
      <w:r w:rsidR="006C6F47">
        <w:rPr>
          <w:rFonts w:ascii="Lato" w:hAnsi="Lato"/>
        </w:rPr>
        <w:t xml:space="preserve">Finlandia, </w:t>
      </w:r>
      <w:r w:rsidR="00097F69" w:rsidRPr="00C758B1">
        <w:rPr>
          <w:rFonts w:ascii="Lato" w:hAnsi="Lato"/>
        </w:rPr>
        <w:t>Szwecja</w:t>
      </w:r>
      <w:r w:rsidR="004E421D" w:rsidRPr="00C758B1">
        <w:rPr>
          <w:rFonts w:ascii="Lato" w:hAnsi="Lato"/>
        </w:rPr>
        <w:t>;</w:t>
      </w:r>
    </w:p>
    <w:p w14:paraId="16BB744B" w14:textId="7D80C92F" w:rsidR="00097F69" w:rsidRPr="00C758B1" w:rsidRDefault="00DA125A" w:rsidP="005577BE">
      <w:pPr>
        <w:pStyle w:val="TekstWypunktowany"/>
        <w:spacing w:after="120"/>
        <w:rPr>
          <w:rFonts w:ascii="Lato" w:hAnsi="Lato"/>
        </w:rPr>
      </w:pPr>
      <w:r>
        <w:rPr>
          <w:rFonts w:ascii="Lato" w:hAnsi="Lato"/>
        </w:rPr>
        <w:lastRenderedPageBreak/>
        <w:t>regionalna ukraińska grupa ryzyka</w:t>
      </w:r>
      <w:r w:rsidR="00C7771E" w:rsidRPr="00C758B1">
        <w:rPr>
          <w:rFonts w:ascii="Lato" w:hAnsi="Lato"/>
        </w:rPr>
        <w:t xml:space="preserve"> – państwa członkowskie należące do grupy: </w:t>
      </w:r>
      <w:r w:rsidR="00097F69" w:rsidRPr="00C758B1">
        <w:rPr>
          <w:rFonts w:ascii="Lato" w:hAnsi="Lato"/>
        </w:rPr>
        <w:t xml:space="preserve">Austria, Bułgaria, Chorwacja, </w:t>
      </w:r>
      <w:r w:rsidR="003F0FCF">
        <w:rPr>
          <w:rFonts w:ascii="Lato" w:hAnsi="Lato"/>
        </w:rPr>
        <w:t>Czechy</w:t>
      </w:r>
      <w:r w:rsidR="00097F69" w:rsidRPr="00C758B1">
        <w:rPr>
          <w:rFonts w:ascii="Lato" w:hAnsi="Lato"/>
        </w:rPr>
        <w:t>, Dania, Niemcy, Grecja, Węgry, Włochy, Luksemburg, Polska, Rumunia, Słowenia, Słowacja, Szwecja;</w:t>
      </w:r>
    </w:p>
    <w:p w14:paraId="78F82DF2" w14:textId="4A50D3F6" w:rsidR="00B03DBA" w:rsidRPr="00C758B1" w:rsidRDefault="00DA125A" w:rsidP="005577BE">
      <w:pPr>
        <w:pStyle w:val="TekstWypunktowany"/>
        <w:spacing w:after="120"/>
        <w:rPr>
          <w:rFonts w:ascii="Lato" w:hAnsi="Lato"/>
        </w:rPr>
      </w:pPr>
      <w:r w:rsidRPr="00DA125A">
        <w:rPr>
          <w:rFonts w:ascii="Lato" w:hAnsi="Lato"/>
        </w:rPr>
        <w:t>regional</w:t>
      </w:r>
      <w:r>
        <w:rPr>
          <w:rFonts w:ascii="Lato" w:hAnsi="Lato"/>
        </w:rPr>
        <w:t>na</w:t>
      </w:r>
      <w:r w:rsidRPr="00DA125A">
        <w:rPr>
          <w:rFonts w:ascii="Lato" w:hAnsi="Lato"/>
        </w:rPr>
        <w:t xml:space="preserve"> północno-wschodnia grupa ryzyka </w:t>
      </w:r>
      <w:r w:rsidR="00097F69" w:rsidRPr="00C758B1">
        <w:rPr>
          <w:rFonts w:ascii="Lato" w:hAnsi="Lato"/>
        </w:rPr>
        <w:t xml:space="preserve">– państwa członkowskie należące do grupy: </w:t>
      </w:r>
      <w:r w:rsidR="003F0FCF">
        <w:rPr>
          <w:rFonts w:ascii="Lato" w:hAnsi="Lato"/>
        </w:rPr>
        <w:t>Czechy</w:t>
      </w:r>
      <w:r w:rsidR="00097F69" w:rsidRPr="00C758B1">
        <w:rPr>
          <w:rFonts w:ascii="Lato" w:hAnsi="Lato"/>
        </w:rPr>
        <w:t>, Dania, Niemcy, Estonia, Łotwa, Litwa, Polska, Słowacja, Finlandia, Szwecja</w:t>
      </w:r>
      <w:r w:rsidR="003F0FCF">
        <w:rPr>
          <w:rFonts w:ascii="Lato" w:hAnsi="Lato"/>
        </w:rPr>
        <w:t>;</w:t>
      </w:r>
    </w:p>
    <w:p w14:paraId="2CC819D6" w14:textId="3C7AA567" w:rsidR="00097F69" w:rsidRPr="00C758B1" w:rsidRDefault="00DA125A" w:rsidP="005577BE">
      <w:pPr>
        <w:pStyle w:val="TekstWypunktowany"/>
        <w:spacing w:after="120"/>
        <w:rPr>
          <w:rFonts w:ascii="Lato" w:hAnsi="Lato"/>
        </w:rPr>
      </w:pPr>
      <w:r>
        <w:rPr>
          <w:rFonts w:ascii="Lato" w:hAnsi="Lato"/>
        </w:rPr>
        <w:t>regionalna norweska grupa ryzyka</w:t>
      </w:r>
      <w:r w:rsidR="00097F69" w:rsidRPr="00C758B1">
        <w:rPr>
          <w:rFonts w:ascii="Lato" w:hAnsi="Lato"/>
        </w:rPr>
        <w:t xml:space="preserve"> – państwa członkowskie należące do grupy: Belgia, Dania, Niemcy, Irlandia, Hiszpania, Francja, Włochy, Luksemburg, </w:t>
      </w:r>
      <w:r>
        <w:rPr>
          <w:rFonts w:ascii="Lato" w:hAnsi="Lato"/>
        </w:rPr>
        <w:t>Holandia</w:t>
      </w:r>
      <w:r w:rsidR="00097F69" w:rsidRPr="00C758B1">
        <w:rPr>
          <w:rFonts w:ascii="Lato" w:hAnsi="Lato"/>
        </w:rPr>
        <w:t>, Polska, Portugalia, Szwecja</w:t>
      </w:r>
      <w:r w:rsidR="003F0FCF">
        <w:rPr>
          <w:rFonts w:ascii="Lato" w:hAnsi="Lato"/>
        </w:rPr>
        <w:t>;</w:t>
      </w:r>
    </w:p>
    <w:p w14:paraId="4E03DC86" w14:textId="03E9A2AE" w:rsidR="00097F69" w:rsidRPr="00C758B1" w:rsidRDefault="00DA125A" w:rsidP="005577BE">
      <w:pPr>
        <w:pStyle w:val="TekstWypunktowany"/>
        <w:spacing w:after="120"/>
        <w:contextualSpacing w:val="0"/>
        <w:rPr>
          <w:rFonts w:ascii="Lato" w:hAnsi="Lato"/>
        </w:rPr>
      </w:pPr>
      <w:r>
        <w:rPr>
          <w:rFonts w:ascii="Lato" w:hAnsi="Lato"/>
        </w:rPr>
        <w:t>regionalna duńska grupa ryzyka</w:t>
      </w:r>
      <w:r w:rsidRPr="00C758B1">
        <w:rPr>
          <w:rFonts w:ascii="Lato" w:hAnsi="Lato"/>
        </w:rPr>
        <w:t xml:space="preserve"> </w:t>
      </w:r>
      <w:r w:rsidR="00097F69" w:rsidRPr="00C758B1">
        <w:rPr>
          <w:rFonts w:ascii="Lato" w:hAnsi="Lato"/>
        </w:rPr>
        <w:t xml:space="preserve">– państwa członkowskie należące do grupy: Dania, Niemcy, Luksemburg, </w:t>
      </w:r>
      <w:r>
        <w:rPr>
          <w:rFonts w:ascii="Lato" w:hAnsi="Lato"/>
        </w:rPr>
        <w:t>Holandia</w:t>
      </w:r>
      <w:r w:rsidR="00097F69" w:rsidRPr="00C758B1">
        <w:rPr>
          <w:rFonts w:ascii="Lato" w:hAnsi="Lato"/>
        </w:rPr>
        <w:t>, Polska, Szwecja</w:t>
      </w:r>
      <w:r w:rsidR="00EB2027">
        <w:rPr>
          <w:rFonts w:ascii="Lato" w:hAnsi="Lato"/>
        </w:rPr>
        <w:t>.</w:t>
      </w:r>
    </w:p>
    <w:p w14:paraId="598B3AA9" w14:textId="260B9A04" w:rsidR="00227975" w:rsidRDefault="00C7771E" w:rsidP="000A7C68">
      <w:pPr>
        <w:pStyle w:val="Tekstzwyky"/>
        <w:spacing w:afterLines="60" w:after="144"/>
        <w:rPr>
          <w:rFonts w:ascii="Lato" w:hAnsi="Lato"/>
        </w:rPr>
      </w:pPr>
      <w:r w:rsidRPr="003F0FCF">
        <w:rPr>
          <w:rFonts w:ascii="Lato" w:hAnsi="Lato"/>
        </w:rPr>
        <w:tab/>
        <w:t>W ocenie Ministra</w:t>
      </w:r>
      <w:r w:rsidR="00050A66" w:rsidRPr="003F0FCF">
        <w:rPr>
          <w:rFonts w:ascii="Lato" w:hAnsi="Lato"/>
        </w:rPr>
        <w:t xml:space="preserve"> </w:t>
      </w:r>
      <w:r w:rsidR="0014121A" w:rsidRPr="00C758B1">
        <w:rPr>
          <w:rFonts w:ascii="Lato" w:hAnsi="Lato"/>
        </w:rPr>
        <w:t>Klimatu i Środowiska</w:t>
      </w:r>
      <w:r w:rsidRPr="003F0FCF">
        <w:rPr>
          <w:rFonts w:ascii="Lato" w:hAnsi="Lato"/>
        </w:rPr>
        <w:t xml:space="preserve"> prowadzona integracja polskiego systemu gazowego z systemami państw członkowskich poszczególnych grup ryzyka </w:t>
      </w:r>
      <w:r w:rsidRPr="00C758B1">
        <w:rPr>
          <w:rFonts w:ascii="Lato" w:hAnsi="Lato"/>
        </w:rPr>
        <w:t>pozwoli</w:t>
      </w:r>
      <w:r w:rsidR="0014121A" w:rsidRPr="00C758B1">
        <w:rPr>
          <w:rFonts w:ascii="Lato" w:hAnsi="Lato"/>
        </w:rPr>
        <w:t>ła</w:t>
      </w:r>
      <w:r w:rsidRPr="003F0FCF">
        <w:rPr>
          <w:rFonts w:ascii="Lato" w:hAnsi="Lato"/>
        </w:rPr>
        <w:t xml:space="preserve"> na uzyskanie przez przedsiębiorstwa działające na terytorium Polski dostępu do rozwiniętych i</w:t>
      </w:r>
      <w:r w:rsidR="003F0FCF">
        <w:rPr>
          <w:rFonts w:ascii="Lato" w:hAnsi="Lato"/>
        </w:rPr>
        <w:t xml:space="preserve"> </w:t>
      </w:r>
      <w:r w:rsidRPr="003F0FCF">
        <w:rPr>
          <w:rFonts w:ascii="Lato" w:hAnsi="Lato"/>
        </w:rPr>
        <w:t xml:space="preserve">zdywersyfikowanych rynków gazu ziemnego oraz elastyczności systemu bezpieczeństwa w przypadku realizacji scenariuszy kryzysowych. W tym </w:t>
      </w:r>
      <w:r w:rsidR="005577BE">
        <w:rPr>
          <w:rFonts w:ascii="Lato" w:hAnsi="Lato"/>
        </w:rPr>
        <w:t xml:space="preserve">zakresie </w:t>
      </w:r>
      <w:r w:rsidR="009741E2">
        <w:rPr>
          <w:rFonts w:ascii="Lato" w:hAnsi="Lato"/>
        </w:rPr>
        <w:t>istotne</w:t>
      </w:r>
      <w:r w:rsidR="009741E2" w:rsidRPr="003F0FCF">
        <w:rPr>
          <w:rFonts w:ascii="Lato" w:hAnsi="Lato"/>
        </w:rPr>
        <w:t xml:space="preserve"> </w:t>
      </w:r>
      <w:r w:rsidRPr="003F0FCF">
        <w:rPr>
          <w:rFonts w:ascii="Lato" w:hAnsi="Lato"/>
        </w:rPr>
        <w:t xml:space="preserve">znaczenie </w:t>
      </w:r>
      <w:r w:rsidR="005577BE">
        <w:rPr>
          <w:rFonts w:ascii="Lato" w:hAnsi="Lato"/>
        </w:rPr>
        <w:t xml:space="preserve">miało </w:t>
      </w:r>
      <w:r w:rsidR="00EB5741" w:rsidRPr="00C758B1">
        <w:rPr>
          <w:rFonts w:ascii="Lato" w:hAnsi="Lato"/>
        </w:rPr>
        <w:t>przekazani</w:t>
      </w:r>
      <w:r w:rsidR="005577BE">
        <w:rPr>
          <w:rFonts w:ascii="Lato" w:hAnsi="Lato"/>
        </w:rPr>
        <w:t>e</w:t>
      </w:r>
      <w:r w:rsidR="00EB5741" w:rsidRPr="00C758B1">
        <w:rPr>
          <w:rFonts w:ascii="Lato" w:hAnsi="Lato"/>
        </w:rPr>
        <w:t xml:space="preserve"> </w:t>
      </w:r>
      <w:r w:rsidR="00E63315" w:rsidRPr="00C758B1">
        <w:rPr>
          <w:rFonts w:ascii="Lato" w:hAnsi="Lato"/>
        </w:rPr>
        <w:t xml:space="preserve">do </w:t>
      </w:r>
      <w:r w:rsidR="00EA0506" w:rsidRPr="00C758B1">
        <w:rPr>
          <w:rFonts w:ascii="Lato" w:hAnsi="Lato"/>
        </w:rPr>
        <w:t>użytkowania</w:t>
      </w:r>
      <w:r w:rsidR="00EB5741" w:rsidRPr="003F0FCF">
        <w:rPr>
          <w:rFonts w:ascii="Lato" w:hAnsi="Lato"/>
        </w:rPr>
        <w:t xml:space="preserve"> </w:t>
      </w:r>
      <w:r w:rsidRPr="003F0FCF">
        <w:rPr>
          <w:rFonts w:ascii="Lato" w:hAnsi="Lato"/>
        </w:rPr>
        <w:t>dwukierunkowych połączeń międzysystemowych</w:t>
      </w:r>
      <w:r w:rsidR="003F36BE" w:rsidRPr="00C758B1">
        <w:rPr>
          <w:rFonts w:ascii="Lato" w:hAnsi="Lato"/>
        </w:rPr>
        <w:t>: Polska</w:t>
      </w:r>
      <w:r w:rsidR="00BA3528" w:rsidRPr="00C758B1">
        <w:rPr>
          <w:rFonts w:ascii="Lato" w:hAnsi="Lato"/>
        </w:rPr>
        <w:t xml:space="preserve"> –</w:t>
      </w:r>
      <w:r w:rsidR="003F36BE" w:rsidRPr="00C758B1">
        <w:rPr>
          <w:rFonts w:ascii="Lato" w:hAnsi="Lato"/>
        </w:rPr>
        <w:t xml:space="preserve"> Słowacja, Polska – Litwa, </w:t>
      </w:r>
      <w:r w:rsidR="0014121A" w:rsidRPr="00C758B1">
        <w:rPr>
          <w:rFonts w:ascii="Lato" w:hAnsi="Lato"/>
        </w:rPr>
        <w:t>Polska – Dania (</w:t>
      </w:r>
      <w:r w:rsidRPr="003F0FCF">
        <w:rPr>
          <w:rFonts w:ascii="Lato" w:hAnsi="Lato"/>
        </w:rPr>
        <w:t>Baltic Pipe</w:t>
      </w:r>
      <w:r w:rsidR="0014121A" w:rsidRPr="00C758B1">
        <w:rPr>
          <w:rFonts w:ascii="Lato" w:hAnsi="Lato"/>
        </w:rPr>
        <w:t>)</w:t>
      </w:r>
      <w:r w:rsidRPr="00C758B1">
        <w:rPr>
          <w:rFonts w:ascii="Lato" w:hAnsi="Lato"/>
        </w:rPr>
        <w:t>,</w:t>
      </w:r>
      <w:r w:rsidRPr="003F0FCF">
        <w:rPr>
          <w:rFonts w:ascii="Lato" w:hAnsi="Lato"/>
        </w:rPr>
        <w:t xml:space="preserve"> </w:t>
      </w:r>
      <w:r w:rsidR="0011070D">
        <w:rPr>
          <w:rFonts w:ascii="Lato" w:hAnsi="Lato"/>
        </w:rPr>
        <w:t xml:space="preserve">a także </w:t>
      </w:r>
      <w:r w:rsidRPr="003F0FCF">
        <w:rPr>
          <w:rFonts w:ascii="Lato" w:hAnsi="Lato"/>
        </w:rPr>
        <w:t>rozbudow</w:t>
      </w:r>
      <w:r w:rsidR="005577BE">
        <w:rPr>
          <w:rFonts w:ascii="Lato" w:hAnsi="Lato"/>
        </w:rPr>
        <w:t>a</w:t>
      </w:r>
      <w:r w:rsidRPr="003F0FCF">
        <w:rPr>
          <w:rFonts w:ascii="Lato" w:hAnsi="Lato"/>
        </w:rPr>
        <w:t xml:space="preserve"> terminalu LNG w Świnoujściu. Działania te, poprzez dalszą integrację polskiego</w:t>
      </w:r>
      <w:r w:rsidRPr="006031E8">
        <w:rPr>
          <w:rFonts w:ascii="Lato" w:hAnsi="Lato"/>
        </w:rPr>
        <w:t xml:space="preserve"> systemu gazowego z systemami innych państw członkowskich UE oraz zapewnienie większego poziomu dywersyfikacji źródeł dostaw, przyczynią się do zwiększenia możliwości eliminacji skutków ewentualnego wystąpienia zakłóce</w:t>
      </w:r>
      <w:r w:rsidR="00B20392">
        <w:rPr>
          <w:rFonts w:ascii="Lato" w:hAnsi="Lato"/>
        </w:rPr>
        <w:t>ń</w:t>
      </w:r>
      <w:r w:rsidRPr="006031E8">
        <w:rPr>
          <w:rFonts w:ascii="Lato" w:hAnsi="Lato"/>
        </w:rPr>
        <w:t xml:space="preserve"> w dostawach.</w:t>
      </w:r>
      <w:r w:rsidR="0055791C">
        <w:rPr>
          <w:rFonts w:ascii="Lato" w:hAnsi="Lato"/>
        </w:rPr>
        <w:t xml:space="preserve"> </w:t>
      </w:r>
    </w:p>
    <w:p w14:paraId="0F649B8C" w14:textId="012FE825" w:rsidR="00B03DBA" w:rsidRPr="006031E8" w:rsidRDefault="00227975" w:rsidP="000A7C68">
      <w:pPr>
        <w:pStyle w:val="Tekstzwyky"/>
        <w:spacing w:afterLines="60" w:after="144"/>
        <w:rPr>
          <w:rFonts w:ascii="Lato" w:hAnsi="Lato"/>
        </w:rPr>
      </w:pPr>
      <w:r>
        <w:rPr>
          <w:rFonts w:ascii="Lato" w:hAnsi="Lato"/>
        </w:rPr>
        <w:tab/>
      </w:r>
      <w:r w:rsidR="0055791C">
        <w:rPr>
          <w:rFonts w:ascii="Lato" w:hAnsi="Lato"/>
        </w:rPr>
        <w:t>O</w:t>
      </w:r>
      <w:r w:rsidR="00C7771E" w:rsidRPr="006031E8">
        <w:rPr>
          <w:rFonts w:ascii="Lato" w:hAnsi="Lato"/>
        </w:rPr>
        <w:t>prócz realizacji ww. projektów dywersyfikacyjnych i</w:t>
      </w:r>
      <w:r w:rsidR="00C7771E" w:rsidRPr="00C758B1">
        <w:rPr>
          <w:rFonts w:ascii="Lato" w:hAnsi="Lato"/>
        </w:rPr>
        <w:t> </w:t>
      </w:r>
      <w:r w:rsidR="00C7771E" w:rsidRPr="006031E8">
        <w:rPr>
          <w:rFonts w:ascii="Lato" w:hAnsi="Lato"/>
        </w:rPr>
        <w:t xml:space="preserve">integracyjnych, </w:t>
      </w:r>
      <w:r w:rsidR="00B20392">
        <w:rPr>
          <w:rFonts w:ascii="Lato" w:hAnsi="Lato"/>
        </w:rPr>
        <w:t xml:space="preserve">OSP </w:t>
      </w:r>
      <w:r w:rsidR="00C7771E" w:rsidRPr="006031E8">
        <w:rPr>
          <w:rFonts w:ascii="Lato" w:hAnsi="Lato"/>
        </w:rPr>
        <w:t xml:space="preserve">prowadzi </w:t>
      </w:r>
      <w:r w:rsidR="0055791C">
        <w:rPr>
          <w:rFonts w:ascii="Lato" w:hAnsi="Lato"/>
        </w:rPr>
        <w:t xml:space="preserve">również </w:t>
      </w:r>
      <w:r w:rsidR="00C7771E" w:rsidRPr="006031E8">
        <w:rPr>
          <w:rFonts w:ascii="Lato" w:hAnsi="Lato"/>
        </w:rPr>
        <w:t>działania w</w:t>
      </w:r>
      <w:r w:rsidR="003F0FCF">
        <w:rPr>
          <w:rFonts w:ascii="Lato" w:hAnsi="Lato"/>
        </w:rPr>
        <w:t xml:space="preserve"> </w:t>
      </w:r>
      <w:r w:rsidR="00C7771E" w:rsidRPr="006031E8">
        <w:rPr>
          <w:rFonts w:ascii="Lato" w:hAnsi="Lato"/>
        </w:rPr>
        <w:t>zakresie rozbudowy krajowego systemu gazowego, co przyczyni się do zapewnienia rozpływów gazu ziemnego z nowych i rozbudowanych punktów wejścia do krajowej sieci</w:t>
      </w:r>
      <w:r w:rsidR="00B20392">
        <w:rPr>
          <w:rFonts w:ascii="Lato" w:hAnsi="Lato"/>
        </w:rPr>
        <w:t xml:space="preserve"> gazowej</w:t>
      </w:r>
      <w:r w:rsidR="00C7771E" w:rsidRPr="006031E8">
        <w:rPr>
          <w:rFonts w:ascii="Lato" w:hAnsi="Lato"/>
        </w:rPr>
        <w:t>.</w:t>
      </w:r>
      <w:r>
        <w:rPr>
          <w:rFonts w:ascii="Lato" w:hAnsi="Lato"/>
        </w:rPr>
        <w:t xml:space="preserve"> </w:t>
      </w:r>
      <w:r w:rsidR="00C7771E" w:rsidRPr="006031E8">
        <w:rPr>
          <w:rFonts w:ascii="Lato" w:hAnsi="Lato"/>
        </w:rPr>
        <w:t>Obok pro</w:t>
      </w:r>
      <w:r w:rsidR="0055791C">
        <w:rPr>
          <w:rFonts w:ascii="Lato" w:hAnsi="Lato"/>
        </w:rPr>
        <w:t xml:space="preserve">jektów realizowanych </w:t>
      </w:r>
      <w:r w:rsidR="00C7771E" w:rsidRPr="006031E8">
        <w:rPr>
          <w:rFonts w:ascii="Lato" w:hAnsi="Lato"/>
        </w:rPr>
        <w:t xml:space="preserve">przez </w:t>
      </w:r>
      <w:r w:rsidR="00B20392">
        <w:rPr>
          <w:rFonts w:ascii="Lato" w:hAnsi="Lato"/>
        </w:rPr>
        <w:t>OSP</w:t>
      </w:r>
      <w:r w:rsidR="00C7771E" w:rsidRPr="006031E8">
        <w:rPr>
          <w:rFonts w:ascii="Lato" w:hAnsi="Lato"/>
        </w:rPr>
        <w:t>, na terenie kraju</w:t>
      </w:r>
      <w:r>
        <w:rPr>
          <w:rFonts w:ascii="Lato" w:hAnsi="Lato"/>
        </w:rPr>
        <w:t xml:space="preserve"> </w:t>
      </w:r>
      <w:r w:rsidR="00E24527">
        <w:rPr>
          <w:rFonts w:ascii="Lato" w:hAnsi="Lato"/>
        </w:rPr>
        <w:t xml:space="preserve">jest </w:t>
      </w:r>
      <w:r>
        <w:rPr>
          <w:rFonts w:ascii="Lato" w:hAnsi="Lato"/>
        </w:rPr>
        <w:t xml:space="preserve">kontynuowany </w:t>
      </w:r>
      <w:r w:rsidR="00C7771E" w:rsidRPr="006031E8">
        <w:rPr>
          <w:rFonts w:ascii="Lato" w:hAnsi="Lato"/>
        </w:rPr>
        <w:t xml:space="preserve">program </w:t>
      </w:r>
      <w:r w:rsidR="00B20392">
        <w:rPr>
          <w:rFonts w:ascii="Lato" w:hAnsi="Lato"/>
        </w:rPr>
        <w:t>OSD</w:t>
      </w:r>
      <w:r>
        <w:rPr>
          <w:rFonts w:ascii="Lato" w:hAnsi="Lato"/>
        </w:rPr>
        <w:t xml:space="preserve"> </w:t>
      </w:r>
      <w:r w:rsidR="00E24527">
        <w:rPr>
          <w:rFonts w:ascii="Lato" w:hAnsi="Lato"/>
        </w:rPr>
        <w:t>dotyczący</w:t>
      </w:r>
      <w:r>
        <w:rPr>
          <w:rFonts w:ascii="Lato" w:hAnsi="Lato"/>
        </w:rPr>
        <w:t xml:space="preserve"> </w:t>
      </w:r>
      <w:r w:rsidR="00C7771E" w:rsidRPr="006031E8">
        <w:rPr>
          <w:rFonts w:ascii="Lato" w:hAnsi="Lato"/>
        </w:rPr>
        <w:t>przyłącz</w:t>
      </w:r>
      <w:r w:rsidR="009741E2">
        <w:rPr>
          <w:rFonts w:ascii="Lato" w:hAnsi="Lato"/>
        </w:rPr>
        <w:t>ania</w:t>
      </w:r>
      <w:r w:rsidR="00C7771E" w:rsidRPr="006031E8">
        <w:rPr>
          <w:rFonts w:ascii="Lato" w:hAnsi="Lato"/>
        </w:rPr>
        <w:t xml:space="preserve"> do sieci gazowej nowych odbiorców poprzez budowę sieci dystrybucyjnych na terenach niezgazyfikowanych. </w:t>
      </w:r>
    </w:p>
    <w:p w14:paraId="21B0105E" w14:textId="207020BA" w:rsidR="00B03DBA" w:rsidRPr="006031E8" w:rsidRDefault="00C7771E" w:rsidP="000A7C68">
      <w:pPr>
        <w:pStyle w:val="Tekstzwyky"/>
        <w:spacing w:afterLines="60" w:after="144"/>
        <w:rPr>
          <w:rFonts w:ascii="Lato" w:hAnsi="Lato"/>
        </w:rPr>
      </w:pPr>
      <w:r w:rsidRPr="006031E8">
        <w:rPr>
          <w:rFonts w:ascii="Lato" w:hAnsi="Lato"/>
        </w:rPr>
        <w:tab/>
        <w:t xml:space="preserve">Realizacja ww. projektów i programów, stanowiących działania zapobiegawcze pozwoli na: </w:t>
      </w:r>
    </w:p>
    <w:p w14:paraId="7A70BD10" w14:textId="77777777" w:rsidR="00B03DBA" w:rsidRPr="006031E8" w:rsidRDefault="00C7771E" w:rsidP="00983C18">
      <w:pPr>
        <w:pStyle w:val="TekstWypunktowany"/>
        <w:rPr>
          <w:rFonts w:ascii="Lato" w:hAnsi="Lato"/>
        </w:rPr>
      </w:pPr>
      <w:r w:rsidRPr="006031E8">
        <w:rPr>
          <w:rFonts w:ascii="Lato" w:hAnsi="Lato"/>
        </w:rPr>
        <w:t xml:space="preserve">dywersyfikację kierunków i źródeł dostaw, </w:t>
      </w:r>
    </w:p>
    <w:p w14:paraId="521203A0" w14:textId="77777777" w:rsidR="00B03DBA" w:rsidRPr="006031E8" w:rsidRDefault="00C7771E" w:rsidP="00983C18">
      <w:pPr>
        <w:pStyle w:val="TekstWypunktowany"/>
        <w:rPr>
          <w:rFonts w:ascii="Lato" w:hAnsi="Lato"/>
        </w:rPr>
      </w:pPr>
      <w:r w:rsidRPr="006031E8">
        <w:rPr>
          <w:rFonts w:ascii="Lato" w:hAnsi="Lato"/>
        </w:rPr>
        <w:t xml:space="preserve">dalszą liberalizację rynku gazu ziemnego, </w:t>
      </w:r>
    </w:p>
    <w:p w14:paraId="1821F1DC" w14:textId="77777777" w:rsidR="00B03DBA" w:rsidRPr="006031E8" w:rsidRDefault="00C7771E" w:rsidP="00983C18">
      <w:pPr>
        <w:pStyle w:val="TekstWypunktowany"/>
        <w:rPr>
          <w:rFonts w:ascii="Lato" w:hAnsi="Lato"/>
        </w:rPr>
      </w:pPr>
      <w:r w:rsidRPr="006031E8">
        <w:rPr>
          <w:rFonts w:ascii="Lato" w:hAnsi="Lato"/>
        </w:rPr>
        <w:t xml:space="preserve">rozwój infrastruktury przesyłowej na połączeniach transgranicznych, </w:t>
      </w:r>
    </w:p>
    <w:p w14:paraId="69484B81" w14:textId="77777777" w:rsidR="00B03DBA" w:rsidRPr="00C758B1" w:rsidRDefault="00C7771E" w:rsidP="00983C18">
      <w:pPr>
        <w:pStyle w:val="TekstWypunktowany"/>
        <w:rPr>
          <w:rFonts w:ascii="Lato" w:hAnsi="Lato"/>
          <w:color w:val="000000" w:themeColor="text1"/>
        </w:rPr>
      </w:pPr>
      <w:r w:rsidRPr="00C758B1">
        <w:rPr>
          <w:rFonts w:ascii="Lato" w:hAnsi="Lato"/>
          <w:color w:val="000000" w:themeColor="text1"/>
        </w:rPr>
        <w:t>zwiększenie stopnia integracji regionalnych rynków gazu ziemnego,</w:t>
      </w:r>
    </w:p>
    <w:p w14:paraId="39B37C18" w14:textId="78021CB0" w:rsidR="00B20392" w:rsidRPr="005577BE" w:rsidRDefault="00C7771E" w:rsidP="005577BE">
      <w:pPr>
        <w:pStyle w:val="TekstWypunktowany"/>
        <w:rPr>
          <w:rFonts w:ascii="Lato" w:hAnsi="Lato"/>
          <w:color w:val="000000" w:themeColor="text1"/>
        </w:rPr>
      </w:pPr>
      <w:r w:rsidRPr="00C758B1">
        <w:rPr>
          <w:rFonts w:ascii="Lato" w:hAnsi="Lato"/>
          <w:color w:val="000000" w:themeColor="text1"/>
        </w:rPr>
        <w:t>zwiększenie stopnia bezpieczeństwa dostaw gazu ziemnego.</w:t>
      </w:r>
    </w:p>
    <w:p w14:paraId="63FB0B86" w14:textId="27DAAD3B" w:rsidR="00097F69" w:rsidRPr="00C758B1" w:rsidRDefault="00C7771E" w:rsidP="00A41E5A">
      <w:pPr>
        <w:pStyle w:val="Rozdzia1"/>
        <w:numPr>
          <w:ilvl w:val="0"/>
          <w:numId w:val="0"/>
        </w:numPr>
        <w:ind w:left="360" w:hanging="360"/>
        <w:rPr>
          <w:rFonts w:ascii="Lato" w:hAnsi="Lato"/>
        </w:rPr>
      </w:pPr>
      <w:bookmarkStart w:id="3" w:name="_Toc18059328"/>
      <w:bookmarkStart w:id="4" w:name="_Toc18059377"/>
      <w:bookmarkStart w:id="5" w:name="_Toc18063860"/>
      <w:bookmarkStart w:id="6" w:name="_Toc19782924"/>
      <w:bookmarkStart w:id="7" w:name="_Toc142469548"/>
      <w:bookmarkEnd w:id="3"/>
      <w:bookmarkEnd w:id="4"/>
      <w:bookmarkEnd w:id="5"/>
      <w:r w:rsidRPr="00C758B1">
        <w:rPr>
          <w:rFonts w:ascii="Lato" w:hAnsi="Lato"/>
        </w:rPr>
        <w:lastRenderedPageBreak/>
        <w:t>Wstęp</w:t>
      </w:r>
      <w:bookmarkEnd w:id="0"/>
      <w:bookmarkEnd w:id="6"/>
      <w:bookmarkEnd w:id="7"/>
    </w:p>
    <w:p w14:paraId="0F3E65FD" w14:textId="77777777" w:rsidR="00097F69" w:rsidRPr="003F0FCF" w:rsidRDefault="00097F69" w:rsidP="000A7C68">
      <w:pPr>
        <w:spacing w:after="60" w:line="276" w:lineRule="auto"/>
        <w:ind w:firstLine="567"/>
        <w:rPr>
          <w:rFonts w:ascii="Lato" w:eastAsia="Malgun Gothic" w:hAnsi="Lato"/>
        </w:rPr>
      </w:pPr>
      <w:r w:rsidRPr="003F0FCF">
        <w:rPr>
          <w:rFonts w:ascii="Lato" w:eastAsia="Malgun Gothic" w:hAnsi="Lato"/>
          <w:szCs w:val="24"/>
        </w:rPr>
        <w:t xml:space="preserve">Minister właściwy do spraw energii sprawuje nadzór nad bezpieczeństwem energetycznym kraju, w tym bezpieczeństwem dostaw energii, surowców energetycznych i paliw. </w:t>
      </w:r>
    </w:p>
    <w:p w14:paraId="67DB4FCF" w14:textId="67C587F7" w:rsidR="00097F69" w:rsidRPr="003F0FCF" w:rsidRDefault="00097F69" w:rsidP="000A7C68">
      <w:pPr>
        <w:spacing w:after="60" w:line="276" w:lineRule="auto"/>
        <w:ind w:firstLine="567"/>
        <w:rPr>
          <w:rFonts w:ascii="Lato" w:eastAsia="Malgun Gothic" w:hAnsi="Lato"/>
        </w:rPr>
      </w:pPr>
      <w:r w:rsidRPr="003F0FCF">
        <w:rPr>
          <w:rFonts w:ascii="Lato" w:eastAsia="Malgun Gothic" w:hAnsi="Lato"/>
          <w:szCs w:val="24"/>
        </w:rPr>
        <w:t xml:space="preserve">Od dnia 6 października 2020 r. zadania ministra właściwego do spraw energii wykonuje Minister Klimatu i Środowiska – zgodnie z </w:t>
      </w:r>
      <w:r w:rsidR="00E53BC5" w:rsidRPr="003F0FCF">
        <w:rPr>
          <w:rFonts w:ascii="Lato" w:eastAsia="Malgun Gothic" w:hAnsi="Lato"/>
          <w:szCs w:val="24"/>
        </w:rPr>
        <w:t xml:space="preserve">§ </w:t>
      </w:r>
      <w:r w:rsidRPr="003F0FCF">
        <w:rPr>
          <w:rFonts w:ascii="Lato" w:eastAsia="Malgun Gothic" w:hAnsi="Lato"/>
          <w:szCs w:val="24"/>
        </w:rPr>
        <w:t xml:space="preserve">1 ust. 2 pkt 1 rozporządzenia Prezesa Rady Ministrów z dnia 27 października 2021 r. </w:t>
      </w:r>
      <w:r w:rsidRPr="003F0FCF">
        <w:rPr>
          <w:rFonts w:ascii="Lato" w:eastAsia="Malgun Gothic" w:hAnsi="Lato"/>
          <w:i/>
          <w:iCs/>
          <w:szCs w:val="24"/>
        </w:rPr>
        <w:t>w sprawie szczegółowego zakresu działania Ministra Klimatu i Środowiska</w:t>
      </w:r>
      <w:r w:rsidRPr="003F0FCF">
        <w:rPr>
          <w:rFonts w:ascii="Lato" w:eastAsia="Malgun Gothic" w:hAnsi="Lato"/>
          <w:szCs w:val="24"/>
        </w:rPr>
        <w:t xml:space="preserve"> (Dz. U. z 2021 poz. 1949).</w:t>
      </w:r>
    </w:p>
    <w:p w14:paraId="7AC6F2D6" w14:textId="39C319C4" w:rsidR="00B03DBA" w:rsidRPr="00F522D0" w:rsidRDefault="00097F69" w:rsidP="000A7C68">
      <w:pPr>
        <w:spacing w:after="60" w:line="276" w:lineRule="auto"/>
        <w:ind w:firstLine="567"/>
        <w:rPr>
          <w:rFonts w:ascii="Lato" w:eastAsia="Malgun Gothic" w:hAnsi="Lato" w:cs="Times New Roman"/>
          <w:color w:val="000000" w:themeColor="text1"/>
          <w:szCs w:val="24"/>
        </w:rPr>
      </w:pPr>
      <w:r w:rsidRPr="003F0FCF">
        <w:rPr>
          <w:rFonts w:ascii="Lato" w:eastAsia="Malgun Gothic" w:hAnsi="Lato" w:cs="Times New Roman"/>
          <w:color w:val="000000" w:themeColor="text1"/>
          <w:szCs w:val="24"/>
        </w:rPr>
        <w:t>Minister właściwy do spraw energii</w:t>
      </w:r>
      <w:r w:rsidR="00F522D0">
        <w:rPr>
          <w:rFonts w:ascii="Lato" w:eastAsia="Malgun Gothic" w:hAnsi="Lato" w:cs="Times New Roman"/>
          <w:color w:val="000000" w:themeColor="text1"/>
          <w:szCs w:val="24"/>
        </w:rPr>
        <w:t xml:space="preserve">, </w:t>
      </w:r>
      <w:r w:rsidRPr="003F0FCF">
        <w:rPr>
          <w:rFonts w:ascii="Lato" w:eastAsia="Malgun Gothic" w:hAnsi="Lato" w:cs="Times New Roman"/>
          <w:color w:val="000000" w:themeColor="text1"/>
          <w:szCs w:val="24"/>
        </w:rPr>
        <w:t xml:space="preserve">na podstawie art. 15fa ust. </w:t>
      </w:r>
      <w:r w:rsidRPr="00E24527">
        <w:rPr>
          <w:rFonts w:ascii="Lato" w:eastAsia="Malgun Gothic" w:hAnsi="Lato" w:cs="Times New Roman"/>
          <w:color w:val="000000" w:themeColor="text1"/>
          <w:szCs w:val="24"/>
        </w:rPr>
        <w:t xml:space="preserve">1 </w:t>
      </w:r>
      <w:r w:rsidR="00E24527" w:rsidRPr="00E24527">
        <w:rPr>
          <w:rFonts w:ascii="Lato" w:hAnsi="Lato"/>
          <w:szCs w:val="24"/>
        </w:rPr>
        <w:t>ustawy z dnia 10 kwietnia 1997 r. - Prawo energetyczne (Dz.U. z 1997 r. nr 54 poz. 348, dalej jako: ustawa – Prawo energetyczne)</w:t>
      </w:r>
      <w:r w:rsidR="00F522D0" w:rsidRPr="00E24527">
        <w:rPr>
          <w:rFonts w:ascii="Lato" w:eastAsia="Malgun Gothic" w:hAnsi="Lato" w:cs="Times New Roman"/>
          <w:color w:val="000000" w:themeColor="text1"/>
          <w:szCs w:val="24"/>
        </w:rPr>
        <w:t>,</w:t>
      </w:r>
      <w:r w:rsidRPr="00E24527">
        <w:rPr>
          <w:rFonts w:ascii="Lato" w:eastAsia="Malgun Gothic" w:hAnsi="Lato" w:cs="Times New Roman"/>
          <w:color w:val="000000" w:themeColor="text1"/>
          <w:szCs w:val="24"/>
        </w:rPr>
        <w:t xml:space="preserve"> działa jako organ właściwy w rozumieniu </w:t>
      </w:r>
      <w:r w:rsidR="00E24527" w:rsidRPr="00E24527">
        <w:rPr>
          <w:rFonts w:ascii="Lato" w:hAnsi="Lato"/>
          <w:i/>
          <w:iCs/>
          <w:szCs w:val="24"/>
        </w:rPr>
        <w:t>rozporządzenia Parlamentu Europejskiego i Rady (UE) 2017/1938 z dnia 25 października 2017 r. dotyczącego środków zapewniających bezpieczeństwo dostaw gazu ziemnego i uchylającego rozporządzenie (UE) 994/2010</w:t>
      </w:r>
      <w:r w:rsidR="00E24527" w:rsidRPr="00E24527">
        <w:rPr>
          <w:rFonts w:ascii="Lato" w:hAnsi="Lato"/>
          <w:szCs w:val="24"/>
        </w:rPr>
        <w:t xml:space="preserve"> (dalej jako: rozporządzenie 2017/1938)</w:t>
      </w:r>
      <w:r w:rsidRPr="00E24527">
        <w:rPr>
          <w:rFonts w:ascii="Lato" w:eastAsia="Malgun Gothic" w:hAnsi="Lato" w:cs="Times New Roman"/>
          <w:color w:val="000000" w:themeColor="text1"/>
          <w:szCs w:val="24"/>
        </w:rPr>
        <w:t>. Jednym</w:t>
      </w:r>
      <w:r w:rsidRPr="003F0FCF">
        <w:rPr>
          <w:rFonts w:ascii="Lato" w:eastAsia="Malgun Gothic" w:hAnsi="Lato" w:cs="Times New Roman"/>
          <w:color w:val="000000" w:themeColor="text1"/>
          <w:szCs w:val="24"/>
        </w:rPr>
        <w:t xml:space="preserve"> z zadań </w:t>
      </w:r>
      <w:r w:rsidR="00EB2027">
        <w:rPr>
          <w:rFonts w:ascii="Lato" w:eastAsia="Malgun Gothic" w:hAnsi="Lato"/>
        </w:rPr>
        <w:t xml:space="preserve">związanych </w:t>
      </w:r>
      <w:r w:rsidRPr="003F0FCF">
        <w:rPr>
          <w:rFonts w:ascii="Lato" w:eastAsia="Malgun Gothic" w:hAnsi="Lato" w:cs="Times New Roman"/>
          <w:color w:val="000000" w:themeColor="text1"/>
          <w:szCs w:val="24"/>
        </w:rPr>
        <w:t xml:space="preserve">z </w:t>
      </w:r>
      <w:r w:rsidR="00F522D0">
        <w:rPr>
          <w:rFonts w:ascii="Lato" w:eastAsia="Malgun Gothic" w:hAnsi="Lato" w:cs="Times New Roman"/>
          <w:color w:val="000000" w:themeColor="text1"/>
          <w:szCs w:val="24"/>
        </w:rPr>
        <w:t>realizacją tej roli</w:t>
      </w:r>
      <w:r w:rsidRPr="003F0FCF">
        <w:rPr>
          <w:rFonts w:ascii="Lato" w:eastAsia="Malgun Gothic" w:hAnsi="Lato" w:cs="Times New Roman"/>
          <w:color w:val="000000" w:themeColor="text1"/>
          <w:szCs w:val="24"/>
        </w:rPr>
        <w:t xml:space="preserve"> jest </w:t>
      </w:r>
      <w:r w:rsidR="00BE727E">
        <w:rPr>
          <w:rFonts w:ascii="Lato" w:eastAsia="Malgun Gothic" w:hAnsi="Lato" w:cs="Times New Roman"/>
          <w:color w:val="000000" w:themeColor="text1"/>
          <w:szCs w:val="24"/>
        </w:rPr>
        <w:t>opracowanie</w:t>
      </w:r>
      <w:r w:rsidRPr="003F0FCF">
        <w:rPr>
          <w:rFonts w:ascii="Lato" w:eastAsia="Malgun Gothic" w:hAnsi="Lato" w:cs="Times New Roman"/>
          <w:color w:val="000000" w:themeColor="text1"/>
          <w:szCs w:val="24"/>
        </w:rPr>
        <w:t xml:space="preserve">, zgodnie z art. 15fa ust. 2 ustawy – Prawo energetyczne, </w:t>
      </w:r>
      <w:r w:rsidR="00E53BC5" w:rsidRPr="003F0FCF">
        <w:rPr>
          <w:rFonts w:ascii="Lato" w:eastAsia="Malgun Gothic" w:hAnsi="Lato" w:cs="Times New Roman"/>
          <w:color w:val="000000" w:themeColor="text1"/>
          <w:szCs w:val="24"/>
        </w:rPr>
        <w:t xml:space="preserve">planu działań zapobiegawczych </w:t>
      </w:r>
      <w:r w:rsidRPr="003F0FCF">
        <w:rPr>
          <w:rFonts w:ascii="Lato" w:eastAsia="Malgun Gothic" w:hAnsi="Lato" w:cs="Times New Roman"/>
          <w:color w:val="000000" w:themeColor="text1"/>
          <w:szCs w:val="24"/>
        </w:rPr>
        <w:t>związanego z bezpieczeństwem dostaw gazu ziemnego do Polski.</w:t>
      </w:r>
      <w:r w:rsidR="00F522D0">
        <w:rPr>
          <w:rFonts w:ascii="Lato" w:eastAsia="Malgun Gothic" w:hAnsi="Lato" w:cs="Times New Roman"/>
          <w:color w:val="000000" w:themeColor="text1"/>
          <w:szCs w:val="24"/>
        </w:rPr>
        <w:br w:type="page"/>
      </w:r>
    </w:p>
    <w:p w14:paraId="3D628ACC" w14:textId="77777777" w:rsidR="00B03DBA" w:rsidRPr="006E0158" w:rsidRDefault="00C7771E" w:rsidP="00983C18">
      <w:pPr>
        <w:pStyle w:val="Rozdzia1"/>
        <w:rPr>
          <w:rFonts w:ascii="Lato" w:hAnsi="Lato"/>
          <w:sz w:val="28"/>
          <w:szCs w:val="28"/>
        </w:rPr>
      </w:pPr>
      <w:bookmarkStart w:id="8" w:name="_Toc12953892"/>
      <w:bookmarkStart w:id="9" w:name="_Toc19782925"/>
      <w:bookmarkStart w:id="10" w:name="_Toc142469549"/>
      <w:r w:rsidRPr="006E0158">
        <w:rPr>
          <w:rFonts w:ascii="Lato" w:hAnsi="Lato"/>
          <w:sz w:val="28"/>
          <w:szCs w:val="28"/>
        </w:rPr>
        <w:lastRenderedPageBreak/>
        <w:t>Opis systemu</w:t>
      </w:r>
      <w:bookmarkEnd w:id="8"/>
      <w:bookmarkEnd w:id="9"/>
      <w:bookmarkEnd w:id="10"/>
    </w:p>
    <w:p w14:paraId="087390E0" w14:textId="77777777" w:rsidR="00B03DBA" w:rsidRPr="006E0158" w:rsidRDefault="00C7771E" w:rsidP="00983C18">
      <w:pPr>
        <w:pStyle w:val="Rozdzia2"/>
        <w:rPr>
          <w:rFonts w:ascii="Lato" w:hAnsi="Lato"/>
          <w:szCs w:val="28"/>
        </w:rPr>
      </w:pPr>
      <w:bookmarkStart w:id="11" w:name="_Toc12953893"/>
      <w:bookmarkStart w:id="12" w:name="_Toc19782926"/>
      <w:bookmarkStart w:id="13" w:name="_Toc142469550"/>
      <w:r w:rsidRPr="006E0158">
        <w:rPr>
          <w:rFonts w:ascii="Lato" w:hAnsi="Lato"/>
          <w:szCs w:val="28"/>
        </w:rPr>
        <w:t>Opis regionalnego systemu gazowego</w:t>
      </w:r>
      <w:bookmarkEnd w:id="11"/>
      <w:bookmarkEnd w:id="12"/>
      <w:bookmarkEnd w:id="13"/>
    </w:p>
    <w:p w14:paraId="54898FE8" w14:textId="77777777" w:rsidR="00B03DBA" w:rsidRPr="00A41E5A" w:rsidRDefault="00C7771E" w:rsidP="00A41E5A">
      <w:pPr>
        <w:pStyle w:val="Rozdzia3"/>
        <w:rPr>
          <w:rFonts w:ascii="Lato" w:hAnsi="Lato"/>
        </w:rPr>
      </w:pPr>
      <w:bookmarkStart w:id="14" w:name="_Toc12953894"/>
      <w:bookmarkStart w:id="15" w:name="_Toc19782927"/>
      <w:bookmarkStart w:id="16" w:name="_Toc142469551"/>
      <w:r w:rsidRPr="00A41E5A">
        <w:rPr>
          <w:rFonts w:ascii="Lato" w:hAnsi="Lato"/>
        </w:rPr>
        <w:t>Regionalna grupa ryzyka – Białoruś</w:t>
      </w:r>
      <w:bookmarkEnd w:id="14"/>
      <w:bookmarkEnd w:id="15"/>
      <w:bookmarkEnd w:id="16"/>
    </w:p>
    <w:p w14:paraId="5A306B47" w14:textId="2620435A" w:rsidR="00E53BC5" w:rsidRPr="00F522D0" w:rsidRDefault="00C7771E" w:rsidP="000A7C68">
      <w:pPr>
        <w:spacing w:before="120" w:after="60" w:line="276" w:lineRule="auto"/>
        <w:ind w:firstLine="567"/>
        <w:rPr>
          <w:rFonts w:ascii="Lato" w:eastAsia="Malgun Gothic" w:hAnsi="Lato"/>
        </w:rPr>
      </w:pPr>
      <w:r w:rsidRPr="00C758B1">
        <w:rPr>
          <w:rFonts w:ascii="Lato" w:hAnsi="Lato"/>
        </w:rPr>
        <w:tab/>
      </w:r>
      <w:r w:rsidR="00E53BC5" w:rsidRPr="09102414">
        <w:rPr>
          <w:rFonts w:ascii="Lato" w:eastAsia="Malgun Gothic" w:hAnsi="Lato"/>
        </w:rPr>
        <w:t xml:space="preserve">Do regionalnej białoruskiej grupy ryzyka, ze względu na (historyczne) dostawy gazu ziemnego </w:t>
      </w:r>
      <w:r w:rsidR="00F522D0" w:rsidRPr="09102414">
        <w:rPr>
          <w:rFonts w:ascii="Lato" w:eastAsia="Malgun Gothic" w:hAnsi="Lato"/>
        </w:rPr>
        <w:t>z kierunku wschodniego</w:t>
      </w:r>
      <w:r w:rsidR="00E53BC5" w:rsidRPr="09102414">
        <w:rPr>
          <w:rFonts w:ascii="Lato" w:eastAsia="Malgun Gothic" w:hAnsi="Lato"/>
        </w:rPr>
        <w:t xml:space="preserve">, należą: Belgia, </w:t>
      </w:r>
      <w:r w:rsidR="00F522D0" w:rsidRPr="09102414">
        <w:rPr>
          <w:rFonts w:ascii="Lato" w:eastAsia="Malgun Gothic" w:hAnsi="Lato"/>
        </w:rPr>
        <w:t>Czechy</w:t>
      </w:r>
      <w:r w:rsidR="00E53BC5" w:rsidRPr="09102414">
        <w:rPr>
          <w:rFonts w:ascii="Lato" w:eastAsia="Malgun Gothic" w:hAnsi="Lato"/>
        </w:rPr>
        <w:t xml:space="preserve">, Dania, Niemcy, Estonia, Łotwa, Litwa, Luksemburg, </w:t>
      </w:r>
      <w:r w:rsidR="00BC1B79" w:rsidRPr="09102414">
        <w:rPr>
          <w:rFonts w:ascii="Lato" w:eastAsia="Malgun Gothic" w:hAnsi="Lato"/>
        </w:rPr>
        <w:t xml:space="preserve">Finlandia, </w:t>
      </w:r>
      <w:r w:rsidR="00E53BC5" w:rsidRPr="09102414">
        <w:rPr>
          <w:rFonts w:ascii="Lato" w:eastAsia="Malgun Gothic" w:hAnsi="Lato"/>
        </w:rPr>
        <w:t>Holandia, Polska, Słowacja i Szwecja.</w:t>
      </w:r>
    </w:p>
    <w:p w14:paraId="0E9078A9" w14:textId="210A0FAA" w:rsidR="00E53BC5" w:rsidRPr="00F522D0" w:rsidRDefault="00E53BC5" w:rsidP="000A7C68">
      <w:pPr>
        <w:spacing w:after="60" w:line="276" w:lineRule="auto"/>
        <w:ind w:firstLine="567"/>
        <w:rPr>
          <w:rFonts w:ascii="Lato" w:eastAsia="Malgun Gothic" w:hAnsi="Lato"/>
          <w:szCs w:val="24"/>
        </w:rPr>
      </w:pPr>
      <w:r w:rsidRPr="00F522D0">
        <w:rPr>
          <w:rFonts w:ascii="Lato" w:eastAsia="Malgun Gothic" w:hAnsi="Lato"/>
          <w:szCs w:val="24"/>
        </w:rPr>
        <w:t xml:space="preserve">Przeprowadzone analizy wskazują, że całkowite zużycie gazu ziemnego </w:t>
      </w:r>
      <w:r w:rsidR="00A41E5A">
        <w:rPr>
          <w:rFonts w:ascii="Lato" w:eastAsia="Malgun Gothic" w:hAnsi="Lato"/>
          <w:szCs w:val="24"/>
        </w:rPr>
        <w:t xml:space="preserve">w </w:t>
      </w:r>
      <w:r w:rsidR="00A41E5A" w:rsidRPr="00F522D0">
        <w:rPr>
          <w:rFonts w:ascii="Lato" w:eastAsia="Malgun Gothic" w:hAnsi="Lato"/>
          <w:szCs w:val="24"/>
        </w:rPr>
        <w:t>analizowanych latach</w:t>
      </w:r>
      <w:r w:rsidR="00A41E5A">
        <w:rPr>
          <w:rFonts w:ascii="Lato" w:eastAsia="Malgun Gothic" w:hAnsi="Lato"/>
          <w:szCs w:val="24"/>
        </w:rPr>
        <w:t xml:space="preserve"> wzrosło</w:t>
      </w:r>
      <w:r w:rsidR="00A41E5A" w:rsidRPr="00F522D0">
        <w:rPr>
          <w:rFonts w:ascii="Lato" w:eastAsia="Malgun Gothic" w:hAnsi="Lato"/>
          <w:szCs w:val="24"/>
        </w:rPr>
        <w:t xml:space="preserve"> </w:t>
      </w:r>
      <w:r w:rsidRPr="00F522D0">
        <w:rPr>
          <w:rFonts w:ascii="Lato" w:eastAsia="Malgun Gothic" w:hAnsi="Lato"/>
          <w:szCs w:val="24"/>
        </w:rPr>
        <w:t>we wszystkich państwach członkowskich wchodzących w skład tej grupy ryzyka</w:t>
      </w:r>
      <w:r w:rsidR="00A41E5A">
        <w:rPr>
          <w:rFonts w:ascii="Lato" w:eastAsia="Malgun Gothic" w:hAnsi="Lato"/>
          <w:szCs w:val="24"/>
        </w:rPr>
        <w:t>.</w:t>
      </w:r>
      <w:r w:rsidRPr="00F522D0">
        <w:rPr>
          <w:rFonts w:ascii="Lato" w:eastAsia="Malgun Gothic" w:hAnsi="Lato"/>
          <w:szCs w:val="24"/>
        </w:rPr>
        <w:t xml:space="preserve"> W 2017 r. zużycie to wyniosło 185,6 mld m</w:t>
      </w:r>
      <w:r w:rsidRPr="00F522D0">
        <w:rPr>
          <w:rFonts w:ascii="Lato" w:eastAsia="Malgun Gothic" w:hAnsi="Lato"/>
          <w:szCs w:val="24"/>
          <w:vertAlign w:val="superscript"/>
        </w:rPr>
        <w:t>3</w:t>
      </w:r>
      <w:r w:rsidRPr="00F522D0">
        <w:rPr>
          <w:rFonts w:ascii="Lato" w:eastAsia="Malgun Gothic" w:hAnsi="Lato"/>
          <w:szCs w:val="24"/>
        </w:rPr>
        <w:t xml:space="preserve"> (2 036,00 TWh), natomiast w 2021 r. 191,57 mld m</w:t>
      </w:r>
      <w:r w:rsidRPr="00F522D0">
        <w:rPr>
          <w:rFonts w:ascii="Lato" w:eastAsia="Malgun Gothic" w:hAnsi="Lato"/>
          <w:szCs w:val="24"/>
          <w:vertAlign w:val="superscript"/>
        </w:rPr>
        <w:t>3</w:t>
      </w:r>
      <w:r w:rsidRPr="00F522D0">
        <w:rPr>
          <w:rFonts w:ascii="Lato" w:eastAsia="Malgun Gothic" w:hAnsi="Lato"/>
          <w:szCs w:val="24"/>
        </w:rPr>
        <w:t xml:space="preserve"> (2 101,49 TWh). Największe zużycie gazu ziemnego w tej grupie ryzyka, zarówno w 2017, jak i w 2021 r. odnotowano w Niemczech (90,72 mld m</w:t>
      </w:r>
      <w:r w:rsidRPr="00F522D0">
        <w:rPr>
          <w:rFonts w:ascii="Lato" w:eastAsia="Malgun Gothic" w:hAnsi="Lato"/>
          <w:szCs w:val="24"/>
          <w:vertAlign w:val="superscript"/>
        </w:rPr>
        <w:t>3</w:t>
      </w:r>
      <w:r w:rsidRPr="00F522D0">
        <w:rPr>
          <w:rFonts w:ascii="Lato" w:eastAsia="Malgun Gothic" w:hAnsi="Lato"/>
          <w:szCs w:val="24"/>
        </w:rPr>
        <w:t>, tj. 995,17 TWh), a najmniejsze w Estonii (0,44 mld m</w:t>
      </w:r>
      <w:r w:rsidRPr="00F522D0">
        <w:rPr>
          <w:rFonts w:ascii="Lato" w:eastAsia="Malgun Gothic" w:hAnsi="Lato"/>
          <w:szCs w:val="24"/>
          <w:vertAlign w:val="superscript"/>
        </w:rPr>
        <w:t>3</w:t>
      </w:r>
      <w:r w:rsidRPr="00F522D0">
        <w:rPr>
          <w:rFonts w:ascii="Lato" w:eastAsia="Malgun Gothic" w:hAnsi="Lato"/>
          <w:szCs w:val="24"/>
        </w:rPr>
        <w:t>, tj. 4,87 TWh).</w:t>
      </w:r>
    </w:p>
    <w:p w14:paraId="57719428" w14:textId="23A1A9C6" w:rsidR="00E53BC5" w:rsidRPr="00F522D0" w:rsidRDefault="00E53BC5" w:rsidP="000A7C68">
      <w:pPr>
        <w:spacing w:after="60" w:line="276" w:lineRule="auto"/>
        <w:ind w:firstLine="567"/>
        <w:rPr>
          <w:rFonts w:ascii="Lato" w:eastAsia="Malgun Gothic" w:hAnsi="Lato"/>
          <w:szCs w:val="24"/>
        </w:rPr>
      </w:pPr>
      <w:r w:rsidRPr="00F522D0">
        <w:rPr>
          <w:rFonts w:ascii="Lato" w:eastAsia="Malgun Gothic" w:hAnsi="Lato"/>
          <w:szCs w:val="24"/>
        </w:rPr>
        <w:t>Łączne gazociągowe zdolności wszystkich</w:t>
      </w:r>
      <w:r w:rsidR="00B82FB0">
        <w:rPr>
          <w:rFonts w:ascii="Lato" w:eastAsia="Malgun Gothic" w:hAnsi="Lato"/>
          <w:szCs w:val="24"/>
        </w:rPr>
        <w:t xml:space="preserve"> zewnętrznych</w:t>
      </w:r>
      <w:r w:rsidRPr="00F522D0">
        <w:rPr>
          <w:rFonts w:ascii="Lato" w:eastAsia="Malgun Gothic" w:hAnsi="Lato"/>
          <w:szCs w:val="24"/>
        </w:rPr>
        <w:t xml:space="preserve"> punktów wejścia do systemów gazowych </w:t>
      </w:r>
      <w:r w:rsidR="00B82FB0">
        <w:rPr>
          <w:rFonts w:ascii="Lato" w:eastAsia="Malgun Gothic" w:hAnsi="Lato"/>
          <w:szCs w:val="24"/>
        </w:rPr>
        <w:t xml:space="preserve">państw członkowskich należących do </w:t>
      </w:r>
      <w:r w:rsidRPr="00F522D0">
        <w:rPr>
          <w:rFonts w:ascii="Lato" w:eastAsia="Malgun Gothic" w:hAnsi="Lato"/>
          <w:szCs w:val="24"/>
        </w:rPr>
        <w:t xml:space="preserve">grupy </w:t>
      </w:r>
      <w:r w:rsidR="00B82FB0">
        <w:rPr>
          <w:rFonts w:ascii="Lato" w:eastAsia="Malgun Gothic" w:hAnsi="Lato"/>
          <w:szCs w:val="24"/>
        </w:rPr>
        <w:t xml:space="preserve">ryzyka </w:t>
      </w:r>
      <w:r w:rsidRPr="00F522D0">
        <w:rPr>
          <w:rFonts w:ascii="Lato" w:eastAsia="Malgun Gothic" w:hAnsi="Lato"/>
          <w:szCs w:val="24"/>
        </w:rPr>
        <w:t>wynoszą 907,9 mln m</w:t>
      </w:r>
      <w:r w:rsidRPr="00F522D0">
        <w:rPr>
          <w:rFonts w:ascii="Lato" w:eastAsia="Malgun Gothic" w:hAnsi="Lato"/>
          <w:szCs w:val="24"/>
          <w:vertAlign w:val="superscript"/>
        </w:rPr>
        <w:t>3</w:t>
      </w:r>
      <w:r w:rsidRPr="00F522D0">
        <w:rPr>
          <w:rFonts w:ascii="Lato" w:eastAsia="Malgun Gothic" w:hAnsi="Lato"/>
          <w:szCs w:val="24"/>
        </w:rPr>
        <w:t>/dobę (9 959,9 GWh/dobę), w tym największego, zlokalizowanego na granicy Słowacji i Ukrainy: Uzhgorod-Velke Kapusany – 174,44 mln m</w:t>
      </w:r>
      <w:r w:rsidRPr="00F522D0">
        <w:rPr>
          <w:rFonts w:ascii="Lato" w:eastAsia="Malgun Gothic" w:hAnsi="Lato"/>
          <w:szCs w:val="24"/>
          <w:vertAlign w:val="superscript"/>
        </w:rPr>
        <w:t>3</w:t>
      </w:r>
      <w:r w:rsidRPr="00F522D0">
        <w:rPr>
          <w:rFonts w:ascii="Lato" w:eastAsia="Malgun Gothic" w:hAnsi="Lato"/>
          <w:szCs w:val="24"/>
        </w:rPr>
        <w:t>/dobę (1 913,6 GWh/d</w:t>
      </w:r>
      <w:r w:rsidR="00EB2027">
        <w:rPr>
          <w:rFonts w:ascii="Lato" w:eastAsia="Malgun Gothic" w:hAnsi="Lato"/>
          <w:szCs w:val="24"/>
        </w:rPr>
        <w:t>obę</w:t>
      </w:r>
      <w:r w:rsidRPr="00F522D0">
        <w:rPr>
          <w:rFonts w:ascii="Lato" w:eastAsia="Malgun Gothic" w:hAnsi="Lato"/>
          <w:szCs w:val="24"/>
        </w:rPr>
        <w:t>). Łączne zdolności wszystkich punktów wejścia do systemów gazowych grupy z wyłączeniem punktów wejścia z Rosji i Białorusi wynoszą 650,5 mln m</w:t>
      </w:r>
      <w:r w:rsidRPr="00F522D0">
        <w:rPr>
          <w:rFonts w:ascii="Lato" w:eastAsia="Malgun Gothic" w:hAnsi="Lato"/>
          <w:szCs w:val="24"/>
          <w:vertAlign w:val="superscript"/>
        </w:rPr>
        <w:t>3</w:t>
      </w:r>
      <w:r w:rsidRPr="00F522D0">
        <w:rPr>
          <w:rFonts w:ascii="Lato" w:eastAsia="Malgun Gothic" w:hAnsi="Lato"/>
          <w:szCs w:val="24"/>
        </w:rPr>
        <w:t>/dobę (7 136 GWh/d</w:t>
      </w:r>
      <w:r w:rsidR="00EB2027">
        <w:rPr>
          <w:rFonts w:ascii="Lato" w:eastAsia="Malgun Gothic" w:hAnsi="Lato"/>
          <w:szCs w:val="24"/>
        </w:rPr>
        <w:t>obę</w:t>
      </w:r>
      <w:r w:rsidRPr="00F522D0">
        <w:rPr>
          <w:rFonts w:ascii="Lato" w:eastAsia="Malgun Gothic" w:hAnsi="Lato"/>
          <w:szCs w:val="24"/>
        </w:rPr>
        <w:t>).</w:t>
      </w:r>
    </w:p>
    <w:p w14:paraId="348556F6" w14:textId="36A9546A" w:rsidR="005577BE" w:rsidRDefault="00E53BC5" w:rsidP="000A7C68">
      <w:pPr>
        <w:spacing w:after="60" w:line="276" w:lineRule="auto"/>
        <w:ind w:firstLine="567"/>
        <w:rPr>
          <w:rFonts w:ascii="Lato" w:eastAsia="Malgun Gothic" w:hAnsi="Lato"/>
          <w:szCs w:val="24"/>
        </w:rPr>
      </w:pPr>
      <w:r w:rsidRPr="00F522D0">
        <w:rPr>
          <w:rFonts w:ascii="Lato" w:eastAsia="Malgun Gothic" w:hAnsi="Lato"/>
          <w:szCs w:val="24"/>
        </w:rPr>
        <w:t>Terminale LNG w białoruskiej grupie ryzyka funkcjonują w Belgii, Niemczech, Litwie, Holandii i w Polsce.</w:t>
      </w:r>
      <w:r w:rsidR="00A41E5A">
        <w:rPr>
          <w:rFonts w:ascii="Lato" w:eastAsia="Malgun Gothic" w:hAnsi="Lato"/>
          <w:szCs w:val="24"/>
        </w:rPr>
        <w:t xml:space="preserve"> </w:t>
      </w:r>
      <w:r w:rsidRPr="00F522D0">
        <w:rPr>
          <w:rFonts w:ascii="Lato" w:eastAsia="Malgun Gothic" w:hAnsi="Lato"/>
          <w:szCs w:val="24"/>
        </w:rPr>
        <w:t>Finlandia oraz Estonia</w:t>
      </w:r>
      <w:r w:rsidR="00A41E5A">
        <w:rPr>
          <w:rFonts w:ascii="Lato" w:eastAsia="Malgun Gothic" w:hAnsi="Lato"/>
          <w:szCs w:val="24"/>
        </w:rPr>
        <w:t xml:space="preserve"> </w:t>
      </w:r>
      <w:r w:rsidR="00A41E5A" w:rsidRPr="00F522D0">
        <w:rPr>
          <w:rFonts w:ascii="Lato" w:eastAsia="Malgun Gothic" w:hAnsi="Lato"/>
          <w:szCs w:val="24"/>
        </w:rPr>
        <w:t>współdzielą</w:t>
      </w:r>
      <w:r w:rsidRPr="00F522D0">
        <w:rPr>
          <w:rFonts w:ascii="Lato" w:eastAsia="Malgun Gothic" w:hAnsi="Lato"/>
          <w:szCs w:val="24"/>
        </w:rPr>
        <w:t xml:space="preserve"> </w:t>
      </w:r>
      <w:r w:rsidR="00A41E5A">
        <w:rPr>
          <w:rFonts w:ascii="Lato" w:eastAsia="Malgun Gothic" w:hAnsi="Lato"/>
          <w:szCs w:val="24"/>
        </w:rPr>
        <w:t>t</w:t>
      </w:r>
      <w:r w:rsidR="00A41E5A" w:rsidRPr="00F522D0">
        <w:rPr>
          <w:rFonts w:ascii="Lato" w:eastAsia="Malgun Gothic" w:hAnsi="Lato"/>
          <w:szCs w:val="24"/>
        </w:rPr>
        <w:t>erminal FSRU LNG</w:t>
      </w:r>
      <w:r w:rsidR="00D12057">
        <w:rPr>
          <w:rFonts w:ascii="Lato" w:eastAsia="Malgun Gothic" w:hAnsi="Lato"/>
          <w:szCs w:val="24"/>
        </w:rPr>
        <w:t xml:space="preserve">, który </w:t>
      </w:r>
      <w:r w:rsidRPr="00F522D0">
        <w:rPr>
          <w:rFonts w:ascii="Lato" w:eastAsia="Malgun Gothic" w:hAnsi="Lato"/>
          <w:szCs w:val="24"/>
        </w:rPr>
        <w:t xml:space="preserve">w sezonie zimowym </w:t>
      </w:r>
      <w:r w:rsidR="00D12057" w:rsidRPr="00F522D0">
        <w:rPr>
          <w:rFonts w:ascii="Lato" w:eastAsia="Malgun Gothic" w:hAnsi="Lato"/>
          <w:szCs w:val="24"/>
        </w:rPr>
        <w:t xml:space="preserve">jest </w:t>
      </w:r>
      <w:r w:rsidRPr="00F522D0">
        <w:rPr>
          <w:rFonts w:ascii="Lato" w:eastAsia="Malgun Gothic" w:hAnsi="Lato"/>
          <w:szCs w:val="24"/>
        </w:rPr>
        <w:t xml:space="preserve">wykorzystywany do pokrycia zapotrzebowania na gaz ziemny w Finlandii, natomiast w sezonie letnim </w:t>
      </w:r>
      <w:r w:rsidR="00D12057" w:rsidRPr="00F522D0">
        <w:rPr>
          <w:rFonts w:ascii="Lato" w:eastAsia="Malgun Gothic" w:hAnsi="Lato"/>
          <w:szCs w:val="24"/>
        </w:rPr>
        <w:t xml:space="preserve">jest </w:t>
      </w:r>
      <w:r w:rsidRPr="00F522D0">
        <w:rPr>
          <w:rFonts w:ascii="Lato" w:eastAsia="Malgun Gothic" w:hAnsi="Lato"/>
          <w:szCs w:val="24"/>
        </w:rPr>
        <w:t xml:space="preserve">używany do wypełnienia </w:t>
      </w:r>
      <w:r w:rsidR="0022459F" w:rsidRPr="00F522D0">
        <w:rPr>
          <w:rFonts w:ascii="Lato" w:eastAsia="Malgun Gothic" w:hAnsi="Lato"/>
          <w:szCs w:val="24"/>
        </w:rPr>
        <w:t>magazyn</w:t>
      </w:r>
      <w:r w:rsidR="0022459F">
        <w:rPr>
          <w:rFonts w:ascii="Lato" w:eastAsia="Malgun Gothic" w:hAnsi="Lato"/>
          <w:szCs w:val="24"/>
        </w:rPr>
        <w:t>u</w:t>
      </w:r>
      <w:r w:rsidR="0022459F" w:rsidRPr="00F522D0">
        <w:rPr>
          <w:rFonts w:ascii="Lato" w:eastAsia="Malgun Gothic" w:hAnsi="Lato"/>
          <w:szCs w:val="24"/>
        </w:rPr>
        <w:t xml:space="preserve"> </w:t>
      </w:r>
      <w:r w:rsidRPr="00F522D0">
        <w:rPr>
          <w:rFonts w:ascii="Lato" w:eastAsia="Malgun Gothic" w:hAnsi="Lato"/>
          <w:szCs w:val="24"/>
        </w:rPr>
        <w:t>gazu ziemnego In</w:t>
      </w:r>
      <w:r w:rsidRPr="00F522D0">
        <w:rPr>
          <w:rFonts w:ascii="Calibri" w:eastAsia="Malgun Gothic" w:hAnsi="Calibri" w:cs="Calibri"/>
          <w:szCs w:val="24"/>
        </w:rPr>
        <w:t>č</w:t>
      </w:r>
      <w:r w:rsidRPr="00F522D0">
        <w:rPr>
          <w:rFonts w:ascii="Lato" w:eastAsia="Malgun Gothic" w:hAnsi="Lato"/>
          <w:szCs w:val="24"/>
        </w:rPr>
        <w:t xml:space="preserve">ukalns </w:t>
      </w:r>
      <w:r w:rsidR="004A3020">
        <w:rPr>
          <w:rFonts w:ascii="Lato" w:eastAsia="Malgun Gothic" w:hAnsi="Lato"/>
          <w:szCs w:val="24"/>
        </w:rPr>
        <w:t>na Łotwie</w:t>
      </w:r>
      <w:r w:rsidRPr="00F522D0">
        <w:rPr>
          <w:rFonts w:ascii="Lato" w:eastAsia="Malgun Gothic" w:hAnsi="Lato"/>
          <w:szCs w:val="24"/>
        </w:rPr>
        <w:t>. Całkowita zdolność regazyfikacyjna wszystkich terminali w sezonie 2021/2022 wyniosła 146,0 mln m</w:t>
      </w:r>
      <w:r w:rsidRPr="00F522D0">
        <w:rPr>
          <w:rFonts w:ascii="Lato" w:eastAsia="Malgun Gothic" w:hAnsi="Lato"/>
          <w:szCs w:val="24"/>
          <w:vertAlign w:val="superscript"/>
        </w:rPr>
        <w:t>3</w:t>
      </w:r>
      <w:r w:rsidRPr="00F522D0">
        <w:rPr>
          <w:rFonts w:ascii="Lato" w:eastAsia="Malgun Gothic" w:hAnsi="Lato"/>
          <w:szCs w:val="24"/>
        </w:rPr>
        <w:t>/dobę (1 601,9 GWh/dobę), a w skali roku – 53,3 mld m</w:t>
      </w:r>
      <w:r w:rsidRPr="00F522D0">
        <w:rPr>
          <w:rFonts w:ascii="Lato" w:eastAsia="Malgun Gothic" w:hAnsi="Lato"/>
          <w:szCs w:val="24"/>
          <w:vertAlign w:val="superscript"/>
        </w:rPr>
        <w:t>3</w:t>
      </w:r>
      <w:r w:rsidRPr="00F522D0">
        <w:rPr>
          <w:rFonts w:ascii="Lato" w:eastAsia="Malgun Gothic" w:hAnsi="Lato"/>
          <w:szCs w:val="24"/>
        </w:rPr>
        <w:t xml:space="preserve"> (584,7 TWh). W 2023 r. funkcjonowanie rozpoczął również terminal w Wilhelmshaven w Niemczech, co wraz z planowanym terminalem Skulte w Łotwie powinno zwiększyć zdolność regazyfikacyjną terminali LNG w białoruskiej grupie ryzyka do 195,1 mln m</w:t>
      </w:r>
      <w:r w:rsidRPr="00F522D0">
        <w:rPr>
          <w:rFonts w:ascii="Lato" w:eastAsia="Malgun Gothic" w:hAnsi="Lato"/>
          <w:szCs w:val="24"/>
          <w:vertAlign w:val="superscript"/>
        </w:rPr>
        <w:t>3</w:t>
      </w:r>
      <w:r w:rsidRPr="00F522D0">
        <w:rPr>
          <w:rFonts w:ascii="Lato" w:eastAsia="Malgun Gothic" w:hAnsi="Lato"/>
          <w:szCs w:val="24"/>
        </w:rPr>
        <w:t>/dobę (2 140,9 TWh), a w skali roku 71,2 mld m</w:t>
      </w:r>
      <w:r w:rsidRPr="00F522D0">
        <w:rPr>
          <w:rFonts w:ascii="Lato" w:eastAsia="Malgun Gothic" w:hAnsi="Lato"/>
          <w:szCs w:val="24"/>
          <w:vertAlign w:val="superscript"/>
        </w:rPr>
        <w:t>3</w:t>
      </w:r>
      <w:r w:rsidRPr="00F522D0">
        <w:rPr>
          <w:rFonts w:ascii="Lato" w:eastAsia="Malgun Gothic" w:hAnsi="Lato"/>
          <w:szCs w:val="24"/>
        </w:rPr>
        <w:t xml:space="preserve"> (781,4 TWh). Poziom rocznego wykorzystania zdolności regazyfikacyjnych terminali w poszczególnych państwach członkowskich wynosił między 68,2% a 91,7%, natomiast najwyższe dzienne wykorzystanie zdolności regazyfikacynych wynosiło między 97% a 120,4%.</w:t>
      </w:r>
    </w:p>
    <w:p w14:paraId="38C091B9" w14:textId="77777777" w:rsidR="000A7C68" w:rsidRPr="000A7C68" w:rsidRDefault="000A7C68" w:rsidP="000A7C68">
      <w:pPr>
        <w:spacing w:after="60" w:line="276" w:lineRule="auto"/>
        <w:ind w:firstLine="567"/>
        <w:rPr>
          <w:rFonts w:ascii="Lato" w:eastAsia="Malgun Gothic" w:hAnsi="Lato"/>
          <w:szCs w:val="24"/>
        </w:rPr>
      </w:pPr>
    </w:p>
    <w:p w14:paraId="6D98CD0D" w14:textId="77777777" w:rsidR="0067393E" w:rsidRDefault="0067393E" w:rsidP="00983C18">
      <w:pPr>
        <w:spacing w:line="276" w:lineRule="auto"/>
        <w:rPr>
          <w:rFonts w:ascii="Lato" w:eastAsia="Malgun Gothic" w:hAnsi="Lato"/>
          <w:b/>
          <w:sz w:val="22"/>
          <w:szCs w:val="24"/>
        </w:rPr>
      </w:pPr>
    </w:p>
    <w:p w14:paraId="5DAFC0F5" w14:textId="1EC102E5" w:rsidR="00E53BC5" w:rsidRPr="00C758B1" w:rsidRDefault="00E53BC5" w:rsidP="00983C18">
      <w:pPr>
        <w:spacing w:line="276" w:lineRule="auto"/>
        <w:rPr>
          <w:rFonts w:ascii="Lato" w:hAnsi="Lato"/>
          <w:sz w:val="28"/>
          <w:szCs w:val="24"/>
        </w:rPr>
      </w:pPr>
      <w:r w:rsidRPr="00C758B1">
        <w:rPr>
          <w:rFonts w:ascii="Lato" w:eastAsia="Malgun Gothic" w:hAnsi="Lato"/>
          <w:b/>
          <w:sz w:val="22"/>
          <w:szCs w:val="24"/>
        </w:rPr>
        <w:t xml:space="preserve">Tabela </w:t>
      </w:r>
      <w:r w:rsidRPr="00C758B1">
        <w:rPr>
          <w:rFonts w:ascii="Lato" w:eastAsia="Malgun Gothic" w:hAnsi="Lato"/>
          <w:b/>
          <w:sz w:val="22"/>
          <w:szCs w:val="24"/>
        </w:rPr>
        <w:fldChar w:fldCharType="begin"/>
      </w:r>
      <w:r w:rsidRPr="00C758B1">
        <w:rPr>
          <w:rFonts w:ascii="Lato" w:eastAsia="Malgun Gothic" w:hAnsi="Lato"/>
          <w:b/>
          <w:sz w:val="22"/>
          <w:szCs w:val="24"/>
        </w:rPr>
        <w:instrText xml:space="preserve"> SEQ Tabela \* ARABIC </w:instrText>
      </w:r>
      <w:r w:rsidRPr="00C758B1">
        <w:rPr>
          <w:rFonts w:ascii="Lato" w:eastAsia="Malgun Gothic" w:hAnsi="Lato"/>
          <w:b/>
          <w:sz w:val="22"/>
          <w:szCs w:val="24"/>
        </w:rPr>
        <w:fldChar w:fldCharType="separate"/>
      </w:r>
      <w:r w:rsidR="00D520CA">
        <w:rPr>
          <w:rFonts w:ascii="Lato" w:eastAsia="Malgun Gothic" w:hAnsi="Lato"/>
          <w:b/>
          <w:noProof/>
          <w:sz w:val="22"/>
          <w:szCs w:val="24"/>
        </w:rPr>
        <w:t>1</w:t>
      </w:r>
      <w:r w:rsidRPr="00C758B1">
        <w:rPr>
          <w:rFonts w:ascii="Lato" w:eastAsia="Malgun Gothic" w:hAnsi="Lato"/>
          <w:b/>
          <w:sz w:val="22"/>
          <w:szCs w:val="24"/>
        </w:rPr>
        <w:fldChar w:fldCharType="end"/>
      </w:r>
      <w:r w:rsidRPr="00C758B1">
        <w:rPr>
          <w:rFonts w:ascii="Lato" w:eastAsia="Malgun Gothic" w:hAnsi="Lato"/>
          <w:b/>
          <w:sz w:val="22"/>
          <w:szCs w:val="24"/>
        </w:rPr>
        <w:t>. Zdolno</w:t>
      </w:r>
      <w:r w:rsidRPr="00C758B1">
        <w:rPr>
          <w:rFonts w:ascii="Lato" w:eastAsia="Malgun Gothic" w:hAnsi="Lato" w:cs="Calibri"/>
          <w:b/>
          <w:sz w:val="22"/>
          <w:szCs w:val="24"/>
        </w:rPr>
        <w:t>ś</w:t>
      </w:r>
      <w:r w:rsidRPr="00C758B1">
        <w:rPr>
          <w:rFonts w:ascii="Lato" w:eastAsia="Malgun Gothic" w:hAnsi="Lato"/>
          <w:b/>
          <w:sz w:val="22"/>
          <w:szCs w:val="24"/>
        </w:rPr>
        <w:t>ci techniczne terminali LNG w poszczeg</w:t>
      </w:r>
      <w:r w:rsidRPr="00C758B1">
        <w:rPr>
          <w:rFonts w:ascii="Lato" w:eastAsia="Malgun Gothic" w:hAnsi="Lato" w:cs="Malgun Gothic"/>
          <w:b/>
          <w:sz w:val="22"/>
          <w:szCs w:val="24"/>
        </w:rPr>
        <w:t>ó</w:t>
      </w:r>
      <w:r w:rsidRPr="00C758B1">
        <w:rPr>
          <w:rFonts w:ascii="Lato" w:eastAsia="Malgun Gothic" w:hAnsi="Lato"/>
          <w:b/>
          <w:sz w:val="22"/>
          <w:szCs w:val="24"/>
        </w:rPr>
        <w:t>lnych pa</w:t>
      </w:r>
      <w:r w:rsidRPr="00C758B1">
        <w:rPr>
          <w:rFonts w:ascii="Lato" w:eastAsia="Malgun Gothic" w:hAnsi="Lato" w:cs="Calibri"/>
          <w:b/>
          <w:sz w:val="22"/>
          <w:szCs w:val="24"/>
        </w:rPr>
        <w:t>ń</w:t>
      </w:r>
      <w:r w:rsidRPr="00C758B1">
        <w:rPr>
          <w:rFonts w:ascii="Lato" w:eastAsia="Malgun Gothic" w:hAnsi="Lato"/>
          <w:b/>
          <w:sz w:val="22"/>
          <w:szCs w:val="24"/>
        </w:rPr>
        <w:t>stwach cz</w:t>
      </w:r>
      <w:r w:rsidRPr="00C758B1">
        <w:rPr>
          <w:rFonts w:ascii="Lato" w:eastAsia="Malgun Gothic" w:hAnsi="Lato" w:cs="Malgun Gothic"/>
          <w:b/>
          <w:sz w:val="22"/>
          <w:szCs w:val="24"/>
        </w:rPr>
        <w:t>ł</w:t>
      </w:r>
      <w:r w:rsidRPr="00C758B1">
        <w:rPr>
          <w:rFonts w:ascii="Lato" w:eastAsia="Malgun Gothic" w:hAnsi="Lato"/>
          <w:b/>
          <w:sz w:val="22"/>
          <w:szCs w:val="24"/>
        </w:rPr>
        <w:t>onkowskich</w:t>
      </w:r>
    </w:p>
    <w:tbl>
      <w:tblPr>
        <w:tblStyle w:val="Zwykatabela11"/>
        <w:tblW w:w="9072" w:type="dxa"/>
        <w:tblLook w:val="04A0" w:firstRow="1" w:lastRow="0" w:firstColumn="1" w:lastColumn="0" w:noHBand="0" w:noVBand="1"/>
      </w:tblPr>
      <w:tblGrid>
        <w:gridCol w:w="2410"/>
        <w:gridCol w:w="4678"/>
        <w:gridCol w:w="1984"/>
      </w:tblGrid>
      <w:tr w:rsidR="00E53BC5" w:rsidRPr="00C758B1" w14:paraId="4F076ED8" w14:textId="77777777" w:rsidTr="00CE72D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single" w:sz="2" w:space="0" w:color="BFBFBF" w:themeColor="background1" w:themeShade="BF"/>
              <w:right w:val="nil"/>
            </w:tcBorders>
            <w:noWrap/>
            <w:hideMark/>
          </w:tcPr>
          <w:p w14:paraId="3A8A6DFE" w14:textId="77777777" w:rsidR="00E53BC5" w:rsidRPr="00C758B1" w:rsidRDefault="00E53BC5" w:rsidP="00983C18">
            <w:pPr>
              <w:spacing w:line="276" w:lineRule="auto"/>
              <w:rPr>
                <w:rFonts w:ascii="Lato" w:hAnsi="Lato"/>
                <w:sz w:val="18"/>
                <w:szCs w:val="18"/>
              </w:rPr>
            </w:pPr>
          </w:p>
        </w:tc>
        <w:tc>
          <w:tcPr>
            <w:tcW w:w="4678" w:type="dxa"/>
            <w:tcBorders>
              <w:top w:val="nil"/>
              <w:left w:val="nil"/>
              <w:bottom w:val="single" w:sz="2" w:space="0" w:color="BFBFBF" w:themeColor="background1" w:themeShade="BF"/>
              <w:right w:val="single" w:sz="2" w:space="0" w:color="BFBFBF" w:themeColor="background1" w:themeShade="BF"/>
            </w:tcBorders>
            <w:noWrap/>
            <w:hideMark/>
          </w:tcPr>
          <w:p w14:paraId="6BAA6DD5" w14:textId="77777777" w:rsidR="00E53BC5" w:rsidRPr="00C758B1" w:rsidRDefault="00E53BC5" w:rsidP="00983C18">
            <w:pPr>
              <w:spacing w:line="276" w:lineRule="auto"/>
              <w:jc w:val="center"/>
              <w:cnfStyle w:val="100000000000" w:firstRow="1" w:lastRow="0" w:firstColumn="0" w:lastColumn="0" w:oddVBand="0" w:evenVBand="0" w:oddHBand="0" w:evenHBand="0" w:firstRowFirstColumn="0" w:firstRowLastColumn="0" w:lastRowFirstColumn="0" w:lastRowLastColumn="0"/>
              <w:rPr>
                <w:rFonts w:ascii="Lato" w:hAnsi="Lato"/>
                <w:sz w:val="18"/>
                <w:szCs w:val="18"/>
              </w:rPr>
            </w:pPr>
          </w:p>
        </w:tc>
        <w:tc>
          <w:tcPr>
            <w:tcW w:w="198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hideMark/>
          </w:tcPr>
          <w:p w14:paraId="044465F1" w14:textId="0BC4846E" w:rsidR="00E53BC5" w:rsidRPr="00D12057" w:rsidRDefault="00E53BC5" w:rsidP="00983C18">
            <w:pPr>
              <w:spacing w:line="276" w:lineRule="auto"/>
              <w:jc w:val="center"/>
              <w:cnfStyle w:val="100000000000" w:firstRow="1" w:lastRow="0" w:firstColumn="0" w:lastColumn="0" w:oddVBand="0" w:evenVBand="0" w:oddHBand="0"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2022</w:t>
            </w:r>
            <w:r w:rsidR="00F522D0" w:rsidRPr="00D12057">
              <w:rPr>
                <w:rFonts w:ascii="Lato" w:hAnsi="Lato" w:cs="Calibri"/>
                <w:color w:val="000000"/>
                <w:sz w:val="20"/>
                <w:szCs w:val="20"/>
              </w:rPr>
              <w:t xml:space="preserve"> r.</w:t>
            </w:r>
          </w:p>
        </w:tc>
      </w:tr>
      <w:tr w:rsidR="00E53BC5" w:rsidRPr="00C758B1" w14:paraId="3A91FB54" w14:textId="77777777" w:rsidTr="00CE72DC">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2410" w:type="dxa"/>
            <w:vMerge w:val="restart"/>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hideMark/>
          </w:tcPr>
          <w:p w14:paraId="6B343952" w14:textId="77777777" w:rsidR="00E53BC5" w:rsidRPr="00D12057" w:rsidRDefault="00E53BC5" w:rsidP="00983C18">
            <w:pPr>
              <w:spacing w:line="276" w:lineRule="auto"/>
              <w:jc w:val="center"/>
              <w:rPr>
                <w:rFonts w:ascii="Lato" w:hAnsi="Lato" w:cs="Calibri"/>
                <w:color w:val="000000"/>
                <w:sz w:val="20"/>
                <w:szCs w:val="20"/>
              </w:rPr>
            </w:pPr>
            <w:r w:rsidRPr="00D12057">
              <w:rPr>
                <w:rFonts w:ascii="Lato" w:hAnsi="Lato" w:cs="Calibri"/>
                <w:color w:val="000000"/>
                <w:sz w:val="20"/>
                <w:szCs w:val="20"/>
              </w:rPr>
              <w:t>Zeebrugge (BE)</w:t>
            </w:r>
          </w:p>
        </w:tc>
        <w:tc>
          <w:tcPr>
            <w:tcW w:w="467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hideMark/>
          </w:tcPr>
          <w:p w14:paraId="4D87EB5C" w14:textId="77777777" w:rsidR="00E53BC5" w:rsidRPr="00D12057" w:rsidRDefault="00E53BC5" w:rsidP="00983C18">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 xml:space="preserve">Techniczna zdolność regazyfikacyjna terminalu LNG </w:t>
            </w:r>
          </w:p>
          <w:p w14:paraId="725D09E7" w14:textId="38C0AF54" w:rsidR="00E53BC5" w:rsidRPr="00D12057" w:rsidRDefault="00E53BC5" w:rsidP="00983C18">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lastRenderedPageBreak/>
              <w:t xml:space="preserve"> (GWh/d)</w:t>
            </w:r>
          </w:p>
        </w:tc>
        <w:tc>
          <w:tcPr>
            <w:tcW w:w="1984" w:type="dxa"/>
            <w:tcBorders>
              <w:top w:val="single" w:sz="2" w:space="0" w:color="BFBFBF" w:themeColor="background1" w:themeShade="BF"/>
              <w:left w:val="single" w:sz="2" w:space="0" w:color="BFBFBF" w:themeColor="background1" w:themeShade="BF"/>
            </w:tcBorders>
            <w:noWrap/>
            <w:hideMark/>
          </w:tcPr>
          <w:p w14:paraId="7651C8D1" w14:textId="77777777" w:rsidR="00E53BC5" w:rsidRPr="00D12057" w:rsidRDefault="00E53BC5" w:rsidP="00983C18">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lastRenderedPageBreak/>
              <w:t>540,9</w:t>
            </w:r>
          </w:p>
        </w:tc>
      </w:tr>
      <w:tr w:rsidR="00E53BC5" w:rsidRPr="00C758B1" w14:paraId="071E90C0" w14:textId="77777777" w:rsidTr="00CE72DC">
        <w:trPr>
          <w:trHeight w:val="67"/>
        </w:trPr>
        <w:tc>
          <w:tcPr>
            <w:cnfStyle w:val="001000000000" w:firstRow="0" w:lastRow="0" w:firstColumn="1" w:lastColumn="0" w:oddVBand="0" w:evenVBand="0" w:oddHBand="0" w:evenHBand="0" w:firstRowFirstColumn="0" w:firstRowLastColumn="0" w:lastRowFirstColumn="0" w:lastRowLastColumn="0"/>
            <w:tcW w:w="2410" w:type="dxa"/>
            <w:vMerge/>
            <w:tcBorders>
              <w:top w:val="single" w:sz="2" w:space="0" w:color="BFBFBF" w:themeColor="background1" w:themeShade="BF"/>
            </w:tcBorders>
            <w:hideMark/>
          </w:tcPr>
          <w:p w14:paraId="0D6393AB" w14:textId="77777777" w:rsidR="00E53BC5" w:rsidRPr="00D12057" w:rsidRDefault="00E53BC5" w:rsidP="00983C18">
            <w:pPr>
              <w:spacing w:line="276" w:lineRule="auto"/>
              <w:rPr>
                <w:rFonts w:ascii="Lato" w:hAnsi="Lato" w:cs="Calibri"/>
                <w:color w:val="000000"/>
                <w:sz w:val="20"/>
                <w:szCs w:val="20"/>
              </w:rPr>
            </w:pPr>
          </w:p>
        </w:tc>
        <w:tc>
          <w:tcPr>
            <w:tcW w:w="4678" w:type="dxa"/>
            <w:tcBorders>
              <w:top w:val="single" w:sz="2" w:space="0" w:color="BFBFBF" w:themeColor="background1" w:themeShade="BF"/>
            </w:tcBorders>
            <w:noWrap/>
            <w:hideMark/>
          </w:tcPr>
          <w:p w14:paraId="4024CBE8" w14:textId="0D19173A" w:rsidR="00E53BC5" w:rsidRPr="00D12057" w:rsidRDefault="00E53BC5" w:rsidP="00983C18">
            <w:pPr>
              <w:spacing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Pojemność zdolności magazynowych LNG</w:t>
            </w:r>
            <w:r w:rsidR="00F522D0" w:rsidRPr="00D12057">
              <w:rPr>
                <w:rFonts w:ascii="Lato" w:hAnsi="Lato" w:cs="Calibri"/>
                <w:color w:val="000000"/>
                <w:sz w:val="20"/>
                <w:szCs w:val="20"/>
              </w:rPr>
              <w:t xml:space="preserve"> </w:t>
            </w:r>
            <w:r w:rsidRPr="00D12057">
              <w:rPr>
                <w:rFonts w:ascii="Lato" w:hAnsi="Lato" w:cs="Calibri"/>
                <w:color w:val="000000"/>
                <w:sz w:val="20"/>
                <w:szCs w:val="20"/>
              </w:rPr>
              <w:t>[TWh]</w:t>
            </w:r>
          </w:p>
        </w:tc>
        <w:tc>
          <w:tcPr>
            <w:tcW w:w="1984" w:type="dxa"/>
            <w:noWrap/>
            <w:hideMark/>
          </w:tcPr>
          <w:p w14:paraId="5EAF5361" w14:textId="77777777" w:rsidR="00E53BC5" w:rsidRPr="00D12057" w:rsidRDefault="00E53BC5" w:rsidP="00983C18">
            <w:pPr>
              <w:spacing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3,77</w:t>
            </w:r>
          </w:p>
        </w:tc>
      </w:tr>
      <w:tr w:rsidR="00E53BC5" w:rsidRPr="00C758B1" w14:paraId="343BF4DE" w14:textId="77777777" w:rsidTr="00CE72DC">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2410" w:type="dxa"/>
            <w:vMerge/>
            <w:hideMark/>
          </w:tcPr>
          <w:p w14:paraId="3AA3C76E" w14:textId="77777777" w:rsidR="00E53BC5" w:rsidRPr="00D12057" w:rsidRDefault="00E53BC5" w:rsidP="00983C18">
            <w:pPr>
              <w:spacing w:line="276" w:lineRule="auto"/>
              <w:rPr>
                <w:rFonts w:ascii="Lato" w:hAnsi="Lato" w:cs="Calibri"/>
                <w:color w:val="000000"/>
                <w:sz w:val="20"/>
                <w:szCs w:val="20"/>
              </w:rPr>
            </w:pPr>
          </w:p>
        </w:tc>
        <w:tc>
          <w:tcPr>
            <w:tcW w:w="4678" w:type="dxa"/>
            <w:noWrap/>
            <w:hideMark/>
          </w:tcPr>
          <w:p w14:paraId="38268AD9" w14:textId="77777777" w:rsidR="00E53BC5" w:rsidRPr="00D12057" w:rsidRDefault="00E53BC5" w:rsidP="00983C18">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Średni roczny stopień wykorzystania [%]</w:t>
            </w:r>
          </w:p>
        </w:tc>
        <w:tc>
          <w:tcPr>
            <w:tcW w:w="1984" w:type="dxa"/>
            <w:noWrap/>
            <w:hideMark/>
          </w:tcPr>
          <w:p w14:paraId="39A9700A" w14:textId="77777777" w:rsidR="00E53BC5" w:rsidRPr="00D12057" w:rsidRDefault="00E53BC5" w:rsidP="00983C18">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61%</w:t>
            </w:r>
          </w:p>
        </w:tc>
      </w:tr>
      <w:tr w:rsidR="00E53BC5" w:rsidRPr="00C758B1" w14:paraId="12061EC1" w14:textId="77777777" w:rsidTr="00CE72DC">
        <w:trPr>
          <w:trHeight w:val="67"/>
        </w:trPr>
        <w:tc>
          <w:tcPr>
            <w:cnfStyle w:val="001000000000" w:firstRow="0" w:lastRow="0" w:firstColumn="1" w:lastColumn="0" w:oddVBand="0" w:evenVBand="0" w:oddHBand="0" w:evenHBand="0" w:firstRowFirstColumn="0" w:firstRowLastColumn="0" w:lastRowFirstColumn="0" w:lastRowLastColumn="0"/>
            <w:tcW w:w="2410" w:type="dxa"/>
            <w:vMerge/>
            <w:hideMark/>
          </w:tcPr>
          <w:p w14:paraId="7B2DBC31" w14:textId="77777777" w:rsidR="00E53BC5" w:rsidRPr="00D12057" w:rsidRDefault="00E53BC5" w:rsidP="00983C18">
            <w:pPr>
              <w:spacing w:line="276" w:lineRule="auto"/>
              <w:rPr>
                <w:rFonts w:ascii="Lato" w:hAnsi="Lato" w:cs="Calibri"/>
                <w:color w:val="000000"/>
                <w:sz w:val="20"/>
                <w:szCs w:val="20"/>
              </w:rPr>
            </w:pPr>
          </w:p>
        </w:tc>
        <w:tc>
          <w:tcPr>
            <w:tcW w:w="4678" w:type="dxa"/>
            <w:noWrap/>
            <w:hideMark/>
          </w:tcPr>
          <w:p w14:paraId="249991F3" w14:textId="77777777" w:rsidR="00E53BC5" w:rsidRPr="00D12057" w:rsidRDefault="00E53BC5" w:rsidP="00983C18">
            <w:pPr>
              <w:spacing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Maksymalny poziom dziennego wykorzystania [%]</w:t>
            </w:r>
          </w:p>
        </w:tc>
        <w:tc>
          <w:tcPr>
            <w:tcW w:w="1984" w:type="dxa"/>
            <w:noWrap/>
            <w:hideMark/>
          </w:tcPr>
          <w:p w14:paraId="3280CB5B" w14:textId="77777777" w:rsidR="00E53BC5" w:rsidRPr="00D12057" w:rsidRDefault="00E53BC5" w:rsidP="00983C18">
            <w:pPr>
              <w:spacing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97%</w:t>
            </w:r>
          </w:p>
        </w:tc>
      </w:tr>
      <w:tr w:rsidR="00E53BC5" w:rsidRPr="00C758B1" w14:paraId="46DD7CEF" w14:textId="77777777" w:rsidTr="00CE72DC">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2410" w:type="dxa"/>
            <w:vMerge/>
            <w:hideMark/>
          </w:tcPr>
          <w:p w14:paraId="0FD68A8A" w14:textId="77777777" w:rsidR="00E53BC5" w:rsidRPr="00D12057" w:rsidRDefault="00E53BC5" w:rsidP="00983C18">
            <w:pPr>
              <w:spacing w:line="276" w:lineRule="auto"/>
              <w:rPr>
                <w:rFonts w:ascii="Lato" w:hAnsi="Lato" w:cs="Calibri"/>
                <w:color w:val="000000"/>
                <w:sz w:val="20"/>
                <w:szCs w:val="20"/>
              </w:rPr>
            </w:pPr>
          </w:p>
        </w:tc>
        <w:tc>
          <w:tcPr>
            <w:tcW w:w="4678" w:type="dxa"/>
            <w:noWrap/>
            <w:hideMark/>
          </w:tcPr>
          <w:p w14:paraId="348D7AFE" w14:textId="77777777" w:rsidR="00E53BC5" w:rsidRPr="00D12057" w:rsidRDefault="00E53BC5" w:rsidP="00983C18">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Maksymalny poziom tygodniowego wykorzystania [%]</w:t>
            </w:r>
          </w:p>
        </w:tc>
        <w:tc>
          <w:tcPr>
            <w:tcW w:w="1984" w:type="dxa"/>
            <w:noWrap/>
            <w:hideMark/>
          </w:tcPr>
          <w:p w14:paraId="32B43838" w14:textId="77777777" w:rsidR="00E53BC5" w:rsidRPr="00D12057" w:rsidRDefault="00E53BC5" w:rsidP="00983C18">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83%</w:t>
            </w:r>
          </w:p>
        </w:tc>
      </w:tr>
      <w:tr w:rsidR="00E53BC5" w:rsidRPr="00C758B1" w14:paraId="2E4D50B8" w14:textId="77777777" w:rsidTr="00CE72DC">
        <w:trPr>
          <w:trHeight w:val="67"/>
        </w:trPr>
        <w:tc>
          <w:tcPr>
            <w:cnfStyle w:val="001000000000" w:firstRow="0" w:lastRow="0" w:firstColumn="1" w:lastColumn="0" w:oddVBand="0" w:evenVBand="0" w:oddHBand="0" w:evenHBand="0" w:firstRowFirstColumn="0" w:firstRowLastColumn="0" w:lastRowFirstColumn="0" w:lastRowLastColumn="0"/>
            <w:tcW w:w="2410" w:type="dxa"/>
            <w:vMerge/>
            <w:hideMark/>
          </w:tcPr>
          <w:p w14:paraId="3A0EA654" w14:textId="77777777" w:rsidR="00E53BC5" w:rsidRPr="00D12057" w:rsidRDefault="00E53BC5" w:rsidP="00983C18">
            <w:pPr>
              <w:spacing w:line="276" w:lineRule="auto"/>
              <w:rPr>
                <w:rFonts w:ascii="Lato" w:hAnsi="Lato" w:cs="Calibri"/>
                <w:color w:val="000000"/>
                <w:sz w:val="20"/>
                <w:szCs w:val="20"/>
              </w:rPr>
            </w:pPr>
          </w:p>
        </w:tc>
        <w:tc>
          <w:tcPr>
            <w:tcW w:w="4678" w:type="dxa"/>
            <w:noWrap/>
            <w:hideMark/>
          </w:tcPr>
          <w:p w14:paraId="5F0FC59F" w14:textId="77777777" w:rsidR="00E53BC5" w:rsidRPr="00D12057" w:rsidRDefault="00E53BC5" w:rsidP="00983C18">
            <w:pPr>
              <w:spacing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Zasady dostępu</w:t>
            </w:r>
          </w:p>
        </w:tc>
        <w:tc>
          <w:tcPr>
            <w:tcW w:w="1984" w:type="dxa"/>
            <w:noWrap/>
            <w:hideMark/>
          </w:tcPr>
          <w:p w14:paraId="7B1D4E2F" w14:textId="77777777" w:rsidR="00E53BC5" w:rsidRPr="00D12057" w:rsidRDefault="00E53BC5" w:rsidP="00983C18">
            <w:pPr>
              <w:spacing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regulowane</w:t>
            </w:r>
          </w:p>
        </w:tc>
      </w:tr>
      <w:tr w:rsidR="00E53BC5" w:rsidRPr="00C758B1" w14:paraId="40AB1426" w14:textId="77777777" w:rsidTr="00CE72DC">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2410" w:type="dxa"/>
            <w:vMerge w:val="restart"/>
            <w:shd w:val="clear" w:color="auto" w:fill="auto"/>
            <w:hideMark/>
          </w:tcPr>
          <w:p w14:paraId="671E6F32" w14:textId="77777777" w:rsidR="00E53BC5" w:rsidRPr="00D12057" w:rsidRDefault="00E53BC5" w:rsidP="00983C18">
            <w:pPr>
              <w:spacing w:line="276" w:lineRule="auto"/>
              <w:jc w:val="center"/>
              <w:rPr>
                <w:rFonts w:ascii="Lato" w:hAnsi="Lato" w:cs="Calibri"/>
                <w:color w:val="000000"/>
                <w:sz w:val="20"/>
                <w:szCs w:val="20"/>
              </w:rPr>
            </w:pPr>
            <w:r w:rsidRPr="00D12057">
              <w:rPr>
                <w:rFonts w:ascii="Lato" w:hAnsi="Lato" w:cs="Calibri"/>
                <w:color w:val="000000"/>
                <w:sz w:val="20"/>
                <w:szCs w:val="20"/>
              </w:rPr>
              <w:t>Wilhelmshaven (DE)</w:t>
            </w:r>
          </w:p>
        </w:tc>
        <w:tc>
          <w:tcPr>
            <w:tcW w:w="4678" w:type="dxa"/>
            <w:noWrap/>
            <w:hideMark/>
          </w:tcPr>
          <w:p w14:paraId="159CAE87" w14:textId="77777777" w:rsidR="00E53BC5" w:rsidRPr="00D12057" w:rsidRDefault="00E53BC5" w:rsidP="00983C18">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 xml:space="preserve">Techniczna zdolność regazyfikacyjna terminalu LNG </w:t>
            </w:r>
          </w:p>
          <w:p w14:paraId="36E030F5" w14:textId="512F8F2C" w:rsidR="00E53BC5" w:rsidRPr="00D12057" w:rsidRDefault="00E53BC5" w:rsidP="00983C18">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(GWh/d)</w:t>
            </w:r>
          </w:p>
        </w:tc>
        <w:tc>
          <w:tcPr>
            <w:tcW w:w="1984" w:type="dxa"/>
            <w:noWrap/>
            <w:hideMark/>
          </w:tcPr>
          <w:p w14:paraId="51C2FE85" w14:textId="77777777" w:rsidR="00E53BC5" w:rsidRPr="00D12057" w:rsidRDefault="00E53BC5" w:rsidP="00983C18">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359,4</w:t>
            </w:r>
          </w:p>
        </w:tc>
      </w:tr>
      <w:tr w:rsidR="00E53BC5" w:rsidRPr="00C758B1" w14:paraId="69F322BE" w14:textId="77777777" w:rsidTr="00CE72DC">
        <w:trPr>
          <w:trHeight w:val="67"/>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hideMark/>
          </w:tcPr>
          <w:p w14:paraId="7E30DBDB" w14:textId="77777777" w:rsidR="00E53BC5" w:rsidRPr="00D12057" w:rsidRDefault="00E53BC5" w:rsidP="00983C18">
            <w:pPr>
              <w:spacing w:line="276" w:lineRule="auto"/>
              <w:rPr>
                <w:rFonts w:ascii="Lato" w:hAnsi="Lato" w:cs="Calibri"/>
                <w:color w:val="000000"/>
                <w:sz w:val="20"/>
                <w:szCs w:val="20"/>
              </w:rPr>
            </w:pPr>
          </w:p>
        </w:tc>
        <w:tc>
          <w:tcPr>
            <w:tcW w:w="4678" w:type="dxa"/>
            <w:noWrap/>
            <w:hideMark/>
          </w:tcPr>
          <w:p w14:paraId="336F4989" w14:textId="1775A3A3" w:rsidR="00E53BC5" w:rsidRPr="00D12057" w:rsidRDefault="00E53BC5" w:rsidP="00983C18">
            <w:pPr>
              <w:spacing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Pojemność zdolności magazynowych LNG</w:t>
            </w:r>
            <w:r w:rsidR="00F522D0" w:rsidRPr="00D12057">
              <w:rPr>
                <w:rFonts w:ascii="Lato" w:hAnsi="Lato" w:cs="Calibri"/>
                <w:color w:val="000000"/>
                <w:sz w:val="20"/>
                <w:szCs w:val="20"/>
              </w:rPr>
              <w:t xml:space="preserve"> </w:t>
            </w:r>
            <w:r w:rsidRPr="00D12057">
              <w:rPr>
                <w:rFonts w:ascii="Lato" w:hAnsi="Lato" w:cs="Calibri"/>
                <w:color w:val="000000"/>
                <w:sz w:val="20"/>
                <w:szCs w:val="20"/>
              </w:rPr>
              <w:t>[TWh]</w:t>
            </w:r>
          </w:p>
        </w:tc>
        <w:tc>
          <w:tcPr>
            <w:tcW w:w="1984" w:type="dxa"/>
            <w:noWrap/>
            <w:hideMark/>
          </w:tcPr>
          <w:p w14:paraId="4F64D2AD" w14:textId="77777777" w:rsidR="00E53BC5" w:rsidRPr="00D12057" w:rsidRDefault="00E53BC5" w:rsidP="00983C18">
            <w:pPr>
              <w:spacing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1,73</w:t>
            </w:r>
          </w:p>
        </w:tc>
      </w:tr>
      <w:tr w:rsidR="00E53BC5" w:rsidRPr="00C758B1" w14:paraId="16E67E51" w14:textId="77777777" w:rsidTr="00CE72DC">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hideMark/>
          </w:tcPr>
          <w:p w14:paraId="2F88C271" w14:textId="77777777" w:rsidR="00E53BC5" w:rsidRPr="00D12057" w:rsidRDefault="00E53BC5" w:rsidP="00983C18">
            <w:pPr>
              <w:spacing w:line="276" w:lineRule="auto"/>
              <w:rPr>
                <w:rFonts w:ascii="Lato" w:hAnsi="Lato" w:cs="Calibri"/>
                <w:color w:val="000000"/>
                <w:sz w:val="20"/>
                <w:szCs w:val="20"/>
              </w:rPr>
            </w:pPr>
          </w:p>
        </w:tc>
        <w:tc>
          <w:tcPr>
            <w:tcW w:w="4678" w:type="dxa"/>
            <w:noWrap/>
            <w:hideMark/>
          </w:tcPr>
          <w:p w14:paraId="2C9846B6" w14:textId="77777777" w:rsidR="00E53BC5" w:rsidRPr="00D12057" w:rsidRDefault="00E53BC5" w:rsidP="00983C18">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Średni roczny stopień wykorzystania [%]</w:t>
            </w:r>
          </w:p>
        </w:tc>
        <w:tc>
          <w:tcPr>
            <w:tcW w:w="1984" w:type="dxa"/>
            <w:noWrap/>
            <w:hideMark/>
          </w:tcPr>
          <w:p w14:paraId="68DD8FE7" w14:textId="77777777" w:rsidR="00E53BC5" w:rsidRPr="00D12057" w:rsidRDefault="00E53BC5" w:rsidP="00983C18">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p>
        </w:tc>
      </w:tr>
      <w:tr w:rsidR="00E53BC5" w:rsidRPr="00C758B1" w14:paraId="32A11864" w14:textId="77777777" w:rsidTr="00CE72DC">
        <w:trPr>
          <w:trHeight w:val="67"/>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hideMark/>
          </w:tcPr>
          <w:p w14:paraId="2388A465" w14:textId="77777777" w:rsidR="00E53BC5" w:rsidRPr="00D12057" w:rsidRDefault="00E53BC5" w:rsidP="00983C18">
            <w:pPr>
              <w:spacing w:line="276" w:lineRule="auto"/>
              <w:rPr>
                <w:rFonts w:ascii="Lato" w:hAnsi="Lato" w:cs="Calibri"/>
                <w:color w:val="000000"/>
                <w:sz w:val="20"/>
                <w:szCs w:val="20"/>
              </w:rPr>
            </w:pPr>
          </w:p>
        </w:tc>
        <w:tc>
          <w:tcPr>
            <w:tcW w:w="4678" w:type="dxa"/>
            <w:noWrap/>
            <w:hideMark/>
          </w:tcPr>
          <w:p w14:paraId="4C178EA8" w14:textId="77777777" w:rsidR="00E53BC5" w:rsidRPr="00D12057" w:rsidRDefault="00E53BC5" w:rsidP="00983C18">
            <w:pPr>
              <w:spacing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Maksymalny poziom dziennego wykorzystania [%]</w:t>
            </w:r>
          </w:p>
        </w:tc>
        <w:tc>
          <w:tcPr>
            <w:tcW w:w="1984" w:type="dxa"/>
            <w:noWrap/>
            <w:hideMark/>
          </w:tcPr>
          <w:p w14:paraId="3EC8A650" w14:textId="77777777" w:rsidR="00E53BC5" w:rsidRPr="00D12057" w:rsidRDefault="00E53BC5" w:rsidP="00983C18">
            <w:pPr>
              <w:spacing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p>
        </w:tc>
      </w:tr>
      <w:tr w:rsidR="00E53BC5" w:rsidRPr="00C758B1" w14:paraId="312FE1AB" w14:textId="77777777" w:rsidTr="00CE72DC">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hideMark/>
          </w:tcPr>
          <w:p w14:paraId="6931792F" w14:textId="77777777" w:rsidR="00E53BC5" w:rsidRPr="00D12057" w:rsidRDefault="00E53BC5" w:rsidP="00983C18">
            <w:pPr>
              <w:spacing w:line="276" w:lineRule="auto"/>
              <w:rPr>
                <w:rFonts w:ascii="Lato" w:hAnsi="Lato" w:cs="Calibri"/>
                <w:color w:val="000000"/>
                <w:sz w:val="20"/>
                <w:szCs w:val="20"/>
              </w:rPr>
            </w:pPr>
          </w:p>
        </w:tc>
        <w:tc>
          <w:tcPr>
            <w:tcW w:w="4678" w:type="dxa"/>
            <w:noWrap/>
            <w:hideMark/>
          </w:tcPr>
          <w:p w14:paraId="2A02FD81" w14:textId="77777777" w:rsidR="00E53BC5" w:rsidRPr="00D12057" w:rsidRDefault="00E53BC5" w:rsidP="00983C18">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Maksymalny poziom tygodniowego wykorzystania [%]</w:t>
            </w:r>
          </w:p>
        </w:tc>
        <w:tc>
          <w:tcPr>
            <w:tcW w:w="1984" w:type="dxa"/>
            <w:noWrap/>
            <w:hideMark/>
          </w:tcPr>
          <w:p w14:paraId="4FC41A40" w14:textId="77777777" w:rsidR="00E53BC5" w:rsidRPr="00D12057" w:rsidRDefault="00E53BC5" w:rsidP="00983C18">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p>
        </w:tc>
      </w:tr>
      <w:tr w:rsidR="00E53BC5" w:rsidRPr="00C758B1" w14:paraId="253AF978" w14:textId="77777777" w:rsidTr="00CE72DC">
        <w:trPr>
          <w:trHeight w:val="67"/>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hideMark/>
          </w:tcPr>
          <w:p w14:paraId="14F11D7D" w14:textId="77777777" w:rsidR="00E53BC5" w:rsidRPr="00D12057" w:rsidRDefault="00E53BC5" w:rsidP="00983C18">
            <w:pPr>
              <w:spacing w:line="276" w:lineRule="auto"/>
              <w:rPr>
                <w:rFonts w:ascii="Lato" w:hAnsi="Lato" w:cs="Calibri"/>
                <w:color w:val="000000"/>
                <w:sz w:val="20"/>
                <w:szCs w:val="20"/>
              </w:rPr>
            </w:pPr>
          </w:p>
        </w:tc>
        <w:tc>
          <w:tcPr>
            <w:tcW w:w="4678" w:type="dxa"/>
            <w:noWrap/>
            <w:hideMark/>
          </w:tcPr>
          <w:p w14:paraId="0104F904" w14:textId="77777777" w:rsidR="00E53BC5" w:rsidRPr="00D12057" w:rsidRDefault="00E53BC5" w:rsidP="00983C18">
            <w:pPr>
              <w:spacing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Zasady dostępu</w:t>
            </w:r>
          </w:p>
        </w:tc>
        <w:tc>
          <w:tcPr>
            <w:tcW w:w="1984" w:type="dxa"/>
            <w:noWrap/>
          </w:tcPr>
          <w:p w14:paraId="36D1AF33" w14:textId="77777777" w:rsidR="00E53BC5" w:rsidRPr="00D12057" w:rsidRDefault="00E53BC5" w:rsidP="00983C18">
            <w:pPr>
              <w:spacing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p>
        </w:tc>
      </w:tr>
      <w:tr w:rsidR="00E53BC5" w:rsidRPr="00C758B1" w14:paraId="20636955" w14:textId="77777777" w:rsidTr="00CE72DC">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2410" w:type="dxa"/>
            <w:vMerge w:val="restart"/>
            <w:shd w:val="clear" w:color="auto" w:fill="auto"/>
          </w:tcPr>
          <w:p w14:paraId="6281298A" w14:textId="77777777" w:rsidR="00E53BC5" w:rsidRPr="00D12057" w:rsidRDefault="00E53BC5" w:rsidP="00983C18">
            <w:pPr>
              <w:spacing w:line="276" w:lineRule="auto"/>
              <w:jc w:val="center"/>
              <w:rPr>
                <w:rFonts w:ascii="Lato" w:hAnsi="Lato" w:cs="Calibri"/>
                <w:color w:val="000000"/>
                <w:sz w:val="20"/>
                <w:szCs w:val="20"/>
              </w:rPr>
            </w:pPr>
            <w:r w:rsidRPr="00D12057">
              <w:rPr>
                <w:rFonts w:ascii="Lato" w:hAnsi="Lato" w:cs="Calibri"/>
                <w:color w:val="000000"/>
                <w:sz w:val="20"/>
                <w:szCs w:val="20"/>
              </w:rPr>
              <w:t>Brunsbuettel Hafen (DE)</w:t>
            </w:r>
          </w:p>
        </w:tc>
        <w:tc>
          <w:tcPr>
            <w:tcW w:w="4678" w:type="dxa"/>
            <w:noWrap/>
          </w:tcPr>
          <w:p w14:paraId="10236EC6" w14:textId="77777777" w:rsidR="00E53BC5" w:rsidRPr="00D12057" w:rsidRDefault="00E53BC5" w:rsidP="00983C18">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 xml:space="preserve">Techniczna zdolność regazyfikacyjna terminalu LNG </w:t>
            </w:r>
          </w:p>
          <w:p w14:paraId="3A5D5B07" w14:textId="78058CB4" w:rsidR="00E53BC5" w:rsidRPr="00D12057" w:rsidRDefault="00E53BC5" w:rsidP="00983C18">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(GWh/d)</w:t>
            </w:r>
          </w:p>
        </w:tc>
        <w:tc>
          <w:tcPr>
            <w:tcW w:w="1984" w:type="dxa"/>
            <w:noWrap/>
          </w:tcPr>
          <w:p w14:paraId="2A79DEC1" w14:textId="77777777" w:rsidR="00E53BC5" w:rsidRPr="00D12057" w:rsidRDefault="00E53BC5" w:rsidP="00983C18">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lang w:val="en-US"/>
              </w:rPr>
            </w:pPr>
            <w:r w:rsidRPr="00D12057">
              <w:rPr>
                <w:rFonts w:ascii="Lato" w:hAnsi="Lato" w:cs="Calibri"/>
                <w:color w:val="000000"/>
                <w:sz w:val="20"/>
                <w:szCs w:val="20"/>
              </w:rPr>
              <w:t>180,0</w:t>
            </w:r>
          </w:p>
        </w:tc>
      </w:tr>
      <w:tr w:rsidR="00E53BC5" w:rsidRPr="00C758B1" w14:paraId="02712AFD" w14:textId="77777777" w:rsidTr="00CE72DC">
        <w:trPr>
          <w:trHeight w:val="67"/>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14:paraId="20CCA5D7" w14:textId="77777777" w:rsidR="00E53BC5" w:rsidRPr="00D12057" w:rsidRDefault="00E53BC5" w:rsidP="00983C18">
            <w:pPr>
              <w:spacing w:line="276" w:lineRule="auto"/>
              <w:rPr>
                <w:rFonts w:ascii="Lato" w:hAnsi="Lato" w:cs="Calibri"/>
                <w:color w:val="000000"/>
                <w:sz w:val="20"/>
                <w:szCs w:val="20"/>
                <w:lang w:val="en-US"/>
              </w:rPr>
            </w:pPr>
          </w:p>
        </w:tc>
        <w:tc>
          <w:tcPr>
            <w:tcW w:w="4678" w:type="dxa"/>
            <w:noWrap/>
          </w:tcPr>
          <w:p w14:paraId="6602F947" w14:textId="169CC671" w:rsidR="00E53BC5" w:rsidRPr="00D12057" w:rsidRDefault="00E53BC5" w:rsidP="00983C18">
            <w:pPr>
              <w:spacing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Pojemność zdolności magazynowych LNG</w:t>
            </w:r>
            <w:r w:rsidR="00F522D0" w:rsidRPr="00D12057">
              <w:rPr>
                <w:rFonts w:ascii="Lato" w:hAnsi="Lato" w:cs="Calibri"/>
                <w:color w:val="000000"/>
                <w:sz w:val="20"/>
                <w:szCs w:val="20"/>
              </w:rPr>
              <w:t xml:space="preserve"> </w:t>
            </w:r>
            <w:r w:rsidRPr="00D12057">
              <w:rPr>
                <w:rFonts w:ascii="Lato" w:hAnsi="Lato" w:cs="Calibri"/>
                <w:color w:val="000000"/>
                <w:sz w:val="20"/>
                <w:szCs w:val="20"/>
              </w:rPr>
              <w:t>[TWh]</w:t>
            </w:r>
          </w:p>
        </w:tc>
        <w:tc>
          <w:tcPr>
            <w:tcW w:w="1984" w:type="dxa"/>
            <w:noWrap/>
          </w:tcPr>
          <w:p w14:paraId="1B220046" w14:textId="77777777" w:rsidR="00E53BC5" w:rsidRPr="00D12057" w:rsidRDefault="00E53BC5" w:rsidP="00983C18">
            <w:pPr>
              <w:spacing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p>
        </w:tc>
      </w:tr>
      <w:tr w:rsidR="00E53BC5" w:rsidRPr="00C758B1" w14:paraId="723A963F" w14:textId="77777777" w:rsidTr="00CE72DC">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14:paraId="4A8AF02B" w14:textId="77777777" w:rsidR="00E53BC5" w:rsidRPr="00D12057" w:rsidRDefault="00E53BC5" w:rsidP="00983C18">
            <w:pPr>
              <w:spacing w:line="276" w:lineRule="auto"/>
              <w:rPr>
                <w:rFonts w:ascii="Lato" w:hAnsi="Lato" w:cs="Calibri"/>
                <w:color w:val="000000"/>
                <w:sz w:val="20"/>
                <w:szCs w:val="20"/>
              </w:rPr>
            </w:pPr>
          </w:p>
        </w:tc>
        <w:tc>
          <w:tcPr>
            <w:tcW w:w="4678" w:type="dxa"/>
            <w:noWrap/>
          </w:tcPr>
          <w:p w14:paraId="4F2C8DAB" w14:textId="77777777" w:rsidR="00E53BC5" w:rsidRPr="00D12057" w:rsidRDefault="00E53BC5" w:rsidP="00983C18">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Średni roczny stopień wykorzystania [%]</w:t>
            </w:r>
          </w:p>
        </w:tc>
        <w:tc>
          <w:tcPr>
            <w:tcW w:w="1984" w:type="dxa"/>
            <w:noWrap/>
          </w:tcPr>
          <w:p w14:paraId="7B43C71D" w14:textId="77777777" w:rsidR="00E53BC5" w:rsidRPr="00D12057" w:rsidRDefault="00E53BC5" w:rsidP="00983C18">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p>
        </w:tc>
      </w:tr>
      <w:tr w:rsidR="00E53BC5" w:rsidRPr="00C758B1" w14:paraId="50B052AC" w14:textId="77777777" w:rsidTr="00CE72DC">
        <w:trPr>
          <w:trHeight w:val="67"/>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14:paraId="4CA2F2AF" w14:textId="77777777" w:rsidR="00E53BC5" w:rsidRPr="00D12057" w:rsidRDefault="00E53BC5" w:rsidP="00983C18">
            <w:pPr>
              <w:spacing w:line="276" w:lineRule="auto"/>
              <w:rPr>
                <w:rFonts w:ascii="Lato" w:hAnsi="Lato" w:cs="Calibri"/>
                <w:color w:val="000000"/>
                <w:sz w:val="20"/>
                <w:szCs w:val="20"/>
              </w:rPr>
            </w:pPr>
          </w:p>
        </w:tc>
        <w:tc>
          <w:tcPr>
            <w:tcW w:w="4678" w:type="dxa"/>
            <w:noWrap/>
          </w:tcPr>
          <w:p w14:paraId="224510E6" w14:textId="77777777" w:rsidR="00E53BC5" w:rsidRPr="00D12057" w:rsidRDefault="00E53BC5" w:rsidP="00983C18">
            <w:pPr>
              <w:spacing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Maksymalny poziom dziennego wykorzystania [%]</w:t>
            </w:r>
          </w:p>
        </w:tc>
        <w:tc>
          <w:tcPr>
            <w:tcW w:w="1984" w:type="dxa"/>
            <w:noWrap/>
          </w:tcPr>
          <w:p w14:paraId="4EA5FB8E" w14:textId="77777777" w:rsidR="00E53BC5" w:rsidRPr="00D12057" w:rsidRDefault="00E53BC5" w:rsidP="00983C18">
            <w:pPr>
              <w:spacing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p>
        </w:tc>
      </w:tr>
      <w:tr w:rsidR="00E53BC5" w:rsidRPr="00C758B1" w14:paraId="339B0FC2" w14:textId="77777777" w:rsidTr="00CE72DC">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14:paraId="17607364" w14:textId="77777777" w:rsidR="00E53BC5" w:rsidRPr="00D12057" w:rsidRDefault="00E53BC5" w:rsidP="00983C18">
            <w:pPr>
              <w:spacing w:line="276" w:lineRule="auto"/>
              <w:rPr>
                <w:rFonts w:ascii="Lato" w:hAnsi="Lato" w:cs="Calibri"/>
                <w:color w:val="000000"/>
                <w:sz w:val="20"/>
                <w:szCs w:val="20"/>
              </w:rPr>
            </w:pPr>
          </w:p>
        </w:tc>
        <w:tc>
          <w:tcPr>
            <w:tcW w:w="4678" w:type="dxa"/>
            <w:noWrap/>
          </w:tcPr>
          <w:p w14:paraId="6A37942C" w14:textId="77777777" w:rsidR="00E53BC5" w:rsidRPr="00D12057" w:rsidRDefault="00E53BC5" w:rsidP="00983C18">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Maksymalny poziom tygodniowego wykorzystania [%]</w:t>
            </w:r>
          </w:p>
        </w:tc>
        <w:tc>
          <w:tcPr>
            <w:tcW w:w="1984" w:type="dxa"/>
            <w:noWrap/>
          </w:tcPr>
          <w:p w14:paraId="713C5BCF" w14:textId="77777777" w:rsidR="00E53BC5" w:rsidRPr="00D12057" w:rsidRDefault="00E53BC5" w:rsidP="00983C18">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p>
        </w:tc>
      </w:tr>
      <w:tr w:rsidR="00E53BC5" w:rsidRPr="00C758B1" w14:paraId="77DD8F1C" w14:textId="77777777" w:rsidTr="00CE72DC">
        <w:trPr>
          <w:trHeight w:val="67"/>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14:paraId="5EB84D2E" w14:textId="77777777" w:rsidR="00E53BC5" w:rsidRPr="00D12057" w:rsidRDefault="00E53BC5" w:rsidP="00983C18">
            <w:pPr>
              <w:spacing w:line="276" w:lineRule="auto"/>
              <w:rPr>
                <w:rFonts w:ascii="Lato" w:hAnsi="Lato" w:cs="Calibri"/>
                <w:color w:val="000000"/>
                <w:sz w:val="20"/>
                <w:szCs w:val="20"/>
              </w:rPr>
            </w:pPr>
          </w:p>
        </w:tc>
        <w:tc>
          <w:tcPr>
            <w:tcW w:w="4678" w:type="dxa"/>
            <w:noWrap/>
          </w:tcPr>
          <w:p w14:paraId="5F75D765" w14:textId="77777777" w:rsidR="00E53BC5" w:rsidRPr="00D12057" w:rsidRDefault="00E53BC5" w:rsidP="00983C18">
            <w:pPr>
              <w:spacing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Zasady dostępu</w:t>
            </w:r>
          </w:p>
        </w:tc>
        <w:tc>
          <w:tcPr>
            <w:tcW w:w="1984" w:type="dxa"/>
            <w:noWrap/>
          </w:tcPr>
          <w:p w14:paraId="46D516EE" w14:textId="77777777" w:rsidR="00E53BC5" w:rsidRPr="00D12057" w:rsidRDefault="00E53BC5" w:rsidP="00983C18">
            <w:pPr>
              <w:spacing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p>
        </w:tc>
      </w:tr>
      <w:tr w:rsidR="00E53BC5" w:rsidRPr="00C758B1" w14:paraId="7E0F2391" w14:textId="77777777" w:rsidTr="00CE72DC">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2410" w:type="dxa"/>
            <w:vMerge w:val="restart"/>
            <w:hideMark/>
          </w:tcPr>
          <w:p w14:paraId="09C81F89" w14:textId="77777777" w:rsidR="00E53BC5" w:rsidRPr="00D12057" w:rsidRDefault="00E53BC5" w:rsidP="00983C18">
            <w:pPr>
              <w:spacing w:line="276" w:lineRule="auto"/>
              <w:jc w:val="center"/>
              <w:rPr>
                <w:rFonts w:ascii="Lato" w:hAnsi="Lato" w:cs="Calibri"/>
                <w:color w:val="000000"/>
                <w:sz w:val="20"/>
                <w:szCs w:val="20"/>
              </w:rPr>
            </w:pPr>
            <w:r w:rsidRPr="00D12057">
              <w:rPr>
                <w:rFonts w:ascii="Lato" w:hAnsi="Lato" w:cs="Calibri"/>
                <w:color w:val="000000"/>
                <w:sz w:val="20"/>
                <w:szCs w:val="20"/>
              </w:rPr>
              <w:t>Klaipeda (LT)</w:t>
            </w:r>
          </w:p>
        </w:tc>
        <w:tc>
          <w:tcPr>
            <w:tcW w:w="4678" w:type="dxa"/>
            <w:noWrap/>
            <w:hideMark/>
          </w:tcPr>
          <w:p w14:paraId="5D6E6FB5" w14:textId="77777777" w:rsidR="00E53BC5" w:rsidRPr="00D12057" w:rsidRDefault="00E53BC5" w:rsidP="00983C18">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 xml:space="preserve">Techniczna zdolność regazyfikacyjna terminalu LNG </w:t>
            </w:r>
          </w:p>
          <w:p w14:paraId="70C061A5" w14:textId="1C7E17E8" w:rsidR="00E53BC5" w:rsidRPr="00D12057" w:rsidRDefault="00E53BC5" w:rsidP="00983C18">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(GWh/d)</w:t>
            </w:r>
          </w:p>
        </w:tc>
        <w:tc>
          <w:tcPr>
            <w:tcW w:w="1984" w:type="dxa"/>
            <w:noWrap/>
            <w:hideMark/>
          </w:tcPr>
          <w:p w14:paraId="1F6EF08D" w14:textId="77777777" w:rsidR="00E53BC5" w:rsidRPr="00D12057" w:rsidRDefault="00E53BC5" w:rsidP="00983C18">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122,4</w:t>
            </w:r>
          </w:p>
        </w:tc>
      </w:tr>
      <w:tr w:rsidR="00E53BC5" w:rsidRPr="00C758B1" w14:paraId="54C299A4" w14:textId="77777777" w:rsidTr="00CE72DC">
        <w:trPr>
          <w:trHeight w:val="67"/>
        </w:trPr>
        <w:tc>
          <w:tcPr>
            <w:cnfStyle w:val="001000000000" w:firstRow="0" w:lastRow="0" w:firstColumn="1" w:lastColumn="0" w:oddVBand="0" w:evenVBand="0" w:oddHBand="0" w:evenHBand="0" w:firstRowFirstColumn="0" w:firstRowLastColumn="0" w:lastRowFirstColumn="0" w:lastRowLastColumn="0"/>
            <w:tcW w:w="2410" w:type="dxa"/>
            <w:vMerge/>
            <w:hideMark/>
          </w:tcPr>
          <w:p w14:paraId="25D4636B" w14:textId="77777777" w:rsidR="00E53BC5" w:rsidRPr="00D12057" w:rsidRDefault="00E53BC5" w:rsidP="00983C18">
            <w:pPr>
              <w:spacing w:line="276" w:lineRule="auto"/>
              <w:rPr>
                <w:rFonts w:ascii="Lato" w:hAnsi="Lato" w:cs="Calibri"/>
                <w:color w:val="000000"/>
                <w:sz w:val="20"/>
                <w:szCs w:val="20"/>
              </w:rPr>
            </w:pPr>
          </w:p>
        </w:tc>
        <w:tc>
          <w:tcPr>
            <w:tcW w:w="4678" w:type="dxa"/>
            <w:noWrap/>
            <w:hideMark/>
          </w:tcPr>
          <w:p w14:paraId="5FF6CF85" w14:textId="17135BBD" w:rsidR="00E53BC5" w:rsidRPr="00D12057" w:rsidRDefault="00E53BC5" w:rsidP="00983C18">
            <w:pPr>
              <w:spacing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Pojemność zdolności magazynowych LNG</w:t>
            </w:r>
            <w:r w:rsidR="00F522D0" w:rsidRPr="00D12057">
              <w:rPr>
                <w:rFonts w:ascii="Lato" w:hAnsi="Lato" w:cs="Calibri"/>
                <w:color w:val="000000"/>
                <w:sz w:val="20"/>
                <w:szCs w:val="20"/>
              </w:rPr>
              <w:t xml:space="preserve"> </w:t>
            </w:r>
            <w:r w:rsidRPr="00D12057">
              <w:rPr>
                <w:rFonts w:ascii="Lato" w:hAnsi="Lato" w:cs="Calibri"/>
                <w:color w:val="000000"/>
                <w:sz w:val="20"/>
                <w:szCs w:val="20"/>
              </w:rPr>
              <w:t>[TWh]</w:t>
            </w:r>
          </w:p>
        </w:tc>
        <w:tc>
          <w:tcPr>
            <w:tcW w:w="1984" w:type="dxa"/>
            <w:noWrap/>
            <w:hideMark/>
          </w:tcPr>
          <w:p w14:paraId="1A83FE61" w14:textId="77777777" w:rsidR="00E53BC5" w:rsidRPr="00D12057" w:rsidRDefault="00E53BC5" w:rsidP="00983C18">
            <w:pPr>
              <w:spacing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1,10</w:t>
            </w:r>
          </w:p>
        </w:tc>
      </w:tr>
      <w:tr w:rsidR="00E53BC5" w:rsidRPr="00C758B1" w14:paraId="5C5A1603" w14:textId="77777777" w:rsidTr="00CE72DC">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2410" w:type="dxa"/>
            <w:vMerge/>
            <w:hideMark/>
          </w:tcPr>
          <w:p w14:paraId="488D1094" w14:textId="77777777" w:rsidR="00E53BC5" w:rsidRPr="00D12057" w:rsidRDefault="00E53BC5" w:rsidP="00983C18">
            <w:pPr>
              <w:spacing w:line="276" w:lineRule="auto"/>
              <w:rPr>
                <w:rFonts w:ascii="Lato" w:hAnsi="Lato" w:cs="Calibri"/>
                <w:color w:val="000000"/>
                <w:sz w:val="20"/>
                <w:szCs w:val="20"/>
              </w:rPr>
            </w:pPr>
          </w:p>
        </w:tc>
        <w:tc>
          <w:tcPr>
            <w:tcW w:w="4678" w:type="dxa"/>
            <w:noWrap/>
            <w:hideMark/>
          </w:tcPr>
          <w:p w14:paraId="66C1DC19" w14:textId="77777777" w:rsidR="00E53BC5" w:rsidRPr="00D12057" w:rsidRDefault="00E53BC5" w:rsidP="00983C18">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Średni roczny stopień wykorzystania [%]</w:t>
            </w:r>
          </w:p>
        </w:tc>
        <w:tc>
          <w:tcPr>
            <w:tcW w:w="1984" w:type="dxa"/>
            <w:noWrap/>
            <w:hideMark/>
          </w:tcPr>
          <w:p w14:paraId="36259F39" w14:textId="77777777" w:rsidR="00E53BC5" w:rsidRPr="00D12057" w:rsidRDefault="00E53BC5" w:rsidP="00983C18">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68,2%</w:t>
            </w:r>
          </w:p>
        </w:tc>
      </w:tr>
      <w:tr w:rsidR="00E53BC5" w:rsidRPr="00C758B1" w14:paraId="14530FA7" w14:textId="77777777" w:rsidTr="00CE72DC">
        <w:trPr>
          <w:trHeight w:val="95"/>
        </w:trPr>
        <w:tc>
          <w:tcPr>
            <w:cnfStyle w:val="001000000000" w:firstRow="0" w:lastRow="0" w:firstColumn="1" w:lastColumn="0" w:oddVBand="0" w:evenVBand="0" w:oddHBand="0" w:evenHBand="0" w:firstRowFirstColumn="0" w:firstRowLastColumn="0" w:lastRowFirstColumn="0" w:lastRowLastColumn="0"/>
            <w:tcW w:w="2410" w:type="dxa"/>
            <w:vMerge/>
            <w:hideMark/>
          </w:tcPr>
          <w:p w14:paraId="070B55CC" w14:textId="77777777" w:rsidR="00E53BC5" w:rsidRPr="00D12057" w:rsidRDefault="00E53BC5" w:rsidP="00983C18">
            <w:pPr>
              <w:spacing w:line="276" w:lineRule="auto"/>
              <w:rPr>
                <w:rFonts w:ascii="Lato" w:hAnsi="Lato" w:cs="Calibri"/>
                <w:color w:val="000000"/>
                <w:sz w:val="20"/>
                <w:szCs w:val="20"/>
              </w:rPr>
            </w:pPr>
          </w:p>
        </w:tc>
        <w:tc>
          <w:tcPr>
            <w:tcW w:w="4678" w:type="dxa"/>
            <w:noWrap/>
            <w:hideMark/>
          </w:tcPr>
          <w:p w14:paraId="58E72B61" w14:textId="77777777" w:rsidR="00E53BC5" w:rsidRPr="00D12057" w:rsidRDefault="00E53BC5" w:rsidP="00983C18">
            <w:pPr>
              <w:spacing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Maksymalny poziom dziennego wykorzystania [%]</w:t>
            </w:r>
          </w:p>
        </w:tc>
        <w:tc>
          <w:tcPr>
            <w:tcW w:w="1984" w:type="dxa"/>
            <w:noWrap/>
            <w:hideMark/>
          </w:tcPr>
          <w:p w14:paraId="377811E3" w14:textId="77777777" w:rsidR="00E53BC5" w:rsidRPr="00D12057" w:rsidRDefault="00E53BC5" w:rsidP="00983C18">
            <w:pPr>
              <w:spacing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98,9%</w:t>
            </w:r>
          </w:p>
        </w:tc>
      </w:tr>
      <w:tr w:rsidR="00E53BC5" w:rsidRPr="00C758B1" w14:paraId="02DDB6C9" w14:textId="77777777" w:rsidTr="00CE72DC">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2410" w:type="dxa"/>
            <w:vMerge/>
            <w:hideMark/>
          </w:tcPr>
          <w:p w14:paraId="518C3982" w14:textId="77777777" w:rsidR="00E53BC5" w:rsidRPr="00D12057" w:rsidRDefault="00E53BC5" w:rsidP="00983C18">
            <w:pPr>
              <w:spacing w:line="276" w:lineRule="auto"/>
              <w:rPr>
                <w:rFonts w:ascii="Lato" w:hAnsi="Lato" w:cs="Calibri"/>
                <w:color w:val="000000"/>
                <w:sz w:val="20"/>
                <w:szCs w:val="20"/>
              </w:rPr>
            </w:pPr>
          </w:p>
        </w:tc>
        <w:tc>
          <w:tcPr>
            <w:tcW w:w="4678" w:type="dxa"/>
            <w:noWrap/>
            <w:hideMark/>
          </w:tcPr>
          <w:p w14:paraId="0B8700C7" w14:textId="77777777" w:rsidR="00E53BC5" w:rsidRPr="00D12057" w:rsidRDefault="00E53BC5" w:rsidP="00983C18">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Maksymalny poziom tygodniowego wykorzystania [%]</w:t>
            </w:r>
          </w:p>
        </w:tc>
        <w:tc>
          <w:tcPr>
            <w:tcW w:w="1984" w:type="dxa"/>
            <w:noWrap/>
            <w:hideMark/>
          </w:tcPr>
          <w:p w14:paraId="55358FE2" w14:textId="77777777" w:rsidR="00E53BC5" w:rsidRPr="00D12057" w:rsidRDefault="00E53BC5" w:rsidP="00983C18">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97,1%</w:t>
            </w:r>
          </w:p>
        </w:tc>
      </w:tr>
      <w:tr w:rsidR="00E53BC5" w:rsidRPr="00C758B1" w14:paraId="306B390D" w14:textId="77777777" w:rsidTr="00CE72DC">
        <w:trPr>
          <w:trHeight w:val="67"/>
        </w:trPr>
        <w:tc>
          <w:tcPr>
            <w:cnfStyle w:val="001000000000" w:firstRow="0" w:lastRow="0" w:firstColumn="1" w:lastColumn="0" w:oddVBand="0" w:evenVBand="0" w:oddHBand="0" w:evenHBand="0" w:firstRowFirstColumn="0" w:firstRowLastColumn="0" w:lastRowFirstColumn="0" w:lastRowLastColumn="0"/>
            <w:tcW w:w="2410" w:type="dxa"/>
            <w:vMerge/>
            <w:hideMark/>
          </w:tcPr>
          <w:p w14:paraId="0EB9DCCB" w14:textId="77777777" w:rsidR="00E53BC5" w:rsidRPr="00D12057" w:rsidRDefault="00E53BC5" w:rsidP="00983C18">
            <w:pPr>
              <w:spacing w:line="276" w:lineRule="auto"/>
              <w:rPr>
                <w:rFonts w:ascii="Lato" w:hAnsi="Lato" w:cs="Calibri"/>
                <w:color w:val="000000"/>
                <w:sz w:val="20"/>
                <w:szCs w:val="20"/>
              </w:rPr>
            </w:pPr>
          </w:p>
        </w:tc>
        <w:tc>
          <w:tcPr>
            <w:tcW w:w="4678" w:type="dxa"/>
            <w:noWrap/>
            <w:hideMark/>
          </w:tcPr>
          <w:p w14:paraId="0B580BD4" w14:textId="77777777" w:rsidR="00E53BC5" w:rsidRPr="00D12057" w:rsidRDefault="00E53BC5" w:rsidP="00983C18">
            <w:pPr>
              <w:spacing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Zasady dostępu</w:t>
            </w:r>
          </w:p>
        </w:tc>
        <w:tc>
          <w:tcPr>
            <w:tcW w:w="1984" w:type="dxa"/>
            <w:noWrap/>
            <w:hideMark/>
          </w:tcPr>
          <w:p w14:paraId="4BCA7159" w14:textId="77777777" w:rsidR="00E53BC5" w:rsidRPr="00D12057" w:rsidRDefault="00E53BC5" w:rsidP="00983C18">
            <w:pPr>
              <w:spacing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regulowane</w:t>
            </w:r>
          </w:p>
        </w:tc>
      </w:tr>
      <w:tr w:rsidR="00E53BC5" w:rsidRPr="00C758B1" w14:paraId="237F86E3" w14:textId="77777777" w:rsidTr="00CE72DC">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2410" w:type="dxa"/>
            <w:vMerge w:val="restart"/>
            <w:shd w:val="clear" w:color="auto" w:fill="auto"/>
            <w:hideMark/>
          </w:tcPr>
          <w:p w14:paraId="1C7879C6" w14:textId="77777777" w:rsidR="00E53BC5" w:rsidRPr="00D12057" w:rsidRDefault="00E53BC5" w:rsidP="00983C18">
            <w:pPr>
              <w:spacing w:line="276" w:lineRule="auto"/>
              <w:jc w:val="center"/>
              <w:rPr>
                <w:rFonts w:ascii="Lato" w:hAnsi="Lato" w:cs="Calibri"/>
                <w:color w:val="000000"/>
                <w:sz w:val="20"/>
                <w:szCs w:val="20"/>
              </w:rPr>
            </w:pPr>
            <w:r w:rsidRPr="00D12057">
              <w:rPr>
                <w:rFonts w:ascii="Lato" w:hAnsi="Lato" w:cs="Calibri"/>
                <w:color w:val="000000"/>
                <w:sz w:val="20"/>
                <w:szCs w:val="20"/>
              </w:rPr>
              <w:t>Skulte (LV)</w:t>
            </w:r>
          </w:p>
        </w:tc>
        <w:tc>
          <w:tcPr>
            <w:tcW w:w="4678" w:type="dxa"/>
            <w:noWrap/>
            <w:hideMark/>
          </w:tcPr>
          <w:p w14:paraId="54E4506F" w14:textId="77777777" w:rsidR="00E53BC5" w:rsidRPr="00D12057" w:rsidRDefault="00E53BC5" w:rsidP="00983C18">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 xml:space="preserve">Techniczna zdolność regazyfikacyjna terminalu LNG </w:t>
            </w:r>
          </w:p>
          <w:p w14:paraId="55EE924E" w14:textId="58731E3B" w:rsidR="00E53BC5" w:rsidRPr="00D12057" w:rsidRDefault="00E53BC5" w:rsidP="00983C18">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(GWh/d)</w:t>
            </w:r>
          </w:p>
        </w:tc>
        <w:tc>
          <w:tcPr>
            <w:tcW w:w="1984" w:type="dxa"/>
            <w:noWrap/>
            <w:hideMark/>
          </w:tcPr>
          <w:p w14:paraId="3C6FAE53" w14:textId="77777777" w:rsidR="00E53BC5" w:rsidRPr="00D12057" w:rsidRDefault="00E53BC5" w:rsidP="00983C18">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179,7</w:t>
            </w:r>
          </w:p>
        </w:tc>
      </w:tr>
      <w:tr w:rsidR="00E53BC5" w:rsidRPr="00C758B1" w14:paraId="187B44F6" w14:textId="77777777" w:rsidTr="00CE72DC">
        <w:trPr>
          <w:trHeight w:val="67"/>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hideMark/>
          </w:tcPr>
          <w:p w14:paraId="6E66790B" w14:textId="77777777" w:rsidR="00E53BC5" w:rsidRPr="00D12057" w:rsidRDefault="00E53BC5" w:rsidP="00983C18">
            <w:pPr>
              <w:spacing w:line="276" w:lineRule="auto"/>
              <w:rPr>
                <w:rFonts w:ascii="Lato" w:hAnsi="Lato" w:cs="Calibri"/>
                <w:color w:val="000000"/>
                <w:sz w:val="20"/>
                <w:szCs w:val="20"/>
              </w:rPr>
            </w:pPr>
          </w:p>
        </w:tc>
        <w:tc>
          <w:tcPr>
            <w:tcW w:w="4678" w:type="dxa"/>
            <w:noWrap/>
            <w:hideMark/>
          </w:tcPr>
          <w:p w14:paraId="6C3E9F3E" w14:textId="5CB32BFD" w:rsidR="00E53BC5" w:rsidRPr="00D12057" w:rsidRDefault="00E53BC5" w:rsidP="00983C18">
            <w:pPr>
              <w:spacing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Pojemność zdolności magazynowych LNG</w:t>
            </w:r>
            <w:r w:rsidR="00F522D0" w:rsidRPr="00D12057">
              <w:rPr>
                <w:rFonts w:ascii="Lato" w:hAnsi="Lato" w:cs="Calibri"/>
                <w:color w:val="000000"/>
                <w:sz w:val="20"/>
                <w:szCs w:val="20"/>
              </w:rPr>
              <w:t xml:space="preserve"> </w:t>
            </w:r>
            <w:r w:rsidRPr="00D12057">
              <w:rPr>
                <w:rFonts w:ascii="Lato" w:hAnsi="Lato" w:cs="Calibri"/>
                <w:color w:val="000000"/>
                <w:sz w:val="20"/>
                <w:szCs w:val="20"/>
              </w:rPr>
              <w:t>[TWh]</w:t>
            </w:r>
          </w:p>
        </w:tc>
        <w:tc>
          <w:tcPr>
            <w:tcW w:w="1984" w:type="dxa"/>
            <w:noWrap/>
            <w:hideMark/>
          </w:tcPr>
          <w:p w14:paraId="396FFE4B" w14:textId="77777777" w:rsidR="00E53BC5" w:rsidRPr="00D12057" w:rsidRDefault="00E53BC5" w:rsidP="00983C18">
            <w:pPr>
              <w:spacing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p>
        </w:tc>
      </w:tr>
      <w:tr w:rsidR="00E53BC5" w:rsidRPr="00C758B1" w14:paraId="26F042D8" w14:textId="77777777" w:rsidTr="00CE72DC">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hideMark/>
          </w:tcPr>
          <w:p w14:paraId="4C11504E" w14:textId="77777777" w:rsidR="00E53BC5" w:rsidRPr="00D12057" w:rsidRDefault="00E53BC5" w:rsidP="00983C18">
            <w:pPr>
              <w:spacing w:line="276" w:lineRule="auto"/>
              <w:rPr>
                <w:rFonts w:ascii="Lato" w:hAnsi="Lato" w:cs="Calibri"/>
                <w:color w:val="000000"/>
                <w:sz w:val="20"/>
                <w:szCs w:val="20"/>
              </w:rPr>
            </w:pPr>
          </w:p>
        </w:tc>
        <w:tc>
          <w:tcPr>
            <w:tcW w:w="4678" w:type="dxa"/>
            <w:noWrap/>
            <w:hideMark/>
          </w:tcPr>
          <w:p w14:paraId="4F42B05A" w14:textId="77777777" w:rsidR="00E53BC5" w:rsidRPr="00D12057" w:rsidRDefault="00E53BC5" w:rsidP="00983C18">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Średni roczny stopień wykorzystania [%]</w:t>
            </w:r>
          </w:p>
        </w:tc>
        <w:tc>
          <w:tcPr>
            <w:tcW w:w="1984" w:type="dxa"/>
            <w:noWrap/>
            <w:hideMark/>
          </w:tcPr>
          <w:p w14:paraId="4C745BBD" w14:textId="77777777" w:rsidR="00E53BC5" w:rsidRPr="00D12057" w:rsidRDefault="00E53BC5" w:rsidP="00983C18">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p>
        </w:tc>
      </w:tr>
      <w:tr w:rsidR="00E53BC5" w:rsidRPr="00C758B1" w14:paraId="4BF7D45C" w14:textId="77777777" w:rsidTr="00CE72DC">
        <w:trPr>
          <w:trHeight w:val="73"/>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hideMark/>
          </w:tcPr>
          <w:p w14:paraId="6A41227F" w14:textId="77777777" w:rsidR="00E53BC5" w:rsidRPr="00D12057" w:rsidRDefault="00E53BC5" w:rsidP="00983C18">
            <w:pPr>
              <w:spacing w:line="276" w:lineRule="auto"/>
              <w:rPr>
                <w:rFonts w:ascii="Lato" w:hAnsi="Lato" w:cs="Calibri"/>
                <w:color w:val="000000"/>
                <w:sz w:val="20"/>
                <w:szCs w:val="20"/>
              </w:rPr>
            </w:pPr>
          </w:p>
        </w:tc>
        <w:tc>
          <w:tcPr>
            <w:tcW w:w="4678" w:type="dxa"/>
            <w:noWrap/>
            <w:hideMark/>
          </w:tcPr>
          <w:p w14:paraId="5FD54DA8" w14:textId="77777777" w:rsidR="00E53BC5" w:rsidRPr="00D12057" w:rsidRDefault="00E53BC5" w:rsidP="00983C18">
            <w:pPr>
              <w:spacing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Maksymalny poziom dziennego wykorzystania [%]</w:t>
            </w:r>
          </w:p>
        </w:tc>
        <w:tc>
          <w:tcPr>
            <w:tcW w:w="1984" w:type="dxa"/>
            <w:noWrap/>
            <w:hideMark/>
          </w:tcPr>
          <w:p w14:paraId="151118F9" w14:textId="77777777" w:rsidR="00E53BC5" w:rsidRPr="00D12057" w:rsidRDefault="00E53BC5" w:rsidP="00983C18">
            <w:pPr>
              <w:spacing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p>
        </w:tc>
      </w:tr>
      <w:tr w:rsidR="00E53BC5" w:rsidRPr="00C758B1" w14:paraId="206707FC" w14:textId="77777777" w:rsidTr="00CE72DC">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hideMark/>
          </w:tcPr>
          <w:p w14:paraId="7D9AA755" w14:textId="77777777" w:rsidR="00E53BC5" w:rsidRPr="00D12057" w:rsidRDefault="00E53BC5" w:rsidP="00983C18">
            <w:pPr>
              <w:spacing w:line="276" w:lineRule="auto"/>
              <w:rPr>
                <w:rFonts w:ascii="Lato" w:hAnsi="Lato" w:cs="Calibri"/>
                <w:color w:val="000000"/>
                <w:sz w:val="20"/>
                <w:szCs w:val="20"/>
              </w:rPr>
            </w:pPr>
          </w:p>
        </w:tc>
        <w:tc>
          <w:tcPr>
            <w:tcW w:w="4678" w:type="dxa"/>
            <w:noWrap/>
            <w:hideMark/>
          </w:tcPr>
          <w:p w14:paraId="311266E2" w14:textId="77777777" w:rsidR="00E53BC5" w:rsidRPr="00D12057" w:rsidRDefault="00E53BC5" w:rsidP="00983C18">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Maksymalny poziom tygodniowego wykorzystania [%]</w:t>
            </w:r>
          </w:p>
        </w:tc>
        <w:tc>
          <w:tcPr>
            <w:tcW w:w="1984" w:type="dxa"/>
            <w:noWrap/>
            <w:hideMark/>
          </w:tcPr>
          <w:p w14:paraId="2A01C172" w14:textId="77777777" w:rsidR="00E53BC5" w:rsidRPr="00D12057" w:rsidRDefault="00E53BC5" w:rsidP="00983C18">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p>
        </w:tc>
      </w:tr>
      <w:tr w:rsidR="00E53BC5" w:rsidRPr="00C758B1" w14:paraId="513382BB" w14:textId="77777777" w:rsidTr="00CE72DC">
        <w:trPr>
          <w:trHeight w:val="67"/>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hideMark/>
          </w:tcPr>
          <w:p w14:paraId="2BAA12A9" w14:textId="77777777" w:rsidR="00E53BC5" w:rsidRPr="00D12057" w:rsidRDefault="00E53BC5" w:rsidP="00983C18">
            <w:pPr>
              <w:spacing w:line="276" w:lineRule="auto"/>
              <w:rPr>
                <w:rFonts w:ascii="Lato" w:hAnsi="Lato" w:cs="Calibri"/>
                <w:color w:val="000000"/>
                <w:sz w:val="20"/>
                <w:szCs w:val="20"/>
              </w:rPr>
            </w:pPr>
          </w:p>
        </w:tc>
        <w:tc>
          <w:tcPr>
            <w:tcW w:w="4678" w:type="dxa"/>
            <w:noWrap/>
            <w:hideMark/>
          </w:tcPr>
          <w:p w14:paraId="369A9524" w14:textId="77777777" w:rsidR="00E53BC5" w:rsidRPr="00D12057" w:rsidRDefault="00E53BC5" w:rsidP="00983C18">
            <w:pPr>
              <w:spacing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Zasady dostępu</w:t>
            </w:r>
          </w:p>
        </w:tc>
        <w:tc>
          <w:tcPr>
            <w:tcW w:w="1984" w:type="dxa"/>
            <w:noWrap/>
            <w:hideMark/>
          </w:tcPr>
          <w:p w14:paraId="6358654F" w14:textId="77777777" w:rsidR="00E53BC5" w:rsidRPr="00D12057" w:rsidRDefault="00E53BC5" w:rsidP="00983C18">
            <w:pPr>
              <w:spacing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 xml:space="preserve">regulowane </w:t>
            </w:r>
          </w:p>
        </w:tc>
      </w:tr>
      <w:tr w:rsidR="00E53BC5" w:rsidRPr="00C758B1" w14:paraId="64506150" w14:textId="77777777" w:rsidTr="00CE72DC">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2410" w:type="dxa"/>
            <w:vMerge w:val="restart"/>
            <w:hideMark/>
          </w:tcPr>
          <w:p w14:paraId="402B2383" w14:textId="77777777" w:rsidR="00E53BC5" w:rsidRPr="00D12057" w:rsidRDefault="00E53BC5" w:rsidP="00983C18">
            <w:pPr>
              <w:spacing w:line="276" w:lineRule="auto"/>
              <w:jc w:val="center"/>
              <w:rPr>
                <w:rFonts w:ascii="Lato" w:hAnsi="Lato" w:cs="Calibri"/>
                <w:color w:val="000000"/>
                <w:sz w:val="20"/>
                <w:szCs w:val="20"/>
              </w:rPr>
            </w:pPr>
            <w:r w:rsidRPr="00D12057">
              <w:rPr>
                <w:rFonts w:ascii="Lato" w:hAnsi="Lato" w:cs="Calibri"/>
                <w:color w:val="000000"/>
                <w:sz w:val="20"/>
                <w:szCs w:val="20"/>
              </w:rPr>
              <w:t>Gate (NL)</w:t>
            </w:r>
          </w:p>
        </w:tc>
        <w:tc>
          <w:tcPr>
            <w:tcW w:w="4678" w:type="dxa"/>
            <w:noWrap/>
            <w:hideMark/>
          </w:tcPr>
          <w:p w14:paraId="51FE41CA" w14:textId="77777777" w:rsidR="00E53BC5" w:rsidRPr="00D12057" w:rsidRDefault="00E53BC5" w:rsidP="00983C18">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 xml:space="preserve">Techniczna zdolność regazyfikacyjna terminalu LNG </w:t>
            </w:r>
          </w:p>
          <w:p w14:paraId="222EBD20" w14:textId="1DFF6CF6" w:rsidR="00E53BC5" w:rsidRPr="00D12057" w:rsidRDefault="00E53BC5" w:rsidP="00983C18">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(GWh/d)</w:t>
            </w:r>
          </w:p>
        </w:tc>
        <w:tc>
          <w:tcPr>
            <w:tcW w:w="1984" w:type="dxa"/>
            <w:noWrap/>
            <w:hideMark/>
          </w:tcPr>
          <w:p w14:paraId="761A26D3" w14:textId="77777777" w:rsidR="00E53BC5" w:rsidRPr="00D12057" w:rsidRDefault="00E53BC5" w:rsidP="00983C18">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482,9</w:t>
            </w:r>
          </w:p>
        </w:tc>
      </w:tr>
      <w:tr w:rsidR="00E53BC5" w:rsidRPr="00C758B1" w14:paraId="79340BDD" w14:textId="77777777" w:rsidTr="00CE72DC">
        <w:trPr>
          <w:trHeight w:val="67"/>
        </w:trPr>
        <w:tc>
          <w:tcPr>
            <w:cnfStyle w:val="001000000000" w:firstRow="0" w:lastRow="0" w:firstColumn="1" w:lastColumn="0" w:oddVBand="0" w:evenVBand="0" w:oddHBand="0" w:evenHBand="0" w:firstRowFirstColumn="0" w:firstRowLastColumn="0" w:lastRowFirstColumn="0" w:lastRowLastColumn="0"/>
            <w:tcW w:w="2410" w:type="dxa"/>
            <w:vMerge/>
            <w:hideMark/>
          </w:tcPr>
          <w:p w14:paraId="7AB23338" w14:textId="77777777" w:rsidR="00E53BC5" w:rsidRPr="00D12057" w:rsidRDefault="00E53BC5" w:rsidP="00983C18">
            <w:pPr>
              <w:spacing w:line="276" w:lineRule="auto"/>
              <w:rPr>
                <w:rFonts w:ascii="Lato" w:hAnsi="Lato" w:cs="Calibri"/>
                <w:color w:val="000000"/>
                <w:sz w:val="20"/>
                <w:szCs w:val="20"/>
              </w:rPr>
            </w:pPr>
          </w:p>
        </w:tc>
        <w:tc>
          <w:tcPr>
            <w:tcW w:w="4678" w:type="dxa"/>
            <w:noWrap/>
            <w:hideMark/>
          </w:tcPr>
          <w:p w14:paraId="2163E089" w14:textId="60AB69F1" w:rsidR="00E53BC5" w:rsidRPr="00D12057" w:rsidRDefault="00E53BC5" w:rsidP="00983C18">
            <w:pPr>
              <w:spacing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Pojemność zdolności magazynowych LNG</w:t>
            </w:r>
            <w:r w:rsidR="00F522D0" w:rsidRPr="00D12057">
              <w:rPr>
                <w:rFonts w:ascii="Lato" w:hAnsi="Lato" w:cs="Calibri"/>
                <w:color w:val="000000"/>
                <w:sz w:val="20"/>
                <w:szCs w:val="20"/>
              </w:rPr>
              <w:t xml:space="preserve"> </w:t>
            </w:r>
            <w:r w:rsidRPr="00D12057">
              <w:rPr>
                <w:rFonts w:ascii="Lato" w:hAnsi="Lato" w:cs="Calibri"/>
                <w:color w:val="000000"/>
                <w:sz w:val="20"/>
                <w:szCs w:val="20"/>
              </w:rPr>
              <w:t>[TWh]</w:t>
            </w:r>
          </w:p>
        </w:tc>
        <w:tc>
          <w:tcPr>
            <w:tcW w:w="1984" w:type="dxa"/>
            <w:noWrap/>
            <w:hideMark/>
          </w:tcPr>
          <w:p w14:paraId="0FA99E8C" w14:textId="77777777" w:rsidR="00E53BC5" w:rsidRPr="00D12057" w:rsidRDefault="00E53BC5" w:rsidP="00983C18">
            <w:pPr>
              <w:spacing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3,57</w:t>
            </w:r>
          </w:p>
        </w:tc>
      </w:tr>
      <w:tr w:rsidR="00E53BC5" w:rsidRPr="00C758B1" w14:paraId="4F0EDC1A" w14:textId="77777777" w:rsidTr="00CE72DC">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2410" w:type="dxa"/>
            <w:vMerge/>
            <w:hideMark/>
          </w:tcPr>
          <w:p w14:paraId="5CB82787" w14:textId="77777777" w:rsidR="00E53BC5" w:rsidRPr="00D12057" w:rsidRDefault="00E53BC5" w:rsidP="00983C18">
            <w:pPr>
              <w:spacing w:line="276" w:lineRule="auto"/>
              <w:rPr>
                <w:rFonts w:ascii="Lato" w:hAnsi="Lato" w:cs="Calibri"/>
                <w:color w:val="000000"/>
                <w:sz w:val="20"/>
                <w:szCs w:val="20"/>
              </w:rPr>
            </w:pPr>
          </w:p>
        </w:tc>
        <w:tc>
          <w:tcPr>
            <w:tcW w:w="4678" w:type="dxa"/>
            <w:noWrap/>
            <w:hideMark/>
          </w:tcPr>
          <w:p w14:paraId="1FD144D4" w14:textId="77777777" w:rsidR="00E53BC5" w:rsidRPr="00D12057" w:rsidRDefault="00E53BC5" w:rsidP="00983C18">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Średni roczny stopień wykorzystania [%]</w:t>
            </w:r>
          </w:p>
        </w:tc>
        <w:tc>
          <w:tcPr>
            <w:tcW w:w="1984" w:type="dxa"/>
            <w:noWrap/>
            <w:hideMark/>
          </w:tcPr>
          <w:p w14:paraId="3A4A4A3D" w14:textId="77777777" w:rsidR="00E53BC5" w:rsidRPr="00D12057" w:rsidRDefault="00E53BC5" w:rsidP="00983C18">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91,7%</w:t>
            </w:r>
          </w:p>
        </w:tc>
      </w:tr>
      <w:tr w:rsidR="00E53BC5" w:rsidRPr="00C758B1" w14:paraId="4EED6F82" w14:textId="77777777" w:rsidTr="00CE72DC">
        <w:trPr>
          <w:trHeight w:val="67"/>
        </w:trPr>
        <w:tc>
          <w:tcPr>
            <w:cnfStyle w:val="001000000000" w:firstRow="0" w:lastRow="0" w:firstColumn="1" w:lastColumn="0" w:oddVBand="0" w:evenVBand="0" w:oddHBand="0" w:evenHBand="0" w:firstRowFirstColumn="0" w:firstRowLastColumn="0" w:lastRowFirstColumn="0" w:lastRowLastColumn="0"/>
            <w:tcW w:w="2410" w:type="dxa"/>
            <w:vMerge/>
            <w:hideMark/>
          </w:tcPr>
          <w:p w14:paraId="081EB867" w14:textId="77777777" w:rsidR="00E53BC5" w:rsidRPr="00D12057" w:rsidRDefault="00E53BC5" w:rsidP="00983C18">
            <w:pPr>
              <w:spacing w:line="276" w:lineRule="auto"/>
              <w:rPr>
                <w:rFonts w:ascii="Lato" w:hAnsi="Lato" w:cs="Calibri"/>
                <w:color w:val="000000"/>
                <w:sz w:val="20"/>
                <w:szCs w:val="20"/>
              </w:rPr>
            </w:pPr>
          </w:p>
        </w:tc>
        <w:tc>
          <w:tcPr>
            <w:tcW w:w="4678" w:type="dxa"/>
            <w:noWrap/>
            <w:hideMark/>
          </w:tcPr>
          <w:p w14:paraId="1D94EA90" w14:textId="77777777" w:rsidR="00E53BC5" w:rsidRPr="00D12057" w:rsidRDefault="00E53BC5" w:rsidP="00983C18">
            <w:pPr>
              <w:spacing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Maksymalny poziom dziennego wykorzystania [%]</w:t>
            </w:r>
          </w:p>
        </w:tc>
        <w:tc>
          <w:tcPr>
            <w:tcW w:w="1984" w:type="dxa"/>
            <w:noWrap/>
            <w:hideMark/>
          </w:tcPr>
          <w:p w14:paraId="74F7510E" w14:textId="77777777" w:rsidR="00E53BC5" w:rsidRPr="00D12057" w:rsidRDefault="00E53BC5" w:rsidP="00983C18">
            <w:pPr>
              <w:spacing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99,6%</w:t>
            </w:r>
          </w:p>
        </w:tc>
      </w:tr>
      <w:tr w:rsidR="00E53BC5" w:rsidRPr="00C758B1" w14:paraId="23D34724" w14:textId="77777777" w:rsidTr="00CE72DC">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2410" w:type="dxa"/>
            <w:vMerge/>
            <w:hideMark/>
          </w:tcPr>
          <w:p w14:paraId="05DBBDF3" w14:textId="77777777" w:rsidR="00E53BC5" w:rsidRPr="00D12057" w:rsidRDefault="00E53BC5" w:rsidP="00983C18">
            <w:pPr>
              <w:spacing w:line="276" w:lineRule="auto"/>
              <w:rPr>
                <w:rFonts w:ascii="Lato" w:hAnsi="Lato" w:cs="Calibri"/>
                <w:color w:val="000000"/>
                <w:sz w:val="20"/>
                <w:szCs w:val="20"/>
              </w:rPr>
            </w:pPr>
          </w:p>
        </w:tc>
        <w:tc>
          <w:tcPr>
            <w:tcW w:w="4678" w:type="dxa"/>
            <w:noWrap/>
            <w:hideMark/>
          </w:tcPr>
          <w:p w14:paraId="5A12C015" w14:textId="77777777" w:rsidR="00E53BC5" w:rsidRPr="00D12057" w:rsidRDefault="00E53BC5" w:rsidP="00983C18">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Maksymalny poziom tygodniowego wykorzystania [%]</w:t>
            </w:r>
          </w:p>
        </w:tc>
        <w:tc>
          <w:tcPr>
            <w:tcW w:w="1984" w:type="dxa"/>
            <w:noWrap/>
            <w:hideMark/>
          </w:tcPr>
          <w:p w14:paraId="1C5FD74C" w14:textId="77777777" w:rsidR="00E53BC5" w:rsidRPr="00D12057" w:rsidRDefault="00E53BC5" w:rsidP="00983C18">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98,4%</w:t>
            </w:r>
          </w:p>
        </w:tc>
      </w:tr>
      <w:tr w:rsidR="00E53BC5" w:rsidRPr="00C758B1" w14:paraId="7D393316" w14:textId="77777777" w:rsidTr="00CE72DC">
        <w:trPr>
          <w:trHeight w:val="67"/>
        </w:trPr>
        <w:tc>
          <w:tcPr>
            <w:cnfStyle w:val="001000000000" w:firstRow="0" w:lastRow="0" w:firstColumn="1" w:lastColumn="0" w:oddVBand="0" w:evenVBand="0" w:oddHBand="0" w:evenHBand="0" w:firstRowFirstColumn="0" w:firstRowLastColumn="0" w:lastRowFirstColumn="0" w:lastRowLastColumn="0"/>
            <w:tcW w:w="2410" w:type="dxa"/>
            <w:vMerge/>
            <w:hideMark/>
          </w:tcPr>
          <w:p w14:paraId="7B5D0352" w14:textId="77777777" w:rsidR="00E53BC5" w:rsidRPr="00D12057" w:rsidRDefault="00E53BC5" w:rsidP="00983C18">
            <w:pPr>
              <w:spacing w:line="276" w:lineRule="auto"/>
              <w:rPr>
                <w:rFonts w:ascii="Lato" w:hAnsi="Lato" w:cs="Calibri"/>
                <w:color w:val="000000"/>
                <w:sz w:val="20"/>
                <w:szCs w:val="20"/>
              </w:rPr>
            </w:pPr>
          </w:p>
        </w:tc>
        <w:tc>
          <w:tcPr>
            <w:tcW w:w="4678" w:type="dxa"/>
            <w:noWrap/>
            <w:hideMark/>
          </w:tcPr>
          <w:p w14:paraId="3A55596D" w14:textId="77777777" w:rsidR="00E53BC5" w:rsidRPr="00D12057" w:rsidRDefault="00E53BC5" w:rsidP="00983C18">
            <w:pPr>
              <w:spacing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Zasady dostępu</w:t>
            </w:r>
          </w:p>
        </w:tc>
        <w:tc>
          <w:tcPr>
            <w:tcW w:w="1984" w:type="dxa"/>
            <w:noWrap/>
            <w:hideMark/>
          </w:tcPr>
          <w:p w14:paraId="77546F27" w14:textId="77777777" w:rsidR="00E53BC5" w:rsidRPr="00D12057" w:rsidRDefault="00E53BC5" w:rsidP="00983C18">
            <w:pPr>
              <w:spacing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regulowane</w:t>
            </w:r>
          </w:p>
        </w:tc>
      </w:tr>
      <w:tr w:rsidR="00E53BC5" w:rsidRPr="00C758B1" w14:paraId="126D8A01" w14:textId="77777777" w:rsidTr="00CE72DC">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2410" w:type="dxa"/>
            <w:vMerge w:val="restart"/>
            <w:shd w:val="clear" w:color="auto" w:fill="FFFFFF" w:themeFill="background1"/>
            <w:hideMark/>
          </w:tcPr>
          <w:p w14:paraId="1669C004" w14:textId="77777777" w:rsidR="00E53BC5" w:rsidRPr="00D12057" w:rsidRDefault="00E53BC5" w:rsidP="00983C18">
            <w:pPr>
              <w:spacing w:line="276" w:lineRule="auto"/>
              <w:jc w:val="center"/>
              <w:rPr>
                <w:rFonts w:ascii="Lato" w:hAnsi="Lato" w:cs="Calibri"/>
                <w:color w:val="000000"/>
                <w:sz w:val="20"/>
                <w:szCs w:val="20"/>
              </w:rPr>
            </w:pPr>
            <w:r w:rsidRPr="00D12057">
              <w:rPr>
                <w:rFonts w:ascii="Lato" w:hAnsi="Lato" w:cs="Calibri"/>
                <w:color w:val="000000"/>
                <w:sz w:val="20"/>
                <w:szCs w:val="20"/>
              </w:rPr>
              <w:t>EemsEnergyTerminal (NL)</w:t>
            </w:r>
          </w:p>
        </w:tc>
        <w:tc>
          <w:tcPr>
            <w:tcW w:w="4678" w:type="dxa"/>
            <w:noWrap/>
            <w:hideMark/>
          </w:tcPr>
          <w:p w14:paraId="71F81804" w14:textId="77777777" w:rsidR="00E53BC5" w:rsidRPr="00D12057" w:rsidRDefault="00E53BC5" w:rsidP="00983C18">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 xml:space="preserve">Techniczna zdolność regazyfikacyjna terminalu LNG </w:t>
            </w:r>
          </w:p>
          <w:p w14:paraId="55BE44FE" w14:textId="36DBAA71" w:rsidR="00E53BC5" w:rsidRPr="00D12057" w:rsidRDefault="00E53BC5" w:rsidP="00983C18">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(GWh/d)</w:t>
            </w:r>
          </w:p>
        </w:tc>
        <w:tc>
          <w:tcPr>
            <w:tcW w:w="1984" w:type="dxa"/>
            <w:noWrap/>
            <w:hideMark/>
          </w:tcPr>
          <w:p w14:paraId="7F69A1B5" w14:textId="77777777" w:rsidR="00E53BC5" w:rsidRPr="00D12057" w:rsidRDefault="00E53BC5" w:rsidP="00983C18">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228,3</w:t>
            </w:r>
          </w:p>
        </w:tc>
      </w:tr>
      <w:tr w:rsidR="00E53BC5" w:rsidRPr="00C758B1" w14:paraId="50BBCDC4" w14:textId="77777777" w:rsidTr="00CE72DC">
        <w:trPr>
          <w:trHeight w:val="67"/>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FFFFFF" w:themeFill="background1"/>
            <w:hideMark/>
          </w:tcPr>
          <w:p w14:paraId="0F53F58C" w14:textId="77777777" w:rsidR="00E53BC5" w:rsidRPr="00D12057" w:rsidRDefault="00E53BC5" w:rsidP="00983C18">
            <w:pPr>
              <w:spacing w:line="276" w:lineRule="auto"/>
              <w:rPr>
                <w:rFonts w:ascii="Lato" w:hAnsi="Lato" w:cs="Calibri"/>
                <w:color w:val="000000"/>
                <w:sz w:val="20"/>
                <w:szCs w:val="20"/>
              </w:rPr>
            </w:pPr>
          </w:p>
        </w:tc>
        <w:tc>
          <w:tcPr>
            <w:tcW w:w="4678" w:type="dxa"/>
            <w:noWrap/>
            <w:hideMark/>
          </w:tcPr>
          <w:p w14:paraId="22FFC3A5" w14:textId="2B0C2502" w:rsidR="00E53BC5" w:rsidRPr="00D12057" w:rsidRDefault="00E53BC5" w:rsidP="00983C18">
            <w:pPr>
              <w:spacing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Pojemność zdolności magazynowych LNG</w:t>
            </w:r>
            <w:r w:rsidR="00F522D0" w:rsidRPr="00D12057">
              <w:rPr>
                <w:rFonts w:ascii="Lato" w:hAnsi="Lato" w:cs="Calibri"/>
                <w:color w:val="000000"/>
                <w:sz w:val="20"/>
                <w:szCs w:val="20"/>
              </w:rPr>
              <w:t xml:space="preserve"> </w:t>
            </w:r>
            <w:r w:rsidRPr="00D12057">
              <w:rPr>
                <w:rFonts w:ascii="Lato" w:hAnsi="Lato" w:cs="Calibri"/>
                <w:color w:val="000000"/>
                <w:sz w:val="20"/>
                <w:szCs w:val="20"/>
              </w:rPr>
              <w:t>[TWh]</w:t>
            </w:r>
          </w:p>
        </w:tc>
        <w:tc>
          <w:tcPr>
            <w:tcW w:w="1984" w:type="dxa"/>
            <w:noWrap/>
            <w:hideMark/>
          </w:tcPr>
          <w:p w14:paraId="490144DE" w14:textId="77777777" w:rsidR="00E53BC5" w:rsidRPr="00D12057" w:rsidRDefault="00E53BC5" w:rsidP="00983C18">
            <w:pPr>
              <w:spacing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1,03</w:t>
            </w:r>
          </w:p>
        </w:tc>
      </w:tr>
      <w:tr w:rsidR="00E53BC5" w:rsidRPr="00C758B1" w14:paraId="3FE67181" w14:textId="77777777" w:rsidTr="00CE72DC">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FFFFFF" w:themeFill="background1"/>
            <w:hideMark/>
          </w:tcPr>
          <w:p w14:paraId="4FD1BF3B" w14:textId="77777777" w:rsidR="00E53BC5" w:rsidRPr="00D12057" w:rsidRDefault="00E53BC5" w:rsidP="00983C18">
            <w:pPr>
              <w:spacing w:line="276" w:lineRule="auto"/>
              <w:rPr>
                <w:rFonts w:ascii="Lato" w:hAnsi="Lato" w:cs="Calibri"/>
                <w:color w:val="000000"/>
                <w:sz w:val="20"/>
                <w:szCs w:val="20"/>
              </w:rPr>
            </w:pPr>
          </w:p>
        </w:tc>
        <w:tc>
          <w:tcPr>
            <w:tcW w:w="4678" w:type="dxa"/>
            <w:noWrap/>
            <w:hideMark/>
          </w:tcPr>
          <w:p w14:paraId="3CA20AE8" w14:textId="77777777" w:rsidR="00E53BC5" w:rsidRPr="00D12057" w:rsidRDefault="00E53BC5" w:rsidP="00983C18">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Średni roczny stopień wykorzystania [%]</w:t>
            </w:r>
          </w:p>
        </w:tc>
        <w:tc>
          <w:tcPr>
            <w:tcW w:w="1984" w:type="dxa"/>
            <w:noWrap/>
            <w:hideMark/>
          </w:tcPr>
          <w:p w14:paraId="2F894345" w14:textId="77777777" w:rsidR="00E53BC5" w:rsidRPr="00D12057" w:rsidRDefault="00E53BC5" w:rsidP="00983C18">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83,6%</w:t>
            </w:r>
          </w:p>
        </w:tc>
      </w:tr>
      <w:tr w:rsidR="00E53BC5" w:rsidRPr="00C758B1" w14:paraId="7F5C0FC5" w14:textId="77777777" w:rsidTr="00CE72DC">
        <w:trPr>
          <w:trHeight w:val="67"/>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FFFFFF" w:themeFill="background1"/>
            <w:hideMark/>
          </w:tcPr>
          <w:p w14:paraId="069D27A0" w14:textId="77777777" w:rsidR="00E53BC5" w:rsidRPr="00D12057" w:rsidRDefault="00E53BC5" w:rsidP="00983C18">
            <w:pPr>
              <w:spacing w:line="276" w:lineRule="auto"/>
              <w:rPr>
                <w:rFonts w:ascii="Lato" w:hAnsi="Lato" w:cs="Calibri"/>
                <w:color w:val="000000"/>
                <w:sz w:val="20"/>
                <w:szCs w:val="20"/>
              </w:rPr>
            </w:pPr>
          </w:p>
        </w:tc>
        <w:tc>
          <w:tcPr>
            <w:tcW w:w="4678" w:type="dxa"/>
            <w:noWrap/>
            <w:hideMark/>
          </w:tcPr>
          <w:p w14:paraId="5605DCB9" w14:textId="77777777" w:rsidR="00E53BC5" w:rsidRPr="00D12057" w:rsidRDefault="00E53BC5" w:rsidP="00983C18">
            <w:pPr>
              <w:spacing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Maksymalny poziom dziennego wykorzystania [%]</w:t>
            </w:r>
          </w:p>
        </w:tc>
        <w:tc>
          <w:tcPr>
            <w:tcW w:w="1984" w:type="dxa"/>
            <w:noWrap/>
            <w:hideMark/>
          </w:tcPr>
          <w:p w14:paraId="39F17681" w14:textId="77777777" w:rsidR="00E53BC5" w:rsidRPr="00D12057" w:rsidRDefault="00E53BC5" w:rsidP="00983C18">
            <w:pPr>
              <w:spacing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100,0%</w:t>
            </w:r>
          </w:p>
        </w:tc>
      </w:tr>
      <w:tr w:rsidR="00E53BC5" w:rsidRPr="00C758B1" w14:paraId="722001D1" w14:textId="77777777" w:rsidTr="00CE72DC">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FFFFFF" w:themeFill="background1"/>
            <w:hideMark/>
          </w:tcPr>
          <w:p w14:paraId="09D601C4" w14:textId="77777777" w:rsidR="00E53BC5" w:rsidRPr="00D12057" w:rsidRDefault="00E53BC5" w:rsidP="00983C18">
            <w:pPr>
              <w:spacing w:line="276" w:lineRule="auto"/>
              <w:rPr>
                <w:rFonts w:ascii="Lato" w:hAnsi="Lato" w:cs="Calibri"/>
                <w:color w:val="000000"/>
                <w:sz w:val="20"/>
                <w:szCs w:val="20"/>
              </w:rPr>
            </w:pPr>
          </w:p>
        </w:tc>
        <w:tc>
          <w:tcPr>
            <w:tcW w:w="4678" w:type="dxa"/>
            <w:noWrap/>
            <w:hideMark/>
          </w:tcPr>
          <w:p w14:paraId="720E5FCB" w14:textId="77777777" w:rsidR="00E53BC5" w:rsidRPr="00D12057" w:rsidRDefault="00E53BC5" w:rsidP="00983C18">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Maksymalny poziom tygodniowego wykorzystania [%]</w:t>
            </w:r>
          </w:p>
        </w:tc>
        <w:tc>
          <w:tcPr>
            <w:tcW w:w="1984" w:type="dxa"/>
            <w:noWrap/>
            <w:hideMark/>
          </w:tcPr>
          <w:p w14:paraId="2C7DD34D" w14:textId="77777777" w:rsidR="00E53BC5" w:rsidRPr="00D12057" w:rsidRDefault="00E53BC5" w:rsidP="00983C18">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90,1%</w:t>
            </w:r>
          </w:p>
        </w:tc>
      </w:tr>
      <w:tr w:rsidR="00E53BC5" w:rsidRPr="00C758B1" w14:paraId="33FEB203" w14:textId="77777777" w:rsidTr="00CE72DC">
        <w:trPr>
          <w:trHeight w:val="67"/>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FFFFFF" w:themeFill="background1"/>
            <w:hideMark/>
          </w:tcPr>
          <w:p w14:paraId="50F2AEC1" w14:textId="77777777" w:rsidR="00E53BC5" w:rsidRPr="00D12057" w:rsidRDefault="00E53BC5" w:rsidP="00983C18">
            <w:pPr>
              <w:spacing w:line="276" w:lineRule="auto"/>
              <w:rPr>
                <w:rFonts w:ascii="Lato" w:hAnsi="Lato" w:cs="Calibri"/>
                <w:color w:val="000000"/>
                <w:sz w:val="20"/>
                <w:szCs w:val="20"/>
              </w:rPr>
            </w:pPr>
          </w:p>
        </w:tc>
        <w:tc>
          <w:tcPr>
            <w:tcW w:w="4678" w:type="dxa"/>
            <w:noWrap/>
            <w:hideMark/>
          </w:tcPr>
          <w:p w14:paraId="0926F776" w14:textId="77777777" w:rsidR="00E53BC5" w:rsidRPr="00D12057" w:rsidRDefault="00E53BC5" w:rsidP="00983C18">
            <w:pPr>
              <w:spacing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Zasady dostępu</w:t>
            </w:r>
          </w:p>
        </w:tc>
        <w:tc>
          <w:tcPr>
            <w:tcW w:w="1984" w:type="dxa"/>
            <w:noWrap/>
            <w:hideMark/>
          </w:tcPr>
          <w:p w14:paraId="36F01913" w14:textId="77777777" w:rsidR="00E53BC5" w:rsidRPr="00D12057" w:rsidRDefault="00E53BC5" w:rsidP="00983C18">
            <w:pPr>
              <w:spacing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p>
        </w:tc>
      </w:tr>
      <w:tr w:rsidR="00E53BC5" w:rsidRPr="00C758B1" w14:paraId="18369D0A" w14:textId="77777777" w:rsidTr="00CE72DC">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2410" w:type="dxa"/>
            <w:vMerge w:val="restart"/>
            <w:hideMark/>
          </w:tcPr>
          <w:p w14:paraId="4CFFFB33" w14:textId="77777777" w:rsidR="00E53BC5" w:rsidRPr="00D12057" w:rsidRDefault="00E53BC5" w:rsidP="00983C18">
            <w:pPr>
              <w:spacing w:line="276" w:lineRule="auto"/>
              <w:jc w:val="center"/>
              <w:rPr>
                <w:rFonts w:ascii="Lato" w:hAnsi="Lato" w:cs="Calibri"/>
                <w:color w:val="000000"/>
                <w:sz w:val="20"/>
                <w:szCs w:val="20"/>
              </w:rPr>
            </w:pPr>
            <w:r w:rsidRPr="00D12057">
              <w:rPr>
                <w:rFonts w:ascii="Lato" w:hAnsi="Lato" w:cs="Calibri"/>
                <w:color w:val="000000"/>
                <w:sz w:val="20"/>
                <w:szCs w:val="20"/>
              </w:rPr>
              <w:t>Świnoujście (PL)</w:t>
            </w:r>
          </w:p>
        </w:tc>
        <w:tc>
          <w:tcPr>
            <w:tcW w:w="4678" w:type="dxa"/>
            <w:noWrap/>
            <w:hideMark/>
          </w:tcPr>
          <w:p w14:paraId="1354B2C4" w14:textId="77777777" w:rsidR="00E53BC5" w:rsidRPr="00D12057" w:rsidRDefault="00E53BC5" w:rsidP="00983C18">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 xml:space="preserve">Techniczna zdolność regazyfikacyjna terminalu LNG </w:t>
            </w:r>
          </w:p>
          <w:p w14:paraId="335AB783" w14:textId="5CF2E12C" w:rsidR="00E53BC5" w:rsidRPr="00D12057" w:rsidRDefault="00E53BC5" w:rsidP="00983C18">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(GWh/d)</w:t>
            </w:r>
          </w:p>
        </w:tc>
        <w:tc>
          <w:tcPr>
            <w:tcW w:w="1984" w:type="dxa"/>
            <w:noWrap/>
            <w:hideMark/>
          </w:tcPr>
          <w:p w14:paraId="3A3ED9CF" w14:textId="77777777" w:rsidR="00E53BC5" w:rsidRPr="00D12057" w:rsidRDefault="00E53BC5" w:rsidP="00983C18">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227,3</w:t>
            </w:r>
          </w:p>
        </w:tc>
      </w:tr>
      <w:tr w:rsidR="00E53BC5" w:rsidRPr="00C758B1" w14:paraId="6ACB2194" w14:textId="77777777" w:rsidTr="00CE72DC">
        <w:trPr>
          <w:trHeight w:val="67"/>
        </w:trPr>
        <w:tc>
          <w:tcPr>
            <w:cnfStyle w:val="001000000000" w:firstRow="0" w:lastRow="0" w:firstColumn="1" w:lastColumn="0" w:oddVBand="0" w:evenVBand="0" w:oddHBand="0" w:evenHBand="0" w:firstRowFirstColumn="0" w:firstRowLastColumn="0" w:lastRowFirstColumn="0" w:lastRowLastColumn="0"/>
            <w:tcW w:w="2410" w:type="dxa"/>
            <w:vMerge/>
            <w:hideMark/>
          </w:tcPr>
          <w:p w14:paraId="02333D03" w14:textId="77777777" w:rsidR="00E53BC5" w:rsidRPr="00D12057" w:rsidRDefault="00E53BC5" w:rsidP="00983C18">
            <w:pPr>
              <w:spacing w:line="276" w:lineRule="auto"/>
              <w:rPr>
                <w:rFonts w:ascii="Lato" w:hAnsi="Lato" w:cs="Calibri"/>
                <w:color w:val="000000"/>
                <w:sz w:val="20"/>
                <w:szCs w:val="20"/>
              </w:rPr>
            </w:pPr>
          </w:p>
        </w:tc>
        <w:tc>
          <w:tcPr>
            <w:tcW w:w="4678" w:type="dxa"/>
            <w:noWrap/>
            <w:hideMark/>
          </w:tcPr>
          <w:p w14:paraId="02B84E4C" w14:textId="0BF48B22" w:rsidR="00E53BC5" w:rsidRPr="00D12057" w:rsidRDefault="00E53BC5" w:rsidP="00983C18">
            <w:pPr>
              <w:spacing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Pojemność zdolności magazynowych LNG</w:t>
            </w:r>
            <w:r w:rsidR="00F522D0" w:rsidRPr="00D12057">
              <w:rPr>
                <w:rFonts w:ascii="Lato" w:hAnsi="Lato" w:cs="Calibri"/>
                <w:color w:val="000000"/>
                <w:sz w:val="20"/>
                <w:szCs w:val="20"/>
              </w:rPr>
              <w:t xml:space="preserve"> </w:t>
            </w:r>
            <w:r w:rsidRPr="00D12057">
              <w:rPr>
                <w:rFonts w:ascii="Lato" w:hAnsi="Lato" w:cs="Calibri"/>
                <w:color w:val="000000"/>
                <w:sz w:val="20"/>
                <w:szCs w:val="20"/>
              </w:rPr>
              <w:t>[TWh]</w:t>
            </w:r>
          </w:p>
        </w:tc>
        <w:tc>
          <w:tcPr>
            <w:tcW w:w="1984" w:type="dxa"/>
            <w:noWrap/>
            <w:hideMark/>
          </w:tcPr>
          <w:p w14:paraId="73A0618C" w14:textId="77777777" w:rsidR="00E53BC5" w:rsidRPr="00D12057" w:rsidRDefault="00E53BC5" w:rsidP="00983C18">
            <w:pPr>
              <w:spacing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2,12</w:t>
            </w:r>
          </w:p>
        </w:tc>
      </w:tr>
      <w:tr w:rsidR="00E53BC5" w:rsidRPr="00C758B1" w14:paraId="61D97EA8" w14:textId="77777777" w:rsidTr="00CE72DC">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2410" w:type="dxa"/>
            <w:vMerge/>
            <w:hideMark/>
          </w:tcPr>
          <w:p w14:paraId="0DD4085B" w14:textId="77777777" w:rsidR="00E53BC5" w:rsidRPr="00D12057" w:rsidRDefault="00E53BC5" w:rsidP="00983C18">
            <w:pPr>
              <w:spacing w:line="276" w:lineRule="auto"/>
              <w:rPr>
                <w:rFonts w:ascii="Lato" w:hAnsi="Lato" w:cs="Calibri"/>
                <w:color w:val="000000"/>
                <w:sz w:val="20"/>
                <w:szCs w:val="20"/>
              </w:rPr>
            </w:pPr>
          </w:p>
        </w:tc>
        <w:tc>
          <w:tcPr>
            <w:tcW w:w="4678" w:type="dxa"/>
            <w:noWrap/>
            <w:hideMark/>
          </w:tcPr>
          <w:p w14:paraId="1A513997" w14:textId="77777777" w:rsidR="00E53BC5" w:rsidRPr="00D12057" w:rsidRDefault="00E53BC5" w:rsidP="00983C18">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Średni roczny stopień wykorzystania [%]</w:t>
            </w:r>
          </w:p>
        </w:tc>
        <w:tc>
          <w:tcPr>
            <w:tcW w:w="1984" w:type="dxa"/>
            <w:noWrap/>
            <w:hideMark/>
          </w:tcPr>
          <w:p w14:paraId="391B27FA" w14:textId="77777777" w:rsidR="00E53BC5" w:rsidRPr="00D12057" w:rsidRDefault="00E53BC5" w:rsidP="00983C18">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78,7%</w:t>
            </w:r>
          </w:p>
        </w:tc>
      </w:tr>
      <w:tr w:rsidR="00E53BC5" w:rsidRPr="00C758B1" w14:paraId="2E67C94D" w14:textId="77777777" w:rsidTr="00CE72DC">
        <w:trPr>
          <w:trHeight w:val="67"/>
        </w:trPr>
        <w:tc>
          <w:tcPr>
            <w:cnfStyle w:val="001000000000" w:firstRow="0" w:lastRow="0" w:firstColumn="1" w:lastColumn="0" w:oddVBand="0" w:evenVBand="0" w:oddHBand="0" w:evenHBand="0" w:firstRowFirstColumn="0" w:firstRowLastColumn="0" w:lastRowFirstColumn="0" w:lastRowLastColumn="0"/>
            <w:tcW w:w="2410" w:type="dxa"/>
            <w:vMerge/>
            <w:hideMark/>
          </w:tcPr>
          <w:p w14:paraId="6FDCCEE4" w14:textId="77777777" w:rsidR="00E53BC5" w:rsidRPr="00D12057" w:rsidRDefault="00E53BC5" w:rsidP="00983C18">
            <w:pPr>
              <w:spacing w:line="276" w:lineRule="auto"/>
              <w:rPr>
                <w:rFonts w:ascii="Lato" w:hAnsi="Lato" w:cs="Calibri"/>
                <w:color w:val="000000"/>
                <w:sz w:val="20"/>
                <w:szCs w:val="20"/>
              </w:rPr>
            </w:pPr>
          </w:p>
        </w:tc>
        <w:tc>
          <w:tcPr>
            <w:tcW w:w="4678" w:type="dxa"/>
            <w:noWrap/>
            <w:hideMark/>
          </w:tcPr>
          <w:p w14:paraId="04F9F532" w14:textId="77777777" w:rsidR="00E53BC5" w:rsidRPr="00D12057" w:rsidRDefault="00E53BC5" w:rsidP="00983C18">
            <w:pPr>
              <w:spacing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Maksymalny poziom dziennego wykorzystania [%]</w:t>
            </w:r>
          </w:p>
        </w:tc>
        <w:tc>
          <w:tcPr>
            <w:tcW w:w="1984" w:type="dxa"/>
            <w:noWrap/>
            <w:hideMark/>
          </w:tcPr>
          <w:p w14:paraId="04403617" w14:textId="77777777" w:rsidR="00E53BC5" w:rsidRPr="00D12057" w:rsidRDefault="00E53BC5" w:rsidP="00983C18">
            <w:pPr>
              <w:spacing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120,4%</w:t>
            </w:r>
          </w:p>
        </w:tc>
      </w:tr>
      <w:tr w:rsidR="00E53BC5" w:rsidRPr="00C758B1" w14:paraId="03D34C88" w14:textId="77777777" w:rsidTr="00CE72DC">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2410" w:type="dxa"/>
            <w:vMerge/>
            <w:hideMark/>
          </w:tcPr>
          <w:p w14:paraId="5EA26A9C" w14:textId="77777777" w:rsidR="00E53BC5" w:rsidRPr="00D12057" w:rsidRDefault="00E53BC5" w:rsidP="00983C18">
            <w:pPr>
              <w:spacing w:line="276" w:lineRule="auto"/>
              <w:rPr>
                <w:rFonts w:ascii="Lato" w:hAnsi="Lato" w:cs="Calibri"/>
                <w:color w:val="000000"/>
                <w:sz w:val="20"/>
                <w:szCs w:val="20"/>
              </w:rPr>
            </w:pPr>
          </w:p>
        </w:tc>
        <w:tc>
          <w:tcPr>
            <w:tcW w:w="4678" w:type="dxa"/>
            <w:noWrap/>
            <w:hideMark/>
          </w:tcPr>
          <w:p w14:paraId="17E0C222" w14:textId="77777777" w:rsidR="00E53BC5" w:rsidRPr="00D12057" w:rsidRDefault="00E53BC5" w:rsidP="00983C18">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Maksymalny poziom tygodniowego wykorzystania [%]</w:t>
            </w:r>
          </w:p>
        </w:tc>
        <w:tc>
          <w:tcPr>
            <w:tcW w:w="1984" w:type="dxa"/>
            <w:noWrap/>
            <w:hideMark/>
          </w:tcPr>
          <w:p w14:paraId="24845590" w14:textId="77777777" w:rsidR="00E53BC5" w:rsidRPr="00D12057" w:rsidRDefault="00E53BC5" w:rsidP="00983C18">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106,4%</w:t>
            </w:r>
          </w:p>
        </w:tc>
      </w:tr>
      <w:tr w:rsidR="00E53BC5" w:rsidRPr="00C758B1" w14:paraId="7D132C9F" w14:textId="77777777" w:rsidTr="00CE72DC">
        <w:trPr>
          <w:trHeight w:val="67"/>
        </w:trPr>
        <w:tc>
          <w:tcPr>
            <w:cnfStyle w:val="001000000000" w:firstRow="0" w:lastRow="0" w:firstColumn="1" w:lastColumn="0" w:oddVBand="0" w:evenVBand="0" w:oddHBand="0" w:evenHBand="0" w:firstRowFirstColumn="0" w:firstRowLastColumn="0" w:lastRowFirstColumn="0" w:lastRowLastColumn="0"/>
            <w:tcW w:w="2410" w:type="dxa"/>
            <w:vMerge/>
            <w:hideMark/>
          </w:tcPr>
          <w:p w14:paraId="5C2BC15D" w14:textId="77777777" w:rsidR="00E53BC5" w:rsidRPr="00D12057" w:rsidRDefault="00E53BC5" w:rsidP="00983C18">
            <w:pPr>
              <w:spacing w:line="276" w:lineRule="auto"/>
              <w:rPr>
                <w:rFonts w:ascii="Lato" w:hAnsi="Lato" w:cs="Calibri"/>
                <w:color w:val="000000"/>
                <w:sz w:val="20"/>
                <w:szCs w:val="20"/>
              </w:rPr>
            </w:pPr>
          </w:p>
        </w:tc>
        <w:tc>
          <w:tcPr>
            <w:tcW w:w="4678" w:type="dxa"/>
            <w:noWrap/>
            <w:hideMark/>
          </w:tcPr>
          <w:p w14:paraId="15A60353" w14:textId="77777777" w:rsidR="00E53BC5" w:rsidRPr="00D12057" w:rsidRDefault="00E53BC5" w:rsidP="00983C18">
            <w:pPr>
              <w:spacing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Zasady dostępu</w:t>
            </w:r>
          </w:p>
        </w:tc>
        <w:tc>
          <w:tcPr>
            <w:tcW w:w="1984" w:type="dxa"/>
            <w:noWrap/>
            <w:hideMark/>
          </w:tcPr>
          <w:p w14:paraId="1CDA4844" w14:textId="77777777" w:rsidR="00E53BC5" w:rsidRPr="00D12057" w:rsidRDefault="00E53BC5" w:rsidP="00983C18">
            <w:pPr>
              <w:spacing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D12057">
              <w:rPr>
                <w:rFonts w:ascii="Lato" w:hAnsi="Lato" w:cs="Calibri"/>
                <w:color w:val="000000"/>
                <w:sz w:val="20"/>
                <w:szCs w:val="20"/>
              </w:rPr>
              <w:t>regulowane</w:t>
            </w:r>
          </w:p>
        </w:tc>
      </w:tr>
    </w:tbl>
    <w:p w14:paraId="63A3BA62" w14:textId="77777777" w:rsidR="00E53BC5" w:rsidRPr="00C758B1" w:rsidRDefault="00E53BC5" w:rsidP="00983C18">
      <w:pPr>
        <w:pStyle w:val="StandardowyTekst"/>
        <w:spacing w:line="276" w:lineRule="auto"/>
        <w:rPr>
          <w:rFonts w:ascii="Lato" w:eastAsia="Malgun Gothic" w:hAnsi="Lato"/>
          <w:sz w:val="20"/>
        </w:rPr>
      </w:pPr>
    </w:p>
    <w:p w14:paraId="1B322DBA" w14:textId="6CB53CE8" w:rsidR="00E53BC5" w:rsidRPr="00F522D0" w:rsidRDefault="00F522D0" w:rsidP="000A7C68">
      <w:pPr>
        <w:spacing w:before="120" w:after="60" w:line="276" w:lineRule="auto"/>
        <w:ind w:firstLine="567"/>
        <w:rPr>
          <w:rFonts w:ascii="Lato" w:eastAsia="Malgun Gothic" w:hAnsi="Lato"/>
        </w:rPr>
      </w:pPr>
      <w:r w:rsidRPr="09102414">
        <w:rPr>
          <w:rFonts w:ascii="Lato" w:eastAsia="Malgun Gothic" w:hAnsi="Lato"/>
        </w:rPr>
        <w:t>Łączna</w:t>
      </w:r>
      <w:r w:rsidR="00E53BC5" w:rsidRPr="09102414">
        <w:rPr>
          <w:rFonts w:ascii="Lato" w:eastAsia="Malgun Gothic" w:hAnsi="Lato"/>
        </w:rPr>
        <w:t xml:space="preserve"> pojemność czynna podziemnych magazynów gazu ziemnego w 2022 r. w państwach członkowskich tworzących białoruską grupę ryzyka wyniosła łącznie 48,81 mld m</w:t>
      </w:r>
      <w:r w:rsidR="00E53BC5" w:rsidRPr="09102414">
        <w:rPr>
          <w:rFonts w:ascii="Lato" w:eastAsia="Malgun Gothic" w:hAnsi="Lato"/>
          <w:vertAlign w:val="superscript"/>
        </w:rPr>
        <w:t>3</w:t>
      </w:r>
      <w:r w:rsidR="00E53BC5" w:rsidRPr="09102414">
        <w:rPr>
          <w:rFonts w:ascii="Lato" w:eastAsia="Malgun Gothic" w:hAnsi="Lato"/>
        </w:rPr>
        <w:t xml:space="preserve"> (535 TWh). Instalacjami magazynowymi dysponują Belgia, </w:t>
      </w:r>
      <w:r w:rsidR="004A400B">
        <w:rPr>
          <w:rFonts w:ascii="Lato" w:eastAsia="Malgun Gothic" w:hAnsi="Lato"/>
        </w:rPr>
        <w:t>Czechy,</w:t>
      </w:r>
      <w:r w:rsidR="00E53BC5" w:rsidRPr="09102414">
        <w:rPr>
          <w:rFonts w:ascii="Lato" w:eastAsia="Malgun Gothic" w:hAnsi="Lato"/>
        </w:rPr>
        <w:t xml:space="preserve"> Niemcy, Dania, Łotwa, Holandia, Polska, Słowacja i Szwecja. Estonia, Finlandia, Luksemburg oraz Litwa nie posiadają podziemnych magazynów gazu ziemnego w swoim systemie gazowym. </w:t>
      </w:r>
    </w:p>
    <w:p w14:paraId="6F10F02A" w14:textId="77777777" w:rsidR="00E53BC5" w:rsidRPr="00F522D0" w:rsidRDefault="00E53BC5" w:rsidP="000A7C68">
      <w:pPr>
        <w:spacing w:after="60" w:line="276" w:lineRule="auto"/>
        <w:ind w:firstLine="567"/>
        <w:rPr>
          <w:rFonts w:ascii="Lato" w:eastAsia="Malgun Gothic" w:hAnsi="Lato"/>
          <w:szCs w:val="24"/>
        </w:rPr>
      </w:pPr>
      <w:r w:rsidRPr="00F522D0">
        <w:rPr>
          <w:rFonts w:ascii="Lato" w:eastAsia="Malgun Gothic" w:hAnsi="Lato"/>
          <w:szCs w:val="24"/>
        </w:rPr>
        <w:t>W 2022 r. maksymalna zdolność odbioru gazu ziemnego z podziemnych magazynów gazu białoruskiej grupy ryzyka przy całkowitym napełnieniu wyniosła 1,088 mld m</w:t>
      </w:r>
      <w:r w:rsidRPr="00F522D0">
        <w:rPr>
          <w:rFonts w:ascii="Lato" w:eastAsia="Malgun Gothic" w:hAnsi="Lato"/>
          <w:szCs w:val="24"/>
          <w:vertAlign w:val="superscript"/>
        </w:rPr>
        <w:t>3</w:t>
      </w:r>
      <w:r w:rsidRPr="00F522D0">
        <w:rPr>
          <w:rFonts w:ascii="Lato" w:eastAsia="Malgun Gothic" w:hAnsi="Lato"/>
          <w:szCs w:val="24"/>
        </w:rPr>
        <w:t>/dobę (11 937 GWh/dobę), natomiast na koniec sezonu – 0,78 mld m</w:t>
      </w:r>
      <w:r w:rsidRPr="00F522D0">
        <w:rPr>
          <w:rFonts w:ascii="Lato" w:eastAsia="Malgun Gothic" w:hAnsi="Lato"/>
          <w:szCs w:val="24"/>
          <w:vertAlign w:val="superscript"/>
        </w:rPr>
        <w:t>3</w:t>
      </w:r>
      <w:r w:rsidRPr="00F522D0">
        <w:rPr>
          <w:rFonts w:ascii="Lato" w:eastAsia="Malgun Gothic" w:hAnsi="Lato"/>
          <w:szCs w:val="24"/>
        </w:rPr>
        <w:t>/dobę (8 565 GWh/dobę).</w:t>
      </w:r>
    </w:p>
    <w:p w14:paraId="77DA72EA" w14:textId="0F0F6DAF" w:rsidR="00E53BC5" w:rsidRPr="00F522D0" w:rsidRDefault="00E53BC5" w:rsidP="000A7C68">
      <w:pPr>
        <w:spacing w:after="60" w:line="276" w:lineRule="auto"/>
        <w:ind w:firstLine="567"/>
        <w:rPr>
          <w:rFonts w:ascii="Lato" w:eastAsia="Malgun Gothic" w:hAnsi="Lato"/>
          <w:szCs w:val="24"/>
        </w:rPr>
      </w:pPr>
      <w:r w:rsidRPr="00F522D0">
        <w:rPr>
          <w:rFonts w:ascii="Lato" w:eastAsia="Malgun Gothic" w:hAnsi="Lato"/>
          <w:szCs w:val="24"/>
        </w:rPr>
        <w:t xml:space="preserve">Całkowite wydobycie gazu ziemnego w państwach członkowskich tworzących białoruską grupę ryzyka w 2021 r. </w:t>
      </w:r>
      <w:r w:rsidR="00BC1B79">
        <w:rPr>
          <w:rFonts w:ascii="Lato" w:eastAsia="Malgun Gothic" w:hAnsi="Lato"/>
          <w:szCs w:val="24"/>
        </w:rPr>
        <w:t>wyniosło</w:t>
      </w:r>
      <w:r w:rsidRPr="00F522D0">
        <w:rPr>
          <w:rFonts w:ascii="Lato" w:eastAsia="Malgun Gothic" w:hAnsi="Lato"/>
          <w:szCs w:val="24"/>
        </w:rPr>
        <w:t xml:space="preserve"> 28,1 mld m</w:t>
      </w:r>
      <w:r w:rsidRPr="00F522D0">
        <w:rPr>
          <w:rFonts w:ascii="Lato" w:eastAsia="Malgun Gothic" w:hAnsi="Lato"/>
          <w:szCs w:val="24"/>
          <w:vertAlign w:val="superscript"/>
        </w:rPr>
        <w:t>3</w:t>
      </w:r>
      <w:r w:rsidRPr="00F522D0">
        <w:rPr>
          <w:rFonts w:ascii="Lato" w:eastAsia="Malgun Gothic" w:hAnsi="Lato"/>
          <w:szCs w:val="24"/>
        </w:rPr>
        <w:t xml:space="preserve"> (308 TWh), co stanowi ok. 15% całkowitego zużycia gazu ziemnego w państwach członkowskich należących do grupy. Największym producentem gazu w grupie jest Holandia, natomiast najmniejszym Belgia. W 2021 r. wartości te osiągnęły odpowiednio 18,27 mld m</w:t>
      </w:r>
      <w:r w:rsidRPr="00F522D0">
        <w:rPr>
          <w:rFonts w:ascii="Lato" w:eastAsia="Malgun Gothic" w:hAnsi="Lato"/>
          <w:szCs w:val="24"/>
          <w:vertAlign w:val="superscript"/>
        </w:rPr>
        <w:t>3</w:t>
      </w:r>
      <w:r w:rsidRPr="00F522D0">
        <w:rPr>
          <w:rFonts w:ascii="Lato" w:eastAsia="Malgun Gothic" w:hAnsi="Lato"/>
          <w:szCs w:val="24"/>
        </w:rPr>
        <w:t xml:space="preserve"> (200 TWh) i 0,005 mld m</w:t>
      </w:r>
      <w:r w:rsidRPr="00F522D0">
        <w:rPr>
          <w:rFonts w:ascii="Lato" w:eastAsia="Malgun Gothic" w:hAnsi="Lato"/>
          <w:szCs w:val="24"/>
          <w:vertAlign w:val="superscript"/>
        </w:rPr>
        <w:t>3</w:t>
      </w:r>
      <w:r w:rsidRPr="00F522D0">
        <w:rPr>
          <w:rFonts w:ascii="Lato" w:eastAsia="Malgun Gothic" w:hAnsi="Lato"/>
          <w:szCs w:val="24"/>
        </w:rPr>
        <w:t xml:space="preserve"> (0,05 TWh). Na obszarze Estonii, </w:t>
      </w:r>
      <w:r w:rsidR="00F522D0" w:rsidRPr="00F522D0">
        <w:rPr>
          <w:rFonts w:ascii="Lato" w:eastAsia="Malgun Gothic" w:hAnsi="Lato"/>
          <w:szCs w:val="24"/>
        </w:rPr>
        <w:t>Finlandii</w:t>
      </w:r>
      <w:r w:rsidRPr="00F522D0">
        <w:rPr>
          <w:rFonts w:ascii="Lato" w:eastAsia="Malgun Gothic" w:hAnsi="Lato"/>
          <w:szCs w:val="24"/>
        </w:rPr>
        <w:t>, Litwy, Łotwy, Luksemburga oraz Szwecji działalność w zakresie wydobywania gazu ziemnego nie jest prowadzona.</w:t>
      </w:r>
    </w:p>
    <w:p w14:paraId="4CFFF3AE" w14:textId="77777777" w:rsidR="00B03DBA" w:rsidRPr="00C758B1" w:rsidRDefault="00C7771E" w:rsidP="00983C18">
      <w:pPr>
        <w:pStyle w:val="Rozdzia3"/>
        <w:rPr>
          <w:rFonts w:ascii="Lato" w:hAnsi="Lato"/>
        </w:rPr>
      </w:pPr>
      <w:bookmarkStart w:id="17" w:name="_Toc12953895"/>
      <w:bookmarkStart w:id="18" w:name="_Toc19782928"/>
      <w:bookmarkStart w:id="19" w:name="_Toc142469552"/>
      <w:r w:rsidRPr="00C758B1">
        <w:rPr>
          <w:rFonts w:ascii="Lato" w:hAnsi="Lato"/>
        </w:rPr>
        <w:t>Regionalna grupa ryzyka – Ukraina</w:t>
      </w:r>
      <w:bookmarkEnd w:id="17"/>
      <w:bookmarkEnd w:id="18"/>
      <w:bookmarkEnd w:id="19"/>
    </w:p>
    <w:p w14:paraId="68BA8BE1" w14:textId="084D7264" w:rsidR="00E53BC5" w:rsidRPr="00F522D0" w:rsidRDefault="00E53BC5" w:rsidP="000A7C68">
      <w:pPr>
        <w:spacing w:before="120" w:after="60" w:line="276" w:lineRule="auto"/>
        <w:ind w:firstLine="567"/>
        <w:rPr>
          <w:rFonts w:ascii="Lato" w:eastAsia="Malgun Gothic" w:hAnsi="Lato"/>
          <w:szCs w:val="24"/>
        </w:rPr>
      </w:pPr>
      <w:r w:rsidRPr="00F522D0">
        <w:rPr>
          <w:rFonts w:ascii="Lato" w:eastAsia="Malgun Gothic" w:hAnsi="Lato"/>
          <w:szCs w:val="24"/>
        </w:rPr>
        <w:t xml:space="preserve">Do regionalnej ukraińskiej grupy ryzyka ze względu na dostawy gazu ziemnego </w:t>
      </w:r>
      <w:r w:rsidR="00F522D0">
        <w:rPr>
          <w:rFonts w:ascii="Lato" w:eastAsia="Malgun Gothic" w:hAnsi="Lato"/>
          <w:szCs w:val="24"/>
        </w:rPr>
        <w:t>z kierunku wschodniego</w:t>
      </w:r>
      <w:r w:rsidRPr="00F522D0">
        <w:rPr>
          <w:rFonts w:ascii="Lato" w:eastAsia="Malgun Gothic" w:hAnsi="Lato"/>
          <w:szCs w:val="24"/>
        </w:rPr>
        <w:t xml:space="preserve"> należą: Austria, Bułgaria, Chorwacja, </w:t>
      </w:r>
      <w:r w:rsidR="00F522D0">
        <w:rPr>
          <w:rFonts w:ascii="Lato" w:eastAsia="Malgun Gothic" w:hAnsi="Lato"/>
          <w:szCs w:val="24"/>
        </w:rPr>
        <w:t>Czechy</w:t>
      </w:r>
      <w:r w:rsidRPr="00F522D0">
        <w:rPr>
          <w:rFonts w:ascii="Lato" w:eastAsia="Malgun Gothic" w:hAnsi="Lato"/>
          <w:szCs w:val="24"/>
        </w:rPr>
        <w:t>, Dania, Niemcy, Grecja, Węgry, Włochy, Luksemburg, Polska, Rumunia, Słowenia, Słowacja i Szwecja.</w:t>
      </w:r>
    </w:p>
    <w:p w14:paraId="57951346" w14:textId="3C7D8BE0" w:rsidR="00E53BC5" w:rsidRPr="00F522D0" w:rsidRDefault="00E53BC5" w:rsidP="000A7C68">
      <w:pPr>
        <w:spacing w:after="60" w:line="276" w:lineRule="auto"/>
        <w:ind w:firstLine="567"/>
        <w:rPr>
          <w:rFonts w:ascii="Lato" w:eastAsia="Malgun Gothic" w:hAnsi="Lato"/>
        </w:rPr>
      </w:pPr>
      <w:r w:rsidRPr="09102414">
        <w:rPr>
          <w:rFonts w:ascii="Lato" w:eastAsia="Malgun Gothic" w:hAnsi="Lato"/>
        </w:rPr>
        <w:lastRenderedPageBreak/>
        <w:t xml:space="preserve">Największym pojedynczym elementem infrastruktury w </w:t>
      </w:r>
      <w:r w:rsidR="00F522D0" w:rsidRPr="09102414">
        <w:rPr>
          <w:rFonts w:ascii="Lato" w:eastAsia="Malgun Gothic" w:hAnsi="Lato"/>
        </w:rPr>
        <w:t>u</w:t>
      </w:r>
      <w:r w:rsidRPr="09102414">
        <w:rPr>
          <w:rFonts w:ascii="Lato" w:eastAsia="Malgun Gothic" w:hAnsi="Lato"/>
        </w:rPr>
        <w:t xml:space="preserve">kraińskiej grupie ryzyka, podobnie jak ma to miejsce w białoruskiej grupie ryzyka, jest zlokalizowany na granicy Słowacji i Ukrainy </w:t>
      </w:r>
      <w:r w:rsidR="3DE7A921" w:rsidRPr="09102414">
        <w:rPr>
          <w:rFonts w:ascii="Lato" w:eastAsia="Malgun Gothic" w:hAnsi="Lato"/>
        </w:rPr>
        <w:t>punk</w:t>
      </w:r>
      <w:r w:rsidR="66427A41" w:rsidRPr="09102414">
        <w:rPr>
          <w:rFonts w:ascii="Lato" w:eastAsia="Malgun Gothic" w:hAnsi="Lato"/>
        </w:rPr>
        <w:t>t</w:t>
      </w:r>
      <w:r w:rsidRPr="09102414">
        <w:rPr>
          <w:rFonts w:ascii="Lato" w:eastAsia="Malgun Gothic" w:hAnsi="Lato"/>
        </w:rPr>
        <w:t xml:space="preserve"> połączenia międzysystemowego Uzhgorod-Velke Kapusany – o przepustowości wynoszącej 174,44 mln m</w:t>
      </w:r>
      <w:r w:rsidRPr="09102414">
        <w:rPr>
          <w:rFonts w:ascii="Lato" w:eastAsia="Malgun Gothic" w:hAnsi="Lato"/>
          <w:vertAlign w:val="superscript"/>
        </w:rPr>
        <w:t>3</w:t>
      </w:r>
      <w:r w:rsidRPr="09102414">
        <w:rPr>
          <w:rFonts w:ascii="Lato" w:eastAsia="Malgun Gothic" w:hAnsi="Lato"/>
        </w:rPr>
        <w:t>/dobę (1 913,6 GWh/d</w:t>
      </w:r>
      <w:r w:rsidR="00860F99" w:rsidRPr="09102414">
        <w:rPr>
          <w:rFonts w:ascii="Lato" w:eastAsia="Malgun Gothic" w:hAnsi="Lato"/>
        </w:rPr>
        <w:t>obę</w:t>
      </w:r>
      <w:r w:rsidRPr="09102414">
        <w:rPr>
          <w:rFonts w:ascii="Lato" w:eastAsia="Malgun Gothic" w:hAnsi="Lato"/>
        </w:rPr>
        <w:t xml:space="preserve">). </w:t>
      </w:r>
    </w:p>
    <w:p w14:paraId="5F6FA537" w14:textId="48F901C9" w:rsidR="00E53BC5" w:rsidRPr="00D879FE" w:rsidRDefault="00E53BC5" w:rsidP="000A7C68">
      <w:pPr>
        <w:spacing w:after="60" w:line="276" w:lineRule="auto"/>
        <w:ind w:firstLine="567"/>
        <w:rPr>
          <w:rFonts w:ascii="Lato" w:hAnsi="Lato"/>
        </w:rPr>
      </w:pPr>
      <w:r w:rsidRPr="09102414">
        <w:rPr>
          <w:rFonts w:ascii="Lato" w:eastAsia="Malgun Gothic" w:hAnsi="Lato"/>
        </w:rPr>
        <w:t xml:space="preserve">Maksymalne dobowe zapotrzebowanie na gaz ziemny </w:t>
      </w:r>
      <w:r w:rsidR="00F522D0" w:rsidRPr="09102414">
        <w:rPr>
          <w:rFonts w:ascii="Lato" w:eastAsia="Malgun Gothic" w:hAnsi="Lato"/>
        </w:rPr>
        <w:t xml:space="preserve">- </w:t>
      </w:r>
      <w:r w:rsidRPr="09102414">
        <w:rPr>
          <w:rFonts w:ascii="Lato" w:eastAsia="Malgun Gothic" w:hAnsi="Lato"/>
        </w:rPr>
        <w:t xml:space="preserve">określane jako zużycie gazu ziemnego w dniu nadzwyczajnie wysokiego zapotrzebowania występującego z prawdopodobieństwem raz na dwadzieścia lat </w:t>
      </w:r>
      <w:r w:rsidR="00F522D0" w:rsidRPr="09102414">
        <w:rPr>
          <w:rFonts w:ascii="Lato" w:eastAsia="Malgun Gothic" w:hAnsi="Lato"/>
        </w:rPr>
        <w:t xml:space="preserve"> </w:t>
      </w:r>
      <w:r w:rsidRPr="09102414">
        <w:rPr>
          <w:rFonts w:ascii="Lato" w:eastAsia="Malgun Gothic" w:hAnsi="Lato"/>
        </w:rPr>
        <w:t>oszacowa</w:t>
      </w:r>
      <w:r w:rsidR="00F522D0" w:rsidRPr="09102414">
        <w:rPr>
          <w:rFonts w:ascii="Lato" w:eastAsia="Malgun Gothic" w:hAnsi="Lato"/>
        </w:rPr>
        <w:t>no</w:t>
      </w:r>
      <w:r w:rsidRPr="09102414">
        <w:rPr>
          <w:rFonts w:ascii="Lato" w:eastAsia="Malgun Gothic" w:hAnsi="Lato"/>
        </w:rPr>
        <w:t xml:space="preserve"> na 1 326,74 mln m</w:t>
      </w:r>
      <w:r w:rsidRPr="09102414">
        <w:rPr>
          <w:rFonts w:ascii="Lato" w:eastAsia="Malgun Gothic" w:hAnsi="Lato"/>
          <w:vertAlign w:val="superscript"/>
        </w:rPr>
        <w:t>3</w:t>
      </w:r>
      <w:r w:rsidRPr="09102414">
        <w:rPr>
          <w:rFonts w:ascii="Lato" w:eastAsia="Malgun Gothic" w:hAnsi="Lato"/>
        </w:rPr>
        <w:t>/dobę (14 554 GWh/d</w:t>
      </w:r>
      <w:r w:rsidR="00860F99" w:rsidRPr="09102414">
        <w:rPr>
          <w:rFonts w:ascii="Lato" w:eastAsia="Malgun Gothic" w:hAnsi="Lato"/>
        </w:rPr>
        <w:t>obę</w:t>
      </w:r>
      <w:r w:rsidRPr="09102414">
        <w:rPr>
          <w:rFonts w:ascii="Lato" w:eastAsia="Malgun Gothic" w:hAnsi="Lato"/>
        </w:rPr>
        <w:t>)</w:t>
      </w:r>
      <w:r w:rsidR="007E38A1" w:rsidRPr="09102414">
        <w:rPr>
          <w:rFonts w:ascii="Lato" w:eastAsia="Malgun Gothic" w:hAnsi="Lato"/>
        </w:rPr>
        <w:t>. P</w:t>
      </w:r>
      <w:r w:rsidRPr="09102414">
        <w:rPr>
          <w:rFonts w:ascii="Lato" w:eastAsia="Malgun Gothic" w:hAnsi="Lato"/>
        </w:rPr>
        <w:t>rzy technicznej zdolności punktów wejścia do systemów gazowych członków grupy wynosząc</w:t>
      </w:r>
      <w:r w:rsidR="007E38A1" w:rsidRPr="09102414">
        <w:rPr>
          <w:rFonts w:ascii="Lato" w:eastAsia="Malgun Gothic" w:hAnsi="Lato"/>
        </w:rPr>
        <w:t>ej</w:t>
      </w:r>
      <w:r w:rsidRPr="09102414">
        <w:rPr>
          <w:rFonts w:ascii="Lato" w:eastAsia="Malgun Gothic" w:hAnsi="Lato"/>
        </w:rPr>
        <w:t xml:space="preserve"> 939,92 mln m</w:t>
      </w:r>
      <w:r w:rsidRPr="09102414">
        <w:rPr>
          <w:rFonts w:ascii="Lato" w:eastAsia="Malgun Gothic" w:hAnsi="Lato"/>
          <w:vertAlign w:val="superscript"/>
        </w:rPr>
        <w:t>3</w:t>
      </w:r>
      <w:r w:rsidRPr="09102414">
        <w:rPr>
          <w:rFonts w:ascii="Lato" w:eastAsia="Malgun Gothic" w:hAnsi="Lato"/>
        </w:rPr>
        <w:t>/dobę (10 311 GWh/d</w:t>
      </w:r>
      <w:r w:rsidR="00860F99" w:rsidRPr="09102414">
        <w:rPr>
          <w:rFonts w:ascii="Lato" w:eastAsia="Malgun Gothic" w:hAnsi="Lato"/>
        </w:rPr>
        <w:t>obę</w:t>
      </w:r>
      <w:r w:rsidRPr="09102414">
        <w:rPr>
          <w:rFonts w:ascii="Lato" w:eastAsia="Malgun Gothic" w:hAnsi="Lato"/>
        </w:rPr>
        <w:t>), produkcji gazu ziemnego szacowanej na 66,45 mln m</w:t>
      </w:r>
      <w:r w:rsidRPr="09102414">
        <w:rPr>
          <w:rFonts w:ascii="Lato" w:eastAsia="Malgun Gothic" w:hAnsi="Lato"/>
          <w:vertAlign w:val="superscript"/>
        </w:rPr>
        <w:t>3</w:t>
      </w:r>
      <w:r w:rsidRPr="09102414">
        <w:rPr>
          <w:rFonts w:ascii="Lato" w:eastAsia="Malgun Gothic" w:hAnsi="Lato"/>
        </w:rPr>
        <w:t>/dobę (729 GWh/d</w:t>
      </w:r>
      <w:r w:rsidR="00860F99" w:rsidRPr="09102414">
        <w:rPr>
          <w:rFonts w:ascii="Lato" w:eastAsia="Malgun Gothic" w:hAnsi="Lato"/>
        </w:rPr>
        <w:t>obę</w:t>
      </w:r>
      <w:r w:rsidRPr="09102414">
        <w:rPr>
          <w:rFonts w:ascii="Lato" w:eastAsia="Malgun Gothic" w:hAnsi="Lato"/>
        </w:rPr>
        <w:t>), a także zdolności odbioru gazu z instalacji magazynowych równej 1 278,21 mln m</w:t>
      </w:r>
      <w:r w:rsidRPr="09102414">
        <w:rPr>
          <w:rFonts w:ascii="Lato" w:eastAsia="Malgun Gothic" w:hAnsi="Lato"/>
          <w:vertAlign w:val="superscript"/>
        </w:rPr>
        <w:t>3</w:t>
      </w:r>
      <w:r w:rsidRPr="09102414">
        <w:rPr>
          <w:rFonts w:ascii="Lato" w:eastAsia="Malgun Gothic" w:hAnsi="Lato"/>
        </w:rPr>
        <w:t>/dobę (14 022 GWh/d</w:t>
      </w:r>
      <w:r w:rsidR="00860F99" w:rsidRPr="09102414">
        <w:rPr>
          <w:rFonts w:ascii="Lato" w:eastAsia="Malgun Gothic" w:hAnsi="Lato"/>
        </w:rPr>
        <w:t>obę</w:t>
      </w:r>
      <w:r w:rsidRPr="09102414">
        <w:rPr>
          <w:rFonts w:ascii="Lato" w:eastAsia="Malgun Gothic" w:hAnsi="Lato"/>
        </w:rPr>
        <w:t>) oraz zdolności regazyfikacyjnej funkcjonujących i planowanych terminali LNG określanej na 163,63 mln m</w:t>
      </w:r>
      <w:r w:rsidRPr="09102414">
        <w:rPr>
          <w:rFonts w:ascii="Lato" w:eastAsia="Malgun Gothic" w:hAnsi="Lato"/>
          <w:vertAlign w:val="superscript"/>
        </w:rPr>
        <w:t>3</w:t>
      </w:r>
      <w:r w:rsidRPr="09102414">
        <w:rPr>
          <w:rFonts w:ascii="Lato" w:eastAsia="Malgun Gothic" w:hAnsi="Lato"/>
        </w:rPr>
        <w:t>/dobę (1 795 GWh/d</w:t>
      </w:r>
      <w:r w:rsidR="00860F99" w:rsidRPr="09102414">
        <w:rPr>
          <w:rFonts w:ascii="Lato" w:eastAsia="Malgun Gothic" w:hAnsi="Lato"/>
        </w:rPr>
        <w:t>obę</w:t>
      </w:r>
      <w:r w:rsidRPr="09102414">
        <w:rPr>
          <w:rFonts w:ascii="Lato" w:eastAsia="Malgun Gothic" w:hAnsi="Lato"/>
        </w:rPr>
        <w:t>)</w:t>
      </w:r>
      <w:r w:rsidR="00782734">
        <w:rPr>
          <w:rFonts w:ascii="Lato" w:eastAsia="Malgun Gothic" w:hAnsi="Lato"/>
        </w:rPr>
        <w:t>,</w:t>
      </w:r>
      <w:r w:rsidRPr="09102414">
        <w:rPr>
          <w:rFonts w:ascii="Lato" w:eastAsia="Malgun Gothic" w:hAnsi="Lato"/>
        </w:rPr>
        <w:t xml:space="preserve"> wskaźnik N–1 w ukraińskiej grupie</w:t>
      </w:r>
      <w:r w:rsidRPr="00D879FE">
        <w:rPr>
          <w:rFonts w:ascii="Lato" w:hAnsi="Lato"/>
        </w:rPr>
        <w:t xml:space="preserve"> ryzyka, dla scenariusza zakładającego brak dostaw gazu ziemnego z Federacji Rosyjskiej, wynosi 171,4%. </w:t>
      </w:r>
    </w:p>
    <w:p w14:paraId="5B46C9D4" w14:textId="7E6178E9" w:rsidR="006E0A74" w:rsidRPr="00C758B1" w:rsidRDefault="006E0A74" w:rsidP="00983C18">
      <w:pPr>
        <w:pStyle w:val="Rozdzia3"/>
        <w:rPr>
          <w:rFonts w:ascii="Lato" w:hAnsi="Lato"/>
        </w:rPr>
      </w:pPr>
      <w:bookmarkStart w:id="20" w:name="_Toc142469553"/>
      <w:r w:rsidRPr="00C758B1">
        <w:rPr>
          <w:rFonts w:ascii="Lato" w:hAnsi="Lato"/>
        </w:rPr>
        <w:t>Regionalna grupa ryzyka – północny wschód</w:t>
      </w:r>
      <w:bookmarkEnd w:id="20"/>
    </w:p>
    <w:p w14:paraId="169F0BFB" w14:textId="7B562676" w:rsidR="006E0A74" w:rsidRPr="007E38A1" w:rsidRDefault="006E0A74" w:rsidP="000A7C68">
      <w:pPr>
        <w:spacing w:before="120" w:after="60" w:line="276" w:lineRule="auto"/>
        <w:ind w:firstLine="567"/>
        <w:rPr>
          <w:rFonts w:ascii="Lato" w:eastAsia="Malgun Gothic" w:hAnsi="Lato"/>
          <w:szCs w:val="24"/>
        </w:rPr>
      </w:pPr>
      <w:r w:rsidRPr="007E38A1">
        <w:rPr>
          <w:rFonts w:ascii="Lato" w:eastAsia="Malgun Gothic" w:hAnsi="Lato"/>
          <w:szCs w:val="24"/>
        </w:rPr>
        <w:t>Do regionalnej północno</w:t>
      </w:r>
      <w:r w:rsidR="00860F99">
        <w:rPr>
          <w:rFonts w:ascii="Lato" w:eastAsia="Malgun Gothic" w:hAnsi="Lato"/>
          <w:szCs w:val="24"/>
        </w:rPr>
        <w:t>-</w:t>
      </w:r>
      <w:r w:rsidRPr="007E38A1">
        <w:rPr>
          <w:rFonts w:ascii="Lato" w:eastAsia="Malgun Gothic" w:hAnsi="Lato"/>
          <w:szCs w:val="24"/>
        </w:rPr>
        <w:t>wschodniej grupy ryzyka ze względu na dostawy gazu ziemnego z</w:t>
      </w:r>
      <w:r w:rsidR="00926586">
        <w:rPr>
          <w:rFonts w:ascii="Lato" w:eastAsia="Malgun Gothic" w:hAnsi="Lato"/>
          <w:szCs w:val="24"/>
        </w:rPr>
        <w:t xml:space="preserve"> kierunku wschodniego </w:t>
      </w:r>
      <w:r w:rsidRPr="007E38A1">
        <w:rPr>
          <w:rFonts w:ascii="Lato" w:eastAsia="Malgun Gothic" w:hAnsi="Lato"/>
          <w:szCs w:val="24"/>
        </w:rPr>
        <w:t>należą: Czechy, Dania, Niemcy, Estonia, Łotwa, Litwa, Polska, Słowacja, Finlandia oraz Szwecja.</w:t>
      </w:r>
    </w:p>
    <w:p w14:paraId="17D1AF85" w14:textId="613CEAB5" w:rsidR="00E53BC5" w:rsidRPr="00926586" w:rsidRDefault="006E0A74" w:rsidP="000A7C68">
      <w:pPr>
        <w:spacing w:after="60" w:line="276" w:lineRule="auto"/>
        <w:ind w:firstLine="567"/>
        <w:rPr>
          <w:rFonts w:ascii="Lato" w:eastAsia="Malgun Gothic" w:hAnsi="Lato"/>
          <w:szCs w:val="24"/>
        </w:rPr>
      </w:pPr>
      <w:r w:rsidRPr="00926586">
        <w:rPr>
          <w:rFonts w:ascii="Lato" w:eastAsia="Malgun Gothic" w:hAnsi="Lato"/>
          <w:szCs w:val="24"/>
        </w:rPr>
        <w:t>Polska stała się członkiem północno</w:t>
      </w:r>
      <w:r w:rsidR="00860F99">
        <w:rPr>
          <w:rFonts w:ascii="Lato" w:eastAsia="Malgun Gothic" w:hAnsi="Lato"/>
          <w:szCs w:val="24"/>
        </w:rPr>
        <w:t>-</w:t>
      </w:r>
      <w:r w:rsidRPr="00926586">
        <w:rPr>
          <w:rFonts w:ascii="Lato" w:eastAsia="Malgun Gothic" w:hAnsi="Lato"/>
          <w:szCs w:val="24"/>
        </w:rPr>
        <w:t xml:space="preserve">wschodniej grupy ryzyka </w:t>
      </w:r>
      <w:r w:rsidR="00860F99">
        <w:rPr>
          <w:rFonts w:ascii="Lato" w:eastAsia="Malgun Gothic" w:hAnsi="Lato"/>
          <w:szCs w:val="24"/>
        </w:rPr>
        <w:t xml:space="preserve">w 2022 r. </w:t>
      </w:r>
      <w:r w:rsidRPr="00926586">
        <w:rPr>
          <w:rFonts w:ascii="Lato" w:eastAsia="Malgun Gothic" w:hAnsi="Lato"/>
          <w:szCs w:val="24"/>
        </w:rPr>
        <w:t>w wyniku realizacji inwestycji łączącej polski i litewski system gazowy (gazociąg GIPL).</w:t>
      </w:r>
      <w:r w:rsidR="00926586">
        <w:rPr>
          <w:rFonts w:ascii="Lato" w:eastAsia="Malgun Gothic" w:hAnsi="Lato"/>
          <w:szCs w:val="24"/>
        </w:rPr>
        <w:t xml:space="preserve"> Tym samym </w:t>
      </w:r>
      <w:r w:rsidRPr="00926586">
        <w:rPr>
          <w:rFonts w:ascii="Lato" w:eastAsia="Malgun Gothic" w:hAnsi="Lato"/>
          <w:szCs w:val="24"/>
        </w:rPr>
        <w:t xml:space="preserve">dotychczasowi członkowie północno-wschodniej grupy ryzyka uzyskali bezpośredni dostęp do europejskiego systemu gazowego, co znacząco zwiększyło poziom bezpieczeństwa dostaw gazu ziemnego w grupie. Jedynym punktem, przez który odbywają się dostawy gazu ziemnego z kierunku wschodniego do europejskiego systemu gazowego jest punkt połączenia międzysystemowego Uzhgorod-Velke Kapusany. Innym punktem międzysystemowym, przez który odbywa się przesył gazu ziemnego, jest punkt na granicy litewsko-białoruskiej, jednak realizuje on wyłącznie tranzyt gazu ziemnego do Obwodu Królewieckiego. Dostawy gazu ziemnego dla członków grupy realizowane są głównie z kierunku północnego (Norwegia) oraz dostaw LNG. W związku z brakiem gazociągowych dostaw gazu ziemnego z kierunku wschodniego dla dotychczasowych członków grupy (Estonia, Łotwa, Litwa oraz Finlandia), wstrzymanie dostaw gazu ziemnego z kierunku wschodniego nie </w:t>
      </w:r>
      <w:r w:rsidR="00926586">
        <w:rPr>
          <w:rFonts w:ascii="Lato" w:eastAsia="Malgun Gothic" w:hAnsi="Lato"/>
          <w:szCs w:val="24"/>
        </w:rPr>
        <w:t>spowoduje</w:t>
      </w:r>
      <w:r w:rsidRPr="00926586">
        <w:rPr>
          <w:rFonts w:ascii="Lato" w:eastAsia="Malgun Gothic" w:hAnsi="Lato"/>
          <w:szCs w:val="24"/>
        </w:rPr>
        <w:t xml:space="preserve"> dla nich żadnych bezpośrednich skutków. Dzięki zwiększeniu możliwości importu LNG, a także połączeniu z europejskim systemem gazowym oraz zmniejszeniu zależności od dostaw gazu ziemnego z kierunku wschodniego, poziom bezpieczeństwa dostaw gazu ziemnego uległ wyraźnej poprawie.</w:t>
      </w:r>
    </w:p>
    <w:p w14:paraId="66C3A2A9" w14:textId="0C7FF3AA" w:rsidR="006E0A74" w:rsidRPr="00926586" w:rsidRDefault="006E0A74" w:rsidP="00983C18">
      <w:pPr>
        <w:pStyle w:val="Rozdzia3"/>
        <w:rPr>
          <w:rFonts w:ascii="Lato" w:hAnsi="Lato"/>
        </w:rPr>
      </w:pPr>
      <w:bookmarkStart w:id="21" w:name="_Toc142469554"/>
      <w:r w:rsidRPr="00C758B1">
        <w:rPr>
          <w:rFonts w:ascii="Lato" w:hAnsi="Lato"/>
        </w:rPr>
        <w:lastRenderedPageBreak/>
        <w:t xml:space="preserve">Regionalna grupa ryzyka – </w:t>
      </w:r>
      <w:r w:rsidR="003966F3" w:rsidRPr="00C758B1">
        <w:rPr>
          <w:rFonts w:ascii="Lato" w:hAnsi="Lato"/>
        </w:rPr>
        <w:t>Norwegia</w:t>
      </w:r>
      <w:bookmarkEnd w:id="21"/>
    </w:p>
    <w:p w14:paraId="2F0AC631" w14:textId="13C66479" w:rsidR="003966F3" w:rsidRPr="00926586" w:rsidRDefault="006E0A74" w:rsidP="000A7C68">
      <w:pPr>
        <w:spacing w:before="120" w:after="60" w:line="276" w:lineRule="auto"/>
        <w:ind w:firstLine="567"/>
        <w:rPr>
          <w:rFonts w:ascii="Lato" w:eastAsia="Malgun Gothic" w:hAnsi="Lato"/>
          <w:szCs w:val="24"/>
        </w:rPr>
      </w:pPr>
      <w:r w:rsidRPr="00926586">
        <w:rPr>
          <w:rFonts w:ascii="Lato" w:eastAsia="Malgun Gothic" w:hAnsi="Lato"/>
          <w:szCs w:val="24"/>
        </w:rPr>
        <w:t xml:space="preserve">Do </w:t>
      </w:r>
      <w:r w:rsidR="003966F3" w:rsidRPr="00926586">
        <w:rPr>
          <w:rFonts w:ascii="Lato" w:eastAsia="Malgun Gothic" w:hAnsi="Lato"/>
          <w:szCs w:val="24"/>
        </w:rPr>
        <w:t xml:space="preserve">regionalnej </w:t>
      </w:r>
      <w:r w:rsidR="007A5906">
        <w:rPr>
          <w:rFonts w:ascii="Lato" w:eastAsia="Malgun Gothic" w:hAnsi="Lato"/>
          <w:szCs w:val="24"/>
        </w:rPr>
        <w:t xml:space="preserve">norweskiej </w:t>
      </w:r>
      <w:r w:rsidR="003966F3" w:rsidRPr="00926586">
        <w:rPr>
          <w:rFonts w:ascii="Lato" w:eastAsia="Malgun Gothic" w:hAnsi="Lato"/>
          <w:szCs w:val="24"/>
        </w:rPr>
        <w:t>grupy ryzyka ze względu na dostawy gazu ziemnego z Morza Północnego należą: Belgia, Dania, Niemcy, Irlandia, Hiszpania, Francja, Włochy, Luksemburg, Niderlandy, Polska, Portugalia oraz Szwecja.</w:t>
      </w:r>
    </w:p>
    <w:p w14:paraId="4B6222A3" w14:textId="3592ED71" w:rsidR="003966F3" w:rsidRPr="00926586" w:rsidRDefault="003966F3" w:rsidP="000A7C68">
      <w:pPr>
        <w:spacing w:after="60" w:line="276" w:lineRule="auto"/>
        <w:ind w:firstLine="567"/>
        <w:rPr>
          <w:rFonts w:ascii="Lato" w:eastAsia="Malgun Gothic" w:hAnsi="Lato"/>
          <w:szCs w:val="24"/>
        </w:rPr>
      </w:pPr>
      <w:r w:rsidRPr="00926586">
        <w:rPr>
          <w:rFonts w:ascii="Lato" w:eastAsia="Malgun Gothic" w:hAnsi="Lato"/>
          <w:szCs w:val="24"/>
        </w:rPr>
        <w:t xml:space="preserve">Polska stała się członkiem </w:t>
      </w:r>
      <w:r w:rsidR="00926586">
        <w:rPr>
          <w:rFonts w:ascii="Lato" w:eastAsia="Malgun Gothic" w:hAnsi="Lato"/>
          <w:szCs w:val="24"/>
        </w:rPr>
        <w:t>n</w:t>
      </w:r>
      <w:r w:rsidRPr="00926586">
        <w:rPr>
          <w:rFonts w:ascii="Lato" w:eastAsia="Malgun Gothic" w:hAnsi="Lato"/>
          <w:szCs w:val="24"/>
        </w:rPr>
        <w:t xml:space="preserve">orweskiej grupy ryzyka w </w:t>
      </w:r>
      <w:r w:rsidR="00860F99">
        <w:rPr>
          <w:rFonts w:ascii="Lato" w:eastAsia="Malgun Gothic" w:hAnsi="Lato"/>
          <w:szCs w:val="24"/>
        </w:rPr>
        <w:t xml:space="preserve">2022 r. </w:t>
      </w:r>
      <w:r w:rsidR="00926586">
        <w:rPr>
          <w:rFonts w:ascii="Lato" w:eastAsia="Malgun Gothic" w:hAnsi="Lato"/>
          <w:szCs w:val="24"/>
        </w:rPr>
        <w:t xml:space="preserve">w </w:t>
      </w:r>
      <w:r w:rsidRPr="00926586">
        <w:rPr>
          <w:rFonts w:ascii="Lato" w:eastAsia="Malgun Gothic" w:hAnsi="Lato"/>
          <w:szCs w:val="24"/>
        </w:rPr>
        <w:t xml:space="preserve">wyniku realizacji inwestycji łączącej polski system gazowy </w:t>
      </w:r>
      <w:r w:rsidR="00EE2D0B">
        <w:rPr>
          <w:rFonts w:ascii="Lato" w:eastAsia="Malgun Gothic" w:hAnsi="Lato"/>
          <w:szCs w:val="24"/>
        </w:rPr>
        <w:t xml:space="preserve">- </w:t>
      </w:r>
      <w:r w:rsidRPr="00926586">
        <w:rPr>
          <w:rFonts w:ascii="Lato" w:eastAsia="Malgun Gothic" w:hAnsi="Lato"/>
          <w:szCs w:val="24"/>
        </w:rPr>
        <w:t>poprzez Danię</w:t>
      </w:r>
      <w:r w:rsidR="00EE2D0B">
        <w:rPr>
          <w:rFonts w:ascii="Lato" w:eastAsia="Malgun Gothic" w:hAnsi="Lato"/>
          <w:szCs w:val="24"/>
        </w:rPr>
        <w:t xml:space="preserve"> -</w:t>
      </w:r>
      <w:r w:rsidRPr="00926586">
        <w:rPr>
          <w:rFonts w:ascii="Lato" w:eastAsia="Malgun Gothic" w:hAnsi="Lato"/>
          <w:szCs w:val="24"/>
        </w:rPr>
        <w:t xml:space="preserve"> z gazociągiem EUROPIPE II (gazociąg Baltic Pipe), który dostarcza gaz ziemny z</w:t>
      </w:r>
      <w:r w:rsidR="00926586">
        <w:rPr>
          <w:rFonts w:ascii="Lato" w:eastAsia="Malgun Gothic" w:hAnsi="Lato"/>
          <w:szCs w:val="24"/>
        </w:rPr>
        <w:t>e</w:t>
      </w:r>
      <w:r w:rsidRPr="00926586">
        <w:rPr>
          <w:rFonts w:ascii="Lato" w:eastAsia="Malgun Gothic" w:hAnsi="Lato"/>
          <w:szCs w:val="24"/>
        </w:rPr>
        <w:t xml:space="preserve"> złóż znajdujących się na Norweskim Szelfie Kontynentalnym. </w:t>
      </w:r>
    </w:p>
    <w:p w14:paraId="01980445" w14:textId="2F2C1A09" w:rsidR="003966F3" w:rsidRPr="00926586" w:rsidRDefault="003966F3" w:rsidP="000A7C68">
      <w:pPr>
        <w:spacing w:after="60" w:line="276" w:lineRule="auto"/>
        <w:ind w:firstLine="567"/>
        <w:rPr>
          <w:rFonts w:ascii="Lato" w:eastAsia="Malgun Gothic" w:hAnsi="Lato"/>
          <w:szCs w:val="24"/>
        </w:rPr>
      </w:pPr>
      <w:r w:rsidRPr="00926586">
        <w:rPr>
          <w:rFonts w:ascii="Lato" w:eastAsia="Malgun Gothic" w:hAnsi="Lato"/>
          <w:szCs w:val="24"/>
        </w:rPr>
        <w:t xml:space="preserve">W 2021 r. całkowite zapotrzebowanie na gaz w </w:t>
      </w:r>
      <w:r w:rsidR="00926586">
        <w:rPr>
          <w:rFonts w:ascii="Lato" w:eastAsia="Malgun Gothic" w:hAnsi="Lato"/>
          <w:szCs w:val="24"/>
        </w:rPr>
        <w:t xml:space="preserve">tej </w:t>
      </w:r>
      <w:r w:rsidRPr="00926586">
        <w:rPr>
          <w:rFonts w:ascii="Lato" w:eastAsia="Malgun Gothic" w:hAnsi="Lato"/>
          <w:szCs w:val="24"/>
        </w:rPr>
        <w:t>grupie wyniosło 3665 TWh, czyli o ok</w:t>
      </w:r>
      <w:r w:rsidR="00926586">
        <w:rPr>
          <w:rFonts w:ascii="Lato" w:eastAsia="Malgun Gothic" w:hAnsi="Lato"/>
          <w:szCs w:val="24"/>
        </w:rPr>
        <w:t>.</w:t>
      </w:r>
      <w:r w:rsidRPr="00926586">
        <w:rPr>
          <w:rFonts w:ascii="Lato" w:eastAsia="Malgun Gothic" w:hAnsi="Lato"/>
          <w:szCs w:val="24"/>
        </w:rPr>
        <w:t xml:space="preserve"> 2,4% więcej niż średnia z poprzednich czterech lat i </w:t>
      </w:r>
      <w:r w:rsidR="00926586">
        <w:rPr>
          <w:rFonts w:ascii="Lato" w:eastAsia="Malgun Gothic" w:hAnsi="Lato"/>
          <w:szCs w:val="24"/>
        </w:rPr>
        <w:t xml:space="preserve">o </w:t>
      </w:r>
      <w:r w:rsidRPr="00926586">
        <w:rPr>
          <w:rFonts w:ascii="Lato" w:eastAsia="Malgun Gothic" w:hAnsi="Lato"/>
          <w:szCs w:val="24"/>
        </w:rPr>
        <w:t>3,5% więcej niż w 2020 r. W 2020 r. w obliczu spowolnienia gospodarczego wywołanego pandemią COVID-19, zużycie gazu ziemnego w przemyśle spadło o 3,7%, podczas gdy zużycie gazu ziemnego w gospodarstwach domowych spadło o 2,5%.</w:t>
      </w:r>
      <w:r w:rsidR="00926586">
        <w:rPr>
          <w:rFonts w:ascii="Lato" w:eastAsia="Malgun Gothic" w:hAnsi="Lato"/>
          <w:szCs w:val="24"/>
        </w:rPr>
        <w:t xml:space="preserve"> </w:t>
      </w:r>
      <w:r w:rsidRPr="00926586">
        <w:rPr>
          <w:rFonts w:ascii="Lato" w:eastAsia="Malgun Gothic" w:hAnsi="Lato"/>
          <w:szCs w:val="24"/>
        </w:rPr>
        <w:t>Łącznie zapotrzebowanie na gaz ziemny odbiorców przemysłowych i gospodarstw domowych wyniosło średnio ok</w:t>
      </w:r>
      <w:r w:rsidR="00926586">
        <w:rPr>
          <w:rFonts w:ascii="Lato" w:eastAsia="Malgun Gothic" w:hAnsi="Lato"/>
          <w:szCs w:val="24"/>
        </w:rPr>
        <w:t>.</w:t>
      </w:r>
      <w:r w:rsidRPr="00926586">
        <w:rPr>
          <w:rFonts w:ascii="Lato" w:eastAsia="Malgun Gothic" w:hAnsi="Lato"/>
          <w:szCs w:val="24"/>
        </w:rPr>
        <w:t xml:space="preserve"> 50% całkowitego rocznego zapotrzebowania w latach 2017-2020. Zapotrzebowanie na gaz ziemny dla wytwarzania ciepła w kogeneracji, wytwarzania energii elektrycznej oraz w sektorze usług i administracji, stanowił</w:t>
      </w:r>
      <w:r w:rsidR="00926586">
        <w:rPr>
          <w:rFonts w:ascii="Lato" w:eastAsia="Malgun Gothic" w:hAnsi="Lato"/>
          <w:szCs w:val="24"/>
        </w:rPr>
        <w:t>o</w:t>
      </w:r>
      <w:r w:rsidRPr="00926586">
        <w:rPr>
          <w:rFonts w:ascii="Lato" w:eastAsia="Malgun Gothic" w:hAnsi="Lato"/>
          <w:szCs w:val="24"/>
        </w:rPr>
        <w:t xml:space="preserve"> większość pozostałej konsumpcji gazu.</w:t>
      </w:r>
    </w:p>
    <w:p w14:paraId="55CCC659" w14:textId="3E6189DA" w:rsidR="003966F3" w:rsidRPr="00926586" w:rsidRDefault="003966F3" w:rsidP="000A7C68">
      <w:pPr>
        <w:spacing w:after="60" w:line="276" w:lineRule="auto"/>
        <w:ind w:firstLine="567"/>
        <w:rPr>
          <w:rFonts w:ascii="Lato" w:eastAsia="Malgun Gothic" w:hAnsi="Lato"/>
          <w:szCs w:val="24"/>
        </w:rPr>
      </w:pPr>
      <w:r w:rsidRPr="00926586">
        <w:rPr>
          <w:rFonts w:ascii="Lato" w:eastAsia="Malgun Gothic" w:hAnsi="Lato"/>
          <w:szCs w:val="24"/>
        </w:rPr>
        <w:t>Na koniec 2022 r. w grupie ryzyka funkcjonowało 19 terminali LNG o łącznej mocy regazyfikacyjnej ok</w:t>
      </w:r>
      <w:r w:rsidR="00926586">
        <w:rPr>
          <w:rFonts w:ascii="Lato" w:eastAsia="Malgun Gothic" w:hAnsi="Lato"/>
          <w:szCs w:val="24"/>
        </w:rPr>
        <w:t>.</w:t>
      </w:r>
      <w:r w:rsidRPr="00926586">
        <w:rPr>
          <w:rFonts w:ascii="Lato" w:eastAsia="Malgun Gothic" w:hAnsi="Lato"/>
          <w:szCs w:val="24"/>
        </w:rPr>
        <w:t xml:space="preserve"> 5,4 TWh/dobę.</w:t>
      </w:r>
      <w:r w:rsidR="00EE2D0B">
        <w:rPr>
          <w:rFonts w:ascii="Lato" w:eastAsia="Malgun Gothic" w:hAnsi="Lato"/>
          <w:szCs w:val="24"/>
        </w:rPr>
        <w:t xml:space="preserve"> </w:t>
      </w:r>
      <w:r w:rsidRPr="00926586">
        <w:rPr>
          <w:rFonts w:ascii="Lato" w:eastAsia="Malgun Gothic" w:hAnsi="Lato"/>
          <w:szCs w:val="24"/>
        </w:rPr>
        <w:t xml:space="preserve">Największym kierunkiem dostaw gazu ziemnego dla </w:t>
      </w:r>
      <w:r w:rsidR="00926586">
        <w:rPr>
          <w:rFonts w:ascii="Lato" w:eastAsia="Malgun Gothic" w:hAnsi="Lato"/>
          <w:szCs w:val="24"/>
        </w:rPr>
        <w:t>n</w:t>
      </w:r>
      <w:r w:rsidRPr="00926586">
        <w:rPr>
          <w:rFonts w:ascii="Lato" w:eastAsia="Malgun Gothic" w:hAnsi="Lato"/>
          <w:szCs w:val="24"/>
        </w:rPr>
        <w:t xml:space="preserve">orweskiej grupy ryzyka jest Norwegia oraz Algieria. Pozostałe źródła gazu obejmują Wielką Brytanię, Libię i region Morza Kaspijskiego. </w:t>
      </w:r>
    </w:p>
    <w:p w14:paraId="2BE22F8E" w14:textId="685DD8D3" w:rsidR="003966F3" w:rsidRPr="00926586" w:rsidRDefault="003966F3" w:rsidP="000A7C68">
      <w:pPr>
        <w:spacing w:after="60" w:line="276" w:lineRule="auto"/>
        <w:ind w:firstLine="567"/>
        <w:rPr>
          <w:rFonts w:ascii="Lato" w:eastAsia="Malgun Gothic" w:hAnsi="Lato"/>
          <w:szCs w:val="24"/>
        </w:rPr>
      </w:pPr>
      <w:r w:rsidRPr="00926586">
        <w:rPr>
          <w:rFonts w:ascii="Lato" w:eastAsia="Malgun Gothic" w:hAnsi="Lato"/>
          <w:szCs w:val="24"/>
        </w:rPr>
        <w:t>Wydobycie gazu ziemnego w państwach członkowskich grupy systematycznie spada i zmniejszyło się o połowę z blisko 700 TWh w 2017 r. do ok</w:t>
      </w:r>
      <w:r w:rsidR="00926586">
        <w:rPr>
          <w:rFonts w:ascii="Lato" w:eastAsia="Malgun Gothic" w:hAnsi="Lato"/>
          <w:szCs w:val="24"/>
        </w:rPr>
        <w:t>.</w:t>
      </w:r>
      <w:r w:rsidRPr="00926586">
        <w:rPr>
          <w:rFonts w:ascii="Lato" w:eastAsia="Malgun Gothic" w:hAnsi="Lato"/>
          <w:szCs w:val="24"/>
        </w:rPr>
        <w:t xml:space="preserve"> 355 TWh w 2021 r. W podanym okresie tylko Polska utrzymała względnie stabilną wielkość wydobycia gazu.</w:t>
      </w:r>
    </w:p>
    <w:p w14:paraId="598E0B31" w14:textId="4B00F435" w:rsidR="006E0A74" w:rsidRPr="00926586" w:rsidRDefault="003966F3" w:rsidP="000A7C68">
      <w:pPr>
        <w:spacing w:after="60" w:line="276" w:lineRule="auto"/>
        <w:ind w:firstLine="567"/>
        <w:rPr>
          <w:rFonts w:ascii="Lato" w:eastAsia="Malgun Gothic" w:hAnsi="Lato"/>
          <w:szCs w:val="24"/>
        </w:rPr>
      </w:pPr>
      <w:r w:rsidRPr="00926586">
        <w:rPr>
          <w:rFonts w:ascii="Lato" w:eastAsia="Malgun Gothic" w:hAnsi="Lato"/>
          <w:szCs w:val="24"/>
        </w:rPr>
        <w:t xml:space="preserve">W </w:t>
      </w:r>
      <w:r w:rsidR="00926586">
        <w:rPr>
          <w:rFonts w:ascii="Lato" w:eastAsia="Malgun Gothic" w:hAnsi="Lato"/>
          <w:szCs w:val="24"/>
        </w:rPr>
        <w:t>n</w:t>
      </w:r>
      <w:r w:rsidRPr="00926586">
        <w:rPr>
          <w:rFonts w:ascii="Lato" w:eastAsia="Malgun Gothic" w:hAnsi="Lato"/>
          <w:szCs w:val="24"/>
        </w:rPr>
        <w:t>orweskiej grupie ryzyka magazynowanie gazu ziemnego odgrywa kluczową rolę w zarządzaniu sezonowością popytu i dziennym bilansowaniu systemów gazowych w okresie zimowym. W 2022 r. pojemność podziemnych magazynów gazu ziemnego wyniosła ok. 800 TWh, co stanowiło ok</w:t>
      </w:r>
      <w:r w:rsidR="00926586">
        <w:rPr>
          <w:rFonts w:ascii="Lato" w:eastAsia="Malgun Gothic" w:hAnsi="Lato"/>
          <w:szCs w:val="24"/>
        </w:rPr>
        <w:t>.</w:t>
      </w:r>
      <w:r w:rsidRPr="00926586">
        <w:rPr>
          <w:rFonts w:ascii="Lato" w:eastAsia="Malgun Gothic" w:hAnsi="Lato"/>
          <w:szCs w:val="24"/>
        </w:rPr>
        <w:t xml:space="preserve"> 35% całkowitego zapotrzebowania na gaz ziemny w sezonie zimowym, natomiast w poszczególnych państwach członkowskich udział ten wahał się od 0% do 54%.</w:t>
      </w:r>
      <w:r w:rsidR="005577BE">
        <w:rPr>
          <w:rFonts w:ascii="Lato" w:eastAsia="Malgun Gothic" w:hAnsi="Lato"/>
          <w:szCs w:val="24"/>
        </w:rPr>
        <w:t xml:space="preserve"> </w:t>
      </w:r>
      <w:r w:rsidRPr="00926586">
        <w:rPr>
          <w:rFonts w:ascii="Lato" w:eastAsia="Malgun Gothic" w:hAnsi="Lato"/>
          <w:szCs w:val="24"/>
        </w:rPr>
        <w:t xml:space="preserve">W rozpatrywanym scenariuszu całkowitego braku dostaw gazu ziemnego z kierunku wschodniego wskaźnik N–1 w </w:t>
      </w:r>
      <w:r w:rsidR="00926586">
        <w:rPr>
          <w:rFonts w:ascii="Lato" w:eastAsia="Malgun Gothic" w:hAnsi="Lato"/>
          <w:szCs w:val="24"/>
        </w:rPr>
        <w:t>n</w:t>
      </w:r>
      <w:r w:rsidRPr="00926586">
        <w:rPr>
          <w:rFonts w:ascii="Lato" w:eastAsia="Malgun Gothic" w:hAnsi="Lato"/>
          <w:szCs w:val="24"/>
        </w:rPr>
        <w:t>orweskiej grupie ryzyka wynosi 168%.</w:t>
      </w:r>
    </w:p>
    <w:p w14:paraId="509DDDC9" w14:textId="4F2C1380" w:rsidR="006E0A74" w:rsidRPr="00926586" w:rsidRDefault="006E0A74" w:rsidP="00983C18">
      <w:pPr>
        <w:pStyle w:val="Rozdzia3"/>
        <w:rPr>
          <w:rFonts w:ascii="Lato" w:hAnsi="Lato"/>
        </w:rPr>
      </w:pPr>
      <w:bookmarkStart w:id="22" w:name="_Toc142469555"/>
      <w:r w:rsidRPr="00C758B1">
        <w:rPr>
          <w:rFonts w:ascii="Lato" w:hAnsi="Lato"/>
        </w:rPr>
        <w:t xml:space="preserve">Regionalna grupa ryzyka – </w:t>
      </w:r>
      <w:r w:rsidR="003966F3" w:rsidRPr="00C758B1">
        <w:rPr>
          <w:rFonts w:ascii="Lato" w:hAnsi="Lato"/>
        </w:rPr>
        <w:t>Dania</w:t>
      </w:r>
      <w:bookmarkEnd w:id="22"/>
    </w:p>
    <w:p w14:paraId="5C06AE6E" w14:textId="4D1BFA69" w:rsidR="003966F3" w:rsidRPr="00926586" w:rsidRDefault="003966F3" w:rsidP="000A7C68">
      <w:pPr>
        <w:spacing w:before="120" w:after="60" w:line="276" w:lineRule="auto"/>
        <w:ind w:firstLine="567"/>
        <w:rPr>
          <w:rFonts w:ascii="Lato" w:eastAsia="Malgun Gothic" w:hAnsi="Lato"/>
          <w:szCs w:val="24"/>
        </w:rPr>
      </w:pPr>
      <w:r w:rsidRPr="00926586">
        <w:rPr>
          <w:rFonts w:ascii="Lato" w:eastAsia="Malgun Gothic" w:hAnsi="Lato"/>
          <w:szCs w:val="24"/>
        </w:rPr>
        <w:t xml:space="preserve">Do regionalnej </w:t>
      </w:r>
      <w:r w:rsidR="00926586">
        <w:rPr>
          <w:rFonts w:ascii="Lato" w:eastAsia="Malgun Gothic" w:hAnsi="Lato"/>
          <w:szCs w:val="24"/>
        </w:rPr>
        <w:t>d</w:t>
      </w:r>
      <w:r w:rsidRPr="00926586">
        <w:rPr>
          <w:rFonts w:ascii="Lato" w:eastAsia="Malgun Gothic" w:hAnsi="Lato"/>
          <w:szCs w:val="24"/>
        </w:rPr>
        <w:t xml:space="preserve">uńskiej grupy ryzyka ze względu na dostawy gazu ziemnego z Morza Północnego należą: Dania, Niemcy, Luksemburg, Niderlandy, Polska oraz Szwecja. Polska stała się członkiem </w:t>
      </w:r>
      <w:r w:rsidR="00926586">
        <w:rPr>
          <w:rFonts w:ascii="Lato" w:eastAsia="Malgun Gothic" w:hAnsi="Lato"/>
          <w:szCs w:val="24"/>
        </w:rPr>
        <w:t>tej grupy</w:t>
      </w:r>
      <w:r w:rsidRPr="00926586">
        <w:rPr>
          <w:rFonts w:ascii="Lato" w:eastAsia="Malgun Gothic" w:hAnsi="Lato"/>
          <w:szCs w:val="24"/>
        </w:rPr>
        <w:t xml:space="preserve"> w wyniku realizacji inwestycji łączącej polski i duński system gazowy (gazociąg Baltic Pipe). </w:t>
      </w:r>
    </w:p>
    <w:p w14:paraId="6BC0E296" w14:textId="1F462315" w:rsidR="006E0A74" w:rsidRPr="00926586" w:rsidRDefault="003966F3" w:rsidP="00270AE5">
      <w:pPr>
        <w:spacing w:after="60" w:line="276" w:lineRule="auto"/>
        <w:ind w:firstLine="567"/>
        <w:rPr>
          <w:rFonts w:ascii="Lato" w:eastAsia="Malgun Gothic" w:hAnsi="Lato"/>
          <w:szCs w:val="24"/>
        </w:rPr>
      </w:pPr>
      <w:r w:rsidRPr="00926586">
        <w:rPr>
          <w:rFonts w:ascii="Lato" w:eastAsia="Malgun Gothic" w:hAnsi="Lato"/>
          <w:szCs w:val="24"/>
        </w:rPr>
        <w:t xml:space="preserve">Dla przyjętego scenariusza zakładającego brak dostaw gazu ziemnego z Federacji Rosyjskiej, wskaźnik N–1 w </w:t>
      </w:r>
      <w:r w:rsidR="00926586">
        <w:rPr>
          <w:rFonts w:ascii="Lato" w:eastAsia="Malgun Gothic" w:hAnsi="Lato"/>
          <w:szCs w:val="24"/>
        </w:rPr>
        <w:t>d</w:t>
      </w:r>
      <w:r w:rsidRPr="00926586">
        <w:rPr>
          <w:rFonts w:ascii="Lato" w:eastAsia="Malgun Gothic" w:hAnsi="Lato"/>
          <w:szCs w:val="24"/>
        </w:rPr>
        <w:t>uńskiej grupie ryzyka wynosi 175,7%.</w:t>
      </w:r>
      <w:r w:rsidR="002E0AC8">
        <w:rPr>
          <w:rFonts w:ascii="Lato" w:eastAsia="Malgun Gothic" w:hAnsi="Lato"/>
          <w:szCs w:val="24"/>
        </w:rPr>
        <w:t xml:space="preserve"> </w:t>
      </w:r>
      <w:r w:rsidRPr="00926586">
        <w:rPr>
          <w:rFonts w:ascii="Lato" w:eastAsia="Malgun Gothic" w:hAnsi="Lato"/>
          <w:szCs w:val="24"/>
        </w:rPr>
        <w:t xml:space="preserve">Na wartość wskaźnika </w:t>
      </w:r>
      <w:r w:rsidRPr="00926586">
        <w:rPr>
          <w:rFonts w:ascii="Lato" w:eastAsia="Malgun Gothic" w:hAnsi="Lato"/>
          <w:szCs w:val="24"/>
        </w:rPr>
        <w:lastRenderedPageBreak/>
        <w:t>N–1 wpływ ma przede wszystkim maksymalne dobowe zapotrzebowanie na gaz ziemny wynoszące 9,7 TWh/d</w:t>
      </w:r>
      <w:r w:rsidR="0047343C">
        <w:rPr>
          <w:rFonts w:ascii="Lato" w:eastAsia="Malgun Gothic" w:hAnsi="Lato"/>
          <w:szCs w:val="24"/>
        </w:rPr>
        <w:t>obę</w:t>
      </w:r>
      <w:r w:rsidRPr="00926586">
        <w:rPr>
          <w:rFonts w:ascii="Lato" w:eastAsia="Malgun Gothic" w:hAnsi="Lato"/>
          <w:szCs w:val="24"/>
        </w:rPr>
        <w:t xml:space="preserve"> oraz maksymalna zdolność odbioru gazu ziemnego z instalacji magazynowych wynosząca 10,3 TWh/d</w:t>
      </w:r>
      <w:r w:rsidR="0047343C">
        <w:rPr>
          <w:rFonts w:ascii="Lato" w:eastAsia="Malgun Gothic" w:hAnsi="Lato"/>
          <w:szCs w:val="24"/>
        </w:rPr>
        <w:t>obę</w:t>
      </w:r>
      <w:r w:rsidRPr="00926586">
        <w:rPr>
          <w:rFonts w:ascii="Lato" w:eastAsia="Malgun Gothic" w:hAnsi="Lato"/>
          <w:szCs w:val="24"/>
        </w:rPr>
        <w:t>. Źródła dostaw gaz ziemnego inne niż z kierunku wschodniego zapewniają możliwość importu 5,9 TWh/d</w:t>
      </w:r>
      <w:r w:rsidR="0047343C">
        <w:rPr>
          <w:rFonts w:ascii="Lato" w:eastAsia="Malgun Gothic" w:hAnsi="Lato"/>
          <w:szCs w:val="24"/>
        </w:rPr>
        <w:t>obę</w:t>
      </w:r>
      <w:r w:rsidRPr="00926586">
        <w:rPr>
          <w:rFonts w:ascii="Lato" w:eastAsia="Malgun Gothic" w:hAnsi="Lato"/>
          <w:szCs w:val="24"/>
        </w:rPr>
        <w:t>. Mniejsze znaczenie w grupie mają wydobycie gazu ziemnego przez członków grupy oraz import LNG, które moją odpowiednio wartość 0,8 TWh/d</w:t>
      </w:r>
      <w:r w:rsidR="0047343C">
        <w:rPr>
          <w:rFonts w:ascii="Lato" w:eastAsia="Malgun Gothic" w:hAnsi="Lato"/>
          <w:szCs w:val="24"/>
        </w:rPr>
        <w:t>obę</w:t>
      </w:r>
      <w:r w:rsidRPr="00926586">
        <w:rPr>
          <w:rFonts w:ascii="Lato" w:eastAsia="Malgun Gothic" w:hAnsi="Lato"/>
          <w:szCs w:val="24"/>
        </w:rPr>
        <w:t xml:space="preserve"> oraz 0,9 TWh/d</w:t>
      </w:r>
      <w:r w:rsidR="0047343C">
        <w:rPr>
          <w:rFonts w:ascii="Lato" w:eastAsia="Malgun Gothic" w:hAnsi="Lato"/>
          <w:szCs w:val="24"/>
        </w:rPr>
        <w:t>obę</w:t>
      </w:r>
      <w:r w:rsidRPr="00926586">
        <w:rPr>
          <w:rFonts w:ascii="Lato" w:eastAsia="Malgun Gothic" w:hAnsi="Lato"/>
          <w:szCs w:val="24"/>
        </w:rPr>
        <w:t>.</w:t>
      </w:r>
    </w:p>
    <w:p w14:paraId="029D87FE" w14:textId="77777777" w:rsidR="00B03DBA" w:rsidRPr="006E0158" w:rsidRDefault="00C7771E" w:rsidP="00983C18">
      <w:pPr>
        <w:pStyle w:val="Rozdzia2"/>
        <w:rPr>
          <w:rFonts w:ascii="Lato" w:hAnsi="Lato"/>
          <w:sz w:val="24"/>
          <w:szCs w:val="24"/>
        </w:rPr>
      </w:pPr>
      <w:bookmarkStart w:id="23" w:name="_Toc12953896"/>
      <w:bookmarkStart w:id="24" w:name="_Toc19782929"/>
      <w:bookmarkStart w:id="25" w:name="_Toc142469556"/>
      <w:r w:rsidRPr="006E0158">
        <w:rPr>
          <w:rFonts w:ascii="Lato" w:hAnsi="Lato"/>
          <w:sz w:val="24"/>
          <w:szCs w:val="24"/>
        </w:rPr>
        <w:t>Opis krajowego systemu gazowego – Polska</w:t>
      </w:r>
      <w:bookmarkEnd w:id="23"/>
      <w:bookmarkEnd w:id="24"/>
      <w:bookmarkEnd w:id="25"/>
    </w:p>
    <w:p w14:paraId="205098D3" w14:textId="38CE370E" w:rsidR="003966F3" w:rsidRPr="006E0158" w:rsidRDefault="00C7771E" w:rsidP="00983C18">
      <w:pPr>
        <w:pStyle w:val="Rozdzia3"/>
        <w:rPr>
          <w:rFonts w:ascii="Lato" w:hAnsi="Lato"/>
        </w:rPr>
      </w:pPr>
      <w:bookmarkStart w:id="26" w:name="_Toc12287736"/>
      <w:bookmarkStart w:id="27" w:name="_Toc12953897"/>
      <w:bookmarkStart w:id="28" w:name="_Toc19782930"/>
      <w:bookmarkStart w:id="29" w:name="_Toc142469557"/>
      <w:r w:rsidRPr="006E0158">
        <w:rPr>
          <w:rFonts w:ascii="Lato" w:hAnsi="Lato"/>
        </w:rPr>
        <w:t>Krajowe zu</w:t>
      </w:r>
      <w:r w:rsidRPr="006E0158">
        <w:rPr>
          <w:rFonts w:ascii="Lato" w:hAnsi="Lato" w:cs="Calibri"/>
        </w:rPr>
        <w:t>ż</w:t>
      </w:r>
      <w:r w:rsidRPr="006E0158">
        <w:rPr>
          <w:rFonts w:ascii="Lato" w:hAnsi="Lato"/>
        </w:rPr>
        <w:t>ycie gazu ziemnego oraz struktura sprzeda</w:t>
      </w:r>
      <w:r w:rsidRPr="006E0158">
        <w:rPr>
          <w:rFonts w:ascii="Lato" w:hAnsi="Lato" w:cs="Calibri"/>
        </w:rPr>
        <w:t>ż</w:t>
      </w:r>
      <w:r w:rsidRPr="006E0158">
        <w:rPr>
          <w:rFonts w:ascii="Lato" w:hAnsi="Lato"/>
        </w:rPr>
        <w:t>y gazu ziemnego do odbiorc</w:t>
      </w:r>
      <w:r w:rsidRPr="006E0158">
        <w:rPr>
          <w:rFonts w:ascii="Lato" w:hAnsi="Lato" w:cs="Malgun Gothic"/>
        </w:rPr>
        <w:t>ó</w:t>
      </w:r>
      <w:r w:rsidRPr="006E0158">
        <w:rPr>
          <w:rFonts w:ascii="Lato" w:hAnsi="Lato"/>
        </w:rPr>
        <w:t>w ko</w:t>
      </w:r>
      <w:r w:rsidRPr="006E0158">
        <w:rPr>
          <w:rFonts w:ascii="Lato" w:hAnsi="Lato" w:cs="Calibri"/>
        </w:rPr>
        <w:t>ń</w:t>
      </w:r>
      <w:r w:rsidRPr="006E0158">
        <w:rPr>
          <w:rFonts w:ascii="Lato" w:hAnsi="Lato"/>
        </w:rPr>
        <w:t>cowych</w:t>
      </w:r>
      <w:bookmarkEnd w:id="26"/>
      <w:bookmarkEnd w:id="27"/>
      <w:bookmarkEnd w:id="28"/>
      <w:bookmarkEnd w:id="29"/>
    </w:p>
    <w:p w14:paraId="357A8F87" w14:textId="77777777" w:rsidR="003966F3" w:rsidRPr="00D879FE" w:rsidRDefault="003966F3" w:rsidP="000A7C68">
      <w:pPr>
        <w:spacing w:before="120" w:after="60" w:line="276" w:lineRule="auto"/>
        <w:ind w:firstLine="567"/>
        <w:rPr>
          <w:rFonts w:ascii="Lato" w:eastAsia="Malgun Gothic" w:hAnsi="Lato"/>
          <w:szCs w:val="24"/>
        </w:rPr>
      </w:pPr>
      <w:r w:rsidRPr="00D879FE">
        <w:rPr>
          <w:rFonts w:ascii="Lato" w:eastAsia="Malgun Gothic" w:hAnsi="Lato"/>
          <w:szCs w:val="24"/>
        </w:rPr>
        <w:t>W 2022 r. krajowe zu</w:t>
      </w:r>
      <w:r w:rsidRPr="00D879FE">
        <w:rPr>
          <w:rFonts w:ascii="Lato" w:eastAsia="Malgun Gothic" w:hAnsi="Lato" w:cs="Calibri"/>
          <w:szCs w:val="24"/>
        </w:rPr>
        <w:t>ż</w:t>
      </w:r>
      <w:r w:rsidRPr="00D879FE">
        <w:rPr>
          <w:rFonts w:ascii="Lato" w:eastAsia="Malgun Gothic" w:hAnsi="Lato"/>
          <w:szCs w:val="24"/>
        </w:rPr>
        <w:t>ycie gazu ziemnego wynios</w:t>
      </w:r>
      <w:r w:rsidRPr="00D879FE">
        <w:rPr>
          <w:rFonts w:ascii="Lato" w:eastAsia="Malgun Gothic" w:hAnsi="Lato" w:cs="Malgun Gothic"/>
          <w:szCs w:val="24"/>
        </w:rPr>
        <w:t>ł</w:t>
      </w:r>
      <w:r w:rsidRPr="00D879FE">
        <w:rPr>
          <w:rFonts w:ascii="Lato" w:eastAsia="Malgun Gothic" w:hAnsi="Lato"/>
          <w:szCs w:val="24"/>
        </w:rPr>
        <w:t>o 16,62 mld m</w:t>
      </w:r>
      <w:r w:rsidRPr="00D879FE">
        <w:rPr>
          <w:rFonts w:ascii="Lato" w:eastAsia="Malgun Gothic" w:hAnsi="Lato"/>
          <w:szCs w:val="24"/>
          <w:vertAlign w:val="superscript"/>
        </w:rPr>
        <w:t>3</w:t>
      </w:r>
      <w:r w:rsidRPr="00D879FE">
        <w:rPr>
          <w:rFonts w:ascii="Lato" w:eastAsia="Malgun Gothic" w:hAnsi="Lato"/>
          <w:szCs w:val="24"/>
        </w:rPr>
        <w:t xml:space="preserve"> (189,5 TWh) i w porównaniu do roku poprzedniego spadło o 17,2%. Poprzez krajowe zu</w:t>
      </w:r>
      <w:r w:rsidRPr="00D879FE">
        <w:rPr>
          <w:rFonts w:ascii="Lato" w:eastAsia="Malgun Gothic" w:hAnsi="Lato" w:cs="Calibri"/>
          <w:szCs w:val="24"/>
        </w:rPr>
        <w:t>ż</w:t>
      </w:r>
      <w:r w:rsidRPr="00D879FE">
        <w:rPr>
          <w:rFonts w:ascii="Lato" w:eastAsia="Malgun Gothic" w:hAnsi="Lato"/>
          <w:szCs w:val="24"/>
        </w:rPr>
        <w:t>ycie gazu ziemnego rozumie si</w:t>
      </w:r>
      <w:r w:rsidRPr="00D879FE">
        <w:rPr>
          <w:rFonts w:ascii="Lato" w:eastAsia="Malgun Gothic" w:hAnsi="Lato" w:cs="Calibri"/>
          <w:szCs w:val="24"/>
        </w:rPr>
        <w:t>ę</w:t>
      </w:r>
      <w:r w:rsidRPr="00D879FE">
        <w:rPr>
          <w:rFonts w:ascii="Lato" w:eastAsia="Malgun Gothic" w:hAnsi="Lato"/>
          <w:szCs w:val="24"/>
        </w:rPr>
        <w:t xml:space="preserve"> sum</w:t>
      </w:r>
      <w:r w:rsidRPr="00D879FE">
        <w:rPr>
          <w:rFonts w:ascii="Lato" w:eastAsia="Malgun Gothic" w:hAnsi="Lato" w:cs="Calibri"/>
          <w:szCs w:val="24"/>
        </w:rPr>
        <w:t>ę</w:t>
      </w:r>
      <w:r w:rsidRPr="00D879FE">
        <w:rPr>
          <w:rFonts w:ascii="Lato" w:eastAsia="Malgun Gothic" w:hAnsi="Lato"/>
          <w:szCs w:val="24"/>
        </w:rPr>
        <w:t xml:space="preserve"> krajowego wydobycia i ca</w:t>
      </w:r>
      <w:r w:rsidRPr="00D879FE">
        <w:rPr>
          <w:rFonts w:ascii="Lato" w:eastAsia="Malgun Gothic" w:hAnsi="Lato" w:cs="Malgun Gothic"/>
          <w:szCs w:val="24"/>
        </w:rPr>
        <w:t>ł</w:t>
      </w:r>
      <w:r w:rsidRPr="00D879FE">
        <w:rPr>
          <w:rFonts w:ascii="Lato" w:eastAsia="Malgun Gothic" w:hAnsi="Lato"/>
          <w:szCs w:val="24"/>
        </w:rPr>
        <w:t>kowitego przywozu gazu ziemnego, pomniejszon</w:t>
      </w:r>
      <w:r w:rsidRPr="00D879FE">
        <w:rPr>
          <w:rFonts w:ascii="Lato" w:eastAsia="Malgun Gothic" w:hAnsi="Lato" w:cs="Calibri"/>
          <w:szCs w:val="24"/>
        </w:rPr>
        <w:t>ą</w:t>
      </w:r>
      <w:r w:rsidRPr="00D879FE">
        <w:rPr>
          <w:rFonts w:ascii="Lato" w:eastAsia="Malgun Gothic" w:hAnsi="Lato"/>
          <w:szCs w:val="24"/>
        </w:rPr>
        <w:t xml:space="preserve"> o eksport gazu ziemnego, straty i zu</w:t>
      </w:r>
      <w:r w:rsidRPr="00D879FE">
        <w:rPr>
          <w:rFonts w:ascii="Lato" w:eastAsia="Malgun Gothic" w:hAnsi="Lato" w:cs="Calibri"/>
          <w:szCs w:val="24"/>
        </w:rPr>
        <w:t>ż</w:t>
      </w:r>
      <w:r w:rsidRPr="00D879FE">
        <w:rPr>
          <w:rFonts w:ascii="Lato" w:eastAsia="Malgun Gothic" w:hAnsi="Lato"/>
          <w:szCs w:val="24"/>
        </w:rPr>
        <w:t>ycie w</w:t>
      </w:r>
      <w:r w:rsidRPr="00D879FE">
        <w:rPr>
          <w:rFonts w:ascii="Lato" w:eastAsia="Malgun Gothic" w:hAnsi="Lato" w:cs="Malgun Gothic"/>
          <w:szCs w:val="24"/>
        </w:rPr>
        <w:t>ł</w:t>
      </w:r>
      <w:r w:rsidRPr="00D879FE">
        <w:rPr>
          <w:rFonts w:ascii="Lato" w:eastAsia="Malgun Gothic" w:hAnsi="Lato"/>
          <w:szCs w:val="24"/>
        </w:rPr>
        <w:t>asne oraz o zmian</w:t>
      </w:r>
      <w:r w:rsidRPr="00D879FE">
        <w:rPr>
          <w:rFonts w:ascii="Lato" w:eastAsia="Malgun Gothic" w:hAnsi="Lato" w:cs="Calibri"/>
          <w:szCs w:val="24"/>
        </w:rPr>
        <w:t>ę</w:t>
      </w:r>
      <w:r w:rsidRPr="00D879FE">
        <w:rPr>
          <w:rFonts w:ascii="Lato" w:eastAsia="Malgun Gothic" w:hAnsi="Lato"/>
          <w:szCs w:val="24"/>
        </w:rPr>
        <w:t xml:space="preserve"> stanu zapas</w:t>
      </w:r>
      <w:r w:rsidRPr="00D879FE">
        <w:rPr>
          <w:rFonts w:ascii="Lato" w:eastAsia="Malgun Gothic" w:hAnsi="Lato" w:cs="Malgun Gothic"/>
          <w:szCs w:val="24"/>
        </w:rPr>
        <w:t>ó</w:t>
      </w:r>
      <w:r w:rsidRPr="00D879FE">
        <w:rPr>
          <w:rFonts w:ascii="Lato" w:eastAsia="Malgun Gothic" w:hAnsi="Lato"/>
          <w:szCs w:val="24"/>
        </w:rPr>
        <w:t>w w instalacjach magazynowych.</w:t>
      </w:r>
    </w:p>
    <w:p w14:paraId="39E0F321" w14:textId="16BFBAEE" w:rsidR="003966F3" w:rsidRPr="00C758B1" w:rsidRDefault="003966F3" w:rsidP="000A7C68">
      <w:pPr>
        <w:spacing w:after="60" w:line="276" w:lineRule="auto"/>
        <w:ind w:firstLine="567"/>
        <w:rPr>
          <w:rFonts w:ascii="Lato" w:eastAsia="Malgun Gothic" w:hAnsi="Lato"/>
          <w:sz w:val="20"/>
          <w:szCs w:val="20"/>
        </w:rPr>
      </w:pPr>
      <w:r w:rsidRPr="00D879FE">
        <w:rPr>
          <w:rFonts w:ascii="Lato" w:eastAsia="Malgun Gothic" w:hAnsi="Lato"/>
          <w:szCs w:val="24"/>
        </w:rPr>
        <w:t>W 2022 r. przedsi</w:t>
      </w:r>
      <w:r w:rsidRPr="00D879FE">
        <w:rPr>
          <w:rFonts w:ascii="Lato" w:eastAsia="Malgun Gothic" w:hAnsi="Lato" w:cs="Calibri"/>
          <w:szCs w:val="24"/>
        </w:rPr>
        <w:t>ę</w:t>
      </w:r>
      <w:r w:rsidRPr="00D879FE">
        <w:rPr>
          <w:rFonts w:ascii="Lato" w:eastAsia="Malgun Gothic" w:hAnsi="Lato"/>
          <w:szCs w:val="24"/>
        </w:rPr>
        <w:t>biorstwa energetyczne dostarczyły do ponad 7,5 mln odbiorców ko</w:t>
      </w:r>
      <w:r w:rsidRPr="00D879FE">
        <w:rPr>
          <w:rFonts w:ascii="Lato" w:eastAsia="Malgun Gothic" w:hAnsi="Lato" w:cs="Calibri"/>
          <w:szCs w:val="24"/>
        </w:rPr>
        <w:t>ń</w:t>
      </w:r>
      <w:r w:rsidRPr="00D879FE">
        <w:rPr>
          <w:rFonts w:ascii="Lato" w:eastAsia="Malgun Gothic" w:hAnsi="Lato"/>
          <w:szCs w:val="24"/>
        </w:rPr>
        <w:t>cowych 16,58 mld m</w:t>
      </w:r>
      <w:r w:rsidRPr="00D879FE">
        <w:rPr>
          <w:rFonts w:ascii="Lato" w:eastAsia="Malgun Gothic" w:hAnsi="Lato"/>
          <w:szCs w:val="24"/>
          <w:vertAlign w:val="superscript"/>
        </w:rPr>
        <w:t xml:space="preserve">3 </w:t>
      </w:r>
      <w:r w:rsidRPr="00D879FE">
        <w:rPr>
          <w:rFonts w:ascii="Lato" w:eastAsia="Malgun Gothic" w:hAnsi="Lato"/>
          <w:szCs w:val="24"/>
        </w:rPr>
        <w:t>(181,9 TWh) gazu ziemnego, co stanowi w porównaniu z 2021 r. spadek o 15,6%. Najwi</w:t>
      </w:r>
      <w:r w:rsidRPr="00D879FE">
        <w:rPr>
          <w:rFonts w:ascii="Lato" w:eastAsia="Malgun Gothic" w:hAnsi="Lato" w:cs="Calibri"/>
          <w:szCs w:val="24"/>
        </w:rPr>
        <w:t>ę</w:t>
      </w:r>
      <w:r w:rsidRPr="00D879FE">
        <w:rPr>
          <w:rFonts w:ascii="Lato" w:eastAsia="Malgun Gothic" w:hAnsi="Lato"/>
          <w:szCs w:val="24"/>
        </w:rPr>
        <w:t>cej, bo 9,61 mld m</w:t>
      </w:r>
      <w:r w:rsidRPr="00D879FE">
        <w:rPr>
          <w:rFonts w:ascii="Lato" w:eastAsia="Malgun Gothic" w:hAnsi="Lato"/>
          <w:szCs w:val="24"/>
          <w:vertAlign w:val="superscript"/>
        </w:rPr>
        <w:t>3</w:t>
      </w:r>
      <w:r w:rsidRPr="00D879FE">
        <w:rPr>
          <w:rFonts w:ascii="Lato" w:eastAsia="Malgun Gothic" w:hAnsi="Lato"/>
          <w:szCs w:val="24"/>
        </w:rPr>
        <w:t xml:space="preserve"> (105,4 TWh) gazu ziemnego zostało zużyte przez odbiorców przemysłowych (58,0%), natomiast 5,11 mld m</w:t>
      </w:r>
      <w:r w:rsidRPr="00D879FE">
        <w:rPr>
          <w:rFonts w:ascii="Lato" w:eastAsia="Malgun Gothic" w:hAnsi="Lato"/>
          <w:szCs w:val="24"/>
          <w:vertAlign w:val="superscript"/>
        </w:rPr>
        <w:t>3</w:t>
      </w:r>
      <w:r w:rsidRPr="00D879FE">
        <w:rPr>
          <w:rFonts w:ascii="Lato" w:eastAsia="Malgun Gothic" w:hAnsi="Lato"/>
          <w:szCs w:val="24"/>
        </w:rPr>
        <w:t xml:space="preserve"> (56,0 TWh) zostało skonsumowane przez odbiorców w gospodarstwach domowych (30,8%). Odbiorcy działający w sektorze usług, stanowiący jednocześnie drugą po gospodarstwach domowych najliczniejszą grupę odbiorców, zużyli w 2022 r. 1,24 mld m</w:t>
      </w:r>
      <w:r w:rsidRPr="00D879FE">
        <w:rPr>
          <w:rFonts w:ascii="Lato" w:eastAsia="Malgun Gothic" w:hAnsi="Lato"/>
          <w:szCs w:val="24"/>
          <w:vertAlign w:val="superscript"/>
        </w:rPr>
        <w:t xml:space="preserve">3 </w:t>
      </w:r>
      <w:r w:rsidRPr="00D879FE">
        <w:rPr>
          <w:rFonts w:ascii="Lato" w:eastAsia="Malgun Gothic" w:hAnsi="Lato"/>
          <w:szCs w:val="24"/>
        </w:rPr>
        <w:t>(13,6 TWh), czyli nieco ponad dwa razy więcej niż odbiorcy w sektorze użyteczności publicznej 0,57 mld m</w:t>
      </w:r>
      <w:r w:rsidRPr="00D879FE">
        <w:rPr>
          <w:rFonts w:ascii="Lato" w:eastAsia="Malgun Gothic" w:hAnsi="Lato"/>
          <w:szCs w:val="24"/>
          <w:vertAlign w:val="superscript"/>
        </w:rPr>
        <w:t xml:space="preserve">3 </w:t>
      </w:r>
      <w:r w:rsidRPr="00D879FE">
        <w:rPr>
          <w:rFonts w:ascii="Lato" w:eastAsia="Malgun Gothic" w:hAnsi="Lato"/>
          <w:szCs w:val="24"/>
        </w:rPr>
        <w:t xml:space="preserve">(6,3 TWh). Najmniej liczną oraz zużywającą najmniej gazu ziemnego grupą odbiorców w Polsce są odbiorcy należący do sektora rolnictwa, </w:t>
      </w:r>
      <w:r w:rsidR="00926586">
        <w:rPr>
          <w:rFonts w:ascii="Lato" w:eastAsia="Malgun Gothic" w:hAnsi="Lato"/>
          <w:szCs w:val="24"/>
        </w:rPr>
        <w:t>którzy</w:t>
      </w:r>
      <w:r w:rsidRPr="00D879FE">
        <w:rPr>
          <w:rFonts w:ascii="Lato" w:eastAsia="Malgun Gothic" w:hAnsi="Lato"/>
          <w:szCs w:val="24"/>
        </w:rPr>
        <w:t xml:space="preserve"> zużyli w 2022 r. jedynie 0,04 mld m</w:t>
      </w:r>
      <w:r w:rsidRPr="00D879FE">
        <w:rPr>
          <w:rFonts w:ascii="Lato" w:eastAsia="Malgun Gothic" w:hAnsi="Lato"/>
          <w:szCs w:val="24"/>
          <w:vertAlign w:val="superscript"/>
        </w:rPr>
        <w:t xml:space="preserve">3 </w:t>
      </w:r>
      <w:r w:rsidRPr="00D879FE">
        <w:rPr>
          <w:rFonts w:ascii="Lato" w:eastAsia="Malgun Gothic" w:hAnsi="Lato"/>
          <w:szCs w:val="24"/>
        </w:rPr>
        <w:t>(0,5 TWh).</w:t>
      </w:r>
    </w:p>
    <w:p w14:paraId="74EAEB4A" w14:textId="77777777" w:rsidR="0067393E" w:rsidRDefault="0067393E" w:rsidP="00270AE5">
      <w:pPr>
        <w:pStyle w:val="Legenda"/>
        <w:keepNext/>
        <w:spacing w:after="240" w:line="276" w:lineRule="auto"/>
        <w:rPr>
          <w:rFonts w:ascii="Lato" w:eastAsia="Malgun Gothic" w:hAnsi="Lato"/>
          <w:sz w:val="24"/>
          <w:szCs w:val="24"/>
        </w:rPr>
      </w:pPr>
    </w:p>
    <w:p w14:paraId="05DBFE9A" w14:textId="19FF5EF7" w:rsidR="003966F3" w:rsidRPr="001B1D8F" w:rsidRDefault="003966F3" w:rsidP="00270AE5">
      <w:pPr>
        <w:pStyle w:val="Legenda"/>
        <w:keepNext/>
        <w:spacing w:after="240" w:line="276" w:lineRule="auto"/>
        <w:rPr>
          <w:rFonts w:ascii="Lato" w:eastAsia="Malgun Gothic" w:hAnsi="Lato"/>
          <w:b w:val="0"/>
          <w:sz w:val="24"/>
          <w:szCs w:val="24"/>
        </w:rPr>
      </w:pPr>
      <w:r w:rsidRPr="001B1D8F">
        <w:rPr>
          <w:rFonts w:ascii="Lato" w:eastAsia="Malgun Gothic" w:hAnsi="Lato"/>
          <w:sz w:val="24"/>
          <w:szCs w:val="24"/>
        </w:rPr>
        <w:t xml:space="preserve">Rysunek </w:t>
      </w:r>
      <w:r w:rsidRPr="001B1D8F">
        <w:rPr>
          <w:rFonts w:ascii="Lato" w:eastAsia="Malgun Gothic" w:hAnsi="Lato"/>
          <w:sz w:val="24"/>
          <w:szCs w:val="24"/>
        </w:rPr>
        <w:fldChar w:fldCharType="begin"/>
      </w:r>
      <w:r w:rsidRPr="001B1D8F">
        <w:rPr>
          <w:rFonts w:ascii="Lato" w:eastAsia="Malgun Gothic" w:hAnsi="Lato"/>
          <w:sz w:val="24"/>
          <w:szCs w:val="24"/>
        </w:rPr>
        <w:instrText xml:space="preserve"> SEQ Rysunek \* ARABIC </w:instrText>
      </w:r>
      <w:r w:rsidRPr="001B1D8F">
        <w:rPr>
          <w:rFonts w:ascii="Lato" w:eastAsia="Malgun Gothic" w:hAnsi="Lato"/>
          <w:sz w:val="24"/>
          <w:szCs w:val="24"/>
        </w:rPr>
        <w:fldChar w:fldCharType="separate"/>
      </w:r>
      <w:r w:rsidR="00D520CA">
        <w:rPr>
          <w:rFonts w:ascii="Lato" w:eastAsia="Malgun Gothic" w:hAnsi="Lato"/>
          <w:noProof/>
          <w:sz w:val="24"/>
          <w:szCs w:val="24"/>
        </w:rPr>
        <w:t>1</w:t>
      </w:r>
      <w:r w:rsidRPr="001B1D8F">
        <w:rPr>
          <w:rFonts w:ascii="Lato" w:eastAsia="Malgun Gothic" w:hAnsi="Lato"/>
          <w:sz w:val="24"/>
          <w:szCs w:val="24"/>
        </w:rPr>
        <w:fldChar w:fldCharType="end"/>
      </w:r>
      <w:r w:rsidRPr="001B1D8F">
        <w:rPr>
          <w:rFonts w:ascii="Lato" w:eastAsia="Malgun Gothic" w:hAnsi="Lato"/>
          <w:sz w:val="24"/>
          <w:szCs w:val="24"/>
        </w:rPr>
        <w:t>.</w:t>
      </w:r>
      <w:r w:rsidR="00926586" w:rsidRPr="001B1D8F">
        <w:rPr>
          <w:rFonts w:ascii="Lato" w:eastAsia="Malgun Gothic" w:hAnsi="Lato"/>
          <w:sz w:val="24"/>
          <w:szCs w:val="24"/>
        </w:rPr>
        <w:t xml:space="preserve"> </w:t>
      </w:r>
      <w:r w:rsidRPr="001B1D8F">
        <w:rPr>
          <w:rFonts w:ascii="Lato" w:eastAsia="Malgun Gothic" w:hAnsi="Lato"/>
          <w:sz w:val="24"/>
          <w:szCs w:val="24"/>
        </w:rPr>
        <w:t xml:space="preserve">Udział w zużyciu gazu ziemnego w podziale na sektory </w:t>
      </w:r>
    </w:p>
    <w:p w14:paraId="63C3039B" w14:textId="77777777" w:rsidR="003966F3" w:rsidRPr="00C758B1" w:rsidRDefault="003966F3" w:rsidP="00983C18">
      <w:pPr>
        <w:spacing w:line="276" w:lineRule="auto"/>
        <w:jc w:val="center"/>
        <w:rPr>
          <w:rFonts w:ascii="Lato" w:eastAsia="Malgun Gothic" w:hAnsi="Lato" w:cs="Calibri"/>
          <w:i/>
          <w:sz w:val="20"/>
          <w:szCs w:val="20"/>
        </w:rPr>
      </w:pPr>
      <w:r w:rsidRPr="00C758B1">
        <w:rPr>
          <w:rFonts w:ascii="Lato" w:hAnsi="Lato"/>
          <w:noProof/>
          <w:sz w:val="20"/>
          <w:szCs w:val="20"/>
        </w:rPr>
        <w:drawing>
          <wp:inline distT="0" distB="0" distL="0" distR="0" wp14:anchorId="2C2A8288" wp14:editId="45A7CEBE">
            <wp:extent cx="4006850" cy="2908300"/>
            <wp:effectExtent l="0" t="0" r="0" b="635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B6E2AD9" w14:textId="6FEB2754" w:rsidR="003966F3" w:rsidRPr="00C758B1" w:rsidRDefault="003966F3" w:rsidP="002E0AC8">
      <w:pPr>
        <w:spacing w:line="276" w:lineRule="auto"/>
        <w:rPr>
          <w:rFonts w:ascii="Lato" w:eastAsia="Malgun Gothic" w:hAnsi="Lato"/>
          <w:i/>
          <w:sz w:val="20"/>
          <w:szCs w:val="20"/>
        </w:rPr>
      </w:pPr>
      <w:r w:rsidRPr="00C758B1">
        <w:rPr>
          <w:rFonts w:ascii="Lato" w:eastAsia="Malgun Gothic" w:hAnsi="Lato" w:cs="Calibri"/>
          <w:i/>
          <w:sz w:val="20"/>
          <w:szCs w:val="20"/>
        </w:rPr>
        <w:t>Ź</w:t>
      </w:r>
      <w:r w:rsidRPr="00C758B1">
        <w:rPr>
          <w:rFonts w:ascii="Lato" w:eastAsia="Malgun Gothic" w:hAnsi="Lato"/>
          <w:i/>
          <w:sz w:val="20"/>
          <w:szCs w:val="20"/>
        </w:rPr>
        <w:t>r</w:t>
      </w:r>
      <w:r w:rsidRPr="00C758B1">
        <w:rPr>
          <w:rFonts w:ascii="Lato" w:eastAsia="Malgun Gothic" w:hAnsi="Lato" w:cs="Malgun Gothic"/>
          <w:i/>
          <w:sz w:val="20"/>
          <w:szCs w:val="20"/>
        </w:rPr>
        <w:t>ó</w:t>
      </w:r>
      <w:r w:rsidRPr="00C758B1">
        <w:rPr>
          <w:rFonts w:ascii="Lato" w:eastAsia="Malgun Gothic" w:hAnsi="Lato"/>
          <w:i/>
          <w:sz w:val="20"/>
          <w:szCs w:val="20"/>
        </w:rPr>
        <w:t>d</w:t>
      </w:r>
      <w:r w:rsidRPr="00C758B1">
        <w:rPr>
          <w:rFonts w:ascii="Lato" w:eastAsia="Malgun Gothic" w:hAnsi="Lato" w:cs="Malgun Gothic"/>
          <w:i/>
          <w:sz w:val="20"/>
          <w:szCs w:val="20"/>
        </w:rPr>
        <w:t>ł</w:t>
      </w:r>
      <w:r w:rsidRPr="00C758B1">
        <w:rPr>
          <w:rFonts w:ascii="Lato" w:eastAsia="Malgun Gothic" w:hAnsi="Lato"/>
          <w:i/>
          <w:sz w:val="20"/>
          <w:szCs w:val="20"/>
        </w:rPr>
        <w:t>o: Badania statystyczne Ministra Klimatu i Środowiska</w:t>
      </w:r>
    </w:p>
    <w:p w14:paraId="5C6EA2FE" w14:textId="0B452180" w:rsidR="003966F3" w:rsidRDefault="003966F3" w:rsidP="00983C18">
      <w:pPr>
        <w:spacing w:line="276" w:lineRule="auto"/>
        <w:ind w:firstLine="426"/>
        <w:rPr>
          <w:rFonts w:ascii="Lato" w:eastAsia="Malgun Gothic" w:hAnsi="Lato"/>
          <w:szCs w:val="24"/>
        </w:rPr>
      </w:pPr>
      <w:r w:rsidRPr="004F0DBF">
        <w:rPr>
          <w:rFonts w:ascii="Lato" w:eastAsia="Malgun Gothic" w:hAnsi="Lato"/>
          <w:szCs w:val="24"/>
        </w:rPr>
        <w:t>Szczytowe zapotrzebowanie odbiorców na gaz ziemny w 2022 r. wyst</w:t>
      </w:r>
      <w:r w:rsidRPr="004F0DBF">
        <w:rPr>
          <w:rFonts w:ascii="Lato" w:eastAsia="Malgun Gothic" w:hAnsi="Lato" w:cs="Calibri"/>
          <w:szCs w:val="24"/>
        </w:rPr>
        <w:t>ą</w:t>
      </w:r>
      <w:r w:rsidRPr="004F0DBF">
        <w:rPr>
          <w:rFonts w:ascii="Lato" w:eastAsia="Malgun Gothic" w:hAnsi="Lato"/>
          <w:szCs w:val="24"/>
        </w:rPr>
        <w:t>pi</w:t>
      </w:r>
      <w:r w:rsidRPr="004F0DBF">
        <w:rPr>
          <w:rFonts w:ascii="Lato" w:eastAsia="Malgun Gothic" w:hAnsi="Lato" w:cs="Malgun Gothic"/>
          <w:szCs w:val="24"/>
        </w:rPr>
        <w:t>ł</w:t>
      </w:r>
      <w:r w:rsidRPr="004F0DBF">
        <w:rPr>
          <w:rFonts w:ascii="Lato" w:eastAsia="Malgun Gothic" w:hAnsi="Lato"/>
          <w:szCs w:val="24"/>
        </w:rPr>
        <w:t>o w dniu 11 stycznia 2022 r. i wyniosło ok. 77 mln m</w:t>
      </w:r>
      <w:r w:rsidRPr="004F0DBF">
        <w:rPr>
          <w:rFonts w:ascii="Lato" w:eastAsia="Malgun Gothic" w:hAnsi="Lato"/>
          <w:szCs w:val="24"/>
          <w:vertAlign w:val="superscript"/>
        </w:rPr>
        <w:t>3</w:t>
      </w:r>
      <w:r w:rsidRPr="004F0DBF">
        <w:rPr>
          <w:rFonts w:ascii="Lato" w:eastAsia="Malgun Gothic" w:hAnsi="Lato"/>
          <w:szCs w:val="24"/>
        </w:rPr>
        <w:t>/dob</w:t>
      </w:r>
      <w:r w:rsidRPr="004F0DBF">
        <w:rPr>
          <w:rFonts w:ascii="Lato" w:eastAsia="Malgun Gothic" w:hAnsi="Lato" w:cs="Calibri"/>
          <w:szCs w:val="24"/>
        </w:rPr>
        <w:t>ę</w:t>
      </w:r>
      <w:r w:rsidRPr="004F0DBF">
        <w:rPr>
          <w:rFonts w:ascii="Lato" w:eastAsia="Malgun Gothic" w:hAnsi="Lato"/>
          <w:szCs w:val="24"/>
        </w:rPr>
        <w:t xml:space="preserve"> (867,1 GWh/dob</w:t>
      </w:r>
      <w:r w:rsidRPr="004F0DBF">
        <w:rPr>
          <w:rFonts w:ascii="Lato" w:eastAsia="Malgun Gothic" w:hAnsi="Lato" w:cs="Calibri"/>
          <w:szCs w:val="24"/>
        </w:rPr>
        <w:t>ę</w:t>
      </w:r>
      <w:r w:rsidRPr="004F0DBF">
        <w:rPr>
          <w:rFonts w:ascii="Lato" w:eastAsia="Malgun Gothic" w:hAnsi="Lato"/>
          <w:szCs w:val="24"/>
        </w:rPr>
        <w:t>), przy czym nie przekroczyło dotychczasowego największego historycznego zapotrzebowania odnotowanego w dniu 18 stycznia 2021 r.</w:t>
      </w:r>
      <w:r w:rsidR="005830B3">
        <w:rPr>
          <w:rFonts w:ascii="Lato" w:eastAsia="Malgun Gothic" w:hAnsi="Lato"/>
          <w:szCs w:val="24"/>
        </w:rPr>
        <w:t xml:space="preserve">, tj. </w:t>
      </w:r>
      <w:r w:rsidRPr="004F0DBF">
        <w:rPr>
          <w:rFonts w:ascii="Lato" w:eastAsia="Malgun Gothic" w:hAnsi="Lato"/>
          <w:szCs w:val="24"/>
        </w:rPr>
        <w:t xml:space="preserve">89,3 mln m³/dobę (1007,5 GWh). </w:t>
      </w:r>
    </w:p>
    <w:p w14:paraId="10BC0BDD" w14:textId="4D70AE1D" w:rsidR="005B7DD8" w:rsidRPr="005B7DD8" w:rsidRDefault="005B7DD8" w:rsidP="00983C18">
      <w:pPr>
        <w:pStyle w:val="Rozdzia3"/>
        <w:ind w:left="0" w:firstLine="0"/>
        <w:rPr>
          <w:rFonts w:ascii="Lato" w:hAnsi="Lato"/>
        </w:rPr>
      </w:pPr>
      <w:bookmarkStart w:id="30" w:name="_Toc142469558"/>
      <w:r w:rsidRPr="005B7DD8">
        <w:rPr>
          <w:rFonts w:ascii="Lato" w:hAnsi="Lato"/>
        </w:rPr>
        <w:t>Charakterystyka krajowego systemu gazowego</w:t>
      </w:r>
      <w:bookmarkEnd w:id="30"/>
      <w:r w:rsidRPr="005B7DD8">
        <w:rPr>
          <w:rFonts w:ascii="Lato" w:hAnsi="Lato"/>
        </w:rPr>
        <w:t xml:space="preserve"> </w:t>
      </w:r>
    </w:p>
    <w:p w14:paraId="72568BC4" w14:textId="3F6E55A9" w:rsidR="00B03DBA" w:rsidRPr="00223D99" w:rsidRDefault="00C7771E" w:rsidP="005577BE">
      <w:pPr>
        <w:pStyle w:val="Rozdzia4"/>
        <w:spacing w:after="120"/>
        <w:rPr>
          <w:rFonts w:ascii="Lato" w:hAnsi="Lato"/>
        </w:rPr>
      </w:pPr>
      <w:bookmarkStart w:id="31" w:name="_Toc12287738"/>
      <w:r w:rsidRPr="00223D99">
        <w:rPr>
          <w:rFonts w:ascii="Lato" w:hAnsi="Lato"/>
        </w:rPr>
        <w:t>Krajowy system przesyłowy</w:t>
      </w:r>
      <w:bookmarkEnd w:id="31"/>
    </w:p>
    <w:p w14:paraId="7D3CDD0E" w14:textId="3D093160" w:rsidR="00B03DBA" w:rsidRPr="00C758B1" w:rsidRDefault="005830B3" w:rsidP="005577BE">
      <w:pPr>
        <w:pStyle w:val="Tekstzwyky"/>
        <w:contextualSpacing/>
        <w:rPr>
          <w:rFonts w:ascii="Lato" w:hAnsi="Lato"/>
        </w:rPr>
      </w:pPr>
      <w:r w:rsidRPr="005830B3">
        <w:rPr>
          <w:rFonts w:ascii="Lato" w:eastAsia="Malgun Gothic" w:hAnsi="Lato" w:cstheme="minorBidi"/>
          <w:color w:val="auto"/>
        </w:rPr>
        <w:tab/>
      </w:r>
      <w:r w:rsidR="00C7771E" w:rsidRPr="005830B3">
        <w:rPr>
          <w:rFonts w:ascii="Lato" w:eastAsia="Malgun Gothic" w:hAnsi="Lato" w:cstheme="minorBidi"/>
          <w:color w:val="auto"/>
        </w:rPr>
        <w:t>Krajowy system przesyłowy składa się z gazociągów przesyłowych o łącznej długości</w:t>
      </w:r>
      <w:r w:rsidR="00C7771E" w:rsidRPr="00C758B1">
        <w:rPr>
          <w:rFonts w:ascii="Lato" w:hAnsi="Lato"/>
        </w:rPr>
        <w:t xml:space="preserve"> ok. </w:t>
      </w:r>
      <w:r w:rsidR="0047343C">
        <w:rPr>
          <w:rFonts w:ascii="Lato" w:hAnsi="Lato"/>
        </w:rPr>
        <w:t>1</w:t>
      </w:r>
      <w:r w:rsidR="00EF5F7F">
        <w:rPr>
          <w:rFonts w:ascii="Lato" w:hAnsi="Lato"/>
        </w:rPr>
        <w:t>2 </w:t>
      </w:r>
      <w:r w:rsidR="00EB68F1">
        <w:rPr>
          <w:rFonts w:ascii="Lato" w:hAnsi="Lato"/>
        </w:rPr>
        <w:t xml:space="preserve">476 </w:t>
      </w:r>
      <w:r w:rsidR="00C7771E" w:rsidRPr="00C758B1">
        <w:rPr>
          <w:rFonts w:ascii="Lato" w:hAnsi="Lato"/>
        </w:rPr>
        <w:t>km (</w:t>
      </w:r>
      <w:r w:rsidR="00C7771E" w:rsidRPr="00C758B1">
        <w:rPr>
          <w:rFonts w:ascii="Lato" w:hAnsi="Lato"/>
          <w:bCs/>
          <w:lang w:eastAsia="pl-PL"/>
        </w:rPr>
        <w:t>według stanu na dzień 31 grudnia 20</w:t>
      </w:r>
      <w:r w:rsidR="00486B32" w:rsidRPr="00C758B1">
        <w:rPr>
          <w:rFonts w:ascii="Lato" w:hAnsi="Lato"/>
          <w:bCs/>
          <w:lang w:eastAsia="pl-PL"/>
        </w:rPr>
        <w:t>2</w:t>
      </w:r>
      <w:r w:rsidR="003966F3" w:rsidRPr="00C758B1">
        <w:rPr>
          <w:rFonts w:ascii="Lato" w:hAnsi="Lato"/>
          <w:bCs/>
          <w:lang w:eastAsia="pl-PL"/>
        </w:rPr>
        <w:t>2</w:t>
      </w:r>
      <w:r w:rsidR="00C7771E" w:rsidRPr="00C758B1">
        <w:rPr>
          <w:rFonts w:ascii="Lato" w:hAnsi="Lato"/>
          <w:bCs/>
          <w:lang w:eastAsia="pl-PL"/>
        </w:rPr>
        <w:t xml:space="preserve"> r.)</w:t>
      </w:r>
      <w:r>
        <w:rPr>
          <w:rFonts w:ascii="Lato" w:hAnsi="Lato"/>
        </w:rPr>
        <w:t>, z czego</w:t>
      </w:r>
      <w:r w:rsidR="00223D99">
        <w:rPr>
          <w:rFonts w:ascii="Lato" w:hAnsi="Lato"/>
        </w:rPr>
        <w:t>:</w:t>
      </w:r>
    </w:p>
    <w:p w14:paraId="63E3FCE6" w14:textId="5AE1E2BB" w:rsidR="00706DE4" w:rsidRPr="00EF5F7F" w:rsidRDefault="003966F3">
      <w:pPr>
        <w:pStyle w:val="TekstWypunktowany"/>
        <w:numPr>
          <w:ilvl w:val="0"/>
          <w:numId w:val="19"/>
        </w:numPr>
        <w:rPr>
          <w:rFonts w:ascii="Lato" w:hAnsi="Lato"/>
        </w:rPr>
      </w:pPr>
      <w:r w:rsidRPr="00C758B1">
        <w:rPr>
          <w:rFonts w:ascii="Lato" w:hAnsi="Lato"/>
        </w:rPr>
        <w:t xml:space="preserve">11 </w:t>
      </w:r>
      <w:r w:rsidR="00EF5F7F">
        <w:rPr>
          <w:rFonts w:ascii="Lato" w:hAnsi="Lato"/>
        </w:rPr>
        <w:t>792</w:t>
      </w:r>
      <w:r w:rsidR="00EF5F7F" w:rsidRPr="00C758B1">
        <w:rPr>
          <w:rFonts w:ascii="Lato" w:hAnsi="Lato"/>
        </w:rPr>
        <w:t xml:space="preserve"> </w:t>
      </w:r>
      <w:r w:rsidR="00C7771E" w:rsidRPr="00C758B1">
        <w:rPr>
          <w:rFonts w:ascii="Lato" w:hAnsi="Lato"/>
        </w:rPr>
        <w:t>km sieci gazu wysokometanowego E</w:t>
      </w:r>
      <w:r w:rsidR="00EF5F7F">
        <w:rPr>
          <w:rFonts w:ascii="Lato" w:hAnsi="Lato"/>
        </w:rPr>
        <w:t xml:space="preserve"> oraz </w:t>
      </w:r>
      <w:r w:rsidR="00C7771E" w:rsidRPr="00EF5F7F">
        <w:rPr>
          <w:rFonts w:ascii="Lato" w:hAnsi="Lato"/>
        </w:rPr>
        <w:t>gazu zaazotowanego Lw,</w:t>
      </w:r>
    </w:p>
    <w:p w14:paraId="38C279BE" w14:textId="67CFF842" w:rsidR="00B03DBA" w:rsidRPr="00706DE4" w:rsidRDefault="00C7771E">
      <w:pPr>
        <w:pStyle w:val="TekstWypunktowany"/>
        <w:numPr>
          <w:ilvl w:val="0"/>
          <w:numId w:val="19"/>
        </w:numPr>
        <w:spacing w:after="120"/>
        <w:contextualSpacing w:val="0"/>
        <w:rPr>
          <w:rFonts w:ascii="Lato" w:hAnsi="Lato"/>
        </w:rPr>
      </w:pPr>
      <w:r w:rsidRPr="00706DE4">
        <w:rPr>
          <w:rFonts w:ascii="Lato" w:hAnsi="Lato"/>
        </w:rPr>
        <w:t xml:space="preserve">systemu gazociągów tranzytowych o długości </w:t>
      </w:r>
      <w:r w:rsidR="00EB68F1" w:rsidRPr="00706DE4">
        <w:rPr>
          <w:rFonts w:ascii="Lato" w:hAnsi="Lato"/>
        </w:rPr>
        <w:t>68</w:t>
      </w:r>
      <w:r w:rsidR="00EB68F1">
        <w:rPr>
          <w:rFonts w:ascii="Lato" w:hAnsi="Lato"/>
        </w:rPr>
        <w:t>4</w:t>
      </w:r>
      <w:r w:rsidR="00EB68F1" w:rsidRPr="00706DE4">
        <w:rPr>
          <w:rFonts w:ascii="Lato" w:hAnsi="Lato"/>
        </w:rPr>
        <w:t xml:space="preserve"> </w:t>
      </w:r>
      <w:r w:rsidRPr="00706DE4">
        <w:rPr>
          <w:rFonts w:ascii="Lato" w:hAnsi="Lato"/>
        </w:rPr>
        <w:t>km.</w:t>
      </w:r>
    </w:p>
    <w:p w14:paraId="353C1B20" w14:textId="63595360" w:rsidR="003966F3" w:rsidRPr="00CE72DC" w:rsidRDefault="003966F3" w:rsidP="005577BE">
      <w:pPr>
        <w:spacing w:after="120" w:line="276" w:lineRule="auto"/>
        <w:rPr>
          <w:rFonts w:ascii="Lato" w:eastAsia="Malgun Gothic" w:hAnsi="Lato"/>
          <w:iCs/>
          <w:szCs w:val="24"/>
        </w:rPr>
      </w:pPr>
      <w:r w:rsidRPr="00CE72DC">
        <w:rPr>
          <w:rFonts w:ascii="Lato" w:eastAsia="Malgun Gothic" w:hAnsi="Lato"/>
          <w:szCs w:val="24"/>
        </w:rPr>
        <w:t>Krajowy s</w:t>
      </w:r>
      <w:r w:rsidRPr="00CE72DC">
        <w:rPr>
          <w:rFonts w:ascii="Lato" w:eastAsia="Malgun Gothic" w:hAnsi="Lato"/>
          <w:iCs/>
          <w:szCs w:val="24"/>
        </w:rPr>
        <w:t>ystem przesyłowy gazu wysokometanowego zarz</w:t>
      </w:r>
      <w:r w:rsidRPr="00CE72DC">
        <w:rPr>
          <w:rFonts w:ascii="Lato" w:eastAsia="Malgun Gothic" w:hAnsi="Lato" w:cs="Calibri"/>
          <w:iCs/>
          <w:szCs w:val="24"/>
        </w:rPr>
        <w:t>ą</w:t>
      </w:r>
      <w:r w:rsidRPr="00CE72DC">
        <w:rPr>
          <w:rFonts w:ascii="Lato" w:eastAsia="Malgun Gothic" w:hAnsi="Lato"/>
          <w:iCs/>
          <w:szCs w:val="24"/>
        </w:rPr>
        <w:t>dzany przez OGP GAZ-SYSTEM S.A. zasilany jest przez punkty wej</w:t>
      </w:r>
      <w:r w:rsidRPr="00CE72DC">
        <w:rPr>
          <w:rFonts w:ascii="Lato" w:eastAsia="Malgun Gothic" w:hAnsi="Lato" w:cs="Calibri"/>
          <w:iCs/>
          <w:szCs w:val="24"/>
        </w:rPr>
        <w:t>ś</w:t>
      </w:r>
      <w:r w:rsidRPr="00CE72DC">
        <w:rPr>
          <w:rFonts w:ascii="Lato" w:eastAsia="Malgun Gothic" w:hAnsi="Lato"/>
          <w:iCs/>
          <w:szCs w:val="24"/>
        </w:rPr>
        <w:t>cia zwi</w:t>
      </w:r>
      <w:r w:rsidRPr="00CE72DC">
        <w:rPr>
          <w:rFonts w:ascii="Lato" w:eastAsia="Malgun Gothic" w:hAnsi="Lato" w:cs="Calibri"/>
          <w:iCs/>
          <w:szCs w:val="24"/>
        </w:rPr>
        <w:t>ą</w:t>
      </w:r>
      <w:r w:rsidRPr="00CE72DC">
        <w:rPr>
          <w:rFonts w:ascii="Lato" w:eastAsia="Malgun Gothic" w:hAnsi="Lato"/>
          <w:iCs/>
          <w:szCs w:val="24"/>
        </w:rPr>
        <w:t>zane z:</w:t>
      </w:r>
    </w:p>
    <w:p w14:paraId="5DE95BD0" w14:textId="77777777" w:rsidR="003966F3" w:rsidRPr="00CE72DC" w:rsidRDefault="003966F3">
      <w:pPr>
        <w:numPr>
          <w:ilvl w:val="0"/>
          <w:numId w:val="8"/>
        </w:numPr>
        <w:tabs>
          <w:tab w:val="num" w:pos="0"/>
        </w:tabs>
        <w:spacing w:after="120" w:line="276" w:lineRule="auto"/>
        <w:ind w:hanging="720"/>
        <w:jc w:val="left"/>
        <w:rPr>
          <w:rFonts w:ascii="Lato" w:eastAsia="Malgun Gothic" w:hAnsi="Lato"/>
          <w:szCs w:val="24"/>
          <w:u w:val="single"/>
        </w:rPr>
      </w:pPr>
      <w:r w:rsidRPr="00CE72DC">
        <w:rPr>
          <w:rFonts w:ascii="Lato" w:eastAsia="Malgun Gothic" w:hAnsi="Lato"/>
          <w:szCs w:val="24"/>
          <w:u w:val="single"/>
        </w:rPr>
        <w:t>przywozem gazu ziemnego:</w:t>
      </w:r>
    </w:p>
    <w:p w14:paraId="5C741573" w14:textId="6C0E88D9" w:rsidR="003966F3" w:rsidRPr="00CE72DC" w:rsidRDefault="00A43906">
      <w:pPr>
        <w:numPr>
          <w:ilvl w:val="0"/>
          <w:numId w:val="3"/>
        </w:numPr>
        <w:spacing w:after="120" w:line="276" w:lineRule="auto"/>
        <w:ind w:left="1134" w:hanging="567"/>
        <w:contextualSpacing/>
        <w:jc w:val="left"/>
        <w:rPr>
          <w:rFonts w:ascii="Lato" w:eastAsia="Malgun Gothic" w:hAnsi="Lato"/>
          <w:szCs w:val="24"/>
        </w:rPr>
      </w:pPr>
      <w:r>
        <w:rPr>
          <w:rFonts w:ascii="Lato" w:eastAsia="Malgun Gothic" w:hAnsi="Lato"/>
          <w:szCs w:val="24"/>
        </w:rPr>
        <w:t>GCP</w:t>
      </w:r>
      <w:r w:rsidR="003966F3" w:rsidRPr="00CE72DC">
        <w:rPr>
          <w:rFonts w:ascii="Lato" w:eastAsia="Malgun Gothic" w:hAnsi="Lato"/>
          <w:szCs w:val="24"/>
        </w:rPr>
        <w:t xml:space="preserve"> Gaz-System/UA TSO (Drozdowicze - granica polsko-ukrai</w:t>
      </w:r>
      <w:r w:rsidR="003966F3" w:rsidRPr="00CE72DC">
        <w:rPr>
          <w:rFonts w:ascii="Lato" w:eastAsia="Malgun Gothic" w:hAnsi="Lato" w:cs="Calibri"/>
          <w:szCs w:val="24"/>
        </w:rPr>
        <w:t>ń</w:t>
      </w:r>
      <w:r w:rsidR="003966F3" w:rsidRPr="00CE72DC">
        <w:rPr>
          <w:rFonts w:ascii="Lato" w:eastAsia="Malgun Gothic" w:hAnsi="Lato"/>
          <w:szCs w:val="24"/>
        </w:rPr>
        <w:t>ska),</w:t>
      </w:r>
    </w:p>
    <w:p w14:paraId="6C67C347" w14:textId="77777777" w:rsidR="003966F3" w:rsidRPr="00CE72DC" w:rsidRDefault="003966F3">
      <w:pPr>
        <w:numPr>
          <w:ilvl w:val="0"/>
          <w:numId w:val="3"/>
        </w:numPr>
        <w:spacing w:after="120" w:line="276" w:lineRule="auto"/>
        <w:ind w:left="1134" w:hanging="567"/>
        <w:contextualSpacing/>
        <w:rPr>
          <w:rFonts w:ascii="Lato" w:eastAsia="Malgun Gothic" w:hAnsi="Lato"/>
          <w:szCs w:val="24"/>
        </w:rPr>
      </w:pPr>
      <w:r w:rsidRPr="00CE72DC">
        <w:rPr>
          <w:rFonts w:ascii="Lato" w:eastAsia="Malgun Gothic" w:hAnsi="Lato"/>
          <w:szCs w:val="24"/>
        </w:rPr>
        <w:t>Faxe – Baltic Pipe (połączenie Polska – Dania),</w:t>
      </w:r>
    </w:p>
    <w:p w14:paraId="63BB6736" w14:textId="77777777" w:rsidR="003966F3" w:rsidRPr="00CE72DC" w:rsidRDefault="003966F3">
      <w:pPr>
        <w:numPr>
          <w:ilvl w:val="0"/>
          <w:numId w:val="3"/>
        </w:numPr>
        <w:spacing w:after="120" w:line="276" w:lineRule="auto"/>
        <w:ind w:left="1134" w:hanging="567"/>
        <w:contextualSpacing/>
        <w:rPr>
          <w:rFonts w:ascii="Lato" w:eastAsia="Malgun Gothic" w:hAnsi="Lato"/>
          <w:szCs w:val="24"/>
        </w:rPr>
      </w:pPr>
      <w:r w:rsidRPr="00CE72DC">
        <w:rPr>
          <w:rFonts w:ascii="Lato" w:eastAsia="Malgun Gothic" w:hAnsi="Lato"/>
          <w:szCs w:val="24"/>
        </w:rPr>
        <w:t>Santaka (granica polsko-litewska),</w:t>
      </w:r>
    </w:p>
    <w:p w14:paraId="27737C87" w14:textId="77777777" w:rsidR="003966F3" w:rsidRPr="00CE72DC" w:rsidRDefault="003966F3">
      <w:pPr>
        <w:numPr>
          <w:ilvl w:val="0"/>
          <w:numId w:val="3"/>
        </w:numPr>
        <w:spacing w:after="120" w:line="276" w:lineRule="auto"/>
        <w:ind w:left="1134" w:hanging="567"/>
        <w:contextualSpacing/>
        <w:rPr>
          <w:rFonts w:ascii="Lato" w:eastAsia="Malgun Gothic" w:hAnsi="Lato"/>
          <w:szCs w:val="24"/>
        </w:rPr>
      </w:pPr>
      <w:r w:rsidRPr="00CE72DC">
        <w:rPr>
          <w:rFonts w:ascii="Lato" w:eastAsia="Malgun Gothic" w:hAnsi="Lato"/>
          <w:szCs w:val="24"/>
        </w:rPr>
        <w:t>Vyrava (granica polsko-słowacka),</w:t>
      </w:r>
    </w:p>
    <w:p w14:paraId="147D0ED4" w14:textId="04A4D476" w:rsidR="003966F3" w:rsidRPr="00CE72DC" w:rsidRDefault="00A43906">
      <w:pPr>
        <w:numPr>
          <w:ilvl w:val="0"/>
          <w:numId w:val="3"/>
        </w:numPr>
        <w:spacing w:after="0" w:line="276" w:lineRule="auto"/>
        <w:ind w:left="1134" w:hanging="567"/>
        <w:contextualSpacing/>
        <w:rPr>
          <w:rFonts w:ascii="Lato" w:eastAsia="Malgun Gothic" w:hAnsi="Lato"/>
          <w:szCs w:val="24"/>
        </w:rPr>
      </w:pPr>
      <w:r>
        <w:rPr>
          <w:rFonts w:ascii="Lato" w:eastAsia="Malgun Gothic" w:hAnsi="Lato"/>
          <w:szCs w:val="24"/>
        </w:rPr>
        <w:t>GCP</w:t>
      </w:r>
      <w:r w:rsidR="003966F3" w:rsidRPr="00CE72DC">
        <w:rPr>
          <w:rFonts w:ascii="Lato" w:eastAsia="Malgun Gothic" w:hAnsi="Lato"/>
          <w:szCs w:val="24"/>
        </w:rPr>
        <w:t xml:space="preserve"> Gaz-System/ONTRAS (Lasów – granica polsko-niemiecka),</w:t>
      </w:r>
    </w:p>
    <w:p w14:paraId="1CAE8EF2" w14:textId="77777777" w:rsidR="003966F3" w:rsidRPr="00CE72DC" w:rsidRDefault="003966F3">
      <w:pPr>
        <w:numPr>
          <w:ilvl w:val="0"/>
          <w:numId w:val="3"/>
        </w:numPr>
        <w:spacing w:after="0" w:line="276" w:lineRule="auto"/>
        <w:ind w:left="1134" w:hanging="567"/>
        <w:contextualSpacing/>
        <w:rPr>
          <w:rFonts w:ascii="Lato" w:eastAsia="Malgun Gothic" w:hAnsi="Lato"/>
          <w:szCs w:val="24"/>
        </w:rPr>
      </w:pPr>
      <w:r w:rsidRPr="00CE72DC">
        <w:rPr>
          <w:rFonts w:ascii="Lato" w:eastAsia="Malgun Gothic" w:hAnsi="Lato"/>
          <w:szCs w:val="24"/>
        </w:rPr>
        <w:t>Cieszyn (granica polsko-czeska),</w:t>
      </w:r>
    </w:p>
    <w:p w14:paraId="6FAE88AB" w14:textId="77777777" w:rsidR="003966F3" w:rsidRPr="00CE72DC" w:rsidRDefault="003966F3">
      <w:pPr>
        <w:pStyle w:val="Akapitzlist"/>
        <w:numPr>
          <w:ilvl w:val="0"/>
          <w:numId w:val="3"/>
        </w:numPr>
        <w:spacing w:after="0" w:line="276" w:lineRule="auto"/>
        <w:ind w:left="1134" w:hanging="567"/>
        <w:rPr>
          <w:rFonts w:ascii="Lato" w:eastAsia="Malgun Gothic" w:hAnsi="Lato"/>
          <w:szCs w:val="24"/>
        </w:rPr>
      </w:pPr>
      <w:r w:rsidRPr="00CE72DC">
        <w:rPr>
          <w:rFonts w:ascii="Lato" w:eastAsia="Malgun Gothic" w:hAnsi="Lato"/>
          <w:szCs w:val="24"/>
        </w:rPr>
        <w:lastRenderedPageBreak/>
        <w:t>System Gazoci</w:t>
      </w:r>
      <w:r w:rsidRPr="00CE72DC">
        <w:rPr>
          <w:rFonts w:ascii="Lato" w:eastAsia="Malgun Gothic" w:hAnsi="Lato" w:cs="Calibri"/>
          <w:szCs w:val="24"/>
        </w:rPr>
        <w:t>ą</w:t>
      </w:r>
      <w:r w:rsidRPr="00CE72DC">
        <w:rPr>
          <w:rFonts w:ascii="Lato" w:eastAsia="Malgun Gothic" w:hAnsi="Lato"/>
          <w:szCs w:val="24"/>
        </w:rPr>
        <w:t>g</w:t>
      </w:r>
      <w:r w:rsidRPr="00CE72DC">
        <w:rPr>
          <w:rFonts w:ascii="Lato" w:eastAsia="Malgun Gothic" w:hAnsi="Lato" w:cs="Malgun Gothic"/>
          <w:szCs w:val="24"/>
        </w:rPr>
        <w:t>ó</w:t>
      </w:r>
      <w:r w:rsidRPr="00CE72DC">
        <w:rPr>
          <w:rFonts w:ascii="Lato" w:eastAsia="Malgun Gothic" w:hAnsi="Lato"/>
          <w:szCs w:val="24"/>
        </w:rPr>
        <w:t>w Tranzytowych (polski odcinek gazoci</w:t>
      </w:r>
      <w:r w:rsidRPr="00CE72DC">
        <w:rPr>
          <w:rFonts w:ascii="Lato" w:eastAsia="Malgun Gothic" w:hAnsi="Lato" w:cs="Calibri"/>
          <w:szCs w:val="24"/>
        </w:rPr>
        <w:t>ą</w:t>
      </w:r>
      <w:r w:rsidRPr="00CE72DC">
        <w:rPr>
          <w:rFonts w:ascii="Lato" w:eastAsia="Malgun Gothic" w:hAnsi="Lato"/>
          <w:szCs w:val="24"/>
        </w:rPr>
        <w:t>gu Jama</w:t>
      </w:r>
      <w:r w:rsidRPr="00CE72DC">
        <w:rPr>
          <w:rFonts w:ascii="Lato" w:eastAsia="Malgun Gothic" w:hAnsi="Lato" w:cs="Malgun Gothic"/>
          <w:szCs w:val="24"/>
        </w:rPr>
        <w:t>ł</w:t>
      </w:r>
      <w:r w:rsidRPr="00CE72DC">
        <w:rPr>
          <w:rFonts w:ascii="Lato" w:eastAsia="Malgun Gothic" w:hAnsi="Lato"/>
          <w:szCs w:val="24"/>
        </w:rPr>
        <w:t>-Europa):</w:t>
      </w:r>
    </w:p>
    <w:p w14:paraId="15BDEF27" w14:textId="77777777" w:rsidR="003966F3" w:rsidRPr="00CE72DC" w:rsidRDefault="003966F3">
      <w:pPr>
        <w:numPr>
          <w:ilvl w:val="0"/>
          <w:numId w:val="4"/>
        </w:numPr>
        <w:tabs>
          <w:tab w:val="left" w:pos="1560"/>
        </w:tabs>
        <w:spacing w:after="0" w:line="276" w:lineRule="auto"/>
        <w:ind w:left="1560"/>
        <w:contextualSpacing/>
        <w:rPr>
          <w:rFonts w:ascii="Lato" w:eastAsia="Malgun Gothic" w:hAnsi="Lato"/>
          <w:szCs w:val="24"/>
        </w:rPr>
      </w:pPr>
      <w:r w:rsidRPr="00CE72DC">
        <w:rPr>
          <w:rFonts w:ascii="Lato" w:eastAsia="Malgun Gothic" w:hAnsi="Lato"/>
          <w:szCs w:val="24"/>
        </w:rPr>
        <w:t>Punkt Wzajemnego Poł</w:t>
      </w:r>
      <w:r w:rsidRPr="00CE72DC">
        <w:rPr>
          <w:rFonts w:ascii="Lato" w:eastAsia="Malgun Gothic" w:hAnsi="Lato" w:cs="Calibri"/>
          <w:szCs w:val="24"/>
        </w:rPr>
        <w:t>ą</w:t>
      </w:r>
      <w:r w:rsidRPr="00CE72DC">
        <w:rPr>
          <w:rFonts w:ascii="Lato" w:eastAsia="Malgun Gothic" w:hAnsi="Lato"/>
          <w:szCs w:val="24"/>
        </w:rPr>
        <w:t>czenia (fizyczne punkty wej</w:t>
      </w:r>
      <w:r w:rsidRPr="00CE72DC">
        <w:rPr>
          <w:rFonts w:ascii="Lato" w:eastAsia="Malgun Gothic" w:hAnsi="Lato" w:cs="Calibri"/>
          <w:szCs w:val="24"/>
        </w:rPr>
        <w:t>ś</w:t>
      </w:r>
      <w:r w:rsidRPr="00CE72DC">
        <w:rPr>
          <w:rFonts w:ascii="Lato" w:eastAsia="Malgun Gothic" w:hAnsi="Lato"/>
          <w:szCs w:val="24"/>
        </w:rPr>
        <w:t>cia we W</w:t>
      </w:r>
      <w:r w:rsidRPr="00CE72DC">
        <w:rPr>
          <w:rFonts w:ascii="Lato" w:eastAsia="Malgun Gothic" w:hAnsi="Lato" w:cs="Malgun Gothic"/>
          <w:szCs w:val="24"/>
        </w:rPr>
        <w:t>ł</w:t>
      </w:r>
      <w:r w:rsidRPr="00CE72DC">
        <w:rPr>
          <w:rFonts w:ascii="Lato" w:eastAsia="Malgun Gothic" w:hAnsi="Lato"/>
          <w:szCs w:val="24"/>
        </w:rPr>
        <w:t>oc</w:t>
      </w:r>
      <w:r w:rsidRPr="00CE72DC">
        <w:rPr>
          <w:rFonts w:ascii="Lato" w:eastAsia="Malgun Gothic" w:hAnsi="Lato" w:cs="Malgun Gothic"/>
          <w:szCs w:val="24"/>
        </w:rPr>
        <w:t>ł</w:t>
      </w:r>
      <w:r w:rsidRPr="00CE72DC">
        <w:rPr>
          <w:rFonts w:ascii="Lato" w:eastAsia="Malgun Gothic" w:hAnsi="Lato"/>
          <w:szCs w:val="24"/>
        </w:rPr>
        <w:t>awku i</w:t>
      </w:r>
      <w:r w:rsidRPr="00CE72DC">
        <w:rPr>
          <w:rFonts w:ascii="Lato" w:eastAsia="Malgun Gothic" w:hAnsi="Lato" w:cs="Malgun Gothic"/>
          <w:szCs w:val="24"/>
        </w:rPr>
        <w:t> </w:t>
      </w:r>
      <w:r w:rsidRPr="00CE72DC">
        <w:rPr>
          <w:rFonts w:ascii="Lato" w:eastAsia="Malgun Gothic" w:hAnsi="Lato"/>
          <w:szCs w:val="24"/>
        </w:rPr>
        <w:t>Lw</w:t>
      </w:r>
      <w:r w:rsidRPr="00CE72DC">
        <w:rPr>
          <w:rFonts w:ascii="Lato" w:eastAsia="Malgun Gothic" w:hAnsi="Lato" w:cs="Malgun Gothic"/>
          <w:szCs w:val="24"/>
        </w:rPr>
        <w:t>ó</w:t>
      </w:r>
      <w:r w:rsidRPr="00CE72DC">
        <w:rPr>
          <w:rFonts w:ascii="Lato" w:eastAsia="Malgun Gothic" w:hAnsi="Lato"/>
          <w:szCs w:val="24"/>
        </w:rPr>
        <w:t>wku),</w:t>
      </w:r>
    </w:p>
    <w:p w14:paraId="328C555B" w14:textId="77777777" w:rsidR="003966F3" w:rsidRPr="00CE72DC" w:rsidRDefault="003966F3">
      <w:pPr>
        <w:numPr>
          <w:ilvl w:val="0"/>
          <w:numId w:val="4"/>
        </w:numPr>
        <w:tabs>
          <w:tab w:val="left" w:pos="1560"/>
        </w:tabs>
        <w:spacing w:after="120" w:line="276" w:lineRule="auto"/>
        <w:ind w:left="1560"/>
        <w:contextualSpacing/>
        <w:rPr>
          <w:rFonts w:ascii="Lato" w:eastAsia="Malgun Gothic" w:hAnsi="Lato"/>
          <w:szCs w:val="24"/>
        </w:rPr>
      </w:pPr>
      <w:r w:rsidRPr="00CE72DC">
        <w:rPr>
          <w:rFonts w:ascii="Lato" w:eastAsia="Malgun Gothic" w:hAnsi="Lato"/>
          <w:szCs w:val="24"/>
        </w:rPr>
        <w:t>Mallnow (punkt wejścia do SGT z kierunku Niemiec),</w:t>
      </w:r>
    </w:p>
    <w:p w14:paraId="4CB341A6" w14:textId="77777777" w:rsidR="003966F3" w:rsidRPr="00CE72DC" w:rsidRDefault="003966F3">
      <w:pPr>
        <w:numPr>
          <w:ilvl w:val="0"/>
          <w:numId w:val="3"/>
        </w:numPr>
        <w:spacing w:after="120" w:line="276" w:lineRule="auto"/>
        <w:ind w:left="1134" w:hanging="567"/>
        <w:contextualSpacing/>
        <w:rPr>
          <w:rFonts w:ascii="Lato" w:eastAsia="Malgun Gothic" w:hAnsi="Lato"/>
          <w:szCs w:val="24"/>
        </w:rPr>
      </w:pPr>
      <w:r w:rsidRPr="00CE72DC">
        <w:rPr>
          <w:rFonts w:ascii="Lato" w:eastAsia="Malgun Gothic" w:hAnsi="Lato"/>
          <w:szCs w:val="24"/>
        </w:rPr>
        <w:t>poł</w:t>
      </w:r>
      <w:r w:rsidRPr="00CE72DC">
        <w:rPr>
          <w:rFonts w:ascii="Lato" w:eastAsia="Malgun Gothic" w:hAnsi="Lato" w:cs="Calibri"/>
          <w:szCs w:val="24"/>
        </w:rPr>
        <w:t>ą</w:t>
      </w:r>
      <w:r w:rsidRPr="00CE72DC">
        <w:rPr>
          <w:rFonts w:ascii="Lato" w:eastAsia="Malgun Gothic" w:hAnsi="Lato"/>
          <w:szCs w:val="24"/>
        </w:rPr>
        <w:t>czenia realizuj</w:t>
      </w:r>
      <w:r w:rsidRPr="00CE72DC">
        <w:rPr>
          <w:rFonts w:ascii="Lato" w:eastAsia="Malgun Gothic" w:hAnsi="Lato" w:cs="Calibri"/>
          <w:szCs w:val="24"/>
        </w:rPr>
        <w:t>ą</w:t>
      </w:r>
      <w:r w:rsidRPr="00CE72DC">
        <w:rPr>
          <w:rFonts w:ascii="Lato" w:eastAsia="Malgun Gothic" w:hAnsi="Lato"/>
          <w:szCs w:val="24"/>
        </w:rPr>
        <w:t>ce import lokalny:</w:t>
      </w:r>
    </w:p>
    <w:p w14:paraId="13EA62FC" w14:textId="42776E6F" w:rsidR="003966F3" w:rsidRPr="00CE72DC" w:rsidRDefault="00A43906">
      <w:pPr>
        <w:numPr>
          <w:ilvl w:val="0"/>
          <w:numId w:val="5"/>
        </w:numPr>
        <w:tabs>
          <w:tab w:val="left" w:pos="1560"/>
        </w:tabs>
        <w:spacing w:after="120" w:line="276" w:lineRule="auto"/>
        <w:ind w:left="1560"/>
        <w:contextualSpacing/>
        <w:rPr>
          <w:rFonts w:ascii="Lato" w:eastAsia="Malgun Gothic" w:hAnsi="Lato"/>
          <w:szCs w:val="24"/>
        </w:rPr>
      </w:pPr>
      <w:r>
        <w:rPr>
          <w:rFonts w:ascii="Lato" w:eastAsia="Malgun Gothic" w:hAnsi="Lato"/>
          <w:szCs w:val="24"/>
        </w:rPr>
        <w:t>GCP</w:t>
      </w:r>
      <w:r w:rsidR="003966F3" w:rsidRPr="00CE72DC">
        <w:rPr>
          <w:rFonts w:ascii="Lato" w:eastAsia="Malgun Gothic" w:hAnsi="Lato"/>
          <w:szCs w:val="24"/>
        </w:rPr>
        <w:t xml:space="preserve"> Gaz-System/ONTRAS (Gubin - granica polsko-niemiecka),</w:t>
      </w:r>
    </w:p>
    <w:p w14:paraId="21E423AF" w14:textId="77777777" w:rsidR="003966F3" w:rsidRPr="00CE72DC" w:rsidRDefault="003966F3">
      <w:pPr>
        <w:numPr>
          <w:ilvl w:val="0"/>
          <w:numId w:val="5"/>
        </w:numPr>
        <w:tabs>
          <w:tab w:val="left" w:pos="1560"/>
        </w:tabs>
        <w:spacing w:after="120" w:line="276" w:lineRule="auto"/>
        <w:ind w:left="1560"/>
        <w:contextualSpacing/>
        <w:rPr>
          <w:rFonts w:ascii="Lato" w:eastAsia="Malgun Gothic" w:hAnsi="Lato"/>
          <w:szCs w:val="24"/>
        </w:rPr>
      </w:pPr>
      <w:r w:rsidRPr="00CE72DC">
        <w:rPr>
          <w:rFonts w:ascii="Lato" w:eastAsia="Malgun Gothic" w:hAnsi="Lato"/>
          <w:szCs w:val="24"/>
        </w:rPr>
        <w:t>Branice (granica polsko-czeska),</w:t>
      </w:r>
    </w:p>
    <w:p w14:paraId="4839A4A6" w14:textId="77777777" w:rsidR="003966F3" w:rsidRPr="00CE72DC" w:rsidRDefault="003966F3">
      <w:pPr>
        <w:numPr>
          <w:ilvl w:val="0"/>
          <w:numId w:val="3"/>
        </w:numPr>
        <w:spacing w:after="120" w:line="276" w:lineRule="auto"/>
        <w:ind w:left="1134" w:hanging="567"/>
        <w:rPr>
          <w:rFonts w:ascii="Lato" w:eastAsia="Malgun Gothic" w:hAnsi="Lato"/>
          <w:szCs w:val="24"/>
        </w:rPr>
      </w:pPr>
      <w:r w:rsidRPr="00CE72DC">
        <w:rPr>
          <w:rFonts w:ascii="Lato" w:eastAsia="Malgun Gothic" w:hAnsi="Lato"/>
          <w:szCs w:val="24"/>
        </w:rPr>
        <w:t>punkt wej</w:t>
      </w:r>
      <w:r w:rsidRPr="00CE72DC">
        <w:rPr>
          <w:rFonts w:ascii="Lato" w:eastAsia="Malgun Gothic" w:hAnsi="Lato" w:cs="Calibri"/>
          <w:szCs w:val="24"/>
        </w:rPr>
        <w:t>ś</w:t>
      </w:r>
      <w:r w:rsidRPr="00CE72DC">
        <w:rPr>
          <w:rFonts w:ascii="Lato" w:eastAsia="Malgun Gothic" w:hAnsi="Lato"/>
          <w:szCs w:val="24"/>
        </w:rPr>
        <w:t xml:space="preserve">cia z terminalu LNG w </w:t>
      </w:r>
      <w:r w:rsidRPr="00CE72DC">
        <w:rPr>
          <w:rFonts w:ascii="Lato" w:eastAsia="Malgun Gothic" w:hAnsi="Lato" w:cs="Calibri"/>
          <w:szCs w:val="24"/>
        </w:rPr>
        <w:t>Ś</w:t>
      </w:r>
      <w:r w:rsidRPr="00CE72DC">
        <w:rPr>
          <w:rFonts w:ascii="Lato" w:eastAsia="Malgun Gothic" w:hAnsi="Lato"/>
          <w:szCs w:val="24"/>
        </w:rPr>
        <w:t>winouj</w:t>
      </w:r>
      <w:r w:rsidRPr="00CE72DC">
        <w:rPr>
          <w:rFonts w:ascii="Lato" w:eastAsia="Malgun Gothic" w:hAnsi="Lato" w:cs="Calibri"/>
          <w:szCs w:val="24"/>
        </w:rPr>
        <w:t>ś</w:t>
      </w:r>
      <w:r w:rsidRPr="00CE72DC">
        <w:rPr>
          <w:rFonts w:ascii="Lato" w:eastAsia="Malgun Gothic" w:hAnsi="Lato"/>
          <w:szCs w:val="24"/>
        </w:rPr>
        <w:t xml:space="preserve">ciu. </w:t>
      </w:r>
    </w:p>
    <w:p w14:paraId="666E575C" w14:textId="77777777" w:rsidR="003966F3" w:rsidRPr="00CE72DC" w:rsidRDefault="003966F3">
      <w:pPr>
        <w:numPr>
          <w:ilvl w:val="0"/>
          <w:numId w:val="8"/>
        </w:numPr>
        <w:spacing w:after="120" w:line="276" w:lineRule="auto"/>
        <w:ind w:hanging="720"/>
        <w:rPr>
          <w:rFonts w:ascii="Lato" w:eastAsia="Malgun Gothic" w:hAnsi="Lato"/>
          <w:szCs w:val="24"/>
        </w:rPr>
      </w:pPr>
      <w:r w:rsidRPr="00CE72DC">
        <w:rPr>
          <w:rFonts w:ascii="Lato" w:eastAsia="Malgun Gothic" w:hAnsi="Lato"/>
          <w:szCs w:val="24"/>
          <w:u w:val="single"/>
        </w:rPr>
        <w:t>zło</w:t>
      </w:r>
      <w:r w:rsidRPr="00CE72DC">
        <w:rPr>
          <w:rFonts w:ascii="Lato" w:eastAsia="Malgun Gothic" w:hAnsi="Lato" w:cs="Calibri"/>
          <w:szCs w:val="24"/>
          <w:u w:val="single"/>
        </w:rPr>
        <w:t>ż</w:t>
      </w:r>
      <w:r w:rsidRPr="00CE72DC">
        <w:rPr>
          <w:rFonts w:ascii="Lato" w:eastAsia="Malgun Gothic" w:hAnsi="Lato"/>
          <w:szCs w:val="24"/>
          <w:u w:val="single"/>
        </w:rPr>
        <w:t>ami krajowymi:</w:t>
      </w:r>
    </w:p>
    <w:p w14:paraId="321A4335" w14:textId="77777777" w:rsidR="003966F3" w:rsidRPr="00CE72DC" w:rsidRDefault="003966F3">
      <w:pPr>
        <w:numPr>
          <w:ilvl w:val="0"/>
          <w:numId w:val="9"/>
        </w:numPr>
        <w:tabs>
          <w:tab w:val="left" w:pos="1134"/>
        </w:tabs>
        <w:spacing w:after="120" w:line="276" w:lineRule="auto"/>
        <w:ind w:left="1134" w:hanging="567"/>
        <w:contextualSpacing/>
        <w:rPr>
          <w:rFonts w:ascii="Lato" w:eastAsia="Malgun Gothic" w:hAnsi="Lato"/>
          <w:szCs w:val="24"/>
        </w:rPr>
      </w:pPr>
      <w:r w:rsidRPr="00CE72DC">
        <w:rPr>
          <w:rFonts w:ascii="Lato" w:eastAsia="Malgun Gothic" w:hAnsi="Lato"/>
          <w:szCs w:val="24"/>
        </w:rPr>
        <w:t>kopalnie w systemie gazu ziemnego wysokometanowego,</w:t>
      </w:r>
    </w:p>
    <w:p w14:paraId="3491197A" w14:textId="77777777" w:rsidR="003966F3" w:rsidRPr="00CE72DC" w:rsidRDefault="003966F3">
      <w:pPr>
        <w:numPr>
          <w:ilvl w:val="0"/>
          <w:numId w:val="9"/>
        </w:numPr>
        <w:tabs>
          <w:tab w:val="left" w:pos="1134"/>
        </w:tabs>
        <w:spacing w:after="120" w:line="276" w:lineRule="auto"/>
        <w:ind w:left="1134" w:hanging="567"/>
        <w:contextualSpacing/>
        <w:rPr>
          <w:rFonts w:ascii="Lato" w:eastAsia="Malgun Gothic" w:hAnsi="Lato"/>
          <w:szCs w:val="24"/>
        </w:rPr>
      </w:pPr>
      <w:r w:rsidRPr="00CE72DC">
        <w:rPr>
          <w:rFonts w:ascii="Lato" w:eastAsia="Malgun Gothic" w:hAnsi="Lato"/>
          <w:szCs w:val="24"/>
        </w:rPr>
        <w:t>odazotownie KRIO Odolanów i Grodzisk,</w:t>
      </w:r>
    </w:p>
    <w:p w14:paraId="3D8B3343" w14:textId="77777777" w:rsidR="003966F3" w:rsidRPr="00CE72DC" w:rsidRDefault="003966F3">
      <w:pPr>
        <w:numPr>
          <w:ilvl w:val="0"/>
          <w:numId w:val="9"/>
        </w:numPr>
        <w:tabs>
          <w:tab w:val="left" w:pos="1134"/>
        </w:tabs>
        <w:spacing w:after="120" w:line="276" w:lineRule="auto"/>
        <w:ind w:left="1134" w:hanging="567"/>
        <w:rPr>
          <w:rFonts w:ascii="Lato" w:eastAsia="Malgun Gothic" w:hAnsi="Lato"/>
          <w:szCs w:val="24"/>
        </w:rPr>
      </w:pPr>
      <w:r w:rsidRPr="00CE72DC">
        <w:rPr>
          <w:rFonts w:ascii="Lato" w:eastAsia="Malgun Gothic" w:hAnsi="Lato"/>
          <w:szCs w:val="24"/>
        </w:rPr>
        <w:t>kopalnie w systemie gazu ziemnego zaazotowanego.</w:t>
      </w:r>
    </w:p>
    <w:p w14:paraId="203A784B" w14:textId="77777777" w:rsidR="003966F3" w:rsidRPr="00CE72DC" w:rsidRDefault="003966F3">
      <w:pPr>
        <w:numPr>
          <w:ilvl w:val="0"/>
          <w:numId w:val="8"/>
        </w:numPr>
        <w:spacing w:after="120" w:line="276" w:lineRule="auto"/>
        <w:ind w:left="714" w:hanging="714"/>
        <w:rPr>
          <w:rFonts w:ascii="Lato" w:eastAsia="Malgun Gothic" w:hAnsi="Lato"/>
          <w:szCs w:val="24"/>
        </w:rPr>
      </w:pPr>
      <w:r w:rsidRPr="00CE72DC">
        <w:rPr>
          <w:rFonts w:ascii="Lato" w:eastAsia="Malgun Gothic" w:hAnsi="Lato"/>
          <w:szCs w:val="24"/>
          <w:u w:val="single"/>
        </w:rPr>
        <w:t>PMG</w:t>
      </w:r>
      <w:r w:rsidRPr="00CE72DC">
        <w:rPr>
          <w:rFonts w:ascii="Lato" w:eastAsia="Malgun Gothic" w:hAnsi="Lato"/>
          <w:szCs w:val="24"/>
        </w:rPr>
        <w:t xml:space="preserve"> – 7 instalacji magazynowych w systemie gazu wysokometanowego, które podczas realizacji odbioru gazu stanowi</w:t>
      </w:r>
      <w:r w:rsidRPr="00CE72DC">
        <w:rPr>
          <w:rFonts w:ascii="Lato" w:eastAsia="Malgun Gothic" w:hAnsi="Lato" w:cs="Calibri"/>
          <w:szCs w:val="24"/>
        </w:rPr>
        <w:t>ą</w:t>
      </w:r>
      <w:r w:rsidRPr="00CE72DC">
        <w:rPr>
          <w:rFonts w:ascii="Lato" w:eastAsia="Malgun Gothic" w:hAnsi="Lato"/>
          <w:szCs w:val="24"/>
        </w:rPr>
        <w:t xml:space="preserve"> punkty wej</w:t>
      </w:r>
      <w:r w:rsidRPr="00CE72DC">
        <w:rPr>
          <w:rFonts w:ascii="Lato" w:eastAsia="Malgun Gothic" w:hAnsi="Lato" w:cs="Calibri"/>
          <w:szCs w:val="24"/>
        </w:rPr>
        <w:t>ś</w:t>
      </w:r>
      <w:r w:rsidRPr="00CE72DC">
        <w:rPr>
          <w:rFonts w:ascii="Lato" w:eastAsia="Malgun Gothic" w:hAnsi="Lato"/>
          <w:szCs w:val="24"/>
        </w:rPr>
        <w:t>cia do systemu przesy</w:t>
      </w:r>
      <w:r w:rsidRPr="00CE72DC">
        <w:rPr>
          <w:rFonts w:ascii="Lato" w:eastAsia="Malgun Gothic" w:hAnsi="Lato" w:cs="Malgun Gothic"/>
          <w:szCs w:val="24"/>
        </w:rPr>
        <w:t>ł</w:t>
      </w:r>
      <w:r w:rsidRPr="00CE72DC">
        <w:rPr>
          <w:rFonts w:ascii="Lato" w:eastAsia="Malgun Gothic" w:hAnsi="Lato"/>
          <w:szCs w:val="24"/>
        </w:rPr>
        <w:t xml:space="preserve">owego: </w:t>
      </w:r>
    </w:p>
    <w:p w14:paraId="7E259EBF" w14:textId="77777777" w:rsidR="003966F3" w:rsidRPr="00CE72DC" w:rsidRDefault="003966F3">
      <w:pPr>
        <w:numPr>
          <w:ilvl w:val="0"/>
          <w:numId w:val="10"/>
        </w:numPr>
        <w:tabs>
          <w:tab w:val="left" w:pos="1134"/>
        </w:tabs>
        <w:spacing w:after="120" w:line="276" w:lineRule="auto"/>
        <w:ind w:left="1134" w:hanging="567"/>
        <w:contextualSpacing/>
        <w:rPr>
          <w:rFonts w:ascii="Lato" w:eastAsia="Malgun Gothic" w:hAnsi="Lato"/>
          <w:szCs w:val="24"/>
        </w:rPr>
      </w:pPr>
      <w:r w:rsidRPr="00CE72DC">
        <w:rPr>
          <w:rFonts w:ascii="Lato" w:eastAsia="Malgun Gothic" w:hAnsi="Lato"/>
          <w:szCs w:val="24"/>
        </w:rPr>
        <w:t>GIM Sanok – obejmuj</w:t>
      </w:r>
      <w:r w:rsidRPr="00CE72DC">
        <w:rPr>
          <w:rFonts w:ascii="Lato" w:eastAsia="Malgun Gothic" w:hAnsi="Lato" w:cs="Calibri"/>
          <w:szCs w:val="24"/>
        </w:rPr>
        <w:t>ą</w:t>
      </w:r>
      <w:r w:rsidRPr="00CE72DC">
        <w:rPr>
          <w:rFonts w:ascii="Lato" w:eastAsia="Malgun Gothic" w:hAnsi="Lato"/>
          <w:szCs w:val="24"/>
        </w:rPr>
        <w:t>ca instalacje magazynowe PMG Hus</w:t>
      </w:r>
      <w:r w:rsidRPr="00CE72DC">
        <w:rPr>
          <w:rFonts w:ascii="Lato" w:eastAsia="Malgun Gothic" w:hAnsi="Lato" w:cs="Malgun Gothic"/>
          <w:szCs w:val="24"/>
        </w:rPr>
        <w:t>ó</w:t>
      </w:r>
      <w:r w:rsidRPr="00CE72DC">
        <w:rPr>
          <w:rFonts w:ascii="Lato" w:eastAsia="Malgun Gothic" w:hAnsi="Lato"/>
          <w:szCs w:val="24"/>
        </w:rPr>
        <w:t>w, PMG Strachocina, PMG Swarz</w:t>
      </w:r>
      <w:r w:rsidRPr="00CE72DC">
        <w:rPr>
          <w:rFonts w:ascii="Lato" w:eastAsia="Malgun Gothic" w:hAnsi="Lato" w:cs="Malgun Gothic"/>
          <w:szCs w:val="24"/>
        </w:rPr>
        <w:t>ó</w:t>
      </w:r>
      <w:r w:rsidRPr="00CE72DC">
        <w:rPr>
          <w:rFonts w:ascii="Lato" w:eastAsia="Malgun Gothic" w:hAnsi="Lato"/>
          <w:szCs w:val="24"/>
        </w:rPr>
        <w:t>w i PMG Brze</w:t>
      </w:r>
      <w:r w:rsidRPr="00CE72DC">
        <w:rPr>
          <w:rFonts w:ascii="Lato" w:eastAsia="Malgun Gothic" w:hAnsi="Lato" w:cs="Calibri"/>
          <w:szCs w:val="24"/>
        </w:rPr>
        <w:t>ź</w:t>
      </w:r>
      <w:r w:rsidRPr="00CE72DC">
        <w:rPr>
          <w:rFonts w:ascii="Lato" w:eastAsia="Malgun Gothic" w:hAnsi="Lato"/>
          <w:szCs w:val="24"/>
        </w:rPr>
        <w:t>nica,</w:t>
      </w:r>
    </w:p>
    <w:p w14:paraId="04480CDC" w14:textId="77777777" w:rsidR="003966F3" w:rsidRPr="00CE72DC" w:rsidRDefault="003966F3">
      <w:pPr>
        <w:numPr>
          <w:ilvl w:val="0"/>
          <w:numId w:val="10"/>
        </w:numPr>
        <w:tabs>
          <w:tab w:val="left" w:pos="1134"/>
        </w:tabs>
        <w:spacing w:after="120" w:line="276" w:lineRule="auto"/>
        <w:ind w:left="1134" w:hanging="567"/>
        <w:contextualSpacing/>
        <w:rPr>
          <w:rFonts w:ascii="Lato" w:eastAsia="Malgun Gothic" w:hAnsi="Lato"/>
          <w:szCs w:val="24"/>
        </w:rPr>
      </w:pPr>
      <w:r w:rsidRPr="00CE72DC">
        <w:rPr>
          <w:rFonts w:ascii="Lato" w:eastAsia="Malgun Gothic" w:hAnsi="Lato"/>
          <w:szCs w:val="24"/>
        </w:rPr>
        <w:t>GIM Kawerna – obejmuj</w:t>
      </w:r>
      <w:r w:rsidRPr="00CE72DC">
        <w:rPr>
          <w:rFonts w:ascii="Lato" w:eastAsia="Malgun Gothic" w:hAnsi="Lato" w:cs="Calibri"/>
          <w:szCs w:val="24"/>
        </w:rPr>
        <w:t>ą</w:t>
      </w:r>
      <w:r w:rsidRPr="00CE72DC">
        <w:rPr>
          <w:rFonts w:ascii="Lato" w:eastAsia="Malgun Gothic" w:hAnsi="Lato"/>
          <w:szCs w:val="24"/>
        </w:rPr>
        <w:t>ca instalacje magazynowe KPMG Mogilno oraz KPMG Kosakowo,</w:t>
      </w:r>
    </w:p>
    <w:p w14:paraId="74E68A61" w14:textId="621E80B3" w:rsidR="00DF3AC8" w:rsidRDefault="003966F3">
      <w:pPr>
        <w:numPr>
          <w:ilvl w:val="0"/>
          <w:numId w:val="10"/>
        </w:numPr>
        <w:tabs>
          <w:tab w:val="left" w:pos="1134"/>
        </w:tabs>
        <w:spacing w:after="120" w:line="276" w:lineRule="auto"/>
        <w:ind w:left="1134" w:hanging="567"/>
        <w:contextualSpacing/>
        <w:rPr>
          <w:rFonts w:ascii="Lato" w:eastAsia="Malgun Gothic" w:hAnsi="Lato"/>
          <w:szCs w:val="24"/>
        </w:rPr>
      </w:pPr>
      <w:r w:rsidRPr="00CE72DC">
        <w:rPr>
          <w:rFonts w:ascii="Lato" w:eastAsia="Malgun Gothic" w:hAnsi="Lato"/>
          <w:szCs w:val="24"/>
        </w:rPr>
        <w:t>PMG Wierzchowice.</w:t>
      </w:r>
    </w:p>
    <w:p w14:paraId="2253AC33" w14:textId="77777777" w:rsidR="00381EF8" w:rsidRDefault="00381EF8" w:rsidP="006E0158">
      <w:pPr>
        <w:spacing w:line="276" w:lineRule="auto"/>
        <w:jc w:val="left"/>
        <w:rPr>
          <w:rFonts w:ascii="Lato" w:hAnsi="Lato"/>
          <w:b/>
          <w:bCs/>
        </w:rPr>
      </w:pPr>
    </w:p>
    <w:p w14:paraId="3473C0E1" w14:textId="77777777" w:rsidR="0067393E" w:rsidRDefault="0067393E" w:rsidP="00270AE5">
      <w:pPr>
        <w:spacing w:after="240" w:line="276" w:lineRule="auto"/>
        <w:jc w:val="left"/>
        <w:rPr>
          <w:rFonts w:ascii="Lato" w:hAnsi="Lato"/>
          <w:b/>
          <w:bCs/>
        </w:rPr>
      </w:pPr>
    </w:p>
    <w:p w14:paraId="45D407DB" w14:textId="77777777" w:rsidR="0067393E" w:rsidRDefault="0067393E" w:rsidP="00270AE5">
      <w:pPr>
        <w:spacing w:after="240" w:line="276" w:lineRule="auto"/>
        <w:jc w:val="left"/>
        <w:rPr>
          <w:rFonts w:ascii="Lato" w:hAnsi="Lato"/>
          <w:b/>
          <w:bCs/>
        </w:rPr>
      </w:pPr>
    </w:p>
    <w:p w14:paraId="21D3E2EB" w14:textId="57BB41B1" w:rsidR="00706DE4" w:rsidRPr="006E0158" w:rsidRDefault="00C7771E" w:rsidP="00270AE5">
      <w:pPr>
        <w:spacing w:after="240" w:line="276" w:lineRule="auto"/>
        <w:jc w:val="left"/>
        <w:rPr>
          <w:rFonts w:ascii="Lato" w:eastAsia="Malgun Gothic" w:hAnsi="Lato" w:cs="Times New Roman"/>
          <w:b/>
          <w:bCs/>
          <w:sz w:val="32"/>
          <w:szCs w:val="32"/>
          <w:lang w:eastAsia="pl-PL"/>
        </w:rPr>
      </w:pPr>
      <w:r w:rsidRPr="00DF3AC8">
        <w:rPr>
          <w:rFonts w:ascii="Lato" w:hAnsi="Lato"/>
          <w:b/>
          <w:bCs/>
        </w:rPr>
        <w:t>Rysunek 2. System przesyłowy gazu ziemnego</w:t>
      </w:r>
    </w:p>
    <w:p w14:paraId="727ACD19" w14:textId="3F3902BE" w:rsidR="003966F3" w:rsidRPr="00706DE4" w:rsidRDefault="311F0184" w:rsidP="004A3020">
      <w:pPr>
        <w:pStyle w:val="Tabela"/>
        <w:jc w:val="center"/>
        <w:rPr>
          <w:rFonts w:ascii="Lato" w:hAnsi="Lato"/>
          <w:b w:val="0"/>
        </w:rPr>
      </w:pPr>
      <w:r>
        <w:rPr>
          <w:noProof/>
        </w:rPr>
        <w:lastRenderedPageBreak/>
        <w:drawing>
          <wp:inline distT="0" distB="0" distL="0" distR="0" wp14:anchorId="6642EA4A" wp14:editId="1E5DED5D">
            <wp:extent cx="5185375" cy="3575713"/>
            <wp:effectExtent l="0" t="0" r="0" b="5715"/>
            <wp:docPr id="106" name="Obraz 106" descr="Obraz zawierający tekst, mapa, diagram,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pic:nvPicPr>
                  <pic:blipFill>
                    <a:blip r:embed="rId9">
                      <a:extLst>
                        <a:ext uri="{28A0092B-C50C-407E-A947-70E740481C1C}">
                          <a14:useLocalDpi xmlns:a14="http://schemas.microsoft.com/office/drawing/2010/main" val="0"/>
                        </a:ext>
                      </a:extLst>
                    </a:blip>
                    <a:stretch>
                      <a:fillRect/>
                    </a:stretch>
                  </pic:blipFill>
                  <pic:spPr>
                    <a:xfrm>
                      <a:off x="0" y="0"/>
                      <a:ext cx="5185375" cy="3575713"/>
                    </a:xfrm>
                    <a:prstGeom prst="rect">
                      <a:avLst/>
                    </a:prstGeom>
                  </pic:spPr>
                </pic:pic>
              </a:graphicData>
            </a:graphic>
          </wp:inline>
        </w:drawing>
      </w:r>
    </w:p>
    <w:p w14:paraId="6DCAF16A" w14:textId="2587DBAA" w:rsidR="0005315C" w:rsidRPr="005577BE" w:rsidRDefault="00C7771E" w:rsidP="005577BE">
      <w:pPr>
        <w:tabs>
          <w:tab w:val="left" w:pos="10440"/>
        </w:tabs>
        <w:spacing w:after="120" w:line="276" w:lineRule="auto"/>
        <w:ind w:right="23"/>
        <w:rPr>
          <w:rFonts w:ascii="Lato" w:eastAsia="Malgun Gothic" w:hAnsi="Lato" w:cs="Times New Roman"/>
          <w:b/>
          <w:szCs w:val="24"/>
          <w:lang w:eastAsia="pl-PL"/>
        </w:rPr>
      </w:pPr>
      <w:r w:rsidRPr="004020C8">
        <w:rPr>
          <w:rFonts w:ascii="Lato" w:hAnsi="Lato"/>
          <w:i/>
          <w:sz w:val="20"/>
          <w:szCs w:val="20"/>
        </w:rPr>
        <w:t>Źródło: OGP Gaz-System S.A.</w:t>
      </w:r>
    </w:p>
    <w:p w14:paraId="024C362E" w14:textId="3CB9BEA2" w:rsidR="006E2831" w:rsidRPr="00CE72DC" w:rsidRDefault="006E2831" w:rsidP="005577BE">
      <w:pPr>
        <w:pStyle w:val="Legenda"/>
        <w:keepNext/>
        <w:spacing w:before="240" w:after="120" w:line="276" w:lineRule="auto"/>
        <w:jc w:val="both"/>
        <w:rPr>
          <w:rFonts w:ascii="Lato" w:hAnsi="Lato"/>
          <w:b w:val="0"/>
          <w:sz w:val="24"/>
          <w:szCs w:val="24"/>
        </w:rPr>
      </w:pPr>
      <w:r w:rsidRPr="00CE72DC">
        <w:rPr>
          <w:rFonts w:ascii="Lato" w:hAnsi="Lato"/>
          <w:sz w:val="24"/>
          <w:szCs w:val="24"/>
        </w:rPr>
        <w:t xml:space="preserve">Tabela </w:t>
      </w:r>
      <w:r w:rsidRPr="00CE72DC">
        <w:rPr>
          <w:rFonts w:ascii="Lato" w:hAnsi="Lato"/>
          <w:sz w:val="24"/>
          <w:szCs w:val="24"/>
        </w:rPr>
        <w:fldChar w:fldCharType="begin"/>
      </w:r>
      <w:r w:rsidRPr="00CE72DC">
        <w:rPr>
          <w:rFonts w:ascii="Lato" w:hAnsi="Lato"/>
          <w:sz w:val="24"/>
          <w:szCs w:val="24"/>
        </w:rPr>
        <w:instrText xml:space="preserve"> SEQ Tabela \* ARABIC </w:instrText>
      </w:r>
      <w:r w:rsidRPr="00CE72DC">
        <w:rPr>
          <w:rFonts w:ascii="Lato" w:hAnsi="Lato"/>
          <w:sz w:val="24"/>
          <w:szCs w:val="24"/>
        </w:rPr>
        <w:fldChar w:fldCharType="separate"/>
      </w:r>
      <w:r w:rsidR="00D520CA">
        <w:rPr>
          <w:rFonts w:ascii="Lato" w:hAnsi="Lato"/>
          <w:noProof/>
          <w:sz w:val="24"/>
          <w:szCs w:val="24"/>
        </w:rPr>
        <w:t>2</w:t>
      </w:r>
      <w:r w:rsidRPr="00CE72DC">
        <w:rPr>
          <w:rFonts w:ascii="Lato" w:hAnsi="Lato"/>
          <w:sz w:val="24"/>
          <w:szCs w:val="24"/>
        </w:rPr>
        <w:fldChar w:fldCharType="end"/>
      </w:r>
      <w:r w:rsidRPr="00CE72DC">
        <w:rPr>
          <w:rFonts w:ascii="Lato" w:hAnsi="Lato"/>
          <w:sz w:val="24"/>
          <w:szCs w:val="24"/>
        </w:rPr>
        <w:t>. Zdolności techniczne w punktach wejścia z innych systemów przesyłowych i terminalu LNG</w:t>
      </w:r>
    </w:p>
    <w:tbl>
      <w:tblPr>
        <w:tblW w:w="51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1"/>
        <w:gridCol w:w="2414"/>
        <w:gridCol w:w="1698"/>
        <w:gridCol w:w="3403"/>
      </w:tblGrid>
      <w:tr w:rsidR="006E2831" w:rsidRPr="00C758B1" w14:paraId="0F6AD5BB" w14:textId="77777777" w:rsidTr="000A7C68">
        <w:trPr>
          <w:trHeight w:val="113"/>
          <w:jc w:val="center"/>
        </w:trPr>
        <w:tc>
          <w:tcPr>
            <w:tcW w:w="1043" w:type="pct"/>
            <w:shd w:val="clear" w:color="auto" w:fill="D9D9D9"/>
            <w:vAlign w:val="center"/>
          </w:tcPr>
          <w:p w14:paraId="40C74612" w14:textId="77777777" w:rsidR="006E2831" w:rsidRPr="005577BE" w:rsidRDefault="006E2831" w:rsidP="00983C18">
            <w:pPr>
              <w:spacing w:line="276" w:lineRule="auto"/>
              <w:ind w:left="142"/>
              <w:jc w:val="center"/>
              <w:rPr>
                <w:rFonts w:ascii="Lato" w:eastAsia="Malgun Gothic" w:hAnsi="Lato"/>
                <w:b/>
                <w:sz w:val="20"/>
                <w:szCs w:val="20"/>
              </w:rPr>
            </w:pPr>
            <w:r w:rsidRPr="005577BE">
              <w:rPr>
                <w:rFonts w:ascii="Lato" w:eastAsia="Malgun Gothic" w:hAnsi="Lato"/>
                <w:b/>
                <w:sz w:val="20"/>
                <w:szCs w:val="20"/>
              </w:rPr>
              <w:t>Punkt</w:t>
            </w:r>
          </w:p>
        </w:tc>
        <w:tc>
          <w:tcPr>
            <w:tcW w:w="1271" w:type="pct"/>
            <w:shd w:val="clear" w:color="auto" w:fill="D9D9D9"/>
            <w:vAlign w:val="center"/>
          </w:tcPr>
          <w:p w14:paraId="37D805B2" w14:textId="77777777" w:rsidR="006E2831" w:rsidRPr="005577BE" w:rsidRDefault="006E2831" w:rsidP="00983C18">
            <w:pPr>
              <w:spacing w:after="0" w:line="276" w:lineRule="auto"/>
              <w:jc w:val="center"/>
              <w:rPr>
                <w:rFonts w:ascii="Lato" w:eastAsia="Malgun Gothic" w:hAnsi="Lato"/>
                <w:b/>
                <w:sz w:val="20"/>
                <w:szCs w:val="20"/>
              </w:rPr>
            </w:pPr>
            <w:r w:rsidRPr="005577BE">
              <w:rPr>
                <w:rFonts w:ascii="Lato" w:eastAsia="Malgun Gothic" w:hAnsi="Lato"/>
                <w:b/>
                <w:sz w:val="20"/>
                <w:szCs w:val="20"/>
              </w:rPr>
              <w:t>Zdolno</w:t>
            </w:r>
            <w:r w:rsidRPr="005577BE">
              <w:rPr>
                <w:rFonts w:ascii="Lato" w:eastAsia="Malgun Gothic" w:hAnsi="Lato" w:cs="Calibri"/>
                <w:b/>
                <w:sz w:val="20"/>
                <w:szCs w:val="20"/>
              </w:rPr>
              <w:t>ść</w:t>
            </w:r>
            <w:r w:rsidRPr="005577BE">
              <w:rPr>
                <w:rFonts w:ascii="Lato" w:eastAsia="Malgun Gothic" w:hAnsi="Lato"/>
                <w:b/>
                <w:sz w:val="20"/>
                <w:szCs w:val="20"/>
              </w:rPr>
              <w:t xml:space="preserve"> techniczna</w:t>
            </w:r>
          </w:p>
          <w:p w14:paraId="755F5062" w14:textId="77777777" w:rsidR="006E2831" w:rsidRPr="005577BE" w:rsidRDefault="006E2831" w:rsidP="00983C18">
            <w:pPr>
              <w:spacing w:after="0" w:line="276" w:lineRule="auto"/>
              <w:ind w:left="-108" w:right="-104"/>
              <w:jc w:val="center"/>
              <w:rPr>
                <w:rFonts w:ascii="Lato" w:eastAsia="Malgun Gothic" w:hAnsi="Lato"/>
                <w:b/>
                <w:sz w:val="20"/>
                <w:szCs w:val="20"/>
              </w:rPr>
            </w:pPr>
            <w:r w:rsidRPr="005577BE">
              <w:rPr>
                <w:rFonts w:ascii="Lato" w:eastAsia="Malgun Gothic" w:hAnsi="Lato"/>
                <w:b/>
                <w:sz w:val="20"/>
                <w:szCs w:val="20"/>
              </w:rPr>
              <w:t>na zasadach ci</w:t>
            </w:r>
            <w:r w:rsidRPr="005577BE">
              <w:rPr>
                <w:rFonts w:ascii="Lato" w:eastAsia="Malgun Gothic" w:hAnsi="Lato" w:cs="Calibri"/>
                <w:b/>
                <w:sz w:val="20"/>
                <w:szCs w:val="20"/>
              </w:rPr>
              <w:t>ą</w:t>
            </w:r>
            <w:r w:rsidRPr="005577BE">
              <w:rPr>
                <w:rFonts w:ascii="Lato" w:eastAsia="Malgun Gothic" w:hAnsi="Lato"/>
                <w:b/>
                <w:sz w:val="20"/>
                <w:szCs w:val="20"/>
              </w:rPr>
              <w:t>g</w:t>
            </w:r>
            <w:r w:rsidRPr="005577BE">
              <w:rPr>
                <w:rFonts w:ascii="Lato" w:eastAsia="Malgun Gothic" w:hAnsi="Lato" w:cs="Malgun Gothic"/>
                <w:b/>
                <w:sz w:val="20"/>
                <w:szCs w:val="20"/>
              </w:rPr>
              <w:t>ł</w:t>
            </w:r>
            <w:r w:rsidRPr="005577BE">
              <w:rPr>
                <w:rFonts w:ascii="Lato" w:eastAsia="Malgun Gothic" w:hAnsi="Lato"/>
                <w:b/>
                <w:sz w:val="20"/>
                <w:szCs w:val="20"/>
              </w:rPr>
              <w:t>ych mln m</w:t>
            </w:r>
            <w:r w:rsidRPr="005577BE">
              <w:rPr>
                <w:rFonts w:ascii="Lato" w:eastAsia="Malgun Gothic" w:hAnsi="Lato"/>
                <w:b/>
                <w:sz w:val="20"/>
                <w:szCs w:val="20"/>
                <w:vertAlign w:val="superscript"/>
              </w:rPr>
              <w:t>3</w:t>
            </w:r>
            <w:r w:rsidRPr="005577BE">
              <w:rPr>
                <w:rFonts w:ascii="Lato" w:eastAsia="Malgun Gothic" w:hAnsi="Lato"/>
                <w:b/>
                <w:sz w:val="20"/>
                <w:szCs w:val="20"/>
              </w:rPr>
              <w:t>/d (GWh/d)</w:t>
            </w:r>
          </w:p>
        </w:tc>
        <w:tc>
          <w:tcPr>
            <w:tcW w:w="894" w:type="pct"/>
            <w:shd w:val="clear" w:color="auto" w:fill="D9D9D9"/>
            <w:vAlign w:val="center"/>
          </w:tcPr>
          <w:p w14:paraId="649BADD2" w14:textId="77777777" w:rsidR="006E2831" w:rsidRPr="005577BE" w:rsidRDefault="006E2831" w:rsidP="00983C18">
            <w:pPr>
              <w:spacing w:line="276" w:lineRule="auto"/>
              <w:jc w:val="center"/>
              <w:rPr>
                <w:rFonts w:ascii="Lato" w:eastAsia="Malgun Gothic" w:hAnsi="Lato"/>
                <w:b/>
                <w:bCs/>
                <w:sz w:val="20"/>
                <w:szCs w:val="20"/>
              </w:rPr>
            </w:pPr>
            <w:r w:rsidRPr="005577BE">
              <w:rPr>
                <w:rFonts w:ascii="Lato" w:eastAsia="Malgun Gothic" w:hAnsi="Lato"/>
                <w:b/>
                <w:bCs/>
                <w:sz w:val="20"/>
                <w:szCs w:val="20"/>
              </w:rPr>
              <w:t>Z kraju</w:t>
            </w:r>
          </w:p>
        </w:tc>
        <w:tc>
          <w:tcPr>
            <w:tcW w:w="1793" w:type="pct"/>
            <w:shd w:val="clear" w:color="auto" w:fill="D9D9D9"/>
            <w:vAlign w:val="center"/>
          </w:tcPr>
          <w:p w14:paraId="4368329F" w14:textId="77777777" w:rsidR="006E2831" w:rsidRPr="005577BE" w:rsidRDefault="006E2831" w:rsidP="00983C18">
            <w:pPr>
              <w:spacing w:line="276" w:lineRule="auto"/>
              <w:jc w:val="center"/>
              <w:rPr>
                <w:rFonts w:ascii="Lato" w:eastAsia="Malgun Gothic" w:hAnsi="Lato"/>
                <w:b/>
                <w:sz w:val="20"/>
                <w:szCs w:val="20"/>
              </w:rPr>
            </w:pPr>
            <w:r w:rsidRPr="005577BE">
              <w:rPr>
                <w:rFonts w:ascii="Lato" w:eastAsia="Malgun Gothic" w:hAnsi="Lato"/>
                <w:b/>
                <w:sz w:val="20"/>
                <w:szCs w:val="20"/>
              </w:rPr>
              <w:t>Uwagi</w:t>
            </w:r>
          </w:p>
        </w:tc>
      </w:tr>
      <w:tr w:rsidR="006E2831" w:rsidRPr="00C758B1" w14:paraId="2C4CFDC9" w14:textId="77777777" w:rsidTr="000A7C68">
        <w:trPr>
          <w:trHeight w:val="113"/>
          <w:jc w:val="center"/>
        </w:trPr>
        <w:tc>
          <w:tcPr>
            <w:tcW w:w="1043" w:type="pct"/>
            <w:shd w:val="clear" w:color="auto" w:fill="D9D9D9"/>
            <w:vAlign w:val="center"/>
          </w:tcPr>
          <w:p w14:paraId="109623DB" w14:textId="77777777" w:rsidR="006E2831" w:rsidRPr="005577BE" w:rsidRDefault="006E2831" w:rsidP="000A7C68">
            <w:pPr>
              <w:spacing w:line="276" w:lineRule="auto"/>
              <w:ind w:left="-113"/>
              <w:jc w:val="center"/>
              <w:rPr>
                <w:rFonts w:ascii="Lato" w:eastAsia="Malgun Gothic" w:hAnsi="Lato"/>
                <w:sz w:val="20"/>
                <w:szCs w:val="20"/>
              </w:rPr>
            </w:pPr>
            <w:r w:rsidRPr="005577BE">
              <w:rPr>
                <w:rFonts w:ascii="Lato" w:eastAsia="Malgun Gothic" w:hAnsi="Lato"/>
                <w:sz w:val="20"/>
                <w:szCs w:val="20"/>
              </w:rPr>
              <w:t>GCP GAZ-SYSTEM/UA TSO (Drozdowicze)</w:t>
            </w:r>
          </w:p>
        </w:tc>
        <w:tc>
          <w:tcPr>
            <w:tcW w:w="1271" w:type="pct"/>
            <w:vAlign w:val="center"/>
          </w:tcPr>
          <w:p w14:paraId="6AEA2F85" w14:textId="77777777" w:rsidR="006E2831" w:rsidRPr="005577BE" w:rsidRDefault="006E2831" w:rsidP="000A7C68">
            <w:pPr>
              <w:spacing w:line="276" w:lineRule="auto"/>
              <w:jc w:val="center"/>
              <w:rPr>
                <w:rFonts w:ascii="Lato" w:eastAsia="Malgun Gothic" w:hAnsi="Lato"/>
                <w:sz w:val="20"/>
                <w:szCs w:val="20"/>
              </w:rPr>
            </w:pPr>
            <w:r w:rsidRPr="005577BE">
              <w:rPr>
                <w:rFonts w:ascii="Lato" w:eastAsia="Malgun Gothic" w:hAnsi="Lato"/>
                <w:sz w:val="20"/>
                <w:szCs w:val="20"/>
              </w:rPr>
              <w:t>12,0 (135,6)</w:t>
            </w:r>
          </w:p>
        </w:tc>
        <w:tc>
          <w:tcPr>
            <w:tcW w:w="894" w:type="pct"/>
            <w:vAlign w:val="center"/>
          </w:tcPr>
          <w:p w14:paraId="352DEC8A" w14:textId="77777777" w:rsidR="006E2831" w:rsidRPr="005577BE" w:rsidRDefault="006E2831" w:rsidP="000A7C68">
            <w:pPr>
              <w:spacing w:line="276" w:lineRule="auto"/>
              <w:jc w:val="center"/>
              <w:rPr>
                <w:rFonts w:ascii="Lato" w:eastAsia="Malgun Gothic" w:hAnsi="Lato"/>
                <w:b/>
                <w:bCs/>
                <w:sz w:val="20"/>
                <w:szCs w:val="20"/>
              </w:rPr>
            </w:pPr>
            <w:r w:rsidRPr="005577BE">
              <w:rPr>
                <w:rFonts w:ascii="Lato" w:eastAsia="Malgun Gothic" w:hAnsi="Lato"/>
                <w:sz w:val="20"/>
                <w:szCs w:val="20"/>
              </w:rPr>
              <w:t>Ukraina</w:t>
            </w:r>
          </w:p>
        </w:tc>
        <w:tc>
          <w:tcPr>
            <w:tcW w:w="1793" w:type="pct"/>
            <w:vAlign w:val="center"/>
          </w:tcPr>
          <w:p w14:paraId="3DD84146" w14:textId="77777777" w:rsidR="006E2831" w:rsidRPr="005577BE" w:rsidRDefault="006E2831" w:rsidP="000A7C68">
            <w:pPr>
              <w:spacing w:line="276" w:lineRule="auto"/>
              <w:jc w:val="center"/>
              <w:rPr>
                <w:rFonts w:ascii="Lato" w:eastAsia="Malgun Gothic" w:hAnsi="Lato"/>
                <w:sz w:val="20"/>
                <w:szCs w:val="20"/>
              </w:rPr>
            </w:pPr>
          </w:p>
        </w:tc>
      </w:tr>
      <w:tr w:rsidR="006E2831" w:rsidRPr="00C758B1" w14:paraId="5A9DF600" w14:textId="77777777" w:rsidTr="000A7C68">
        <w:trPr>
          <w:trHeight w:val="455"/>
          <w:jc w:val="center"/>
        </w:trPr>
        <w:tc>
          <w:tcPr>
            <w:tcW w:w="1043" w:type="pct"/>
            <w:shd w:val="clear" w:color="auto" w:fill="D9D9D9"/>
            <w:vAlign w:val="center"/>
          </w:tcPr>
          <w:p w14:paraId="20B0DC51" w14:textId="77777777" w:rsidR="006E2831" w:rsidRPr="005577BE" w:rsidRDefault="006E2831" w:rsidP="000A7C68">
            <w:pPr>
              <w:spacing w:line="276" w:lineRule="auto"/>
              <w:ind w:left="-113"/>
              <w:jc w:val="center"/>
              <w:rPr>
                <w:rFonts w:ascii="Lato" w:eastAsia="Malgun Gothic" w:hAnsi="Lato"/>
                <w:sz w:val="20"/>
                <w:szCs w:val="20"/>
              </w:rPr>
            </w:pPr>
            <w:r w:rsidRPr="005577BE">
              <w:rPr>
                <w:rFonts w:ascii="Lato" w:eastAsia="Malgun Gothic" w:hAnsi="Lato"/>
                <w:sz w:val="20"/>
                <w:szCs w:val="20"/>
              </w:rPr>
              <w:t>Terminal LNG</w:t>
            </w:r>
          </w:p>
        </w:tc>
        <w:tc>
          <w:tcPr>
            <w:tcW w:w="1271" w:type="pct"/>
            <w:vAlign w:val="center"/>
          </w:tcPr>
          <w:p w14:paraId="3C00D02A" w14:textId="77777777" w:rsidR="006E2831" w:rsidRPr="005577BE" w:rsidRDefault="006E2831" w:rsidP="000A7C68">
            <w:pPr>
              <w:spacing w:line="276" w:lineRule="auto"/>
              <w:jc w:val="center"/>
              <w:rPr>
                <w:rFonts w:ascii="Lato" w:eastAsia="Malgun Gothic" w:hAnsi="Lato"/>
                <w:sz w:val="20"/>
                <w:szCs w:val="20"/>
              </w:rPr>
            </w:pPr>
            <w:r w:rsidRPr="005577BE">
              <w:rPr>
                <w:rFonts w:ascii="Lato" w:eastAsia="Malgun Gothic" w:hAnsi="Lato"/>
                <w:sz w:val="20"/>
                <w:szCs w:val="20"/>
              </w:rPr>
              <w:t>19,7 (227,3)</w:t>
            </w:r>
          </w:p>
        </w:tc>
        <w:tc>
          <w:tcPr>
            <w:tcW w:w="894" w:type="pct"/>
            <w:vAlign w:val="center"/>
          </w:tcPr>
          <w:p w14:paraId="063EB2B4" w14:textId="77777777" w:rsidR="006E2831" w:rsidRPr="005577BE" w:rsidRDefault="006E2831" w:rsidP="000A7C68">
            <w:pPr>
              <w:spacing w:line="276" w:lineRule="auto"/>
              <w:jc w:val="center"/>
              <w:rPr>
                <w:rFonts w:ascii="Lato" w:eastAsia="Malgun Gothic" w:hAnsi="Lato"/>
                <w:sz w:val="20"/>
                <w:szCs w:val="20"/>
              </w:rPr>
            </w:pPr>
          </w:p>
        </w:tc>
        <w:tc>
          <w:tcPr>
            <w:tcW w:w="1793" w:type="pct"/>
            <w:vAlign w:val="center"/>
          </w:tcPr>
          <w:p w14:paraId="2E5A55E5" w14:textId="77777777" w:rsidR="006E2831" w:rsidRPr="005577BE" w:rsidRDefault="006E2831" w:rsidP="000A7C68">
            <w:pPr>
              <w:spacing w:line="276" w:lineRule="auto"/>
              <w:jc w:val="center"/>
              <w:rPr>
                <w:rFonts w:ascii="Lato" w:eastAsia="Malgun Gothic" w:hAnsi="Lato"/>
                <w:sz w:val="20"/>
                <w:szCs w:val="20"/>
              </w:rPr>
            </w:pPr>
            <w:r w:rsidRPr="005577BE">
              <w:rPr>
                <w:rFonts w:ascii="Lato" w:eastAsia="Malgun Gothic" w:hAnsi="Lato"/>
                <w:sz w:val="20"/>
                <w:szCs w:val="20"/>
              </w:rPr>
              <w:t>zdolno</w:t>
            </w:r>
            <w:r w:rsidRPr="005577BE">
              <w:rPr>
                <w:rFonts w:ascii="Lato" w:eastAsia="Malgun Gothic" w:hAnsi="Lato" w:cs="Calibri"/>
                <w:sz w:val="20"/>
                <w:szCs w:val="20"/>
              </w:rPr>
              <w:t>ść</w:t>
            </w:r>
            <w:r w:rsidRPr="005577BE">
              <w:rPr>
                <w:rFonts w:ascii="Lato" w:eastAsia="Malgun Gothic" w:hAnsi="Lato"/>
                <w:sz w:val="20"/>
                <w:szCs w:val="20"/>
              </w:rPr>
              <w:t xml:space="preserve"> techniczna regazyfikacji</w:t>
            </w:r>
          </w:p>
        </w:tc>
      </w:tr>
      <w:tr w:rsidR="006E2831" w:rsidRPr="00C758B1" w14:paraId="50C88BCF" w14:textId="77777777" w:rsidTr="000A7C68">
        <w:trPr>
          <w:trHeight w:val="113"/>
          <w:jc w:val="center"/>
        </w:trPr>
        <w:tc>
          <w:tcPr>
            <w:tcW w:w="1043" w:type="pct"/>
            <w:shd w:val="clear" w:color="auto" w:fill="D9D9D9"/>
            <w:vAlign w:val="center"/>
          </w:tcPr>
          <w:p w14:paraId="78F34699" w14:textId="77777777" w:rsidR="006E2831" w:rsidRPr="005577BE" w:rsidRDefault="006E2831" w:rsidP="000A7C68">
            <w:pPr>
              <w:spacing w:line="276" w:lineRule="auto"/>
              <w:ind w:left="-113"/>
              <w:jc w:val="center"/>
              <w:rPr>
                <w:rFonts w:ascii="Lato" w:eastAsia="Malgun Gothic" w:hAnsi="Lato"/>
                <w:sz w:val="20"/>
                <w:szCs w:val="20"/>
              </w:rPr>
            </w:pPr>
            <w:r w:rsidRPr="005577BE">
              <w:rPr>
                <w:rFonts w:ascii="Lato" w:eastAsia="Malgun Gothic" w:hAnsi="Lato"/>
                <w:sz w:val="20"/>
                <w:szCs w:val="20"/>
              </w:rPr>
              <w:t>Punkt Wzajemnego Poł</w:t>
            </w:r>
            <w:r w:rsidRPr="005577BE">
              <w:rPr>
                <w:rFonts w:ascii="Lato" w:eastAsia="Malgun Gothic" w:hAnsi="Lato" w:cs="Calibri"/>
                <w:sz w:val="20"/>
                <w:szCs w:val="20"/>
              </w:rPr>
              <w:t>ą</w:t>
            </w:r>
            <w:r w:rsidRPr="005577BE">
              <w:rPr>
                <w:rFonts w:ascii="Lato" w:eastAsia="Malgun Gothic" w:hAnsi="Lato"/>
                <w:sz w:val="20"/>
                <w:szCs w:val="20"/>
              </w:rPr>
              <w:t>czenia</w:t>
            </w:r>
          </w:p>
        </w:tc>
        <w:tc>
          <w:tcPr>
            <w:tcW w:w="1271" w:type="pct"/>
            <w:vAlign w:val="center"/>
          </w:tcPr>
          <w:p w14:paraId="27E84B4D" w14:textId="77777777" w:rsidR="006E2831" w:rsidRPr="005577BE" w:rsidRDefault="006E2831" w:rsidP="000A7C68">
            <w:pPr>
              <w:spacing w:line="276" w:lineRule="auto"/>
              <w:jc w:val="center"/>
              <w:rPr>
                <w:rFonts w:ascii="Lato" w:eastAsia="Malgun Gothic" w:hAnsi="Lato"/>
                <w:sz w:val="20"/>
                <w:szCs w:val="20"/>
              </w:rPr>
            </w:pPr>
            <w:r w:rsidRPr="005577BE">
              <w:rPr>
                <w:rFonts w:ascii="Lato" w:eastAsia="Malgun Gothic" w:hAnsi="Lato"/>
                <w:sz w:val="20"/>
                <w:szCs w:val="20"/>
              </w:rPr>
              <w:t>25,0 (277,6)</w:t>
            </w:r>
          </w:p>
        </w:tc>
        <w:tc>
          <w:tcPr>
            <w:tcW w:w="894" w:type="pct"/>
            <w:vAlign w:val="center"/>
          </w:tcPr>
          <w:p w14:paraId="159D9C39" w14:textId="77777777" w:rsidR="006E2831" w:rsidRPr="005577BE" w:rsidRDefault="006E2831" w:rsidP="000A7C68">
            <w:pPr>
              <w:spacing w:line="276" w:lineRule="auto"/>
              <w:jc w:val="center"/>
              <w:rPr>
                <w:rFonts w:ascii="Lato" w:eastAsia="Malgun Gothic" w:hAnsi="Lato"/>
                <w:sz w:val="20"/>
                <w:szCs w:val="20"/>
              </w:rPr>
            </w:pPr>
            <w:r w:rsidRPr="005577BE">
              <w:rPr>
                <w:rFonts w:ascii="Lato" w:eastAsia="Malgun Gothic" w:hAnsi="Lato"/>
                <w:sz w:val="20"/>
                <w:szCs w:val="20"/>
              </w:rPr>
              <w:t>Polska (SGT)</w:t>
            </w:r>
          </w:p>
        </w:tc>
        <w:tc>
          <w:tcPr>
            <w:tcW w:w="1793" w:type="pct"/>
            <w:vAlign w:val="center"/>
          </w:tcPr>
          <w:p w14:paraId="5A7EE29D" w14:textId="77777777" w:rsidR="006E2831" w:rsidRPr="005577BE" w:rsidRDefault="006E2831" w:rsidP="000A7C68">
            <w:pPr>
              <w:spacing w:line="276" w:lineRule="auto"/>
              <w:jc w:val="center"/>
              <w:rPr>
                <w:rFonts w:ascii="Lato" w:eastAsia="Malgun Gothic" w:hAnsi="Lato"/>
                <w:sz w:val="20"/>
                <w:szCs w:val="20"/>
              </w:rPr>
            </w:pPr>
            <w:r w:rsidRPr="005577BE">
              <w:rPr>
                <w:rFonts w:ascii="Lato" w:eastAsia="Malgun Gothic" w:hAnsi="Lato"/>
                <w:sz w:val="20"/>
                <w:szCs w:val="20"/>
              </w:rPr>
              <w:t>dostawy do PWP mog</w:t>
            </w:r>
            <w:r w:rsidRPr="005577BE">
              <w:rPr>
                <w:rFonts w:ascii="Lato" w:eastAsia="Malgun Gothic" w:hAnsi="Lato" w:cs="Calibri"/>
                <w:sz w:val="20"/>
                <w:szCs w:val="20"/>
              </w:rPr>
              <w:t>ą</w:t>
            </w:r>
            <w:r w:rsidRPr="005577BE">
              <w:rPr>
                <w:rFonts w:ascii="Lato" w:eastAsia="Malgun Gothic" w:hAnsi="Lato"/>
                <w:sz w:val="20"/>
                <w:szCs w:val="20"/>
              </w:rPr>
              <w:t xml:space="preserve"> by</w:t>
            </w:r>
            <w:r w:rsidRPr="005577BE">
              <w:rPr>
                <w:rFonts w:ascii="Lato" w:eastAsia="Malgun Gothic" w:hAnsi="Lato" w:cs="Calibri"/>
                <w:sz w:val="20"/>
                <w:szCs w:val="20"/>
              </w:rPr>
              <w:t>ć</w:t>
            </w:r>
            <w:r w:rsidRPr="005577BE">
              <w:rPr>
                <w:rFonts w:ascii="Lato" w:eastAsia="Malgun Gothic" w:hAnsi="Lato"/>
                <w:sz w:val="20"/>
                <w:szCs w:val="20"/>
              </w:rPr>
              <w:t xml:space="preserve"> realizowane poprzez Mallnow Rewers z kierunku Niemiec</w:t>
            </w:r>
          </w:p>
        </w:tc>
      </w:tr>
      <w:tr w:rsidR="006E2831" w:rsidRPr="00C758B1" w14:paraId="2FB9473D" w14:textId="77777777" w:rsidTr="000A7C68">
        <w:trPr>
          <w:trHeight w:val="113"/>
          <w:jc w:val="center"/>
        </w:trPr>
        <w:tc>
          <w:tcPr>
            <w:tcW w:w="1043" w:type="pct"/>
            <w:shd w:val="clear" w:color="auto" w:fill="D9D9D9"/>
            <w:vAlign w:val="center"/>
          </w:tcPr>
          <w:p w14:paraId="38A857D2" w14:textId="77777777" w:rsidR="006E2831" w:rsidRPr="005577BE" w:rsidRDefault="006E2831" w:rsidP="000A7C68">
            <w:pPr>
              <w:spacing w:line="276" w:lineRule="auto"/>
              <w:ind w:left="-113"/>
              <w:jc w:val="center"/>
              <w:rPr>
                <w:rFonts w:ascii="Lato" w:eastAsia="Malgun Gothic" w:hAnsi="Lato"/>
                <w:sz w:val="20"/>
                <w:szCs w:val="20"/>
              </w:rPr>
            </w:pPr>
            <w:r w:rsidRPr="005577BE">
              <w:rPr>
                <w:rFonts w:ascii="Lato" w:eastAsia="Malgun Gothic" w:hAnsi="Lato"/>
                <w:sz w:val="20"/>
                <w:szCs w:val="20"/>
              </w:rPr>
              <w:t>GCP GAZ-SYSTEM/ONTRAS</w:t>
            </w:r>
          </w:p>
        </w:tc>
        <w:tc>
          <w:tcPr>
            <w:tcW w:w="1271" w:type="pct"/>
            <w:vAlign w:val="center"/>
          </w:tcPr>
          <w:p w14:paraId="2D3DE20A" w14:textId="77777777" w:rsidR="006E2831" w:rsidRPr="005577BE" w:rsidRDefault="006E2831" w:rsidP="000A7C68">
            <w:pPr>
              <w:spacing w:line="276" w:lineRule="auto"/>
              <w:jc w:val="center"/>
              <w:rPr>
                <w:rFonts w:ascii="Lato" w:eastAsia="Malgun Gothic" w:hAnsi="Lato"/>
                <w:sz w:val="20"/>
                <w:szCs w:val="20"/>
              </w:rPr>
            </w:pPr>
            <w:r w:rsidRPr="005577BE">
              <w:rPr>
                <w:rFonts w:ascii="Lato" w:eastAsia="Malgun Gothic" w:hAnsi="Lato"/>
                <w:sz w:val="20"/>
                <w:szCs w:val="20"/>
              </w:rPr>
              <w:t>4,4 (48,7)</w:t>
            </w:r>
          </w:p>
        </w:tc>
        <w:tc>
          <w:tcPr>
            <w:tcW w:w="894" w:type="pct"/>
            <w:vAlign w:val="center"/>
          </w:tcPr>
          <w:p w14:paraId="3A156FCD" w14:textId="77777777" w:rsidR="006E2831" w:rsidRPr="005577BE" w:rsidRDefault="006E2831" w:rsidP="000A7C68">
            <w:pPr>
              <w:spacing w:line="276" w:lineRule="auto"/>
              <w:jc w:val="center"/>
              <w:rPr>
                <w:rFonts w:ascii="Lato" w:eastAsia="Malgun Gothic" w:hAnsi="Lato"/>
                <w:sz w:val="20"/>
                <w:szCs w:val="20"/>
              </w:rPr>
            </w:pPr>
            <w:r w:rsidRPr="005577BE">
              <w:rPr>
                <w:rFonts w:ascii="Lato" w:eastAsia="Malgun Gothic" w:hAnsi="Lato"/>
                <w:sz w:val="20"/>
                <w:szCs w:val="20"/>
              </w:rPr>
              <w:t>Niemcy</w:t>
            </w:r>
          </w:p>
        </w:tc>
        <w:tc>
          <w:tcPr>
            <w:tcW w:w="1793" w:type="pct"/>
            <w:vAlign w:val="center"/>
          </w:tcPr>
          <w:p w14:paraId="636EE0F7" w14:textId="77777777" w:rsidR="006E2831" w:rsidRPr="005577BE" w:rsidRDefault="006E2831" w:rsidP="000A7C68">
            <w:pPr>
              <w:spacing w:line="276" w:lineRule="auto"/>
              <w:jc w:val="center"/>
              <w:rPr>
                <w:rFonts w:ascii="Lato" w:eastAsia="Malgun Gothic" w:hAnsi="Lato"/>
                <w:sz w:val="20"/>
                <w:szCs w:val="20"/>
              </w:rPr>
            </w:pPr>
            <w:r w:rsidRPr="005577BE">
              <w:rPr>
                <w:rFonts w:ascii="Lato" w:eastAsia="Malgun Gothic" w:hAnsi="Lato"/>
                <w:sz w:val="20"/>
                <w:szCs w:val="20"/>
              </w:rPr>
              <w:t>Lasów, Gubin, Kamminke (wyjście)</w:t>
            </w:r>
          </w:p>
        </w:tc>
      </w:tr>
      <w:tr w:rsidR="006E2831" w:rsidRPr="00C758B1" w14:paraId="586497C0" w14:textId="77777777" w:rsidTr="000A7C68">
        <w:trPr>
          <w:trHeight w:val="113"/>
          <w:jc w:val="center"/>
        </w:trPr>
        <w:tc>
          <w:tcPr>
            <w:tcW w:w="1043" w:type="pct"/>
            <w:shd w:val="clear" w:color="auto" w:fill="D9D9D9"/>
            <w:vAlign w:val="center"/>
          </w:tcPr>
          <w:p w14:paraId="71EEAB06" w14:textId="77777777" w:rsidR="006E2831" w:rsidRPr="005577BE" w:rsidRDefault="006E2831" w:rsidP="000A7C68">
            <w:pPr>
              <w:spacing w:line="276" w:lineRule="auto"/>
              <w:ind w:left="-113"/>
              <w:jc w:val="center"/>
              <w:rPr>
                <w:rFonts w:ascii="Lato" w:eastAsia="Malgun Gothic" w:hAnsi="Lato"/>
                <w:sz w:val="20"/>
                <w:szCs w:val="20"/>
              </w:rPr>
            </w:pPr>
            <w:r w:rsidRPr="005577BE">
              <w:rPr>
                <w:rFonts w:ascii="Lato" w:eastAsia="Malgun Gothic" w:hAnsi="Lato"/>
                <w:sz w:val="20"/>
                <w:szCs w:val="20"/>
              </w:rPr>
              <w:t>Cieszyn</w:t>
            </w:r>
          </w:p>
        </w:tc>
        <w:tc>
          <w:tcPr>
            <w:tcW w:w="1271" w:type="pct"/>
            <w:vAlign w:val="center"/>
          </w:tcPr>
          <w:p w14:paraId="6C240A66" w14:textId="77777777" w:rsidR="006E2831" w:rsidRPr="005577BE" w:rsidRDefault="006E2831" w:rsidP="000A7C68">
            <w:pPr>
              <w:spacing w:line="276" w:lineRule="auto"/>
              <w:jc w:val="center"/>
              <w:rPr>
                <w:rFonts w:ascii="Lato" w:eastAsia="Malgun Gothic" w:hAnsi="Lato"/>
                <w:sz w:val="20"/>
                <w:szCs w:val="20"/>
              </w:rPr>
            </w:pPr>
            <w:r w:rsidRPr="005577BE">
              <w:rPr>
                <w:rFonts w:ascii="Lato" w:eastAsia="Malgun Gothic" w:hAnsi="Lato"/>
                <w:sz w:val="20"/>
                <w:szCs w:val="20"/>
              </w:rPr>
              <w:t>2,5/0,4 (28,0/4,3)</w:t>
            </w:r>
          </w:p>
        </w:tc>
        <w:tc>
          <w:tcPr>
            <w:tcW w:w="894" w:type="pct"/>
            <w:vAlign w:val="center"/>
          </w:tcPr>
          <w:p w14:paraId="3DAFE9C2" w14:textId="77777777" w:rsidR="006E2831" w:rsidRPr="005577BE" w:rsidRDefault="006E2831" w:rsidP="000A7C68">
            <w:pPr>
              <w:spacing w:line="276" w:lineRule="auto"/>
              <w:jc w:val="center"/>
              <w:rPr>
                <w:rFonts w:ascii="Lato" w:eastAsia="Malgun Gothic" w:hAnsi="Lato"/>
                <w:sz w:val="20"/>
                <w:szCs w:val="20"/>
              </w:rPr>
            </w:pPr>
            <w:r w:rsidRPr="005577BE">
              <w:rPr>
                <w:rFonts w:ascii="Lato" w:eastAsia="Malgun Gothic" w:hAnsi="Lato"/>
                <w:sz w:val="20"/>
                <w:szCs w:val="20"/>
              </w:rPr>
              <w:t>Czechy</w:t>
            </w:r>
          </w:p>
        </w:tc>
        <w:tc>
          <w:tcPr>
            <w:tcW w:w="1793" w:type="pct"/>
            <w:vAlign w:val="center"/>
          </w:tcPr>
          <w:p w14:paraId="20A79750" w14:textId="77777777" w:rsidR="006E2831" w:rsidRPr="005577BE" w:rsidRDefault="006E2831" w:rsidP="000A7C68">
            <w:pPr>
              <w:spacing w:line="276" w:lineRule="auto"/>
              <w:jc w:val="center"/>
              <w:rPr>
                <w:rFonts w:ascii="Lato" w:eastAsia="Malgun Gothic" w:hAnsi="Lato"/>
                <w:sz w:val="20"/>
                <w:szCs w:val="20"/>
              </w:rPr>
            </w:pPr>
            <w:r w:rsidRPr="005577BE">
              <w:rPr>
                <w:rFonts w:ascii="Lato" w:eastAsia="Malgun Gothic" w:hAnsi="Lato"/>
                <w:sz w:val="20"/>
                <w:szCs w:val="20"/>
              </w:rPr>
              <w:t>pa</w:t>
            </w:r>
            <w:r w:rsidRPr="005577BE">
              <w:rPr>
                <w:rFonts w:ascii="Lato" w:eastAsia="Malgun Gothic" w:hAnsi="Lato" w:cs="Calibri"/>
                <w:sz w:val="20"/>
                <w:szCs w:val="20"/>
              </w:rPr>
              <w:t>ź</w:t>
            </w:r>
            <w:r w:rsidRPr="005577BE">
              <w:rPr>
                <w:rFonts w:ascii="Lato" w:eastAsia="Malgun Gothic" w:hAnsi="Lato"/>
                <w:sz w:val="20"/>
                <w:szCs w:val="20"/>
              </w:rPr>
              <w:t>dziernik-kwiecie</w:t>
            </w:r>
            <w:r w:rsidRPr="005577BE">
              <w:rPr>
                <w:rFonts w:ascii="Lato" w:eastAsia="Malgun Gothic" w:hAnsi="Lato" w:cs="Calibri"/>
                <w:sz w:val="20"/>
                <w:szCs w:val="20"/>
              </w:rPr>
              <w:t>ń</w:t>
            </w:r>
            <w:r w:rsidRPr="005577BE">
              <w:rPr>
                <w:rFonts w:ascii="Lato" w:eastAsia="Malgun Gothic" w:hAnsi="Lato"/>
                <w:sz w:val="20"/>
                <w:szCs w:val="20"/>
              </w:rPr>
              <w:t>/maj-wrzesie</w:t>
            </w:r>
            <w:r w:rsidRPr="005577BE">
              <w:rPr>
                <w:rFonts w:ascii="Lato" w:eastAsia="Malgun Gothic" w:hAnsi="Lato" w:cs="Calibri"/>
                <w:sz w:val="20"/>
                <w:szCs w:val="20"/>
              </w:rPr>
              <w:t>ń</w:t>
            </w:r>
          </w:p>
        </w:tc>
      </w:tr>
      <w:tr w:rsidR="006E2831" w:rsidRPr="00C758B1" w14:paraId="03D5F563" w14:textId="77777777" w:rsidTr="000A7C68">
        <w:trPr>
          <w:trHeight w:val="410"/>
          <w:jc w:val="center"/>
        </w:trPr>
        <w:tc>
          <w:tcPr>
            <w:tcW w:w="1043" w:type="pct"/>
            <w:shd w:val="clear" w:color="auto" w:fill="D9D9D9"/>
            <w:vAlign w:val="center"/>
          </w:tcPr>
          <w:p w14:paraId="261E89BA" w14:textId="1561DD6D" w:rsidR="006E2831" w:rsidRPr="005577BE" w:rsidRDefault="006E2831" w:rsidP="000A7C68">
            <w:pPr>
              <w:spacing w:line="276" w:lineRule="auto"/>
              <w:ind w:left="-113"/>
              <w:jc w:val="center"/>
              <w:rPr>
                <w:rFonts w:ascii="Lato" w:eastAsia="Malgun Gothic" w:hAnsi="Lato"/>
                <w:sz w:val="20"/>
                <w:szCs w:val="20"/>
              </w:rPr>
            </w:pPr>
            <w:r w:rsidRPr="005577BE">
              <w:rPr>
                <w:rFonts w:ascii="Lato" w:eastAsia="Malgun Gothic" w:hAnsi="Lato"/>
                <w:sz w:val="20"/>
                <w:szCs w:val="20"/>
              </w:rPr>
              <w:t>Faxe</w:t>
            </w:r>
          </w:p>
        </w:tc>
        <w:tc>
          <w:tcPr>
            <w:tcW w:w="1271" w:type="pct"/>
            <w:shd w:val="clear" w:color="auto" w:fill="auto"/>
            <w:vAlign w:val="center"/>
          </w:tcPr>
          <w:p w14:paraId="7C966A66" w14:textId="77777777" w:rsidR="006E2831" w:rsidRPr="005577BE" w:rsidRDefault="006E2831" w:rsidP="000A7C68">
            <w:pPr>
              <w:spacing w:line="276" w:lineRule="auto"/>
              <w:jc w:val="center"/>
              <w:rPr>
                <w:rFonts w:ascii="Lato" w:eastAsia="Malgun Gothic" w:hAnsi="Lato"/>
                <w:sz w:val="20"/>
                <w:szCs w:val="20"/>
              </w:rPr>
            </w:pPr>
            <w:r w:rsidRPr="005577BE">
              <w:rPr>
                <w:rFonts w:ascii="Lato" w:eastAsia="Malgun Gothic" w:hAnsi="Lato"/>
                <w:sz w:val="20"/>
                <w:szCs w:val="20"/>
              </w:rPr>
              <w:t>27,4 (321,9)</w:t>
            </w:r>
          </w:p>
        </w:tc>
        <w:tc>
          <w:tcPr>
            <w:tcW w:w="894" w:type="pct"/>
            <w:shd w:val="clear" w:color="auto" w:fill="auto"/>
            <w:vAlign w:val="center"/>
          </w:tcPr>
          <w:p w14:paraId="317CD659" w14:textId="77777777" w:rsidR="006E2831" w:rsidRPr="005577BE" w:rsidRDefault="006E2831" w:rsidP="000A7C68">
            <w:pPr>
              <w:spacing w:line="276" w:lineRule="auto"/>
              <w:jc w:val="center"/>
              <w:rPr>
                <w:rFonts w:ascii="Lato" w:eastAsia="Malgun Gothic" w:hAnsi="Lato"/>
                <w:sz w:val="20"/>
                <w:szCs w:val="20"/>
              </w:rPr>
            </w:pPr>
            <w:r w:rsidRPr="005577BE">
              <w:rPr>
                <w:rFonts w:ascii="Lato" w:eastAsia="Malgun Gothic" w:hAnsi="Lato"/>
                <w:sz w:val="20"/>
                <w:szCs w:val="20"/>
              </w:rPr>
              <w:t>Dania</w:t>
            </w:r>
          </w:p>
        </w:tc>
        <w:tc>
          <w:tcPr>
            <w:tcW w:w="1793" w:type="pct"/>
            <w:shd w:val="clear" w:color="auto" w:fill="auto"/>
            <w:vAlign w:val="center"/>
          </w:tcPr>
          <w:p w14:paraId="1D37E196" w14:textId="77777777" w:rsidR="006E2831" w:rsidRPr="005577BE" w:rsidRDefault="006E2831" w:rsidP="000A7C68">
            <w:pPr>
              <w:spacing w:line="276" w:lineRule="auto"/>
              <w:jc w:val="center"/>
              <w:rPr>
                <w:rFonts w:ascii="Lato" w:eastAsia="Malgun Gothic" w:hAnsi="Lato"/>
                <w:sz w:val="20"/>
                <w:szCs w:val="20"/>
              </w:rPr>
            </w:pPr>
          </w:p>
        </w:tc>
      </w:tr>
      <w:tr w:rsidR="006E2831" w:rsidRPr="00C758B1" w14:paraId="7F0AF097" w14:textId="77777777" w:rsidTr="000A7C68">
        <w:trPr>
          <w:trHeight w:val="421"/>
          <w:jc w:val="center"/>
        </w:trPr>
        <w:tc>
          <w:tcPr>
            <w:tcW w:w="1043" w:type="pct"/>
            <w:shd w:val="clear" w:color="auto" w:fill="D9D9D9"/>
            <w:vAlign w:val="center"/>
          </w:tcPr>
          <w:p w14:paraId="42338BCA" w14:textId="66785CA3" w:rsidR="006E2831" w:rsidRPr="005577BE" w:rsidRDefault="006E2831" w:rsidP="000A7C68">
            <w:pPr>
              <w:spacing w:line="276" w:lineRule="auto"/>
              <w:ind w:left="-113"/>
              <w:jc w:val="center"/>
              <w:rPr>
                <w:rFonts w:ascii="Lato" w:eastAsia="Malgun Gothic" w:hAnsi="Lato"/>
                <w:sz w:val="20"/>
                <w:szCs w:val="20"/>
              </w:rPr>
            </w:pPr>
            <w:r w:rsidRPr="005577BE">
              <w:rPr>
                <w:rFonts w:ascii="Lato" w:eastAsia="Malgun Gothic" w:hAnsi="Lato"/>
                <w:sz w:val="20"/>
                <w:szCs w:val="20"/>
              </w:rPr>
              <w:t>Santaka</w:t>
            </w:r>
          </w:p>
        </w:tc>
        <w:tc>
          <w:tcPr>
            <w:tcW w:w="1271" w:type="pct"/>
            <w:shd w:val="clear" w:color="auto" w:fill="auto"/>
            <w:vAlign w:val="center"/>
          </w:tcPr>
          <w:p w14:paraId="4E86A065" w14:textId="77777777" w:rsidR="006E2831" w:rsidRPr="005577BE" w:rsidRDefault="006E2831" w:rsidP="000A7C68">
            <w:pPr>
              <w:spacing w:line="276" w:lineRule="auto"/>
              <w:jc w:val="center"/>
              <w:rPr>
                <w:rFonts w:ascii="Lato" w:eastAsia="Malgun Gothic" w:hAnsi="Lato"/>
                <w:sz w:val="20"/>
                <w:szCs w:val="20"/>
              </w:rPr>
            </w:pPr>
            <w:r w:rsidRPr="005577BE">
              <w:rPr>
                <w:rFonts w:ascii="Lato" w:eastAsia="Malgun Gothic" w:hAnsi="Lato"/>
                <w:sz w:val="20"/>
                <w:szCs w:val="20"/>
              </w:rPr>
              <w:t>5,2 (58,1)</w:t>
            </w:r>
          </w:p>
        </w:tc>
        <w:tc>
          <w:tcPr>
            <w:tcW w:w="894" w:type="pct"/>
            <w:shd w:val="clear" w:color="auto" w:fill="auto"/>
            <w:vAlign w:val="center"/>
          </w:tcPr>
          <w:p w14:paraId="1DC41EA1" w14:textId="77777777" w:rsidR="006E2831" w:rsidRPr="005577BE" w:rsidRDefault="006E2831" w:rsidP="000A7C68">
            <w:pPr>
              <w:spacing w:line="276" w:lineRule="auto"/>
              <w:jc w:val="center"/>
              <w:rPr>
                <w:rFonts w:ascii="Lato" w:eastAsia="Malgun Gothic" w:hAnsi="Lato"/>
                <w:sz w:val="20"/>
                <w:szCs w:val="20"/>
              </w:rPr>
            </w:pPr>
            <w:r w:rsidRPr="005577BE">
              <w:rPr>
                <w:rFonts w:ascii="Lato" w:eastAsia="Malgun Gothic" w:hAnsi="Lato"/>
                <w:sz w:val="20"/>
                <w:szCs w:val="20"/>
              </w:rPr>
              <w:t>Litwa</w:t>
            </w:r>
          </w:p>
        </w:tc>
        <w:tc>
          <w:tcPr>
            <w:tcW w:w="1793" w:type="pct"/>
            <w:shd w:val="clear" w:color="auto" w:fill="auto"/>
            <w:vAlign w:val="center"/>
          </w:tcPr>
          <w:p w14:paraId="07D7DB76" w14:textId="77777777" w:rsidR="006E2831" w:rsidRPr="005577BE" w:rsidRDefault="006E2831" w:rsidP="000A7C68">
            <w:pPr>
              <w:spacing w:line="276" w:lineRule="auto"/>
              <w:jc w:val="center"/>
              <w:rPr>
                <w:rFonts w:ascii="Lato" w:eastAsia="Malgun Gothic" w:hAnsi="Lato"/>
                <w:sz w:val="20"/>
                <w:szCs w:val="20"/>
              </w:rPr>
            </w:pPr>
          </w:p>
        </w:tc>
      </w:tr>
      <w:tr w:rsidR="006E2831" w:rsidRPr="00C758B1" w14:paraId="118B666A" w14:textId="77777777" w:rsidTr="000A7C68">
        <w:trPr>
          <w:trHeight w:val="383"/>
          <w:jc w:val="center"/>
        </w:trPr>
        <w:tc>
          <w:tcPr>
            <w:tcW w:w="1043" w:type="pct"/>
            <w:shd w:val="clear" w:color="auto" w:fill="D9D9D9"/>
            <w:vAlign w:val="center"/>
          </w:tcPr>
          <w:p w14:paraId="61BCCFEF" w14:textId="3286C257" w:rsidR="006E2831" w:rsidRPr="005577BE" w:rsidRDefault="006E2831" w:rsidP="000A7C68">
            <w:pPr>
              <w:spacing w:line="276" w:lineRule="auto"/>
              <w:ind w:left="-113"/>
              <w:jc w:val="center"/>
              <w:rPr>
                <w:rFonts w:ascii="Lato" w:eastAsia="Malgun Gothic" w:hAnsi="Lato"/>
                <w:sz w:val="20"/>
                <w:szCs w:val="20"/>
              </w:rPr>
            </w:pPr>
            <w:r w:rsidRPr="005577BE">
              <w:rPr>
                <w:rFonts w:ascii="Lato" w:eastAsia="Malgun Gothic" w:hAnsi="Lato"/>
                <w:sz w:val="20"/>
                <w:szCs w:val="20"/>
              </w:rPr>
              <w:t>Vyrava</w:t>
            </w:r>
          </w:p>
        </w:tc>
        <w:tc>
          <w:tcPr>
            <w:tcW w:w="1271" w:type="pct"/>
            <w:shd w:val="clear" w:color="auto" w:fill="auto"/>
            <w:vAlign w:val="center"/>
          </w:tcPr>
          <w:p w14:paraId="2381E010" w14:textId="77777777" w:rsidR="006E2831" w:rsidRPr="005577BE" w:rsidRDefault="006E2831" w:rsidP="000A7C68">
            <w:pPr>
              <w:spacing w:line="276" w:lineRule="auto"/>
              <w:jc w:val="center"/>
              <w:rPr>
                <w:rFonts w:ascii="Lato" w:eastAsia="Malgun Gothic" w:hAnsi="Lato"/>
                <w:sz w:val="20"/>
                <w:szCs w:val="20"/>
              </w:rPr>
            </w:pPr>
            <w:r w:rsidRPr="005577BE">
              <w:rPr>
                <w:rFonts w:ascii="Lato" w:eastAsia="Malgun Gothic" w:hAnsi="Lato"/>
                <w:sz w:val="20"/>
                <w:szCs w:val="20"/>
              </w:rPr>
              <w:t>15,6 (173,9)</w:t>
            </w:r>
          </w:p>
        </w:tc>
        <w:tc>
          <w:tcPr>
            <w:tcW w:w="894" w:type="pct"/>
            <w:shd w:val="clear" w:color="auto" w:fill="auto"/>
            <w:vAlign w:val="center"/>
          </w:tcPr>
          <w:p w14:paraId="487D904B" w14:textId="77777777" w:rsidR="006E2831" w:rsidRPr="005577BE" w:rsidRDefault="006E2831" w:rsidP="000A7C68">
            <w:pPr>
              <w:spacing w:line="276" w:lineRule="auto"/>
              <w:jc w:val="center"/>
              <w:rPr>
                <w:rFonts w:ascii="Lato" w:eastAsia="Malgun Gothic" w:hAnsi="Lato"/>
                <w:sz w:val="20"/>
                <w:szCs w:val="20"/>
              </w:rPr>
            </w:pPr>
            <w:r w:rsidRPr="005577BE">
              <w:rPr>
                <w:rFonts w:ascii="Lato" w:eastAsia="Malgun Gothic" w:hAnsi="Lato"/>
                <w:sz w:val="20"/>
                <w:szCs w:val="20"/>
              </w:rPr>
              <w:t>Słowacja</w:t>
            </w:r>
          </w:p>
        </w:tc>
        <w:tc>
          <w:tcPr>
            <w:tcW w:w="1793" w:type="pct"/>
            <w:shd w:val="clear" w:color="auto" w:fill="auto"/>
            <w:vAlign w:val="center"/>
          </w:tcPr>
          <w:p w14:paraId="141555DB" w14:textId="77777777" w:rsidR="006E2831" w:rsidRPr="005577BE" w:rsidRDefault="006E2831" w:rsidP="000A7C68">
            <w:pPr>
              <w:spacing w:line="276" w:lineRule="auto"/>
              <w:jc w:val="center"/>
              <w:rPr>
                <w:rFonts w:ascii="Lato" w:eastAsia="Malgun Gothic" w:hAnsi="Lato"/>
                <w:sz w:val="20"/>
                <w:szCs w:val="20"/>
              </w:rPr>
            </w:pPr>
          </w:p>
        </w:tc>
      </w:tr>
      <w:tr w:rsidR="006E2831" w:rsidRPr="00C758B1" w14:paraId="077835BE" w14:textId="77777777" w:rsidTr="000A7C68">
        <w:trPr>
          <w:trHeight w:val="629"/>
          <w:jc w:val="center"/>
        </w:trPr>
        <w:tc>
          <w:tcPr>
            <w:tcW w:w="1043" w:type="pct"/>
            <w:shd w:val="clear" w:color="auto" w:fill="D9D9D9"/>
            <w:vAlign w:val="center"/>
          </w:tcPr>
          <w:p w14:paraId="2BE4984C" w14:textId="77777777" w:rsidR="006E2831" w:rsidRPr="005577BE" w:rsidRDefault="006E2831" w:rsidP="000A7C68">
            <w:pPr>
              <w:spacing w:line="276" w:lineRule="auto"/>
              <w:ind w:left="-113"/>
              <w:jc w:val="center"/>
              <w:rPr>
                <w:rFonts w:ascii="Lato" w:eastAsia="Malgun Gothic" w:hAnsi="Lato"/>
                <w:b/>
                <w:sz w:val="20"/>
                <w:szCs w:val="20"/>
              </w:rPr>
            </w:pPr>
            <w:r w:rsidRPr="005577BE">
              <w:rPr>
                <w:rFonts w:ascii="Lato" w:eastAsia="Malgun Gothic" w:hAnsi="Lato"/>
                <w:b/>
                <w:sz w:val="20"/>
                <w:szCs w:val="20"/>
              </w:rPr>
              <w:t>SUMA</w:t>
            </w:r>
          </w:p>
        </w:tc>
        <w:tc>
          <w:tcPr>
            <w:tcW w:w="1271" w:type="pct"/>
            <w:shd w:val="clear" w:color="auto" w:fill="D9D9D9"/>
            <w:vAlign w:val="center"/>
          </w:tcPr>
          <w:p w14:paraId="7BB36064" w14:textId="77777777" w:rsidR="006E2831" w:rsidRPr="005577BE" w:rsidRDefault="006E2831" w:rsidP="000A7C68">
            <w:pPr>
              <w:spacing w:line="276" w:lineRule="auto"/>
              <w:jc w:val="center"/>
              <w:rPr>
                <w:rFonts w:ascii="Lato" w:eastAsia="Malgun Gothic" w:hAnsi="Lato"/>
                <w:b/>
                <w:sz w:val="20"/>
                <w:szCs w:val="20"/>
              </w:rPr>
            </w:pPr>
            <w:r w:rsidRPr="005577BE">
              <w:rPr>
                <w:rFonts w:ascii="Lato" w:eastAsia="Malgun Gothic" w:hAnsi="Lato"/>
                <w:b/>
                <w:sz w:val="20"/>
                <w:szCs w:val="20"/>
              </w:rPr>
              <w:t>111,8/109,7 (1 271,1/1 247,4)</w:t>
            </w:r>
          </w:p>
        </w:tc>
        <w:tc>
          <w:tcPr>
            <w:tcW w:w="894" w:type="pct"/>
            <w:shd w:val="clear" w:color="auto" w:fill="D9D9D9"/>
            <w:vAlign w:val="center"/>
          </w:tcPr>
          <w:p w14:paraId="2B85D2CB" w14:textId="77777777" w:rsidR="006E2831" w:rsidRPr="005577BE" w:rsidRDefault="006E2831" w:rsidP="000A7C68">
            <w:pPr>
              <w:spacing w:line="276" w:lineRule="auto"/>
              <w:jc w:val="center"/>
              <w:rPr>
                <w:rFonts w:ascii="Lato" w:eastAsia="Malgun Gothic" w:hAnsi="Lato"/>
                <w:sz w:val="20"/>
                <w:szCs w:val="20"/>
              </w:rPr>
            </w:pPr>
          </w:p>
        </w:tc>
        <w:tc>
          <w:tcPr>
            <w:tcW w:w="1793" w:type="pct"/>
            <w:shd w:val="clear" w:color="auto" w:fill="D9D9D9"/>
            <w:vAlign w:val="center"/>
          </w:tcPr>
          <w:p w14:paraId="47F46FF7" w14:textId="77777777" w:rsidR="006E2831" w:rsidRPr="005577BE" w:rsidRDefault="006E2831" w:rsidP="000A7C68">
            <w:pPr>
              <w:spacing w:line="276" w:lineRule="auto"/>
              <w:jc w:val="center"/>
              <w:rPr>
                <w:rFonts w:ascii="Lato" w:eastAsia="Malgun Gothic" w:hAnsi="Lato"/>
                <w:sz w:val="20"/>
                <w:szCs w:val="20"/>
              </w:rPr>
            </w:pPr>
          </w:p>
        </w:tc>
      </w:tr>
    </w:tbl>
    <w:p w14:paraId="01103872" w14:textId="31C84825" w:rsidR="006E2831" w:rsidRPr="006E0158" w:rsidRDefault="006E2831" w:rsidP="005577BE">
      <w:pPr>
        <w:tabs>
          <w:tab w:val="left" w:pos="10440"/>
        </w:tabs>
        <w:spacing w:before="120" w:line="276" w:lineRule="auto"/>
        <w:ind w:right="23"/>
        <w:rPr>
          <w:rFonts w:ascii="Lato" w:eastAsia="Malgun Gothic" w:hAnsi="Lato"/>
          <w:i/>
          <w:sz w:val="20"/>
          <w:szCs w:val="20"/>
        </w:rPr>
      </w:pPr>
      <w:r w:rsidRPr="006E0158">
        <w:rPr>
          <w:rFonts w:ascii="Lato" w:eastAsia="Malgun Gothic" w:hAnsi="Lato" w:cs="Calibri"/>
          <w:i/>
          <w:sz w:val="20"/>
          <w:szCs w:val="20"/>
        </w:rPr>
        <w:lastRenderedPageBreak/>
        <w:t>Ź</w:t>
      </w:r>
      <w:r w:rsidRPr="006E0158">
        <w:rPr>
          <w:rFonts w:ascii="Lato" w:eastAsia="Malgun Gothic" w:hAnsi="Lato"/>
          <w:i/>
          <w:sz w:val="20"/>
          <w:szCs w:val="20"/>
        </w:rPr>
        <w:t>r</w:t>
      </w:r>
      <w:r w:rsidRPr="006E0158">
        <w:rPr>
          <w:rFonts w:ascii="Lato" w:eastAsia="Malgun Gothic" w:hAnsi="Lato" w:cs="Malgun Gothic"/>
          <w:i/>
          <w:sz w:val="20"/>
          <w:szCs w:val="20"/>
        </w:rPr>
        <w:t>ó</w:t>
      </w:r>
      <w:r w:rsidRPr="006E0158">
        <w:rPr>
          <w:rFonts w:ascii="Lato" w:eastAsia="Malgun Gothic" w:hAnsi="Lato"/>
          <w:i/>
          <w:sz w:val="20"/>
          <w:szCs w:val="20"/>
        </w:rPr>
        <w:t>d</w:t>
      </w:r>
      <w:r w:rsidRPr="006E0158">
        <w:rPr>
          <w:rFonts w:ascii="Lato" w:eastAsia="Malgun Gothic" w:hAnsi="Lato" w:cs="Malgun Gothic"/>
          <w:i/>
          <w:sz w:val="20"/>
          <w:szCs w:val="20"/>
        </w:rPr>
        <w:t>ł</w:t>
      </w:r>
      <w:r w:rsidRPr="006E0158">
        <w:rPr>
          <w:rFonts w:ascii="Lato" w:eastAsia="Malgun Gothic" w:hAnsi="Lato"/>
          <w:i/>
          <w:sz w:val="20"/>
          <w:szCs w:val="20"/>
        </w:rPr>
        <w:t>o: OGP GAZ-SYSTEM S.A.</w:t>
      </w:r>
    </w:p>
    <w:p w14:paraId="283492FD" w14:textId="33F4E09A" w:rsidR="0005315C" w:rsidRDefault="0047343C" w:rsidP="0005315C">
      <w:pPr>
        <w:pStyle w:val="Tekstzwyky"/>
        <w:rPr>
          <w:rFonts w:ascii="Lato" w:hAnsi="Lato"/>
        </w:rPr>
      </w:pPr>
      <w:r>
        <w:rPr>
          <w:rFonts w:ascii="Lato" w:hAnsi="Lato"/>
        </w:rPr>
        <w:tab/>
      </w:r>
      <w:r w:rsidR="006E2831" w:rsidRPr="00223D99">
        <w:rPr>
          <w:rFonts w:ascii="Lato" w:hAnsi="Lato"/>
        </w:rPr>
        <w:t xml:space="preserve">Krajowy system przesyłowy jest zróżnicowany pod względem parametrów technicznych, w szczególności różnorodne są średnice gazociągów i ich ciśnienia robocze w różnych częściach kraju. W minionym okresie </w:t>
      </w:r>
      <w:r w:rsidR="683A52F1" w:rsidRPr="00223D99">
        <w:rPr>
          <w:rFonts w:ascii="Lato" w:hAnsi="Lato"/>
        </w:rPr>
        <w:t xml:space="preserve">wśród </w:t>
      </w:r>
      <w:r w:rsidR="683A52F1" w:rsidRPr="62640F13">
        <w:rPr>
          <w:rFonts w:ascii="Lato" w:hAnsi="Lato"/>
        </w:rPr>
        <w:t>gazociągów wysokiego</w:t>
      </w:r>
      <w:r w:rsidR="683A52F1" w:rsidRPr="00223D99">
        <w:rPr>
          <w:rFonts w:ascii="Lato" w:hAnsi="Lato"/>
        </w:rPr>
        <w:t xml:space="preserve"> </w:t>
      </w:r>
      <w:r w:rsidR="00F34545">
        <w:rPr>
          <w:rFonts w:ascii="Lato" w:hAnsi="Lato"/>
        </w:rPr>
        <w:t xml:space="preserve">ciśnienia </w:t>
      </w:r>
      <w:r w:rsidR="006E2831" w:rsidRPr="00223D99">
        <w:rPr>
          <w:rFonts w:ascii="Lato" w:hAnsi="Lato"/>
        </w:rPr>
        <w:t xml:space="preserve">znacząco wzrósł udział gazociągów </w:t>
      </w:r>
      <w:r w:rsidR="5AE879B7" w:rsidRPr="60BE6E36">
        <w:rPr>
          <w:rFonts w:ascii="Lato" w:hAnsi="Lato"/>
        </w:rPr>
        <w:t xml:space="preserve">o </w:t>
      </w:r>
      <w:r w:rsidR="00F34545">
        <w:rPr>
          <w:rFonts w:ascii="Lato" w:hAnsi="Lato"/>
        </w:rPr>
        <w:t xml:space="preserve">ciśnieniu </w:t>
      </w:r>
      <w:r w:rsidR="006E2831" w:rsidRPr="00223D99">
        <w:rPr>
          <w:rFonts w:ascii="Lato" w:hAnsi="Lato"/>
        </w:rPr>
        <w:t>MOP 8,4MPa, obecnie gazociągi te stanowią 20% długości całego systemu</w:t>
      </w:r>
      <w:r w:rsidR="0011070D" w:rsidRPr="00223D99">
        <w:rPr>
          <w:rFonts w:ascii="Lato" w:hAnsi="Lato"/>
        </w:rPr>
        <w:t xml:space="preserve"> przesyłowego</w:t>
      </w:r>
      <w:r w:rsidR="722BEDA2" w:rsidRPr="275D2828">
        <w:rPr>
          <w:rFonts w:ascii="Lato" w:hAnsi="Lato"/>
        </w:rPr>
        <w:t xml:space="preserve">, podczas </w:t>
      </w:r>
      <w:r w:rsidR="722BEDA2" w:rsidRPr="1A87F36C">
        <w:rPr>
          <w:rFonts w:ascii="Lato" w:hAnsi="Lato"/>
        </w:rPr>
        <w:t>gdy</w:t>
      </w:r>
      <w:r w:rsidR="0011070D" w:rsidRPr="00223D99">
        <w:rPr>
          <w:rFonts w:ascii="Lato" w:hAnsi="Lato"/>
        </w:rPr>
        <w:t xml:space="preserve"> w 2009 r.</w:t>
      </w:r>
      <w:r w:rsidR="23328EBC" w:rsidRPr="36E96012">
        <w:rPr>
          <w:rFonts w:ascii="Lato" w:hAnsi="Lato"/>
        </w:rPr>
        <w:t xml:space="preserve"> </w:t>
      </w:r>
      <w:r w:rsidR="23328EBC" w:rsidRPr="013061BB">
        <w:rPr>
          <w:rFonts w:ascii="Lato" w:hAnsi="Lato"/>
        </w:rPr>
        <w:t>było to</w:t>
      </w:r>
      <w:r w:rsidR="23328EBC" w:rsidRPr="36E96012">
        <w:rPr>
          <w:rFonts w:ascii="Lato" w:hAnsi="Lato"/>
        </w:rPr>
        <w:t xml:space="preserve"> </w:t>
      </w:r>
      <w:r w:rsidR="23328EBC" w:rsidRPr="1D87E69F">
        <w:rPr>
          <w:rFonts w:ascii="Lato" w:hAnsi="Lato"/>
        </w:rPr>
        <w:t>niecałe 5</w:t>
      </w:r>
      <w:r w:rsidR="23328EBC" w:rsidRPr="086796A5">
        <w:rPr>
          <w:rFonts w:ascii="Lato" w:hAnsi="Lato"/>
        </w:rPr>
        <w:t>%</w:t>
      </w:r>
      <w:r w:rsidR="007D2566">
        <w:rPr>
          <w:rFonts w:ascii="Lato" w:hAnsi="Lato"/>
        </w:rPr>
        <w:t>.</w:t>
      </w:r>
    </w:p>
    <w:p w14:paraId="78439F95" w14:textId="05C0F471" w:rsidR="00FB1BA4" w:rsidRDefault="00FB1BA4">
      <w:pPr>
        <w:spacing w:line="259" w:lineRule="auto"/>
        <w:jc w:val="left"/>
        <w:rPr>
          <w:rFonts w:ascii="Lato" w:eastAsia="Malgun Gothic" w:hAnsi="Lato" w:cs="Times New Roman"/>
          <w:color w:val="000000" w:themeColor="text1"/>
          <w:szCs w:val="24"/>
        </w:rPr>
      </w:pPr>
      <w:r>
        <w:rPr>
          <w:rFonts w:ascii="Lato" w:eastAsia="Malgun Gothic" w:hAnsi="Lato"/>
        </w:rPr>
        <w:br w:type="page"/>
      </w:r>
    </w:p>
    <w:p w14:paraId="09623E32" w14:textId="77777777" w:rsidR="00CE72DC" w:rsidRDefault="00CE72DC" w:rsidP="00CE63C5">
      <w:pPr>
        <w:pStyle w:val="Tekstzwyky"/>
        <w:rPr>
          <w:rFonts w:ascii="Lato" w:eastAsia="Malgun Gothic" w:hAnsi="Lato"/>
        </w:rPr>
        <w:sectPr w:rsidR="00CE72DC" w:rsidSect="00631250">
          <w:headerReference w:type="default" r:id="rId10"/>
          <w:footerReference w:type="default" r:id="rId11"/>
          <w:headerReference w:type="first" r:id="rId12"/>
          <w:footerReference w:type="first" r:id="rId13"/>
          <w:pgSz w:w="11906" w:h="16838" w:code="9"/>
          <w:pgMar w:top="1418" w:right="1418" w:bottom="1276" w:left="1276" w:header="709" w:footer="709" w:gutter="0"/>
          <w:cols w:space="708"/>
          <w:titlePg/>
          <w:docGrid w:linePitch="360"/>
        </w:sectPr>
      </w:pPr>
    </w:p>
    <w:p w14:paraId="3EFDB83A" w14:textId="2DD073A1" w:rsidR="00CE72DC" w:rsidRDefault="00FB1BA4" w:rsidP="00983C18">
      <w:pPr>
        <w:pStyle w:val="StandardowyTekst"/>
        <w:spacing w:before="240" w:after="60" w:line="276" w:lineRule="auto"/>
        <w:rPr>
          <w:rFonts w:ascii="Lato" w:eastAsia="Malgun Gothic" w:hAnsi="Lato"/>
          <w:sz w:val="20"/>
        </w:rPr>
        <w:sectPr w:rsidR="00CE72DC" w:rsidSect="00CE72DC">
          <w:headerReference w:type="first" r:id="rId14"/>
          <w:footerReference w:type="first" r:id="rId15"/>
          <w:type w:val="continuous"/>
          <w:pgSz w:w="11906" w:h="16838" w:code="9"/>
          <w:pgMar w:top="1418" w:right="1418" w:bottom="1418" w:left="1276" w:header="709" w:footer="709" w:gutter="0"/>
          <w:cols w:space="708"/>
          <w:docGrid w:linePitch="360"/>
        </w:sectPr>
      </w:pPr>
      <w:r w:rsidRPr="00C758B1">
        <w:rPr>
          <w:rFonts w:ascii="Lato" w:hAnsi="Lato"/>
          <w:noProof/>
          <w:sz w:val="20"/>
        </w:rPr>
        <w:lastRenderedPageBreak/>
        <mc:AlternateContent>
          <mc:Choice Requires="wps">
            <w:drawing>
              <wp:anchor distT="0" distB="0" distL="114300" distR="114300" simplePos="0" relativeHeight="251658243" behindDoc="0" locked="0" layoutInCell="1" allowOverlap="1" wp14:anchorId="4101C368" wp14:editId="59D760C7">
                <wp:simplePos x="0" y="0"/>
                <wp:positionH relativeFrom="margin">
                  <wp:posOffset>3233230</wp:posOffset>
                </wp:positionH>
                <wp:positionV relativeFrom="paragraph">
                  <wp:posOffset>110509</wp:posOffset>
                </wp:positionV>
                <wp:extent cx="2700020" cy="371475"/>
                <wp:effectExtent l="0" t="0" r="5080" b="9525"/>
                <wp:wrapTopAndBottom/>
                <wp:docPr id="413419871" name="Pole tekstowe 413419871"/>
                <wp:cNvGraphicFramePr/>
                <a:graphic xmlns:a="http://schemas.openxmlformats.org/drawingml/2006/main">
                  <a:graphicData uri="http://schemas.microsoft.com/office/word/2010/wordprocessingShape">
                    <wps:wsp>
                      <wps:cNvSpPr txBox="1"/>
                      <wps:spPr>
                        <a:xfrm>
                          <a:off x="0" y="0"/>
                          <a:ext cx="2700020" cy="371475"/>
                        </a:xfrm>
                        <a:prstGeom prst="rect">
                          <a:avLst/>
                        </a:prstGeom>
                        <a:solidFill>
                          <a:prstClr val="white"/>
                        </a:solidFill>
                        <a:ln>
                          <a:noFill/>
                        </a:ln>
                      </wps:spPr>
                      <wps:txbx>
                        <w:txbxContent>
                          <w:p w14:paraId="5BD4BCD7" w14:textId="44FD3D64" w:rsidR="006E2831" w:rsidRPr="00223D99" w:rsidRDefault="006E2831" w:rsidP="006E2831">
                            <w:pPr>
                              <w:pStyle w:val="Legenda"/>
                              <w:jc w:val="both"/>
                              <w:rPr>
                                <w:rFonts w:ascii="Lato" w:eastAsia="Malgun Gothic" w:hAnsi="Lato"/>
                                <w:sz w:val="22"/>
                                <w:szCs w:val="22"/>
                              </w:rPr>
                            </w:pPr>
                            <w:r w:rsidRPr="00223D99">
                              <w:rPr>
                                <w:rFonts w:ascii="Lato" w:eastAsia="Malgun Gothic" w:hAnsi="Lato"/>
                                <w:sz w:val="22"/>
                                <w:szCs w:val="22"/>
                              </w:rPr>
                              <w:t xml:space="preserve">Rysunek </w:t>
                            </w:r>
                            <w:r w:rsidR="001B1D8F">
                              <w:rPr>
                                <w:rFonts w:ascii="Lato" w:eastAsia="Malgun Gothic" w:hAnsi="Lato"/>
                                <w:sz w:val="22"/>
                                <w:szCs w:val="22"/>
                              </w:rPr>
                              <w:t>4</w:t>
                            </w:r>
                            <w:r w:rsidRPr="00223D99">
                              <w:rPr>
                                <w:rFonts w:ascii="Lato" w:eastAsia="Malgun Gothic" w:hAnsi="Lato"/>
                                <w:sz w:val="22"/>
                                <w:szCs w:val="22"/>
                              </w:rPr>
                              <w:t>. Gazociągi wysokiego ciśnienia wg. kategorii ciśnień w 2022 r. [MPa]</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type w14:anchorId="4101C368" id="_x0000_t202" coordsize="21600,21600" o:spt="202" path="m,l,21600r21600,l21600,xe">
                <v:stroke joinstyle="miter"/>
                <v:path gradientshapeok="t" o:connecttype="rect"/>
              </v:shapetype>
              <v:shape id="Pole tekstowe 413419871" o:spid="_x0000_s1026" type="#_x0000_t202" style="position:absolute;left:0;text-align:left;margin-left:254.6pt;margin-top:8.7pt;width:212.6pt;height:29.2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" stroked="f">
                <v:textbox inset="0,0,0,0">
                  <w:txbxContent>
                    <w:p w14:paraId="5BD4BCD7" w14:textId="44FD3D64" w:rsidR="006E2831" w:rsidRPr="00223D99" w:rsidRDefault="006E2831" w:rsidP="006E2831">
                      <w:pPr>
                        <w:pStyle w:val="Legenda"/>
                        <w:jc w:val="both"/>
                        <w:rPr>
                          <w:rFonts w:ascii="Lato" w:eastAsia="Malgun Gothic" w:hAnsi="Lato"/>
                          <w:sz w:val="22"/>
                          <w:szCs w:val="22"/>
                        </w:rPr>
                      </w:pPr>
                      <w:r w:rsidRPr="00223D99">
                        <w:rPr>
                          <w:rFonts w:ascii="Lato" w:eastAsia="Malgun Gothic" w:hAnsi="Lato"/>
                          <w:sz w:val="22"/>
                          <w:szCs w:val="22"/>
                        </w:rPr>
                        <w:t xml:space="preserve">Rysunek </w:t>
                      </w:r>
                      <w:r w:rsidR="001B1D8F">
                        <w:rPr>
                          <w:rFonts w:ascii="Lato" w:eastAsia="Malgun Gothic" w:hAnsi="Lato"/>
                          <w:sz w:val="22"/>
                          <w:szCs w:val="22"/>
                        </w:rPr>
                        <w:t>4</w:t>
                      </w:r>
                      <w:r w:rsidRPr="00223D99">
                        <w:rPr>
                          <w:rFonts w:ascii="Lato" w:eastAsia="Malgun Gothic" w:hAnsi="Lato"/>
                          <w:sz w:val="22"/>
                          <w:szCs w:val="22"/>
                        </w:rPr>
                        <w:t>. Gazociągi wysokiego ciśnienia wg. kategorii ciśnień w 2022 r. [MPa]</w:t>
                      </w:r>
                    </w:p>
                  </w:txbxContent>
                </v:textbox>
                <w10:wrap type="topAndBottom" anchorx="margin"/>
              </v:shape>
            </w:pict>
          </mc:Fallback>
        </mc:AlternateContent>
      </w:r>
      <w:r w:rsidRPr="00C758B1">
        <w:rPr>
          <w:rFonts w:ascii="Lato" w:hAnsi="Lato"/>
          <w:noProof/>
          <w:sz w:val="20"/>
        </w:rPr>
        <w:drawing>
          <wp:anchor distT="0" distB="0" distL="114300" distR="114300" simplePos="0" relativeHeight="251658245" behindDoc="1" locked="0" layoutInCell="1" allowOverlap="1" wp14:anchorId="7A25C929" wp14:editId="4E9797AA">
            <wp:simplePos x="0" y="0"/>
            <wp:positionH relativeFrom="margin">
              <wp:posOffset>3049270</wp:posOffset>
            </wp:positionH>
            <wp:positionV relativeFrom="page">
              <wp:posOffset>1528445</wp:posOffset>
            </wp:positionV>
            <wp:extent cx="3060700" cy="3188335"/>
            <wp:effectExtent l="0" t="0" r="6350" b="0"/>
            <wp:wrapSquare wrapText="bothSides"/>
            <wp:docPr id="109" name="Wykres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Pr="00C758B1">
        <w:rPr>
          <w:rFonts w:ascii="Lato" w:hAnsi="Lato"/>
          <w:noProof/>
          <w:sz w:val="20"/>
        </w:rPr>
        <mc:AlternateContent>
          <mc:Choice Requires="wps">
            <w:drawing>
              <wp:anchor distT="0" distB="0" distL="114300" distR="114300" simplePos="0" relativeHeight="251658242" behindDoc="0" locked="0" layoutInCell="1" allowOverlap="1" wp14:anchorId="1A48CBF9" wp14:editId="3FA47A79">
                <wp:simplePos x="0" y="0"/>
                <wp:positionH relativeFrom="margin">
                  <wp:posOffset>-61415</wp:posOffset>
                </wp:positionH>
                <wp:positionV relativeFrom="paragraph">
                  <wp:posOffset>101637</wp:posOffset>
                </wp:positionV>
                <wp:extent cx="2700020" cy="361950"/>
                <wp:effectExtent l="0" t="0" r="5080" b="0"/>
                <wp:wrapTopAndBottom/>
                <wp:docPr id="413419872" name="Pole tekstowe 413419872"/>
                <wp:cNvGraphicFramePr/>
                <a:graphic xmlns:a="http://schemas.openxmlformats.org/drawingml/2006/main">
                  <a:graphicData uri="http://schemas.microsoft.com/office/word/2010/wordprocessingShape">
                    <wps:wsp>
                      <wps:cNvSpPr txBox="1"/>
                      <wps:spPr>
                        <a:xfrm>
                          <a:off x="0" y="0"/>
                          <a:ext cx="2700020" cy="361950"/>
                        </a:xfrm>
                        <a:prstGeom prst="rect">
                          <a:avLst/>
                        </a:prstGeom>
                        <a:solidFill>
                          <a:prstClr val="white"/>
                        </a:solidFill>
                        <a:ln>
                          <a:noFill/>
                        </a:ln>
                      </wps:spPr>
                      <wps:txbx>
                        <w:txbxContent>
                          <w:p w14:paraId="04D4AAAE" w14:textId="42290323" w:rsidR="006E2831" w:rsidRPr="00223D99" w:rsidRDefault="006E2831" w:rsidP="006E2831">
                            <w:pPr>
                              <w:pStyle w:val="Legenda"/>
                              <w:jc w:val="both"/>
                              <w:rPr>
                                <w:rFonts w:ascii="Lato" w:eastAsia="Malgun Gothic" w:hAnsi="Lato"/>
                                <w:sz w:val="22"/>
                                <w:szCs w:val="22"/>
                              </w:rPr>
                            </w:pPr>
                            <w:r w:rsidRPr="00223D99">
                              <w:rPr>
                                <w:rFonts w:ascii="Lato" w:eastAsia="Malgun Gothic" w:hAnsi="Lato"/>
                                <w:sz w:val="22"/>
                                <w:szCs w:val="22"/>
                              </w:rPr>
                              <w:t xml:space="preserve">Rysunek </w:t>
                            </w:r>
                            <w:r w:rsidR="001B1D8F">
                              <w:rPr>
                                <w:rFonts w:ascii="Lato" w:eastAsia="Malgun Gothic" w:hAnsi="Lato"/>
                                <w:sz w:val="22"/>
                                <w:szCs w:val="22"/>
                              </w:rPr>
                              <w:t>3</w:t>
                            </w:r>
                            <w:r w:rsidRPr="00223D99">
                              <w:rPr>
                                <w:rFonts w:ascii="Lato" w:eastAsia="Malgun Gothic" w:hAnsi="Lato"/>
                                <w:sz w:val="22"/>
                                <w:szCs w:val="22"/>
                              </w:rPr>
                              <w:t>. Gazociągi wysokiego ciśnienia wg. kategorii średnic w 2022 r. [mm]</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w14:anchorId="1A48CBF9" id="Pole tekstowe 413419872" o:spid="_x0000_s1027" type="#_x0000_t202" style="position:absolute;left:0;text-align:left;margin-left:-4.85pt;margin-top:8pt;width:212.6pt;height:28.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" stroked="f">
                <v:textbox inset="0,0,0,0">
                  <w:txbxContent>
                    <w:p w14:paraId="04D4AAAE" w14:textId="42290323" w:rsidR="006E2831" w:rsidRPr="00223D99" w:rsidRDefault="006E2831" w:rsidP="006E2831">
                      <w:pPr>
                        <w:pStyle w:val="Legenda"/>
                        <w:jc w:val="both"/>
                        <w:rPr>
                          <w:rFonts w:ascii="Lato" w:eastAsia="Malgun Gothic" w:hAnsi="Lato"/>
                          <w:sz w:val="22"/>
                          <w:szCs w:val="22"/>
                        </w:rPr>
                      </w:pPr>
                      <w:r w:rsidRPr="00223D99">
                        <w:rPr>
                          <w:rFonts w:ascii="Lato" w:eastAsia="Malgun Gothic" w:hAnsi="Lato"/>
                          <w:sz w:val="22"/>
                          <w:szCs w:val="22"/>
                        </w:rPr>
                        <w:t xml:space="preserve">Rysunek </w:t>
                      </w:r>
                      <w:r w:rsidR="001B1D8F">
                        <w:rPr>
                          <w:rFonts w:ascii="Lato" w:eastAsia="Malgun Gothic" w:hAnsi="Lato"/>
                          <w:sz w:val="22"/>
                          <w:szCs w:val="22"/>
                        </w:rPr>
                        <w:t>3</w:t>
                      </w:r>
                      <w:r w:rsidRPr="00223D99">
                        <w:rPr>
                          <w:rFonts w:ascii="Lato" w:eastAsia="Malgun Gothic" w:hAnsi="Lato"/>
                          <w:sz w:val="22"/>
                          <w:szCs w:val="22"/>
                        </w:rPr>
                        <w:t>. Gazociągi wysokiego ciśnienia wg. kategorii średnic w 2022 r. [mm]</w:t>
                      </w:r>
                    </w:p>
                  </w:txbxContent>
                </v:textbox>
                <w10:wrap type="topAndBottom" anchorx="margin"/>
              </v:shape>
            </w:pict>
          </mc:Fallback>
        </mc:AlternateContent>
      </w:r>
    </w:p>
    <w:p w14:paraId="5C0AE5D3" w14:textId="02A18802" w:rsidR="00CE72DC" w:rsidRDefault="000A7C68" w:rsidP="00983C18">
      <w:pPr>
        <w:pStyle w:val="StandardowyTekst"/>
        <w:spacing w:before="240" w:after="60" w:line="276" w:lineRule="auto"/>
        <w:rPr>
          <w:rFonts w:ascii="Lato" w:eastAsia="Malgun Gothic" w:hAnsi="Lato"/>
          <w:sz w:val="20"/>
        </w:rPr>
        <w:sectPr w:rsidR="00CE72DC" w:rsidSect="00CE72DC">
          <w:headerReference w:type="first" r:id="rId17"/>
          <w:footerReference w:type="first" r:id="rId18"/>
          <w:type w:val="continuous"/>
          <w:pgSz w:w="11906" w:h="16838" w:code="9"/>
          <w:pgMar w:top="1418" w:right="1418" w:bottom="1418" w:left="1276" w:header="709" w:footer="709" w:gutter="0"/>
          <w:cols w:space="708"/>
          <w:docGrid w:linePitch="360"/>
        </w:sectPr>
      </w:pPr>
      <w:r w:rsidRPr="00C758B1">
        <w:rPr>
          <w:rFonts w:ascii="Lato" w:hAnsi="Lato"/>
          <w:noProof/>
          <w:sz w:val="20"/>
        </w:rPr>
        <w:drawing>
          <wp:anchor distT="0" distB="0" distL="114300" distR="114300" simplePos="0" relativeHeight="251658248" behindDoc="1" locked="0" layoutInCell="1" allowOverlap="1" wp14:anchorId="687E3B6B" wp14:editId="6239E48D">
            <wp:simplePos x="0" y="0"/>
            <wp:positionH relativeFrom="column">
              <wp:posOffset>-285722</wp:posOffset>
            </wp:positionH>
            <wp:positionV relativeFrom="paragraph">
              <wp:posOffset>188512</wp:posOffset>
            </wp:positionV>
            <wp:extent cx="3259455" cy="3156585"/>
            <wp:effectExtent l="0" t="0" r="0" b="5715"/>
            <wp:wrapTight wrapText="bothSides">
              <wp:wrapPolygon edited="0">
                <wp:start x="0" y="0"/>
                <wp:lineTo x="0" y="21509"/>
                <wp:lineTo x="21461" y="21509"/>
                <wp:lineTo x="21461" y="0"/>
                <wp:lineTo x="0" y="0"/>
              </wp:wrapPolygon>
            </wp:wrapTight>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5AC4F8FD" w14:textId="00BAA767" w:rsidR="0067393E" w:rsidRPr="0067393E" w:rsidRDefault="0067393E" w:rsidP="0067393E">
      <w:pPr>
        <w:tabs>
          <w:tab w:val="left" w:pos="10440"/>
        </w:tabs>
        <w:spacing w:line="276" w:lineRule="auto"/>
        <w:ind w:right="23"/>
        <w:rPr>
          <w:rFonts w:ascii="Lato" w:eastAsia="Malgun Gothic" w:hAnsi="Lato"/>
          <w:i/>
          <w:sz w:val="20"/>
          <w:szCs w:val="20"/>
        </w:rPr>
        <w:sectPr w:rsidR="0067393E" w:rsidRPr="0067393E" w:rsidSect="00CE72DC">
          <w:headerReference w:type="first" r:id="rId20"/>
          <w:footerReference w:type="first" r:id="rId21"/>
          <w:type w:val="continuous"/>
          <w:pgSz w:w="11906" w:h="16838" w:code="9"/>
          <w:pgMar w:top="1418" w:right="1418" w:bottom="1418" w:left="1276" w:header="709" w:footer="709" w:gutter="0"/>
          <w:cols w:space="708"/>
          <w:docGrid w:linePitch="360"/>
        </w:sectPr>
      </w:pPr>
      <w:r w:rsidRPr="006E0158">
        <w:rPr>
          <w:rFonts w:ascii="Lato" w:eastAsia="Malgun Gothic" w:hAnsi="Lato" w:cs="Calibri"/>
          <w:i/>
          <w:sz w:val="20"/>
          <w:szCs w:val="20"/>
        </w:rPr>
        <w:t>Ź</w:t>
      </w:r>
      <w:r w:rsidRPr="006E0158">
        <w:rPr>
          <w:rFonts w:ascii="Lato" w:eastAsia="Malgun Gothic" w:hAnsi="Lato"/>
          <w:i/>
          <w:sz w:val="20"/>
          <w:szCs w:val="20"/>
        </w:rPr>
        <w:t>r</w:t>
      </w:r>
      <w:r w:rsidRPr="006E0158">
        <w:rPr>
          <w:rFonts w:ascii="Lato" w:eastAsia="Malgun Gothic" w:hAnsi="Lato" w:cs="Malgun Gothic"/>
          <w:i/>
          <w:sz w:val="20"/>
          <w:szCs w:val="20"/>
        </w:rPr>
        <w:t>ó</w:t>
      </w:r>
      <w:r w:rsidRPr="006E0158">
        <w:rPr>
          <w:rFonts w:ascii="Lato" w:eastAsia="Malgun Gothic" w:hAnsi="Lato"/>
          <w:i/>
          <w:sz w:val="20"/>
          <w:szCs w:val="20"/>
        </w:rPr>
        <w:t>d</w:t>
      </w:r>
      <w:r w:rsidRPr="006E0158">
        <w:rPr>
          <w:rFonts w:ascii="Lato" w:eastAsia="Malgun Gothic" w:hAnsi="Lato" w:cs="Malgun Gothic"/>
          <w:i/>
          <w:sz w:val="20"/>
          <w:szCs w:val="20"/>
        </w:rPr>
        <w:t>ł</w:t>
      </w:r>
      <w:r w:rsidRPr="006E0158">
        <w:rPr>
          <w:rFonts w:ascii="Lato" w:eastAsia="Malgun Gothic" w:hAnsi="Lato"/>
          <w:i/>
          <w:sz w:val="20"/>
          <w:szCs w:val="20"/>
        </w:rPr>
        <w:t>o: OGP GAZ-SYSTEM S.</w:t>
      </w:r>
      <w:r>
        <w:rPr>
          <w:rFonts w:ascii="Lato" w:eastAsia="Malgun Gothic" w:hAnsi="Lato"/>
          <w:i/>
          <w:sz w:val="20"/>
          <w:szCs w:val="20"/>
        </w:rPr>
        <w:t>A.</w:t>
      </w:r>
    </w:p>
    <w:p w14:paraId="291FB089" w14:textId="3E7CB972" w:rsidR="00CE72DC" w:rsidRDefault="00CE72DC" w:rsidP="00983C18">
      <w:pPr>
        <w:pStyle w:val="StandardowyTekst"/>
        <w:spacing w:before="240" w:after="60" w:line="276" w:lineRule="auto"/>
        <w:rPr>
          <w:rFonts w:ascii="Lato" w:eastAsia="Malgun Gothic" w:hAnsi="Lato"/>
          <w:sz w:val="20"/>
        </w:rPr>
        <w:sectPr w:rsidR="00CE72DC" w:rsidSect="00CE72DC">
          <w:headerReference w:type="first" r:id="rId22"/>
          <w:footerReference w:type="first" r:id="rId23"/>
          <w:type w:val="continuous"/>
          <w:pgSz w:w="11906" w:h="16838" w:code="9"/>
          <w:pgMar w:top="1418" w:right="1418" w:bottom="1418" w:left="1276" w:header="709" w:footer="709" w:gutter="0"/>
          <w:cols w:space="708"/>
          <w:docGrid w:linePitch="360"/>
        </w:sectPr>
      </w:pPr>
    </w:p>
    <w:p w14:paraId="68D69C80" w14:textId="566ED565" w:rsidR="00080801" w:rsidRPr="00CE72DC" w:rsidRDefault="006E2831" w:rsidP="0067393E">
      <w:pPr>
        <w:spacing w:after="60" w:line="276" w:lineRule="auto"/>
        <w:ind w:firstLine="567"/>
        <w:rPr>
          <w:rFonts w:ascii="Lato" w:eastAsia="Malgun Gothic" w:hAnsi="Lato"/>
          <w:szCs w:val="24"/>
        </w:rPr>
      </w:pPr>
      <w:r w:rsidRPr="00CE72DC">
        <w:rPr>
          <w:rFonts w:ascii="Lato" w:eastAsia="Malgun Gothic" w:hAnsi="Lato"/>
          <w:szCs w:val="24"/>
        </w:rPr>
        <w:t>Pomimo budowy nowej infrastruktury</w:t>
      </w:r>
      <w:r w:rsidR="51E414E8" w:rsidRPr="7114FE6D">
        <w:rPr>
          <w:rFonts w:ascii="Lato" w:eastAsia="Malgun Gothic" w:hAnsi="Lato"/>
        </w:rPr>
        <w:t>,</w:t>
      </w:r>
      <w:r w:rsidRPr="00CE72DC">
        <w:rPr>
          <w:rFonts w:ascii="Lato" w:eastAsia="Malgun Gothic" w:hAnsi="Lato"/>
          <w:szCs w:val="24"/>
        </w:rPr>
        <w:t xml:space="preserve"> w dalszy</w:t>
      </w:r>
      <w:r w:rsidR="00223D99">
        <w:rPr>
          <w:rFonts w:ascii="Lato" w:eastAsia="Malgun Gothic" w:hAnsi="Lato"/>
          <w:szCs w:val="24"/>
        </w:rPr>
        <w:t>m</w:t>
      </w:r>
      <w:r w:rsidR="00080801" w:rsidRPr="00080801">
        <w:rPr>
          <w:rFonts w:ascii="Lato" w:eastAsia="Malgun Gothic" w:hAnsi="Lato"/>
          <w:szCs w:val="24"/>
        </w:rPr>
        <w:t xml:space="preserve"> </w:t>
      </w:r>
      <w:r w:rsidR="00080801" w:rsidRPr="00CE72DC">
        <w:rPr>
          <w:rFonts w:ascii="Lato" w:eastAsia="Malgun Gothic" w:hAnsi="Lato"/>
          <w:szCs w:val="24"/>
        </w:rPr>
        <w:t>ciągu zdecydowana większość gazociągów znajduje się w kategorii wiekowej powyżej 20 lat, z czego gazociągi ponad 40-letnie stanowią ok. 41% długości wszystkich gazociągów.</w:t>
      </w:r>
    </w:p>
    <w:p w14:paraId="18A21167" w14:textId="293E640B" w:rsidR="00CE72DC" w:rsidRPr="00080801" w:rsidRDefault="00080801" w:rsidP="000A7C68">
      <w:pPr>
        <w:spacing w:after="60" w:line="276" w:lineRule="auto"/>
        <w:ind w:firstLine="567"/>
        <w:rPr>
          <w:rFonts w:ascii="Lato" w:hAnsi="Lato"/>
          <w:szCs w:val="24"/>
        </w:rPr>
        <w:sectPr w:rsidR="00CE72DC" w:rsidRPr="00080801" w:rsidSect="00CE72DC">
          <w:headerReference w:type="even" r:id="rId24"/>
          <w:headerReference w:type="default" r:id="rId25"/>
          <w:footerReference w:type="even" r:id="rId26"/>
          <w:footerReference w:type="default" r:id="rId27"/>
          <w:headerReference w:type="first" r:id="rId28"/>
          <w:footerReference w:type="first" r:id="rId29"/>
          <w:type w:val="continuous"/>
          <w:pgSz w:w="11906" w:h="16838"/>
          <w:pgMar w:top="1417" w:right="1417" w:bottom="1417" w:left="1417" w:header="708" w:footer="708" w:gutter="0"/>
          <w:cols w:space="708"/>
          <w:docGrid w:linePitch="360"/>
        </w:sectPr>
      </w:pPr>
      <w:r w:rsidRPr="00CE72DC">
        <w:rPr>
          <w:rFonts w:ascii="Lato" w:eastAsia="Malgun Gothic" w:hAnsi="Lato"/>
          <w:szCs w:val="24"/>
        </w:rPr>
        <w:t>Ze względu na wiek systemu przesyłowego, planowane działania inwestycyjne uwzględniają także zadania modernizacyjno-odtworzeniowe w celu poprawy bezpieczeństwa eksploatowanej infrastruktury przesyłowej i zapewnienia ciągłości dostaw do istniejących odbiorcó</w:t>
      </w:r>
      <w:r w:rsidR="00223D99">
        <w:rPr>
          <w:rFonts w:ascii="Lato" w:eastAsia="Malgun Gothic" w:hAnsi="Lato"/>
          <w:szCs w:val="24"/>
        </w:rPr>
        <w:t>w.</w:t>
      </w:r>
    </w:p>
    <w:p w14:paraId="2740196E" w14:textId="4EFCF468" w:rsidR="00223D99" w:rsidRPr="00CE72DC" w:rsidRDefault="00FB1BA4" w:rsidP="165C9830">
      <w:pPr>
        <w:spacing w:after="60" w:line="276" w:lineRule="auto"/>
        <w:ind w:firstLine="567"/>
        <w:rPr>
          <w:rFonts w:ascii="Lato" w:eastAsia="Malgun Gothic" w:hAnsi="Lato"/>
        </w:rPr>
      </w:pPr>
      <w:r w:rsidRPr="00C758B1">
        <w:rPr>
          <w:rFonts w:ascii="Lato" w:hAnsi="Lato"/>
          <w:noProof/>
          <w:sz w:val="20"/>
          <w:szCs w:val="20"/>
        </w:rPr>
        <w:lastRenderedPageBreak/>
        <w:drawing>
          <wp:anchor distT="0" distB="0" distL="114300" distR="114300" simplePos="0" relativeHeight="251658247" behindDoc="1" locked="0" layoutInCell="1" allowOverlap="1" wp14:anchorId="34BD0FCC" wp14:editId="0CA7B92F">
            <wp:simplePos x="0" y="0"/>
            <wp:positionH relativeFrom="column">
              <wp:posOffset>628650</wp:posOffset>
            </wp:positionH>
            <wp:positionV relativeFrom="paragraph">
              <wp:posOffset>1454785</wp:posOffset>
            </wp:positionV>
            <wp:extent cx="4309110" cy="2893060"/>
            <wp:effectExtent l="0" t="0" r="0" b="2540"/>
            <wp:wrapTopAndBottom/>
            <wp:docPr id="111" name="Wykres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0A7C68" w:rsidRPr="00C758B1">
        <w:rPr>
          <w:rFonts w:ascii="Lato" w:hAnsi="Lato"/>
          <w:noProof/>
          <w:sz w:val="20"/>
          <w:szCs w:val="20"/>
        </w:rPr>
        <mc:AlternateContent>
          <mc:Choice Requires="wps">
            <w:drawing>
              <wp:anchor distT="0" distB="0" distL="114300" distR="114300" simplePos="0" relativeHeight="251658241" behindDoc="0" locked="0" layoutInCell="1" allowOverlap="1" wp14:anchorId="17D313AB" wp14:editId="65BAAF82">
                <wp:simplePos x="0" y="0"/>
                <wp:positionH relativeFrom="margin">
                  <wp:align>left</wp:align>
                </wp:positionH>
                <wp:positionV relativeFrom="paragraph">
                  <wp:posOffset>999379</wp:posOffset>
                </wp:positionV>
                <wp:extent cx="6103620" cy="527050"/>
                <wp:effectExtent l="0" t="0" r="0" b="6350"/>
                <wp:wrapTopAndBottom/>
                <wp:docPr id="413419870" name="Pole tekstowe 413419870"/>
                <wp:cNvGraphicFramePr/>
                <a:graphic xmlns:a="http://schemas.openxmlformats.org/drawingml/2006/main">
                  <a:graphicData uri="http://schemas.microsoft.com/office/word/2010/wordprocessingShape">
                    <wps:wsp>
                      <wps:cNvSpPr txBox="1"/>
                      <wps:spPr>
                        <a:xfrm>
                          <a:off x="0" y="0"/>
                          <a:ext cx="6103620" cy="527050"/>
                        </a:xfrm>
                        <a:prstGeom prst="rect">
                          <a:avLst/>
                        </a:prstGeom>
                        <a:solidFill>
                          <a:prstClr val="white"/>
                        </a:solidFill>
                        <a:ln>
                          <a:noFill/>
                        </a:ln>
                      </wps:spPr>
                      <wps:txbx>
                        <w:txbxContent>
                          <w:p w14:paraId="1BCC71D7" w14:textId="3A6A3F70" w:rsidR="006E2831" w:rsidRPr="006E0158" w:rsidRDefault="006E2831" w:rsidP="006E2831">
                            <w:pPr>
                              <w:spacing w:before="120" w:after="120"/>
                              <w:rPr>
                                <w:rFonts w:ascii="Lato" w:eastAsia="Malgun Gothic" w:hAnsi="Lato"/>
                                <w:b/>
                                <w:bCs/>
                                <w:szCs w:val="24"/>
                              </w:rPr>
                            </w:pPr>
                            <w:r w:rsidRPr="006E0158">
                              <w:rPr>
                                <w:rFonts w:ascii="Lato" w:eastAsia="Malgun Gothic" w:hAnsi="Lato"/>
                                <w:b/>
                                <w:bCs/>
                                <w:szCs w:val="24"/>
                              </w:rPr>
                              <w:t xml:space="preserve">Rysunek </w:t>
                            </w:r>
                            <w:r w:rsidR="001B1D8F">
                              <w:rPr>
                                <w:rFonts w:ascii="Lato" w:eastAsia="Malgun Gothic" w:hAnsi="Lato"/>
                                <w:b/>
                                <w:bCs/>
                                <w:szCs w:val="24"/>
                              </w:rPr>
                              <w:t>5</w:t>
                            </w:r>
                            <w:r w:rsidRPr="006E0158">
                              <w:rPr>
                                <w:rFonts w:ascii="Lato" w:eastAsia="Malgun Gothic" w:hAnsi="Lato"/>
                                <w:b/>
                                <w:bCs/>
                                <w:szCs w:val="24"/>
                              </w:rPr>
                              <w:t>. Struktura wiekowa gazociągów przesyłowych wg stanu na dzień 31.12.2022 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313AB" id="Pole tekstowe 413419870" o:spid="_x0000_s1028" type="#_x0000_t202" style="position:absolute;left:0;text-align:left;margin-left:0;margin-top:78.7pt;width:480.6pt;height:41.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" stroked="f">
                <v:textbox inset="0,0,0,0">
                  <w:txbxContent>
                    <w:p w14:paraId="1BCC71D7" w14:textId="3A6A3F70" w:rsidR="006E2831" w:rsidRPr="006E0158" w:rsidRDefault="006E2831" w:rsidP="006E2831">
                      <w:pPr>
                        <w:spacing w:before="120" w:after="120"/>
                        <w:rPr>
                          <w:rFonts w:ascii="Lato" w:eastAsia="Malgun Gothic" w:hAnsi="Lato"/>
                          <w:b/>
                          <w:bCs/>
                          <w:szCs w:val="24"/>
                        </w:rPr>
                      </w:pPr>
                      <w:r w:rsidRPr="006E0158">
                        <w:rPr>
                          <w:rFonts w:ascii="Lato" w:eastAsia="Malgun Gothic" w:hAnsi="Lato"/>
                          <w:b/>
                          <w:bCs/>
                          <w:szCs w:val="24"/>
                        </w:rPr>
                        <w:t xml:space="preserve">Rysunek </w:t>
                      </w:r>
                      <w:r w:rsidR="001B1D8F">
                        <w:rPr>
                          <w:rFonts w:ascii="Lato" w:eastAsia="Malgun Gothic" w:hAnsi="Lato"/>
                          <w:b/>
                          <w:bCs/>
                          <w:szCs w:val="24"/>
                        </w:rPr>
                        <w:t>5</w:t>
                      </w:r>
                      <w:r w:rsidRPr="006E0158">
                        <w:rPr>
                          <w:rFonts w:ascii="Lato" w:eastAsia="Malgun Gothic" w:hAnsi="Lato"/>
                          <w:b/>
                          <w:bCs/>
                          <w:szCs w:val="24"/>
                        </w:rPr>
                        <w:t>. Struktura wiekowa gazociągów przesyłowych wg stanu na dzień 31.12.2022 r.</w:t>
                      </w:r>
                    </w:p>
                  </w:txbxContent>
                </v:textbox>
                <w10:wrap type="topAndBottom" anchorx="margin"/>
              </v:shape>
            </w:pict>
          </mc:Fallback>
        </mc:AlternateContent>
      </w:r>
      <w:r w:rsidR="006E2831" w:rsidRPr="165C9830">
        <w:rPr>
          <w:rFonts w:ascii="Lato" w:eastAsia="Malgun Gothic" w:hAnsi="Lato"/>
        </w:rPr>
        <w:t xml:space="preserve">Na  </w:t>
      </w:r>
      <w:r w:rsidR="00A72AD6">
        <w:rPr>
          <w:rFonts w:ascii="Lato" w:eastAsia="Malgun Gothic" w:hAnsi="Lato"/>
        </w:rPr>
        <w:t xml:space="preserve">poniższym </w:t>
      </w:r>
      <w:r w:rsidR="006E2831" w:rsidRPr="165C9830">
        <w:rPr>
          <w:rFonts w:ascii="Lato" w:eastAsia="Malgun Gothic" w:hAnsi="Lato"/>
        </w:rPr>
        <w:t xml:space="preserve">wykresie przedstawiono udział procentowy długości gazociągów w pięciu grupach wiekowych, tj. do 10 lat, 11 – 20 lat, 21 – 30 lat, 31 – 40 lat oraz powyżej 40 lat. W okresie 2009-2022 sieć przesyłowa została rozbudowana o ok. 2,6 tys. km nowych gazociągów przesyłowych. </w:t>
      </w:r>
    </w:p>
    <w:p w14:paraId="7DCDA51A" w14:textId="04393640" w:rsidR="006E2831" w:rsidRPr="00C758B1" w:rsidRDefault="006E2831" w:rsidP="00983C18">
      <w:pPr>
        <w:spacing w:before="120" w:line="276" w:lineRule="auto"/>
        <w:ind w:firstLine="567"/>
        <w:jc w:val="center"/>
        <w:rPr>
          <w:rFonts w:ascii="Lato" w:eastAsia="Malgun Gothic" w:hAnsi="Lato" w:cs="Calibri"/>
          <w:i/>
          <w:sz w:val="20"/>
          <w:szCs w:val="20"/>
        </w:rPr>
      </w:pPr>
    </w:p>
    <w:p w14:paraId="3CBC434D" w14:textId="56F6B62B" w:rsidR="00080801" w:rsidRPr="00223D99" w:rsidRDefault="00B5711F" w:rsidP="00983C18">
      <w:pPr>
        <w:spacing w:before="120" w:line="276" w:lineRule="auto"/>
        <w:rPr>
          <w:rFonts w:ascii="Lato" w:eastAsia="Malgun Gothic" w:hAnsi="Lato"/>
          <w:i/>
          <w:sz w:val="20"/>
          <w:szCs w:val="20"/>
        </w:rPr>
      </w:pPr>
      <w:r w:rsidRPr="00C758B1">
        <w:rPr>
          <w:rFonts w:ascii="Lato" w:hAnsi="Lato"/>
          <w:noProof/>
          <w:sz w:val="20"/>
        </w:rPr>
        <mc:AlternateContent>
          <mc:Choice Requires="wps">
            <w:drawing>
              <wp:anchor distT="0" distB="0" distL="114300" distR="114300" simplePos="0" relativeHeight="251658246" behindDoc="0" locked="0" layoutInCell="1" allowOverlap="1" wp14:anchorId="25D21F47" wp14:editId="4D407F5D">
                <wp:simplePos x="0" y="0"/>
                <wp:positionH relativeFrom="margin">
                  <wp:posOffset>63500</wp:posOffset>
                </wp:positionH>
                <wp:positionV relativeFrom="paragraph">
                  <wp:posOffset>292735</wp:posOffset>
                </wp:positionV>
                <wp:extent cx="5762625" cy="371475"/>
                <wp:effectExtent l="0" t="0" r="9525" b="9525"/>
                <wp:wrapTopAndBottom/>
                <wp:docPr id="1" name="Pole tekstowe 1"/>
                <wp:cNvGraphicFramePr/>
                <a:graphic xmlns:a="http://schemas.openxmlformats.org/drawingml/2006/main">
                  <a:graphicData uri="http://schemas.microsoft.com/office/word/2010/wordprocessingShape">
                    <wps:wsp>
                      <wps:cNvSpPr txBox="1"/>
                      <wps:spPr>
                        <a:xfrm>
                          <a:off x="0" y="0"/>
                          <a:ext cx="5762625" cy="371475"/>
                        </a:xfrm>
                        <a:prstGeom prst="rect">
                          <a:avLst/>
                        </a:prstGeom>
                        <a:solidFill>
                          <a:prstClr val="white"/>
                        </a:solidFill>
                        <a:ln>
                          <a:noFill/>
                        </a:ln>
                      </wps:spPr>
                      <wps:txbx>
                        <w:txbxContent>
                          <w:p w14:paraId="72EC2F65" w14:textId="31521998" w:rsidR="00080801" w:rsidRPr="006E0158" w:rsidRDefault="00080801" w:rsidP="00080801">
                            <w:pPr>
                              <w:pStyle w:val="Legenda"/>
                              <w:jc w:val="both"/>
                              <w:rPr>
                                <w:rFonts w:ascii="Lato" w:eastAsia="Malgun Gothic" w:hAnsi="Lato"/>
                                <w:sz w:val="24"/>
                                <w:szCs w:val="24"/>
                              </w:rPr>
                            </w:pPr>
                            <w:r w:rsidRPr="006E0158">
                              <w:rPr>
                                <w:rFonts w:ascii="Lato" w:eastAsia="Malgun Gothic" w:hAnsi="Lato"/>
                                <w:sz w:val="24"/>
                                <w:szCs w:val="24"/>
                              </w:rPr>
                              <w:t xml:space="preserve">Rysunek </w:t>
                            </w:r>
                            <w:r w:rsidR="001B1D8F">
                              <w:rPr>
                                <w:rFonts w:ascii="Lato" w:eastAsia="Malgun Gothic" w:hAnsi="Lato"/>
                                <w:sz w:val="24"/>
                                <w:szCs w:val="24"/>
                              </w:rPr>
                              <w:t>6</w:t>
                            </w:r>
                            <w:r w:rsidRPr="006E0158">
                              <w:rPr>
                                <w:rFonts w:ascii="Lato" w:eastAsia="Malgun Gothic" w:hAnsi="Lato"/>
                                <w:sz w:val="24"/>
                                <w:szCs w:val="24"/>
                              </w:rPr>
                              <w:t>. Gazociągi wysokiego ciśnienia systemu zaazotowanego</w:t>
                            </w:r>
                            <w:r w:rsidR="00DF67CF">
                              <w:rPr>
                                <w:rFonts w:ascii="Lato" w:eastAsia="Malgun Gothic" w:hAnsi="Lato"/>
                                <w:sz w:val="24"/>
                                <w:szCs w:val="24"/>
                              </w:rPr>
                              <w:t xml:space="preserve"> Lw </w:t>
                            </w:r>
                            <w:r w:rsidRPr="006E0158">
                              <w:rPr>
                                <w:rFonts w:ascii="Lato" w:eastAsia="Malgun Gothic" w:hAnsi="Lato"/>
                                <w:sz w:val="24"/>
                                <w:szCs w:val="24"/>
                              </w:rPr>
                              <w:t xml:space="preserve"> wg. kategorii ciśnień w 2022 r. [MPa]</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w14:anchorId="25D21F47" id="Pole tekstowe 1" o:spid="_x0000_s1029" type="#_x0000_t202" style="position:absolute;left:0;text-align:left;margin-left:5pt;margin-top:23.05pt;width:453.75pt;height:29.2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" stroked="f">
                <v:textbox inset="0,0,0,0">
                  <w:txbxContent>
                    <w:p w14:paraId="72EC2F65" w14:textId="31521998" w:rsidR="00080801" w:rsidRPr="006E0158" w:rsidRDefault="00080801" w:rsidP="00080801">
                      <w:pPr>
                        <w:pStyle w:val="Legenda"/>
                        <w:jc w:val="both"/>
                        <w:rPr>
                          <w:rFonts w:ascii="Lato" w:eastAsia="Malgun Gothic" w:hAnsi="Lato"/>
                          <w:sz w:val="24"/>
                          <w:szCs w:val="24"/>
                        </w:rPr>
                      </w:pPr>
                      <w:r w:rsidRPr="006E0158">
                        <w:rPr>
                          <w:rFonts w:ascii="Lato" w:eastAsia="Malgun Gothic" w:hAnsi="Lato"/>
                          <w:sz w:val="24"/>
                          <w:szCs w:val="24"/>
                        </w:rPr>
                        <w:t xml:space="preserve">Rysunek </w:t>
                      </w:r>
                      <w:r w:rsidR="001B1D8F">
                        <w:rPr>
                          <w:rFonts w:ascii="Lato" w:eastAsia="Malgun Gothic" w:hAnsi="Lato"/>
                          <w:sz w:val="24"/>
                          <w:szCs w:val="24"/>
                        </w:rPr>
                        <w:t>6</w:t>
                      </w:r>
                      <w:r w:rsidRPr="006E0158">
                        <w:rPr>
                          <w:rFonts w:ascii="Lato" w:eastAsia="Malgun Gothic" w:hAnsi="Lato"/>
                          <w:sz w:val="24"/>
                          <w:szCs w:val="24"/>
                        </w:rPr>
                        <w:t>. Gazociągi wysokiego ciśnienia systemu zaazotowanego</w:t>
                      </w:r>
                      <w:r w:rsidR="00DF67CF">
                        <w:rPr>
                          <w:rFonts w:ascii="Lato" w:eastAsia="Malgun Gothic" w:hAnsi="Lato"/>
                          <w:sz w:val="24"/>
                          <w:szCs w:val="24"/>
                        </w:rPr>
                        <w:t xml:space="preserve"> Lw </w:t>
                      </w:r>
                      <w:r w:rsidRPr="006E0158">
                        <w:rPr>
                          <w:rFonts w:ascii="Lato" w:eastAsia="Malgun Gothic" w:hAnsi="Lato"/>
                          <w:sz w:val="24"/>
                          <w:szCs w:val="24"/>
                        </w:rPr>
                        <w:t xml:space="preserve"> wg. kategorii ciśnień w 2022 r. [MPa]</w:t>
                      </w:r>
                    </w:p>
                  </w:txbxContent>
                </v:textbox>
                <w10:wrap type="topAndBottom" anchorx="margin"/>
              </v:shape>
            </w:pict>
          </mc:Fallback>
        </mc:AlternateContent>
      </w:r>
      <w:r w:rsidR="006E2831" w:rsidRPr="00223D99">
        <w:rPr>
          <w:rFonts w:ascii="Lato" w:eastAsia="Malgun Gothic" w:hAnsi="Lato" w:cs="Calibri"/>
          <w:i/>
          <w:sz w:val="20"/>
          <w:szCs w:val="20"/>
        </w:rPr>
        <w:t>Ź</w:t>
      </w:r>
      <w:r w:rsidR="006E2831" w:rsidRPr="00223D99">
        <w:rPr>
          <w:rFonts w:ascii="Lato" w:eastAsia="Malgun Gothic" w:hAnsi="Lato"/>
          <w:i/>
          <w:sz w:val="20"/>
          <w:szCs w:val="20"/>
        </w:rPr>
        <w:t>r</w:t>
      </w:r>
      <w:r w:rsidR="006E2831" w:rsidRPr="00223D99">
        <w:rPr>
          <w:rFonts w:ascii="Lato" w:eastAsia="Malgun Gothic" w:hAnsi="Lato" w:cs="Malgun Gothic"/>
          <w:i/>
          <w:sz w:val="20"/>
          <w:szCs w:val="20"/>
        </w:rPr>
        <w:t>ó</w:t>
      </w:r>
      <w:r w:rsidR="006E2831" w:rsidRPr="00223D99">
        <w:rPr>
          <w:rFonts w:ascii="Lato" w:eastAsia="Malgun Gothic" w:hAnsi="Lato"/>
          <w:i/>
          <w:sz w:val="20"/>
          <w:szCs w:val="20"/>
        </w:rPr>
        <w:t>d</w:t>
      </w:r>
      <w:r w:rsidR="006E2831" w:rsidRPr="00223D99">
        <w:rPr>
          <w:rFonts w:ascii="Lato" w:eastAsia="Malgun Gothic" w:hAnsi="Lato" w:cs="Malgun Gothic"/>
          <w:i/>
          <w:sz w:val="20"/>
          <w:szCs w:val="20"/>
        </w:rPr>
        <w:t>ł</w:t>
      </w:r>
      <w:r w:rsidR="006E2831" w:rsidRPr="00223D99">
        <w:rPr>
          <w:rFonts w:ascii="Lato" w:eastAsia="Malgun Gothic" w:hAnsi="Lato"/>
          <w:i/>
          <w:sz w:val="20"/>
          <w:szCs w:val="20"/>
        </w:rPr>
        <w:t xml:space="preserve">o: OGP GAZ-SYSTEM S.A. </w:t>
      </w:r>
    </w:p>
    <w:p w14:paraId="5A5DB239" w14:textId="18C4F4F9" w:rsidR="00B03DBA" w:rsidRPr="00C758B1" w:rsidRDefault="00934713" w:rsidP="00983C18">
      <w:pPr>
        <w:pStyle w:val="Tekstzwyky"/>
        <w:jc w:val="center"/>
        <w:rPr>
          <w:rFonts w:ascii="Lato" w:eastAsia="Malgun Gothic" w:hAnsi="Lato"/>
          <w:i/>
        </w:rPr>
      </w:pPr>
      <w:r w:rsidRPr="00C758B1">
        <w:rPr>
          <w:rFonts w:ascii="Lato" w:eastAsia="Malgun Gothic" w:hAnsi="Lato"/>
          <w:noProof/>
          <w:lang w:eastAsia="pl-PL"/>
        </w:rPr>
        <w:drawing>
          <wp:inline distT="0" distB="0" distL="0" distR="0" wp14:anchorId="20916215" wp14:editId="4D34B7C3">
            <wp:extent cx="4258101" cy="2906974"/>
            <wp:effectExtent l="0" t="0" r="0" b="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AFC7463" w14:textId="2C5C97D1" w:rsidR="004D6A74" w:rsidRPr="006E0158" w:rsidRDefault="004D6A74" w:rsidP="004D6A74">
      <w:pPr>
        <w:tabs>
          <w:tab w:val="left" w:pos="10440"/>
        </w:tabs>
        <w:spacing w:line="276" w:lineRule="auto"/>
        <w:ind w:right="23"/>
        <w:rPr>
          <w:rFonts w:ascii="Lato" w:eastAsia="Malgun Gothic" w:hAnsi="Lato"/>
          <w:i/>
          <w:sz w:val="20"/>
          <w:szCs w:val="20"/>
        </w:rPr>
      </w:pPr>
      <w:r w:rsidRPr="006E0158">
        <w:rPr>
          <w:rFonts w:ascii="Lato" w:eastAsia="Malgun Gothic" w:hAnsi="Lato" w:cs="Calibri"/>
          <w:i/>
          <w:sz w:val="20"/>
          <w:szCs w:val="20"/>
        </w:rPr>
        <w:t>Ź</w:t>
      </w:r>
      <w:r w:rsidRPr="006E0158">
        <w:rPr>
          <w:rFonts w:ascii="Lato" w:eastAsia="Malgun Gothic" w:hAnsi="Lato"/>
          <w:i/>
          <w:sz w:val="20"/>
          <w:szCs w:val="20"/>
        </w:rPr>
        <w:t>r</w:t>
      </w:r>
      <w:r w:rsidRPr="006E0158">
        <w:rPr>
          <w:rFonts w:ascii="Lato" w:eastAsia="Malgun Gothic" w:hAnsi="Lato" w:cs="Malgun Gothic"/>
          <w:i/>
          <w:sz w:val="20"/>
          <w:szCs w:val="20"/>
        </w:rPr>
        <w:t>ó</w:t>
      </w:r>
      <w:r w:rsidRPr="006E0158">
        <w:rPr>
          <w:rFonts w:ascii="Lato" w:eastAsia="Malgun Gothic" w:hAnsi="Lato"/>
          <w:i/>
          <w:sz w:val="20"/>
          <w:szCs w:val="20"/>
        </w:rPr>
        <w:t>d</w:t>
      </w:r>
      <w:r w:rsidRPr="006E0158">
        <w:rPr>
          <w:rFonts w:ascii="Lato" w:eastAsia="Malgun Gothic" w:hAnsi="Lato" w:cs="Malgun Gothic"/>
          <w:i/>
          <w:sz w:val="20"/>
          <w:szCs w:val="20"/>
        </w:rPr>
        <w:t>ł</w:t>
      </w:r>
      <w:r w:rsidRPr="006E0158">
        <w:rPr>
          <w:rFonts w:ascii="Lato" w:eastAsia="Malgun Gothic" w:hAnsi="Lato"/>
          <w:i/>
          <w:sz w:val="20"/>
          <w:szCs w:val="20"/>
        </w:rPr>
        <w:t>o: OGP GAZ-SYSTEM S.A.</w:t>
      </w:r>
    </w:p>
    <w:p w14:paraId="78E79A35" w14:textId="62789D7E" w:rsidR="00875411" w:rsidRPr="00CE63C5" w:rsidRDefault="00875411" w:rsidP="00983C18">
      <w:pPr>
        <w:pStyle w:val="Tekstzwyky"/>
        <w:rPr>
          <w:rFonts w:ascii="Lato" w:hAnsi="Lato"/>
        </w:rPr>
        <w:sectPr w:rsidR="00875411" w:rsidRPr="00CE63C5" w:rsidSect="00CE72DC">
          <w:type w:val="continuous"/>
          <w:pgSz w:w="11906" w:h="16838"/>
          <w:pgMar w:top="1417" w:right="1417" w:bottom="1417" w:left="1417" w:header="708" w:footer="708" w:gutter="0"/>
          <w:cols w:space="708"/>
          <w:docGrid w:linePitch="360"/>
        </w:sectPr>
      </w:pPr>
    </w:p>
    <w:p w14:paraId="6813E122" w14:textId="1A349CE7" w:rsidR="00B03DBA" w:rsidRDefault="00C7771E" w:rsidP="00934713">
      <w:pPr>
        <w:pStyle w:val="Tekstzwyky"/>
        <w:spacing w:after="60"/>
        <w:rPr>
          <w:rFonts w:ascii="Lato" w:hAnsi="Lato"/>
        </w:rPr>
      </w:pPr>
      <w:r w:rsidRPr="00223D99">
        <w:rPr>
          <w:rFonts w:ascii="Lato" w:hAnsi="Lato"/>
        </w:rPr>
        <w:lastRenderedPageBreak/>
        <w:tab/>
        <w:t xml:space="preserve">System przesyłowy gazu ziemnego zaazotowanego </w:t>
      </w:r>
      <w:r w:rsidR="00DF67CF">
        <w:rPr>
          <w:rFonts w:ascii="Lato" w:hAnsi="Lato"/>
        </w:rPr>
        <w:t xml:space="preserve">Lw </w:t>
      </w:r>
      <w:r w:rsidRPr="00223D99">
        <w:rPr>
          <w:rFonts w:ascii="Lato" w:hAnsi="Lato"/>
        </w:rPr>
        <w:t xml:space="preserve">obejmuje swoim zasięgiem fragmenty zachodniej Polski na obszarze 3 województw: lubuskiego, wielkopolskiego oraz dolnośląskiego. </w:t>
      </w:r>
      <w:r w:rsidRPr="00C758B1">
        <w:rPr>
          <w:rFonts w:ascii="Lato" w:hAnsi="Lato"/>
        </w:rPr>
        <w:t>System ten</w:t>
      </w:r>
      <w:r w:rsidRPr="00223D99">
        <w:rPr>
          <w:rFonts w:ascii="Lato" w:hAnsi="Lato"/>
        </w:rPr>
        <w:t xml:space="preserve"> zasilany jest gazem ze złóż zlokalizowanych na Niżu Polskim przez kopalnie gazu: Kościan-Brońsko, Radlin, Kaleje (Mchy). Dodatkowo system gazu zaazotowanego zasilany jest gazem z kopalń Wielichowo, Paproć, Lubiatów, który do dosięgnięcia parametrów gazu ziemnego podgrupy Lw potrzebuje domieszania gazu wysokometanowego w mieszalni gazu Grodzisk Wielkopolski. Wykorzystywany w procesie mieszania gaz ziemny wysokometanowy pochodzi z</w:t>
      </w:r>
      <w:r w:rsidR="0067393E">
        <w:rPr>
          <w:rFonts w:ascii="Lato" w:hAnsi="Lato"/>
        </w:rPr>
        <w:t xml:space="preserve"> </w:t>
      </w:r>
      <w:r w:rsidRPr="00223D99">
        <w:rPr>
          <w:rFonts w:ascii="Lato" w:hAnsi="Lato"/>
        </w:rPr>
        <w:t xml:space="preserve">Odazotowni Grodzisk, w której z gazu ziemnego zaazotowanego w procesie kriogenicznym uzyskuje się gaz ziemny wysokometanowy. </w:t>
      </w:r>
    </w:p>
    <w:p w14:paraId="76668A2C" w14:textId="632BDF78" w:rsidR="00DF3AC8" w:rsidRPr="00223D99" w:rsidRDefault="00537A84" w:rsidP="00270AE5">
      <w:pPr>
        <w:pStyle w:val="Tekstzwyky"/>
        <w:spacing w:after="60"/>
        <w:rPr>
          <w:rFonts w:ascii="Lato" w:hAnsi="Lato"/>
        </w:rPr>
      </w:pPr>
      <w:r>
        <w:rPr>
          <w:rFonts w:ascii="Lato" w:hAnsi="Lato"/>
        </w:rPr>
        <w:tab/>
      </w:r>
      <w:r w:rsidRPr="00537A84">
        <w:rPr>
          <w:rFonts w:ascii="Lato" w:hAnsi="Lato"/>
        </w:rPr>
        <w:t xml:space="preserve">System przesyłowy gazu ziemnego zaazotowanego </w:t>
      </w:r>
      <w:r w:rsidR="00DF67CF">
        <w:rPr>
          <w:rFonts w:ascii="Lato" w:hAnsi="Lato"/>
        </w:rPr>
        <w:t xml:space="preserve">Lw </w:t>
      </w:r>
      <w:r w:rsidRPr="00537A84">
        <w:rPr>
          <w:rFonts w:ascii="Lato" w:hAnsi="Lato"/>
        </w:rPr>
        <w:t>nie jest bezpośrednio połączony z systemem przesyłowym gazu ziemnego wysokometanowego. Pomimo istniejących infrastrukturalnych połączeń pomiędzy obydwoma systemami, takimi jak odazotowanie czy też mieszalnie gazu ziemnego, specyfika techniczna oraz przynależność do różnych podmiotów nie pozwalają na swobodne przesyłanie gazu ziemnego pomiędzy nimi</w:t>
      </w:r>
      <w:r w:rsidR="00DF3AC8">
        <w:rPr>
          <w:rFonts w:ascii="Lato" w:hAnsi="Lato"/>
        </w:rPr>
        <w:t>.</w:t>
      </w:r>
    </w:p>
    <w:p w14:paraId="5DB0B52F" w14:textId="01E1269A" w:rsidR="00B03DBA" w:rsidRPr="00934713" w:rsidRDefault="00DF3AC8" w:rsidP="00983C18">
      <w:pPr>
        <w:pStyle w:val="Tabela"/>
        <w:rPr>
          <w:rFonts w:ascii="Lato" w:hAnsi="Lato"/>
          <w:b w:val="0"/>
        </w:rPr>
      </w:pPr>
      <w:r w:rsidRPr="00934713">
        <w:rPr>
          <w:rFonts w:ascii="Lato" w:hAnsi="Lato"/>
          <w:noProof/>
        </w:rPr>
        <w:drawing>
          <wp:anchor distT="0" distB="0" distL="114300" distR="114300" simplePos="0" relativeHeight="251658240" behindDoc="0" locked="0" layoutInCell="1" allowOverlap="1" wp14:anchorId="0DC252C4" wp14:editId="254CD362">
            <wp:simplePos x="0" y="0"/>
            <wp:positionH relativeFrom="margin">
              <wp:posOffset>83820</wp:posOffset>
            </wp:positionH>
            <wp:positionV relativeFrom="paragraph">
              <wp:posOffset>247650</wp:posOffset>
            </wp:positionV>
            <wp:extent cx="4279900" cy="4209415"/>
            <wp:effectExtent l="0" t="0" r="6350" b="635"/>
            <wp:wrapTopAndBottom/>
            <wp:docPr id="1479" name="Obraz 1479"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Obraz zawierający mapa&#10;&#10;Opis wygenerowany automatyczni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79900" cy="4209415"/>
                    </a:xfrm>
                    <a:prstGeom prst="rect">
                      <a:avLst/>
                    </a:prstGeom>
                  </pic:spPr>
                </pic:pic>
              </a:graphicData>
            </a:graphic>
            <wp14:sizeRelH relativeFrom="page">
              <wp14:pctWidth>0</wp14:pctWidth>
            </wp14:sizeRelH>
            <wp14:sizeRelV relativeFrom="page">
              <wp14:pctHeight>0</wp14:pctHeight>
            </wp14:sizeRelV>
          </wp:anchor>
        </w:drawing>
      </w:r>
      <w:r w:rsidR="00C7771E" w:rsidRPr="00934713">
        <w:rPr>
          <w:rFonts w:ascii="Lato" w:hAnsi="Lato"/>
        </w:rPr>
        <w:t xml:space="preserve">Rysunek </w:t>
      </w:r>
      <w:r w:rsidR="001B1D8F" w:rsidRPr="00934713">
        <w:rPr>
          <w:rFonts w:ascii="Lato" w:hAnsi="Lato"/>
        </w:rPr>
        <w:t>7</w:t>
      </w:r>
      <w:r w:rsidR="00C7771E" w:rsidRPr="00934713">
        <w:rPr>
          <w:rFonts w:ascii="Lato" w:hAnsi="Lato"/>
        </w:rPr>
        <w:t>. System przesyłowy gazu ziemnego zaazotowanego</w:t>
      </w:r>
      <w:r w:rsidR="006419C4">
        <w:rPr>
          <w:rFonts w:ascii="Lato" w:hAnsi="Lato"/>
        </w:rPr>
        <w:t xml:space="preserve"> Lw</w:t>
      </w:r>
    </w:p>
    <w:p w14:paraId="77755E99" w14:textId="45CAACC5" w:rsidR="00B03DBA" w:rsidRDefault="00C7771E" w:rsidP="00934713">
      <w:pPr>
        <w:tabs>
          <w:tab w:val="left" w:pos="10440"/>
        </w:tabs>
        <w:spacing w:before="360" w:after="120" w:line="276" w:lineRule="auto"/>
        <w:ind w:right="23"/>
        <w:rPr>
          <w:rFonts w:ascii="Lato" w:hAnsi="Lato"/>
          <w:i/>
          <w:sz w:val="20"/>
          <w:szCs w:val="20"/>
        </w:rPr>
      </w:pPr>
      <w:r w:rsidRPr="004D6A74">
        <w:rPr>
          <w:rFonts w:ascii="Lato" w:hAnsi="Lato"/>
          <w:i/>
          <w:sz w:val="20"/>
          <w:szCs w:val="20"/>
        </w:rPr>
        <w:t>Źródło: OGP Gaz-System S.A.</w:t>
      </w:r>
    </w:p>
    <w:p w14:paraId="1D616162" w14:textId="77777777" w:rsidR="00934713" w:rsidRPr="004D6A74" w:rsidRDefault="00934713" w:rsidP="00934713">
      <w:pPr>
        <w:tabs>
          <w:tab w:val="left" w:pos="10440"/>
        </w:tabs>
        <w:spacing w:before="240" w:after="120" w:line="276" w:lineRule="auto"/>
        <w:ind w:right="23"/>
        <w:rPr>
          <w:rFonts w:ascii="Lato" w:hAnsi="Lato"/>
          <w:i/>
          <w:sz w:val="20"/>
          <w:szCs w:val="20"/>
        </w:rPr>
      </w:pPr>
    </w:p>
    <w:p w14:paraId="6CBAFFC7" w14:textId="77777777" w:rsidR="00B03DBA" w:rsidRPr="00DF3AC8" w:rsidRDefault="00C7771E" w:rsidP="00934713">
      <w:pPr>
        <w:pStyle w:val="Rozdzia4"/>
        <w:spacing w:after="120"/>
        <w:rPr>
          <w:rFonts w:ascii="Lato" w:hAnsi="Lato"/>
          <w:sz w:val="24"/>
        </w:rPr>
      </w:pPr>
      <w:bookmarkStart w:id="32" w:name="_Toc12287739"/>
      <w:r w:rsidRPr="00DF3AC8">
        <w:rPr>
          <w:rFonts w:ascii="Lato" w:hAnsi="Lato"/>
          <w:sz w:val="24"/>
        </w:rPr>
        <w:lastRenderedPageBreak/>
        <w:t>Krajowy system dystrybucyjny</w:t>
      </w:r>
      <w:bookmarkEnd w:id="32"/>
      <w:r w:rsidRPr="00DF3AC8">
        <w:rPr>
          <w:rFonts w:ascii="Lato" w:hAnsi="Lato"/>
          <w:sz w:val="24"/>
        </w:rPr>
        <w:t xml:space="preserve"> </w:t>
      </w:r>
    </w:p>
    <w:p w14:paraId="4AE8D75E" w14:textId="0E63EB76" w:rsidR="00934713" w:rsidRPr="00270AE5" w:rsidRDefault="00C7771E" w:rsidP="00270AE5">
      <w:pPr>
        <w:spacing w:line="276" w:lineRule="auto"/>
        <w:ind w:firstLine="567"/>
        <w:rPr>
          <w:rFonts w:ascii="Lato" w:eastAsia="Malgun Gothic" w:hAnsi="Lato"/>
          <w:szCs w:val="24"/>
        </w:rPr>
      </w:pPr>
      <w:r w:rsidRPr="00080801">
        <w:rPr>
          <w:rFonts w:ascii="Lato" w:hAnsi="Lato"/>
          <w:sz w:val="32"/>
          <w:szCs w:val="28"/>
        </w:rPr>
        <w:tab/>
      </w:r>
      <w:r w:rsidR="006E2831" w:rsidRPr="00080801">
        <w:rPr>
          <w:rFonts w:ascii="Lato" w:eastAsia="Malgun Gothic" w:hAnsi="Lato"/>
          <w:szCs w:val="24"/>
        </w:rPr>
        <w:t>Na krajowy system dystrybucyjny składa si</w:t>
      </w:r>
      <w:r w:rsidR="006E2831" w:rsidRPr="00080801">
        <w:rPr>
          <w:rFonts w:ascii="Lato" w:eastAsia="Malgun Gothic" w:hAnsi="Lato" w:cs="Calibri"/>
          <w:szCs w:val="24"/>
        </w:rPr>
        <w:t>ę</w:t>
      </w:r>
      <w:r w:rsidR="006E2831" w:rsidRPr="00080801">
        <w:rPr>
          <w:rFonts w:ascii="Lato" w:eastAsia="Malgun Gothic" w:hAnsi="Lato"/>
          <w:szCs w:val="24"/>
        </w:rPr>
        <w:t xml:space="preserve"> ponad 158 tys. km sieci dystrybucyjnej oraz 55,85 tys. km czynnych przył</w:t>
      </w:r>
      <w:r w:rsidR="006E2831" w:rsidRPr="00080801">
        <w:rPr>
          <w:rFonts w:ascii="Lato" w:eastAsia="Malgun Gothic" w:hAnsi="Lato" w:cs="Calibri"/>
          <w:szCs w:val="24"/>
        </w:rPr>
        <w:t>ą</w:t>
      </w:r>
      <w:r w:rsidR="006E2831" w:rsidRPr="00080801">
        <w:rPr>
          <w:rFonts w:ascii="Lato" w:eastAsia="Malgun Gothic" w:hAnsi="Lato"/>
          <w:szCs w:val="24"/>
        </w:rPr>
        <w:t>czy. Działalno</w:t>
      </w:r>
      <w:r w:rsidR="006E2831" w:rsidRPr="00080801">
        <w:rPr>
          <w:rFonts w:ascii="Lato" w:eastAsia="Malgun Gothic" w:hAnsi="Lato" w:cs="Calibri"/>
          <w:szCs w:val="24"/>
        </w:rPr>
        <w:t>ść</w:t>
      </w:r>
      <w:r w:rsidR="006E2831" w:rsidRPr="00080801">
        <w:rPr>
          <w:rFonts w:ascii="Lato" w:eastAsia="Malgun Gothic" w:hAnsi="Lato"/>
          <w:szCs w:val="24"/>
        </w:rPr>
        <w:t xml:space="preserve"> w obszarze dystrybucji gazu ziemnego w Polsce w 2022 r. prowadzi</w:t>
      </w:r>
      <w:r w:rsidR="006E2831" w:rsidRPr="00080801">
        <w:rPr>
          <w:rFonts w:ascii="Lato" w:eastAsia="Malgun Gothic" w:hAnsi="Lato" w:cs="Malgun Gothic"/>
          <w:szCs w:val="24"/>
        </w:rPr>
        <w:t>ł</w:t>
      </w:r>
      <w:r w:rsidR="006E2831" w:rsidRPr="00080801">
        <w:rPr>
          <w:rFonts w:ascii="Lato" w:eastAsia="Malgun Gothic" w:hAnsi="Lato"/>
          <w:szCs w:val="24"/>
        </w:rPr>
        <w:t>o 51 operatorów systemów dystrybucyjnych wyznaczonych w drodze decyzji przez Prezesa URE, w tym jeden podlegaj</w:t>
      </w:r>
      <w:r w:rsidR="006E2831" w:rsidRPr="00080801">
        <w:rPr>
          <w:rFonts w:ascii="Lato" w:eastAsia="Malgun Gothic" w:hAnsi="Lato" w:cs="Calibri"/>
          <w:szCs w:val="24"/>
        </w:rPr>
        <w:t>ą</w:t>
      </w:r>
      <w:r w:rsidR="006E2831" w:rsidRPr="00080801">
        <w:rPr>
          <w:rFonts w:ascii="Lato" w:eastAsia="Malgun Gothic" w:hAnsi="Lato"/>
          <w:szCs w:val="24"/>
        </w:rPr>
        <w:t>cy wymogom prawnego i funkcjonalnego wydzielenia od innych rodzaj</w:t>
      </w:r>
      <w:r w:rsidR="006E2831" w:rsidRPr="00080801">
        <w:rPr>
          <w:rFonts w:ascii="Lato" w:eastAsia="Malgun Gothic" w:hAnsi="Lato" w:cs="Malgun Gothic"/>
          <w:szCs w:val="24"/>
        </w:rPr>
        <w:t>ó</w:t>
      </w:r>
      <w:r w:rsidR="006E2831" w:rsidRPr="00080801">
        <w:rPr>
          <w:rFonts w:ascii="Lato" w:eastAsia="Malgun Gothic" w:hAnsi="Lato"/>
          <w:szCs w:val="24"/>
        </w:rPr>
        <w:t>w działalno</w:t>
      </w:r>
      <w:r w:rsidR="006E2831" w:rsidRPr="00080801">
        <w:rPr>
          <w:rFonts w:ascii="Lato" w:eastAsia="Malgun Gothic" w:hAnsi="Lato" w:cs="Calibri"/>
          <w:szCs w:val="24"/>
        </w:rPr>
        <w:t>ś</w:t>
      </w:r>
      <w:r w:rsidR="006E2831" w:rsidRPr="00080801">
        <w:rPr>
          <w:rFonts w:ascii="Lato" w:eastAsia="Malgun Gothic" w:hAnsi="Lato"/>
          <w:szCs w:val="24"/>
        </w:rPr>
        <w:t xml:space="preserve">ci </w:t>
      </w:r>
      <w:r w:rsidR="006E2831" w:rsidRPr="00080801">
        <w:rPr>
          <w:rFonts w:ascii="Lato" w:eastAsia="Malgun Gothic" w:hAnsi="Lato" w:cs="Malgun Gothic"/>
          <w:szCs w:val="24"/>
        </w:rPr>
        <w:t>–</w:t>
      </w:r>
      <w:r w:rsidR="006E2831" w:rsidRPr="00080801">
        <w:rPr>
          <w:rFonts w:ascii="Lato" w:eastAsia="Malgun Gothic" w:hAnsi="Lato"/>
          <w:szCs w:val="24"/>
        </w:rPr>
        <w:t xml:space="preserve"> PSG sp. z o.o. Sp</w:t>
      </w:r>
      <w:r w:rsidR="006E2831" w:rsidRPr="00080801">
        <w:rPr>
          <w:rFonts w:ascii="Lato" w:eastAsia="Malgun Gothic" w:hAnsi="Lato" w:cs="Malgun Gothic"/>
          <w:szCs w:val="24"/>
        </w:rPr>
        <w:t>ół</w:t>
      </w:r>
      <w:r w:rsidR="006E2831" w:rsidRPr="00080801">
        <w:rPr>
          <w:rFonts w:ascii="Lato" w:eastAsia="Malgun Gothic" w:hAnsi="Lato"/>
          <w:szCs w:val="24"/>
        </w:rPr>
        <w:t>ka ta zarz</w:t>
      </w:r>
      <w:r w:rsidR="006E2831" w:rsidRPr="00080801">
        <w:rPr>
          <w:rFonts w:ascii="Lato" w:eastAsia="Malgun Gothic" w:hAnsi="Lato" w:cs="Calibri"/>
          <w:szCs w:val="24"/>
        </w:rPr>
        <w:t>ą</w:t>
      </w:r>
      <w:r w:rsidR="006E2831" w:rsidRPr="00080801">
        <w:rPr>
          <w:rFonts w:ascii="Lato" w:eastAsia="Malgun Gothic" w:hAnsi="Lato"/>
          <w:szCs w:val="24"/>
        </w:rPr>
        <w:t>dzała w 2022 r. 95,9% sieci dystrybucyjnej w kraju. Pozostałe ok. 4,1% sieci dystrybucyjnych było własno</w:t>
      </w:r>
      <w:r w:rsidR="006E2831" w:rsidRPr="00080801">
        <w:rPr>
          <w:rFonts w:ascii="Lato" w:eastAsia="Malgun Gothic" w:hAnsi="Lato" w:cs="Calibri"/>
          <w:szCs w:val="24"/>
        </w:rPr>
        <w:t>ś</w:t>
      </w:r>
      <w:r w:rsidR="006E2831" w:rsidRPr="00080801">
        <w:rPr>
          <w:rFonts w:ascii="Lato" w:eastAsia="Malgun Gothic" w:hAnsi="Lato"/>
          <w:szCs w:val="24"/>
        </w:rPr>
        <w:t>ci</w:t>
      </w:r>
      <w:r w:rsidR="006E2831" w:rsidRPr="00080801">
        <w:rPr>
          <w:rFonts w:ascii="Lato" w:eastAsia="Malgun Gothic" w:hAnsi="Lato" w:cs="Calibri"/>
          <w:szCs w:val="24"/>
        </w:rPr>
        <w:t>ą</w:t>
      </w:r>
      <w:r w:rsidR="006E2831" w:rsidRPr="00080801">
        <w:rPr>
          <w:rFonts w:ascii="Lato" w:eastAsia="Malgun Gothic" w:hAnsi="Lato"/>
          <w:szCs w:val="24"/>
        </w:rPr>
        <w:t xml:space="preserve"> innych sp</w:t>
      </w:r>
      <w:r w:rsidR="006E2831" w:rsidRPr="00080801">
        <w:rPr>
          <w:rFonts w:ascii="Lato" w:eastAsia="Malgun Gothic" w:hAnsi="Lato" w:cs="Malgun Gothic"/>
          <w:szCs w:val="24"/>
        </w:rPr>
        <w:t>ół</w:t>
      </w:r>
      <w:r w:rsidR="006E2831" w:rsidRPr="00080801">
        <w:rPr>
          <w:rFonts w:ascii="Lato" w:eastAsia="Malgun Gothic" w:hAnsi="Lato"/>
          <w:szCs w:val="24"/>
        </w:rPr>
        <w:t>ek prowadz</w:t>
      </w:r>
      <w:r w:rsidR="006E2831" w:rsidRPr="00080801">
        <w:rPr>
          <w:rFonts w:ascii="Lato" w:eastAsia="Malgun Gothic" w:hAnsi="Lato" w:cs="Calibri"/>
          <w:szCs w:val="24"/>
        </w:rPr>
        <w:t>ą</w:t>
      </w:r>
      <w:r w:rsidR="006E2831" w:rsidRPr="00080801">
        <w:rPr>
          <w:rFonts w:ascii="Lato" w:eastAsia="Malgun Gothic" w:hAnsi="Lato"/>
          <w:szCs w:val="24"/>
        </w:rPr>
        <w:t>cych dzia</w:t>
      </w:r>
      <w:r w:rsidR="006E2831" w:rsidRPr="00080801">
        <w:rPr>
          <w:rFonts w:ascii="Lato" w:eastAsia="Malgun Gothic" w:hAnsi="Lato" w:cs="Malgun Gothic"/>
          <w:szCs w:val="24"/>
        </w:rPr>
        <w:t>ł</w:t>
      </w:r>
      <w:r w:rsidR="006E2831" w:rsidRPr="00080801">
        <w:rPr>
          <w:rFonts w:ascii="Lato" w:eastAsia="Malgun Gothic" w:hAnsi="Lato"/>
          <w:szCs w:val="24"/>
        </w:rPr>
        <w:t>alno</w:t>
      </w:r>
      <w:r w:rsidR="006E2831" w:rsidRPr="00080801">
        <w:rPr>
          <w:rFonts w:ascii="Lato" w:eastAsia="Malgun Gothic" w:hAnsi="Lato" w:cs="Calibri"/>
          <w:szCs w:val="24"/>
        </w:rPr>
        <w:t>ść</w:t>
      </w:r>
      <w:r w:rsidR="006E2831" w:rsidRPr="00080801">
        <w:rPr>
          <w:rFonts w:ascii="Lato" w:eastAsia="Malgun Gothic" w:hAnsi="Lato"/>
          <w:szCs w:val="24"/>
        </w:rPr>
        <w:t xml:space="preserve"> dystrybucyjn</w:t>
      </w:r>
      <w:r w:rsidR="006E2831" w:rsidRPr="00080801">
        <w:rPr>
          <w:rFonts w:ascii="Lato" w:eastAsia="Malgun Gothic" w:hAnsi="Lato" w:cs="Calibri"/>
          <w:szCs w:val="24"/>
        </w:rPr>
        <w:t>ą</w:t>
      </w:r>
      <w:r w:rsidR="006E2831" w:rsidRPr="00080801">
        <w:rPr>
          <w:rFonts w:ascii="Lato" w:eastAsia="Malgun Gothic" w:hAnsi="Lato"/>
          <w:szCs w:val="24"/>
        </w:rPr>
        <w:t xml:space="preserve"> o charakterze lokalnym.</w:t>
      </w:r>
    </w:p>
    <w:p w14:paraId="04DD1F62" w14:textId="593921A2" w:rsidR="006E2831" w:rsidRPr="006E0158" w:rsidRDefault="006E2831" w:rsidP="00270AE5">
      <w:pPr>
        <w:spacing w:before="240" w:after="240" w:line="276" w:lineRule="auto"/>
        <w:rPr>
          <w:rFonts w:ascii="Lato" w:eastAsia="Malgun Gothic" w:hAnsi="Lato"/>
          <w:b/>
          <w:bCs/>
          <w:szCs w:val="24"/>
        </w:rPr>
      </w:pPr>
      <w:r w:rsidRPr="006E0158">
        <w:rPr>
          <w:rFonts w:ascii="Lato" w:eastAsia="Malgun Gothic" w:hAnsi="Lato"/>
          <w:b/>
          <w:bCs/>
          <w:szCs w:val="24"/>
        </w:rPr>
        <w:t xml:space="preserve">Rysunek </w:t>
      </w:r>
      <w:r w:rsidR="001B1D8F">
        <w:rPr>
          <w:rFonts w:ascii="Lato" w:eastAsia="Malgun Gothic" w:hAnsi="Lato"/>
          <w:b/>
          <w:bCs/>
          <w:szCs w:val="24"/>
        </w:rPr>
        <w:t>8</w:t>
      </w:r>
      <w:r w:rsidRPr="006E0158">
        <w:rPr>
          <w:rFonts w:ascii="Lato" w:eastAsia="Malgun Gothic" w:hAnsi="Lato"/>
          <w:b/>
          <w:bCs/>
          <w:szCs w:val="24"/>
        </w:rPr>
        <w:t xml:space="preserve">. System dystrybucyjny gazu ziemnego zarządzany przez PSG </w:t>
      </w:r>
      <w:r w:rsidR="00C628AC">
        <w:rPr>
          <w:rFonts w:ascii="Lato" w:eastAsia="Malgun Gothic" w:hAnsi="Lato"/>
          <w:b/>
          <w:bCs/>
          <w:szCs w:val="24"/>
        </w:rPr>
        <w:t>s</w:t>
      </w:r>
      <w:r w:rsidRPr="006E0158">
        <w:rPr>
          <w:rFonts w:ascii="Lato" w:eastAsia="Malgun Gothic" w:hAnsi="Lato"/>
          <w:b/>
          <w:bCs/>
          <w:szCs w:val="24"/>
        </w:rPr>
        <w:t>p. z o.o. (kolor pomarańczowy)</w:t>
      </w:r>
    </w:p>
    <w:p w14:paraId="3209AF25" w14:textId="77777777" w:rsidR="006E2831" w:rsidRPr="00C758B1" w:rsidRDefault="006E2831" w:rsidP="00983C18">
      <w:pPr>
        <w:spacing w:line="276" w:lineRule="auto"/>
        <w:jc w:val="center"/>
        <w:rPr>
          <w:rFonts w:ascii="Lato" w:eastAsia="Malgun Gothic" w:hAnsi="Lato"/>
          <w:b/>
          <w:bCs/>
          <w:sz w:val="20"/>
          <w:szCs w:val="20"/>
        </w:rPr>
      </w:pPr>
      <w:r w:rsidRPr="00C758B1">
        <w:rPr>
          <w:rFonts w:ascii="Lato" w:eastAsia="Malgun Gothic" w:hAnsi="Lato"/>
          <w:noProof/>
          <w:sz w:val="20"/>
          <w:szCs w:val="20"/>
        </w:rPr>
        <w:drawing>
          <wp:inline distT="0" distB="0" distL="0" distR="0" wp14:anchorId="4AE752E3" wp14:editId="4994AA01">
            <wp:extent cx="4117214" cy="3657600"/>
            <wp:effectExtent l="0" t="0" r="7620" b="635"/>
            <wp:docPr id="2" name="Obraz 2" descr="Obraz zawierający mapa, tekst,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Obraz zawierający mapa, tekst, atlas&#10;&#10;Opis wygenerowany automatycznie"/>
                    <pic:cNvPicPr/>
                  </pic:nvPicPr>
                  <pic:blipFill rotWithShape="1">
                    <a:blip r:embed="rId33"/>
                    <a:srcRect l="1115" t="796" r="1045" b="1814"/>
                    <a:stretch>
                      <a:fillRect/>
                    </a:stretch>
                  </pic:blipFill>
                  <pic:spPr bwMode="auto">
                    <a:xfrm>
                      <a:off x="0" y="0"/>
                      <a:ext cx="4117214" cy="3657600"/>
                    </a:xfrm>
                    <a:prstGeom prst="rect">
                      <a:avLst/>
                    </a:prstGeom>
                    <a:ln>
                      <a:noFill/>
                    </a:ln>
                    <a:extLst>
                      <a:ext uri="{53640926-AAD7-44D8-BBD7-CCE9431645EC}">
                        <a14:shadowObscured xmlns:a14="http://schemas.microsoft.com/office/drawing/2010/main"/>
                      </a:ext>
                    </a:extLst>
                  </pic:spPr>
                </pic:pic>
              </a:graphicData>
            </a:graphic>
          </wp:inline>
        </w:drawing>
      </w:r>
    </w:p>
    <w:p w14:paraId="3890EF4A" w14:textId="7FCC1FB6" w:rsidR="006E2831" w:rsidRPr="00DF3AC8" w:rsidRDefault="006E2831" w:rsidP="00983C18">
      <w:pPr>
        <w:tabs>
          <w:tab w:val="left" w:pos="10440"/>
        </w:tabs>
        <w:spacing w:line="276" w:lineRule="auto"/>
        <w:ind w:right="25"/>
        <w:rPr>
          <w:rFonts w:ascii="Lato" w:eastAsia="Malgun Gothic" w:hAnsi="Lato"/>
          <w:b/>
          <w:bCs/>
          <w:sz w:val="20"/>
          <w:szCs w:val="20"/>
        </w:rPr>
      </w:pPr>
      <w:r w:rsidRPr="00DF3AC8">
        <w:rPr>
          <w:rFonts w:ascii="Lato" w:eastAsia="Malgun Gothic" w:hAnsi="Lato" w:cs="Calibri"/>
          <w:i/>
          <w:sz w:val="20"/>
          <w:szCs w:val="20"/>
        </w:rPr>
        <w:t>Ź</w:t>
      </w:r>
      <w:r w:rsidRPr="00DF3AC8">
        <w:rPr>
          <w:rFonts w:ascii="Lato" w:eastAsia="Malgun Gothic" w:hAnsi="Lato"/>
          <w:i/>
          <w:sz w:val="20"/>
          <w:szCs w:val="20"/>
        </w:rPr>
        <w:t>r</w:t>
      </w:r>
      <w:r w:rsidRPr="00DF3AC8">
        <w:rPr>
          <w:rFonts w:ascii="Lato" w:eastAsia="Malgun Gothic" w:hAnsi="Lato" w:cs="Malgun Gothic"/>
          <w:i/>
          <w:sz w:val="20"/>
          <w:szCs w:val="20"/>
        </w:rPr>
        <w:t>ó</w:t>
      </w:r>
      <w:r w:rsidRPr="00DF3AC8">
        <w:rPr>
          <w:rFonts w:ascii="Lato" w:eastAsia="Malgun Gothic" w:hAnsi="Lato"/>
          <w:i/>
          <w:sz w:val="20"/>
          <w:szCs w:val="20"/>
        </w:rPr>
        <w:t>d</w:t>
      </w:r>
      <w:r w:rsidRPr="00DF3AC8">
        <w:rPr>
          <w:rFonts w:ascii="Lato" w:eastAsia="Malgun Gothic" w:hAnsi="Lato" w:cs="Malgun Gothic"/>
          <w:i/>
          <w:sz w:val="20"/>
          <w:szCs w:val="20"/>
        </w:rPr>
        <w:t>ł</w:t>
      </w:r>
      <w:r w:rsidRPr="00DF3AC8">
        <w:rPr>
          <w:rFonts w:ascii="Lato" w:eastAsia="Malgun Gothic" w:hAnsi="Lato"/>
          <w:i/>
          <w:sz w:val="20"/>
          <w:szCs w:val="20"/>
        </w:rPr>
        <w:t xml:space="preserve">o: PSG </w:t>
      </w:r>
      <w:r w:rsidR="004C0034">
        <w:rPr>
          <w:rFonts w:ascii="Lato" w:eastAsia="Malgun Gothic" w:hAnsi="Lato"/>
          <w:i/>
          <w:sz w:val="20"/>
          <w:szCs w:val="20"/>
        </w:rPr>
        <w:t>s</w:t>
      </w:r>
      <w:r w:rsidRPr="00DF3AC8">
        <w:rPr>
          <w:rFonts w:ascii="Lato" w:eastAsia="Malgun Gothic" w:hAnsi="Lato"/>
          <w:i/>
          <w:sz w:val="20"/>
          <w:szCs w:val="20"/>
        </w:rPr>
        <w:t>p. z o.o.</w:t>
      </w:r>
    </w:p>
    <w:p w14:paraId="22F88392" w14:textId="77777777" w:rsidR="00934713" w:rsidRDefault="00934713" w:rsidP="00983C18">
      <w:pPr>
        <w:spacing w:before="120" w:line="276" w:lineRule="auto"/>
        <w:rPr>
          <w:rFonts w:ascii="Lato" w:eastAsia="Malgun Gothic" w:hAnsi="Lato"/>
          <w:b/>
          <w:bCs/>
          <w:szCs w:val="24"/>
        </w:rPr>
      </w:pPr>
    </w:p>
    <w:p w14:paraId="78AFA67A" w14:textId="77777777" w:rsidR="00FB1BA4" w:rsidRDefault="00FB1BA4" w:rsidP="00983C18">
      <w:pPr>
        <w:spacing w:before="120" w:line="276" w:lineRule="auto"/>
        <w:rPr>
          <w:rFonts w:ascii="Lato" w:eastAsia="Malgun Gothic" w:hAnsi="Lato"/>
          <w:b/>
          <w:bCs/>
          <w:szCs w:val="24"/>
        </w:rPr>
      </w:pPr>
    </w:p>
    <w:p w14:paraId="49F4277D" w14:textId="77777777" w:rsidR="00FB1BA4" w:rsidRDefault="00FB1BA4" w:rsidP="00983C18">
      <w:pPr>
        <w:spacing w:before="120" w:line="276" w:lineRule="auto"/>
        <w:rPr>
          <w:rFonts w:ascii="Lato" w:eastAsia="Malgun Gothic" w:hAnsi="Lato"/>
          <w:b/>
          <w:bCs/>
          <w:szCs w:val="24"/>
        </w:rPr>
      </w:pPr>
    </w:p>
    <w:p w14:paraId="69C661F7" w14:textId="77777777" w:rsidR="00270AE5" w:rsidRDefault="00270AE5" w:rsidP="00983C18">
      <w:pPr>
        <w:spacing w:before="120" w:line="276" w:lineRule="auto"/>
        <w:rPr>
          <w:rFonts w:ascii="Lato" w:eastAsia="Malgun Gothic" w:hAnsi="Lato"/>
          <w:b/>
          <w:bCs/>
          <w:szCs w:val="24"/>
        </w:rPr>
      </w:pPr>
    </w:p>
    <w:p w14:paraId="49AB04FF" w14:textId="77777777" w:rsidR="00FB1BA4" w:rsidRDefault="00FB1BA4" w:rsidP="00983C18">
      <w:pPr>
        <w:spacing w:before="120" w:line="276" w:lineRule="auto"/>
        <w:rPr>
          <w:rFonts w:ascii="Lato" w:eastAsia="Malgun Gothic" w:hAnsi="Lato"/>
          <w:b/>
          <w:bCs/>
          <w:szCs w:val="24"/>
        </w:rPr>
      </w:pPr>
    </w:p>
    <w:p w14:paraId="2B38C359" w14:textId="3A723012" w:rsidR="006E2831" w:rsidRPr="006E0158" w:rsidRDefault="006E2831" w:rsidP="00983C18">
      <w:pPr>
        <w:spacing w:before="120" w:line="276" w:lineRule="auto"/>
        <w:rPr>
          <w:rFonts w:ascii="Lato" w:eastAsia="Malgun Gothic" w:hAnsi="Lato"/>
          <w:b/>
          <w:bCs/>
          <w:szCs w:val="24"/>
        </w:rPr>
      </w:pPr>
      <w:r w:rsidRPr="006E0158">
        <w:rPr>
          <w:rFonts w:ascii="Lato" w:eastAsia="Malgun Gothic" w:hAnsi="Lato"/>
          <w:b/>
          <w:bCs/>
          <w:szCs w:val="24"/>
        </w:rPr>
        <w:t xml:space="preserve">Rysunek </w:t>
      </w:r>
      <w:r w:rsidR="001B1D8F">
        <w:rPr>
          <w:rFonts w:ascii="Lato" w:eastAsia="Malgun Gothic" w:hAnsi="Lato"/>
          <w:b/>
          <w:bCs/>
          <w:szCs w:val="24"/>
        </w:rPr>
        <w:t>9</w:t>
      </w:r>
      <w:r w:rsidRPr="006E0158">
        <w:rPr>
          <w:rFonts w:ascii="Lato" w:eastAsia="Malgun Gothic" w:hAnsi="Lato"/>
          <w:b/>
          <w:bCs/>
          <w:szCs w:val="24"/>
        </w:rPr>
        <w:t>. Struktura wiekowa gazociągów dystrybucyjnych wg stanu na dzień 31.12.2022 r.</w:t>
      </w:r>
    </w:p>
    <w:p w14:paraId="3BAB0287" w14:textId="6475D0C9" w:rsidR="006E2831" w:rsidRPr="00C758B1" w:rsidRDefault="002F47C4" w:rsidP="00983C18">
      <w:pPr>
        <w:spacing w:line="276" w:lineRule="auto"/>
        <w:jc w:val="center"/>
        <w:rPr>
          <w:rFonts w:ascii="Lato" w:eastAsia="Malgun Gothic" w:hAnsi="Lato"/>
          <w:sz w:val="20"/>
          <w:szCs w:val="20"/>
        </w:rPr>
      </w:pPr>
      <w:r w:rsidRPr="00172C33">
        <w:rPr>
          <w:rFonts w:ascii="Century Gothic" w:hAnsi="Century Gothic"/>
          <w:noProof/>
          <w:sz w:val="20"/>
          <w:szCs w:val="20"/>
        </w:rPr>
        <w:lastRenderedPageBreak/>
        <w:drawing>
          <wp:inline distT="0" distB="0" distL="0" distR="0" wp14:anchorId="16D79F7D" wp14:editId="1B6E686E">
            <wp:extent cx="4339436" cy="2484208"/>
            <wp:effectExtent l="0" t="0" r="4445" b="0"/>
            <wp:docPr id="97" name="Wykres 97">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80C1EFC" w14:textId="7E92BE76" w:rsidR="006E2831" w:rsidRPr="00DF3AC8" w:rsidRDefault="006E2831" w:rsidP="00983C18">
      <w:pPr>
        <w:tabs>
          <w:tab w:val="left" w:pos="10440"/>
        </w:tabs>
        <w:spacing w:line="276" w:lineRule="auto"/>
        <w:ind w:right="25"/>
        <w:rPr>
          <w:rFonts w:ascii="Lato" w:eastAsia="Malgun Gothic" w:hAnsi="Lato"/>
          <w:sz w:val="20"/>
          <w:szCs w:val="20"/>
        </w:rPr>
      </w:pPr>
      <w:r w:rsidRPr="00DF3AC8">
        <w:rPr>
          <w:rFonts w:ascii="Lato" w:eastAsia="Malgun Gothic" w:hAnsi="Lato" w:cs="Calibri"/>
          <w:i/>
          <w:sz w:val="20"/>
          <w:szCs w:val="20"/>
        </w:rPr>
        <w:t>Ź</w:t>
      </w:r>
      <w:r w:rsidRPr="00DF3AC8">
        <w:rPr>
          <w:rFonts w:ascii="Lato" w:eastAsia="Malgun Gothic" w:hAnsi="Lato"/>
          <w:i/>
          <w:sz w:val="20"/>
          <w:szCs w:val="20"/>
        </w:rPr>
        <w:t>r</w:t>
      </w:r>
      <w:r w:rsidRPr="00DF3AC8">
        <w:rPr>
          <w:rFonts w:ascii="Lato" w:eastAsia="Malgun Gothic" w:hAnsi="Lato" w:cs="Malgun Gothic"/>
          <w:i/>
          <w:sz w:val="20"/>
          <w:szCs w:val="20"/>
        </w:rPr>
        <w:t>ó</w:t>
      </w:r>
      <w:r w:rsidRPr="00DF3AC8">
        <w:rPr>
          <w:rFonts w:ascii="Lato" w:eastAsia="Malgun Gothic" w:hAnsi="Lato"/>
          <w:i/>
          <w:sz w:val="20"/>
          <w:szCs w:val="20"/>
        </w:rPr>
        <w:t>d</w:t>
      </w:r>
      <w:r w:rsidRPr="00DF3AC8">
        <w:rPr>
          <w:rFonts w:ascii="Lato" w:eastAsia="Malgun Gothic" w:hAnsi="Lato" w:cs="Malgun Gothic"/>
          <w:i/>
          <w:sz w:val="20"/>
          <w:szCs w:val="20"/>
        </w:rPr>
        <w:t>ł</w:t>
      </w:r>
      <w:r w:rsidRPr="00DF3AC8">
        <w:rPr>
          <w:rFonts w:ascii="Lato" w:eastAsia="Malgun Gothic" w:hAnsi="Lato"/>
          <w:i/>
          <w:sz w:val="20"/>
          <w:szCs w:val="20"/>
        </w:rPr>
        <w:t>o: Badania statystyczne Ministra Klimatu i Środowiska</w:t>
      </w:r>
    </w:p>
    <w:p w14:paraId="422188C9" w14:textId="77777777" w:rsidR="00B03DBA" w:rsidRPr="00C758B1" w:rsidRDefault="00C7771E" w:rsidP="00934713">
      <w:pPr>
        <w:pStyle w:val="Rozdzia3"/>
        <w:spacing w:after="120"/>
        <w:ind w:left="1077" w:hanging="1077"/>
        <w:rPr>
          <w:rFonts w:ascii="Lato" w:hAnsi="Lato"/>
        </w:rPr>
      </w:pPr>
      <w:bookmarkStart w:id="33" w:name="_Toc12287740"/>
      <w:bookmarkStart w:id="34" w:name="_Toc12953899"/>
      <w:bookmarkStart w:id="35" w:name="_Toc19782932"/>
      <w:bookmarkStart w:id="36" w:name="_Toc142469559"/>
      <w:r w:rsidRPr="00C758B1">
        <w:rPr>
          <w:rFonts w:ascii="Lato" w:hAnsi="Lato"/>
        </w:rPr>
        <w:t>Infrastruktura gazowa kluczowa dla zapewnienia bezpiecze</w:t>
      </w:r>
      <w:r w:rsidRPr="00C758B1">
        <w:rPr>
          <w:rFonts w:ascii="Lato" w:hAnsi="Lato" w:cs="Calibri"/>
        </w:rPr>
        <w:t>ń</w:t>
      </w:r>
      <w:r w:rsidRPr="00C758B1">
        <w:rPr>
          <w:rFonts w:ascii="Lato" w:hAnsi="Lato"/>
        </w:rPr>
        <w:t>stwa dostaw gazu ziemnego</w:t>
      </w:r>
      <w:bookmarkEnd w:id="33"/>
      <w:bookmarkEnd w:id="34"/>
      <w:bookmarkEnd w:id="35"/>
      <w:bookmarkEnd w:id="36"/>
    </w:p>
    <w:p w14:paraId="1B895CBD" w14:textId="33A44426" w:rsidR="00B03DBA" w:rsidRPr="00C758B1" w:rsidRDefault="00E8515F" w:rsidP="00983C18">
      <w:pPr>
        <w:spacing w:after="0" w:line="276" w:lineRule="auto"/>
        <w:rPr>
          <w:rFonts w:ascii="Lato" w:eastAsia="Malgun Gothic" w:hAnsi="Lato"/>
          <w:b/>
          <w:bCs/>
          <w:i/>
        </w:rPr>
      </w:pPr>
      <w:r>
        <w:rPr>
          <w:rFonts w:ascii="Lato" w:eastAsia="Malgun Gothic" w:hAnsi="Lato"/>
        </w:rPr>
        <w:tab/>
      </w:r>
      <w:r w:rsidR="00B64E75">
        <w:rPr>
          <w:rFonts w:ascii="Lato" w:eastAsia="Malgun Gothic" w:hAnsi="Lato"/>
        </w:rPr>
        <w:t>Ustawa</w:t>
      </w:r>
      <w:r w:rsidR="00B64E75" w:rsidRPr="00C758B1">
        <w:rPr>
          <w:rFonts w:ascii="Lato" w:eastAsia="Malgun Gothic" w:hAnsi="Lato"/>
        </w:rPr>
        <w:t xml:space="preserve"> </w:t>
      </w:r>
      <w:r w:rsidR="00C7771E" w:rsidRPr="00C758B1">
        <w:rPr>
          <w:rFonts w:ascii="Lato" w:eastAsia="Malgun Gothic" w:hAnsi="Lato"/>
        </w:rPr>
        <w:t>z dnia 18 marca 2010 r. o </w:t>
      </w:r>
      <w:r w:rsidR="00C7771E" w:rsidRPr="00C758B1">
        <w:rPr>
          <w:rFonts w:ascii="Lato" w:eastAsia="Malgun Gothic" w:hAnsi="Lato"/>
          <w:bCs/>
          <w:i/>
        </w:rPr>
        <w:t xml:space="preserve">szczególnych uprawnieniach ministra właściwego do spraw </w:t>
      </w:r>
      <w:r w:rsidR="00B64E75">
        <w:rPr>
          <w:rFonts w:ascii="Lato" w:eastAsia="Malgun Gothic" w:hAnsi="Lato"/>
          <w:bCs/>
          <w:i/>
        </w:rPr>
        <w:t xml:space="preserve">aktywów państwowych </w:t>
      </w:r>
      <w:r w:rsidR="00C7771E" w:rsidRPr="00C758B1">
        <w:rPr>
          <w:rFonts w:ascii="Lato" w:eastAsia="Malgun Gothic" w:hAnsi="Lato"/>
          <w:bCs/>
          <w:i/>
        </w:rPr>
        <w:t>oraz ich wykonywaniu</w:t>
      </w:r>
      <w:r w:rsidR="00E87FC2">
        <w:rPr>
          <w:rFonts w:ascii="Lato" w:eastAsia="Malgun Gothic" w:hAnsi="Lato"/>
          <w:bCs/>
          <w:i/>
        </w:rPr>
        <w:t xml:space="preserve"> w </w:t>
      </w:r>
      <w:r w:rsidR="00C7771E" w:rsidRPr="00C758B1">
        <w:rPr>
          <w:rFonts w:ascii="Lato" w:eastAsia="Malgun Gothic" w:hAnsi="Lato"/>
          <w:bCs/>
          <w:i/>
        </w:rPr>
        <w:t>niektórych spółkach kapitałowych lub grupach kapitałowych prowadzących działalność w sektorach energii elektrycznej, ropy naftowej oraz paliw gazowych</w:t>
      </w:r>
      <w:r>
        <w:rPr>
          <w:rFonts w:ascii="Lato" w:eastAsia="Malgun Gothic" w:hAnsi="Lato"/>
          <w:bCs/>
          <w:iCs/>
        </w:rPr>
        <w:t xml:space="preserve"> (Dz. U. z 2010 r. nr 65 poz. 404 z późn. zm.)</w:t>
      </w:r>
      <w:r w:rsidR="00C7771E" w:rsidRPr="00C758B1">
        <w:rPr>
          <w:rFonts w:ascii="Lato" w:eastAsia="Malgun Gothic" w:hAnsi="Lato"/>
          <w:b/>
          <w:bCs/>
          <w:i/>
        </w:rPr>
        <w:t xml:space="preserve"> </w:t>
      </w:r>
      <w:r w:rsidR="00B64E75">
        <w:rPr>
          <w:rFonts w:ascii="Lato" w:eastAsia="Malgun Gothic" w:hAnsi="Lato"/>
        </w:rPr>
        <w:t>określa szczególne uprawnienia ministra właściwego do spraw aktywów państwowych, służące ochronie kluczowej infrastruktury gazowej, wskazanej w</w:t>
      </w:r>
      <w:r w:rsidR="00C7771E" w:rsidRPr="00C758B1">
        <w:rPr>
          <w:rFonts w:ascii="Lato" w:eastAsia="Malgun Gothic" w:hAnsi="Lato"/>
        </w:rPr>
        <w:t xml:space="preserve"> wykaz</w:t>
      </w:r>
      <w:r w:rsidR="00B64E75">
        <w:rPr>
          <w:rFonts w:ascii="Lato" w:eastAsia="Malgun Gothic" w:hAnsi="Lato"/>
        </w:rPr>
        <w:t>ie</w:t>
      </w:r>
      <w:r w:rsidR="00C7771E" w:rsidRPr="00C758B1">
        <w:rPr>
          <w:rFonts w:ascii="Lato" w:eastAsia="Malgun Gothic" w:hAnsi="Lato"/>
        </w:rPr>
        <w:t xml:space="preserve">, </w:t>
      </w:r>
      <w:r w:rsidR="00B64E75">
        <w:rPr>
          <w:rFonts w:ascii="Lato" w:eastAsia="Malgun Gothic" w:hAnsi="Lato"/>
        </w:rPr>
        <w:t>o którym mowa w</w:t>
      </w:r>
      <w:r w:rsidR="00B64E75" w:rsidRPr="00B64E75">
        <w:rPr>
          <w:rFonts w:ascii="Lato" w:eastAsia="Malgun Gothic" w:hAnsi="Lato"/>
        </w:rPr>
        <w:t xml:space="preserve"> art. 5b ust. 7 pkt 1 ustawy z dnia 26 kwietnia 2007 r. o zarządzaniu kryzysowym (Dz.U. z 2020 r. poz. 1856)</w:t>
      </w:r>
      <w:r w:rsidR="00B64E75">
        <w:rPr>
          <w:rFonts w:ascii="Lato" w:eastAsia="Malgun Gothic" w:hAnsi="Lato"/>
        </w:rPr>
        <w:t xml:space="preserve">, </w:t>
      </w:r>
      <w:r w:rsidR="00C7771E" w:rsidRPr="00C758B1">
        <w:rPr>
          <w:rFonts w:ascii="Lato" w:eastAsia="Malgun Gothic" w:hAnsi="Lato"/>
        </w:rPr>
        <w:t xml:space="preserve">który jest dokumentem chronionym zgodnie z ustawą z dnia 5 sierpnia 2010 r. </w:t>
      </w:r>
      <w:r w:rsidR="00C7771E" w:rsidRPr="00C758B1">
        <w:rPr>
          <w:rFonts w:ascii="Lato" w:eastAsia="Malgun Gothic" w:hAnsi="Lato"/>
          <w:i/>
        </w:rPr>
        <w:t>o ochronie informacji niejawnych</w:t>
      </w:r>
      <w:r w:rsidR="00C7771E" w:rsidRPr="00C758B1">
        <w:rPr>
          <w:rFonts w:ascii="Lato" w:eastAsia="Malgun Gothic" w:hAnsi="Lato"/>
        </w:rPr>
        <w:t xml:space="preserve">. </w:t>
      </w:r>
    </w:p>
    <w:p w14:paraId="3D9FE0CA" w14:textId="0750687D" w:rsidR="00FD227B" w:rsidRPr="00DF3AC8" w:rsidRDefault="00B70265" w:rsidP="00983C18">
      <w:pPr>
        <w:pStyle w:val="Rozdzia3"/>
        <w:rPr>
          <w:rFonts w:ascii="Lato" w:hAnsi="Lato"/>
        </w:rPr>
      </w:pPr>
      <w:bookmarkStart w:id="37" w:name="_Toc12287741"/>
      <w:bookmarkStart w:id="38" w:name="_Toc12953900"/>
      <w:bookmarkStart w:id="39" w:name="_Toc19782933"/>
      <w:bookmarkStart w:id="40" w:name="_Toc142469560"/>
      <w:r>
        <w:rPr>
          <w:rFonts w:ascii="Lato" w:hAnsi="Lato"/>
        </w:rPr>
        <w:t>S</w:t>
      </w:r>
      <w:r w:rsidR="00C7771E" w:rsidRPr="00C758B1">
        <w:rPr>
          <w:rFonts w:ascii="Lato" w:hAnsi="Lato"/>
        </w:rPr>
        <w:t>truktura importu gazu ziemnego</w:t>
      </w:r>
      <w:bookmarkEnd w:id="37"/>
      <w:bookmarkEnd w:id="38"/>
      <w:bookmarkEnd w:id="39"/>
      <w:bookmarkEnd w:id="40"/>
      <w:r w:rsidR="00C7771E" w:rsidRPr="00C758B1">
        <w:rPr>
          <w:rFonts w:ascii="Lato" w:hAnsi="Lato"/>
        </w:rPr>
        <w:t xml:space="preserve"> </w:t>
      </w:r>
    </w:p>
    <w:p w14:paraId="4CA75DCC" w14:textId="730A4714" w:rsidR="00DF3AC8" w:rsidRDefault="00FD227B" w:rsidP="00AD3160">
      <w:pPr>
        <w:spacing w:after="60" w:line="276" w:lineRule="auto"/>
        <w:ind w:firstLine="709"/>
        <w:rPr>
          <w:rFonts w:ascii="Lato" w:hAnsi="Lato"/>
        </w:rPr>
      </w:pPr>
      <w:r w:rsidRPr="004F0DBF">
        <w:rPr>
          <w:rFonts w:ascii="Lato" w:hAnsi="Lato"/>
        </w:rPr>
        <w:t>W 2022 r., w wyniku zakończenia kluczowych projektów dywersyfikacyjnych, Polska uzyskała niezależność od dostaw gazu ziemnego z kierunku wschodniego.</w:t>
      </w:r>
      <w:r w:rsidR="00AD3160">
        <w:rPr>
          <w:rFonts w:ascii="Lato" w:hAnsi="Lato"/>
        </w:rPr>
        <w:t xml:space="preserve"> </w:t>
      </w:r>
      <w:r w:rsidRPr="004F0DBF">
        <w:rPr>
          <w:rFonts w:ascii="Lato" w:hAnsi="Lato"/>
        </w:rPr>
        <w:t>Zdywersyfikowany portfel dostaw opierający się na dostawach LNG do terminalu w Świnoujściu, dostawach gazu ziemnego poprzez gazociąg Baltic Pipe</w:t>
      </w:r>
      <w:r w:rsidR="002F262E">
        <w:rPr>
          <w:rFonts w:ascii="Lato" w:hAnsi="Lato"/>
        </w:rPr>
        <w:t xml:space="preserve"> i</w:t>
      </w:r>
      <w:r w:rsidRPr="004F0DBF">
        <w:rPr>
          <w:rFonts w:ascii="Lato" w:hAnsi="Lato"/>
        </w:rPr>
        <w:t xml:space="preserve"> dostawach w ramach nabycia wewnątrzwspólnotowego wraz z krajowym wydobyciem gazu ziemnego, gwarantują ciągłość dostaw do odbiorców.</w:t>
      </w:r>
    </w:p>
    <w:p w14:paraId="329DED4A" w14:textId="5B2F9D03" w:rsidR="00FD227B" w:rsidRPr="004F0DBF" w:rsidRDefault="00FD227B" w:rsidP="00983C18">
      <w:pPr>
        <w:spacing w:after="0" w:line="276" w:lineRule="auto"/>
        <w:ind w:firstLine="709"/>
        <w:rPr>
          <w:rFonts w:ascii="Lato" w:hAnsi="Lato"/>
        </w:rPr>
      </w:pPr>
      <w:r w:rsidRPr="004F0DBF">
        <w:rPr>
          <w:rFonts w:ascii="Lato" w:hAnsi="Lato"/>
        </w:rPr>
        <w:t>W 2022 r. całkowity przywóz gazu ziemnego do Polski wyniósł 14,43 mld m</w:t>
      </w:r>
      <w:r w:rsidRPr="004F0DBF">
        <w:rPr>
          <w:rFonts w:ascii="Lato" w:hAnsi="Lato"/>
          <w:vertAlign w:val="superscript"/>
        </w:rPr>
        <w:t>3</w:t>
      </w:r>
      <w:r w:rsidRPr="004F0DBF">
        <w:rPr>
          <w:rFonts w:ascii="Lato" w:hAnsi="Lato"/>
        </w:rPr>
        <w:t xml:space="preserve"> (164,36 TWh), z czego: </w:t>
      </w:r>
    </w:p>
    <w:p w14:paraId="6FA4FB09" w14:textId="77777777" w:rsidR="00FD227B" w:rsidRPr="00DF3AC8" w:rsidRDefault="00FD227B">
      <w:pPr>
        <w:pStyle w:val="Akapitzlist"/>
        <w:numPr>
          <w:ilvl w:val="0"/>
          <w:numId w:val="15"/>
        </w:numPr>
        <w:spacing w:line="276" w:lineRule="auto"/>
        <w:rPr>
          <w:rFonts w:ascii="Lato" w:hAnsi="Lato"/>
        </w:rPr>
      </w:pPr>
      <w:r w:rsidRPr="00DF3AC8">
        <w:rPr>
          <w:rFonts w:ascii="Lato" w:hAnsi="Lato"/>
        </w:rPr>
        <w:t>import z kierunku wschodniego (w tym poprzez gazoci</w:t>
      </w:r>
      <w:r w:rsidRPr="00DF3AC8">
        <w:rPr>
          <w:rFonts w:ascii="Lato" w:hAnsi="Lato" w:cs="Calibri"/>
        </w:rPr>
        <w:t>ą</w:t>
      </w:r>
      <w:r w:rsidRPr="00DF3AC8">
        <w:rPr>
          <w:rFonts w:ascii="Lato" w:hAnsi="Lato"/>
        </w:rPr>
        <w:t>g Jama</w:t>
      </w:r>
      <w:r w:rsidRPr="00DF3AC8">
        <w:rPr>
          <w:rFonts w:ascii="Lato" w:hAnsi="Lato" w:cs="Malgun Gothic"/>
        </w:rPr>
        <w:t>ł</w:t>
      </w:r>
      <w:r w:rsidRPr="00DF3AC8">
        <w:rPr>
          <w:rFonts w:ascii="Lato" w:hAnsi="Lato"/>
        </w:rPr>
        <w:t>-Europa) – 2,83 mld m</w:t>
      </w:r>
      <w:r w:rsidRPr="00DF3AC8">
        <w:rPr>
          <w:rFonts w:ascii="Lato" w:hAnsi="Lato"/>
          <w:vertAlign w:val="superscript"/>
        </w:rPr>
        <w:t xml:space="preserve">3 </w:t>
      </w:r>
      <w:r w:rsidRPr="00DF3AC8">
        <w:rPr>
          <w:rFonts w:ascii="Lato" w:hAnsi="Lato"/>
        </w:rPr>
        <w:t>(31,93 TWh), co stanowi 19,6% całkowitego przywozu;</w:t>
      </w:r>
    </w:p>
    <w:p w14:paraId="273F693B" w14:textId="77777777" w:rsidR="00FD227B" w:rsidRPr="00DF3AC8" w:rsidRDefault="00FD227B">
      <w:pPr>
        <w:pStyle w:val="Akapitzlist"/>
        <w:numPr>
          <w:ilvl w:val="0"/>
          <w:numId w:val="15"/>
        </w:numPr>
        <w:spacing w:line="276" w:lineRule="auto"/>
        <w:rPr>
          <w:rFonts w:ascii="Lato" w:hAnsi="Lato"/>
        </w:rPr>
      </w:pPr>
      <w:r w:rsidRPr="00DF3AC8">
        <w:rPr>
          <w:rFonts w:ascii="Lato" w:hAnsi="Lato"/>
        </w:rPr>
        <w:t>nabycie wewn</w:t>
      </w:r>
      <w:r w:rsidRPr="00DF3AC8">
        <w:rPr>
          <w:rFonts w:ascii="Lato" w:hAnsi="Lato" w:cs="Calibri"/>
        </w:rPr>
        <w:t>ą</w:t>
      </w:r>
      <w:r w:rsidRPr="00DF3AC8">
        <w:rPr>
          <w:rFonts w:ascii="Lato" w:hAnsi="Lato"/>
        </w:rPr>
        <w:t>trzwsp</w:t>
      </w:r>
      <w:r w:rsidRPr="00DF3AC8">
        <w:rPr>
          <w:rFonts w:ascii="Lato" w:hAnsi="Lato" w:cs="Malgun Gothic"/>
        </w:rPr>
        <w:t>ó</w:t>
      </w:r>
      <w:r w:rsidRPr="00DF3AC8">
        <w:rPr>
          <w:rFonts w:ascii="Lato" w:hAnsi="Lato"/>
        </w:rPr>
        <w:t xml:space="preserve">lnotowe z Niemiec </w:t>
      </w:r>
      <w:r w:rsidRPr="00DF3AC8">
        <w:rPr>
          <w:rFonts w:ascii="Lato" w:hAnsi="Lato" w:cs="Malgun Gothic"/>
        </w:rPr>
        <w:t>–</w:t>
      </w:r>
      <w:r w:rsidRPr="00DF3AC8">
        <w:rPr>
          <w:rFonts w:ascii="Lato" w:hAnsi="Lato"/>
        </w:rPr>
        <w:t xml:space="preserve"> 4,16 mld m</w:t>
      </w:r>
      <w:r w:rsidRPr="00DF3AC8">
        <w:rPr>
          <w:rFonts w:ascii="Lato" w:hAnsi="Lato"/>
          <w:vertAlign w:val="superscript"/>
        </w:rPr>
        <w:t>3</w:t>
      </w:r>
      <w:r w:rsidRPr="00DF3AC8">
        <w:rPr>
          <w:rFonts w:ascii="Lato" w:hAnsi="Lato"/>
        </w:rPr>
        <w:t xml:space="preserve"> (47,21 TWh), co stanowi 28,8% całkowitego przywozu;</w:t>
      </w:r>
    </w:p>
    <w:p w14:paraId="46B4B1B5" w14:textId="77777777" w:rsidR="00FD227B" w:rsidRPr="00DF3AC8" w:rsidRDefault="00FD227B">
      <w:pPr>
        <w:pStyle w:val="Akapitzlist"/>
        <w:numPr>
          <w:ilvl w:val="0"/>
          <w:numId w:val="15"/>
        </w:numPr>
        <w:spacing w:line="276" w:lineRule="auto"/>
        <w:rPr>
          <w:rFonts w:ascii="Lato" w:hAnsi="Lato"/>
        </w:rPr>
      </w:pPr>
      <w:r w:rsidRPr="00DF3AC8">
        <w:rPr>
          <w:rFonts w:ascii="Lato" w:hAnsi="Lato"/>
        </w:rPr>
        <w:t>nabycie wewn</w:t>
      </w:r>
      <w:r w:rsidRPr="00DF3AC8">
        <w:rPr>
          <w:rFonts w:ascii="Lato" w:hAnsi="Lato" w:cs="Calibri"/>
        </w:rPr>
        <w:t>ą</w:t>
      </w:r>
      <w:r w:rsidRPr="00DF3AC8">
        <w:rPr>
          <w:rFonts w:ascii="Lato" w:hAnsi="Lato"/>
        </w:rPr>
        <w:t>trzwsp</w:t>
      </w:r>
      <w:r w:rsidRPr="00DF3AC8">
        <w:rPr>
          <w:rFonts w:ascii="Lato" w:hAnsi="Lato" w:cs="Malgun Gothic"/>
        </w:rPr>
        <w:t>ó</w:t>
      </w:r>
      <w:r w:rsidRPr="00DF3AC8">
        <w:rPr>
          <w:rFonts w:ascii="Lato" w:hAnsi="Lato"/>
        </w:rPr>
        <w:t xml:space="preserve">lnotowe z Danii </w:t>
      </w:r>
      <w:r w:rsidRPr="00DF3AC8">
        <w:rPr>
          <w:rFonts w:ascii="Lato" w:hAnsi="Lato" w:cs="Malgun Gothic"/>
        </w:rPr>
        <w:t>–</w:t>
      </w:r>
      <w:r w:rsidRPr="00DF3AC8">
        <w:rPr>
          <w:rFonts w:ascii="Lato" w:hAnsi="Lato"/>
        </w:rPr>
        <w:t xml:space="preserve"> 643,36 mln m</w:t>
      </w:r>
      <w:r w:rsidRPr="00DF3AC8">
        <w:rPr>
          <w:rFonts w:ascii="Lato" w:hAnsi="Lato"/>
          <w:vertAlign w:val="superscript"/>
        </w:rPr>
        <w:t>3</w:t>
      </w:r>
      <w:r w:rsidRPr="00DF3AC8">
        <w:rPr>
          <w:rFonts w:ascii="Lato" w:hAnsi="Lato"/>
        </w:rPr>
        <w:t xml:space="preserve"> (7,46 TWh), co stanowi 4,5% całkowitego przywozu;</w:t>
      </w:r>
    </w:p>
    <w:p w14:paraId="1D124C37" w14:textId="77777777" w:rsidR="00FD227B" w:rsidRPr="00DF3AC8" w:rsidRDefault="00FD227B">
      <w:pPr>
        <w:pStyle w:val="Akapitzlist"/>
        <w:numPr>
          <w:ilvl w:val="0"/>
          <w:numId w:val="15"/>
        </w:numPr>
        <w:spacing w:line="276" w:lineRule="auto"/>
        <w:rPr>
          <w:rFonts w:ascii="Lato" w:hAnsi="Lato"/>
        </w:rPr>
      </w:pPr>
      <w:r w:rsidRPr="00DF3AC8">
        <w:rPr>
          <w:rFonts w:ascii="Lato" w:hAnsi="Lato"/>
        </w:rPr>
        <w:lastRenderedPageBreak/>
        <w:t>nabycie wewn</w:t>
      </w:r>
      <w:r w:rsidRPr="00DF3AC8">
        <w:rPr>
          <w:rFonts w:ascii="Lato" w:hAnsi="Lato" w:cs="Calibri"/>
        </w:rPr>
        <w:t>ą</w:t>
      </w:r>
      <w:r w:rsidRPr="00DF3AC8">
        <w:rPr>
          <w:rFonts w:ascii="Lato" w:hAnsi="Lato"/>
        </w:rPr>
        <w:t>trzwsp</w:t>
      </w:r>
      <w:r w:rsidRPr="00DF3AC8">
        <w:rPr>
          <w:rFonts w:ascii="Lato" w:hAnsi="Lato" w:cs="Malgun Gothic"/>
        </w:rPr>
        <w:t>ó</w:t>
      </w:r>
      <w:r w:rsidRPr="00DF3AC8">
        <w:rPr>
          <w:rFonts w:ascii="Lato" w:hAnsi="Lato"/>
        </w:rPr>
        <w:t xml:space="preserve">lnotowe z Litwy </w:t>
      </w:r>
      <w:r w:rsidRPr="00DF3AC8">
        <w:rPr>
          <w:rFonts w:ascii="Lato" w:hAnsi="Lato" w:cs="Malgun Gothic"/>
        </w:rPr>
        <w:t>–</w:t>
      </w:r>
      <w:r w:rsidRPr="00DF3AC8">
        <w:rPr>
          <w:rFonts w:ascii="Lato" w:hAnsi="Lato"/>
        </w:rPr>
        <w:t xml:space="preserve"> 544,89 mln m</w:t>
      </w:r>
      <w:r w:rsidRPr="00DF3AC8">
        <w:rPr>
          <w:rFonts w:ascii="Lato" w:hAnsi="Lato"/>
          <w:vertAlign w:val="superscript"/>
        </w:rPr>
        <w:t>3</w:t>
      </w:r>
      <w:r w:rsidRPr="00DF3AC8">
        <w:rPr>
          <w:rFonts w:ascii="Lato" w:hAnsi="Lato"/>
        </w:rPr>
        <w:t xml:space="preserve"> (6,24 TWh), co stanowi 3,8% całkowitego przywozu;</w:t>
      </w:r>
    </w:p>
    <w:p w14:paraId="62029D30" w14:textId="77777777" w:rsidR="00FD227B" w:rsidRPr="00DF3AC8" w:rsidRDefault="00FD227B">
      <w:pPr>
        <w:pStyle w:val="Akapitzlist"/>
        <w:numPr>
          <w:ilvl w:val="0"/>
          <w:numId w:val="15"/>
        </w:numPr>
        <w:spacing w:line="276" w:lineRule="auto"/>
        <w:rPr>
          <w:rFonts w:ascii="Lato" w:hAnsi="Lato"/>
        </w:rPr>
      </w:pPr>
      <w:r w:rsidRPr="00DF3AC8">
        <w:rPr>
          <w:rFonts w:ascii="Lato" w:hAnsi="Lato"/>
        </w:rPr>
        <w:t>nabycie wewn</w:t>
      </w:r>
      <w:r w:rsidRPr="00DF3AC8">
        <w:rPr>
          <w:rFonts w:ascii="Lato" w:hAnsi="Lato" w:cs="Calibri"/>
        </w:rPr>
        <w:t>ą</w:t>
      </w:r>
      <w:r w:rsidRPr="00DF3AC8">
        <w:rPr>
          <w:rFonts w:ascii="Lato" w:hAnsi="Lato"/>
        </w:rPr>
        <w:t>trzwspólnotowe z innych krajów UE – 373,7 mln m</w:t>
      </w:r>
      <w:r w:rsidRPr="00DF3AC8">
        <w:rPr>
          <w:rFonts w:ascii="Lato" w:hAnsi="Lato"/>
          <w:vertAlign w:val="superscript"/>
        </w:rPr>
        <w:t>3</w:t>
      </w:r>
      <w:r w:rsidRPr="00DF3AC8">
        <w:rPr>
          <w:rFonts w:ascii="Lato" w:hAnsi="Lato"/>
        </w:rPr>
        <w:t xml:space="preserve"> (4,22 TWh), co stanowi 2,6% całkowitego przywozu;</w:t>
      </w:r>
    </w:p>
    <w:p w14:paraId="19553805" w14:textId="77777777" w:rsidR="00FD227B" w:rsidRPr="00DF3AC8" w:rsidRDefault="00FD227B">
      <w:pPr>
        <w:pStyle w:val="Akapitzlist"/>
        <w:numPr>
          <w:ilvl w:val="0"/>
          <w:numId w:val="15"/>
        </w:numPr>
        <w:spacing w:line="276" w:lineRule="auto"/>
        <w:rPr>
          <w:rFonts w:ascii="Lato" w:hAnsi="Lato"/>
        </w:rPr>
      </w:pPr>
      <w:r w:rsidRPr="00DF3AC8">
        <w:rPr>
          <w:rFonts w:ascii="Lato" w:hAnsi="Lato"/>
        </w:rPr>
        <w:t>import LNG ł</w:t>
      </w:r>
      <w:r w:rsidRPr="00DF3AC8">
        <w:rPr>
          <w:rFonts w:ascii="Lato" w:hAnsi="Lato" w:cs="Calibri"/>
        </w:rPr>
        <w:t>ą</w:t>
      </w:r>
      <w:r w:rsidRPr="00DF3AC8">
        <w:rPr>
          <w:rFonts w:ascii="Lato" w:hAnsi="Lato"/>
        </w:rPr>
        <w:t>cznie do terminalu w Świnoujściu – 5,82 mld m</w:t>
      </w:r>
      <w:r w:rsidRPr="00DF3AC8">
        <w:rPr>
          <w:rFonts w:ascii="Lato" w:hAnsi="Lato"/>
          <w:vertAlign w:val="superscript"/>
        </w:rPr>
        <w:t>3</w:t>
      </w:r>
      <w:r w:rsidRPr="00DF3AC8">
        <w:rPr>
          <w:rFonts w:ascii="Lato" w:hAnsi="Lato"/>
        </w:rPr>
        <w:t xml:space="preserve"> (66,64 TWh), co stanowi 40,3% całkowitego przywozu, w tym:</w:t>
      </w:r>
    </w:p>
    <w:p w14:paraId="7552DBC6" w14:textId="3F204DD3" w:rsidR="00FD227B" w:rsidRPr="00DF3AC8" w:rsidRDefault="00FD227B">
      <w:pPr>
        <w:pStyle w:val="Akapitzlist"/>
        <w:numPr>
          <w:ilvl w:val="1"/>
          <w:numId w:val="15"/>
        </w:numPr>
        <w:spacing w:line="276" w:lineRule="auto"/>
        <w:rPr>
          <w:rFonts w:ascii="Lato" w:hAnsi="Lato"/>
        </w:rPr>
      </w:pPr>
      <w:r w:rsidRPr="00DF3AC8">
        <w:rPr>
          <w:rFonts w:ascii="Lato" w:hAnsi="Lato"/>
        </w:rPr>
        <w:t>import z Kataru – 2,18 mld m</w:t>
      </w:r>
      <w:r w:rsidRPr="00DF3AC8">
        <w:rPr>
          <w:rFonts w:ascii="Lato" w:hAnsi="Lato"/>
          <w:vertAlign w:val="superscript"/>
        </w:rPr>
        <w:t>3</w:t>
      </w:r>
      <w:r w:rsidRPr="00DF3AC8">
        <w:rPr>
          <w:rFonts w:ascii="Lato" w:hAnsi="Lato"/>
        </w:rPr>
        <w:t xml:space="preserve"> (25,21 TWh), co stanowi 15,1% całkowitego przywozu;</w:t>
      </w:r>
    </w:p>
    <w:p w14:paraId="06C63178" w14:textId="55567BFB" w:rsidR="00FD227B" w:rsidRPr="00DF3AC8" w:rsidRDefault="00FD227B">
      <w:pPr>
        <w:pStyle w:val="Akapitzlist"/>
        <w:numPr>
          <w:ilvl w:val="1"/>
          <w:numId w:val="15"/>
        </w:numPr>
        <w:spacing w:line="276" w:lineRule="auto"/>
        <w:rPr>
          <w:rFonts w:ascii="Lato" w:hAnsi="Lato"/>
        </w:rPr>
      </w:pPr>
      <w:r w:rsidRPr="00DF3AC8">
        <w:rPr>
          <w:rFonts w:ascii="Lato" w:hAnsi="Lato"/>
        </w:rPr>
        <w:t>import z USA – 3,28 mld m</w:t>
      </w:r>
      <w:r w:rsidRPr="00DF3AC8">
        <w:rPr>
          <w:rFonts w:ascii="Lato" w:hAnsi="Lato"/>
          <w:vertAlign w:val="superscript"/>
        </w:rPr>
        <w:t>3</w:t>
      </w:r>
      <w:r w:rsidRPr="00DF3AC8">
        <w:rPr>
          <w:rFonts w:ascii="Lato" w:hAnsi="Lato"/>
        </w:rPr>
        <w:t xml:space="preserve"> (37,34 TWh), co stanowi 22,7% całkowitego przywozu;</w:t>
      </w:r>
    </w:p>
    <w:p w14:paraId="7C6489DA" w14:textId="71DF2E56" w:rsidR="00FD227B" w:rsidRPr="00DF3AC8" w:rsidRDefault="00FD227B">
      <w:pPr>
        <w:pStyle w:val="Akapitzlist"/>
        <w:numPr>
          <w:ilvl w:val="1"/>
          <w:numId w:val="15"/>
        </w:numPr>
        <w:spacing w:line="276" w:lineRule="auto"/>
        <w:rPr>
          <w:rFonts w:ascii="Lato" w:hAnsi="Lato"/>
        </w:rPr>
      </w:pPr>
      <w:r w:rsidRPr="00DF3AC8">
        <w:rPr>
          <w:rFonts w:ascii="Lato" w:hAnsi="Lato"/>
        </w:rPr>
        <w:t>import z Trynidadu i Tobago – 95,45 mln m</w:t>
      </w:r>
      <w:r w:rsidRPr="00DF3AC8">
        <w:rPr>
          <w:rFonts w:ascii="Lato" w:hAnsi="Lato"/>
          <w:vertAlign w:val="superscript"/>
        </w:rPr>
        <w:t>3</w:t>
      </w:r>
      <w:r w:rsidRPr="00DF3AC8">
        <w:rPr>
          <w:rFonts w:ascii="Lato" w:hAnsi="Lato"/>
        </w:rPr>
        <w:t xml:space="preserve"> (1,07 TWh), co stanowi 0,7% całkowitego przywozu;</w:t>
      </w:r>
    </w:p>
    <w:p w14:paraId="3809786A" w14:textId="1A019780" w:rsidR="00FD227B" w:rsidRPr="00DF3AC8" w:rsidRDefault="00FD227B">
      <w:pPr>
        <w:pStyle w:val="Akapitzlist"/>
        <w:numPr>
          <w:ilvl w:val="1"/>
          <w:numId w:val="15"/>
        </w:numPr>
        <w:spacing w:line="276" w:lineRule="auto"/>
        <w:rPr>
          <w:rFonts w:ascii="Lato" w:hAnsi="Lato"/>
        </w:rPr>
      </w:pPr>
      <w:r w:rsidRPr="00DF3AC8">
        <w:rPr>
          <w:rFonts w:ascii="Lato" w:hAnsi="Lato"/>
        </w:rPr>
        <w:t>import z Nigerii – 169,54 mln m</w:t>
      </w:r>
      <w:r w:rsidRPr="00DF3AC8">
        <w:rPr>
          <w:rFonts w:ascii="Lato" w:hAnsi="Lato"/>
          <w:vertAlign w:val="superscript"/>
        </w:rPr>
        <w:t>3</w:t>
      </w:r>
      <w:r w:rsidRPr="00DF3AC8">
        <w:rPr>
          <w:rFonts w:ascii="Lato" w:hAnsi="Lato"/>
        </w:rPr>
        <w:t xml:space="preserve"> (2,05 TWh), co stanowi 1,2% całkowitego przywozu;</w:t>
      </w:r>
    </w:p>
    <w:p w14:paraId="5E5D5D09" w14:textId="4A1DBF86" w:rsidR="00FD227B" w:rsidRPr="00DF3AC8" w:rsidRDefault="00FD227B">
      <w:pPr>
        <w:pStyle w:val="Akapitzlist"/>
        <w:numPr>
          <w:ilvl w:val="1"/>
          <w:numId w:val="15"/>
        </w:numPr>
        <w:spacing w:line="276" w:lineRule="auto"/>
        <w:rPr>
          <w:rFonts w:ascii="Lato" w:hAnsi="Lato"/>
        </w:rPr>
      </w:pPr>
      <w:r w:rsidRPr="00DF3AC8">
        <w:rPr>
          <w:rFonts w:ascii="Lato" w:hAnsi="Lato"/>
        </w:rPr>
        <w:t>import z Egiptu – 86,58 mln m</w:t>
      </w:r>
      <w:r w:rsidRPr="00DF3AC8">
        <w:rPr>
          <w:rFonts w:ascii="Lato" w:hAnsi="Lato"/>
          <w:vertAlign w:val="superscript"/>
        </w:rPr>
        <w:t>3</w:t>
      </w:r>
      <w:r w:rsidRPr="00DF3AC8">
        <w:rPr>
          <w:rFonts w:ascii="Lato" w:hAnsi="Lato"/>
        </w:rPr>
        <w:t xml:space="preserve"> (967 GWh), co stanowi 0,6% całkowitego przywozu.</w:t>
      </w:r>
    </w:p>
    <w:p w14:paraId="660ABE89" w14:textId="77777777" w:rsidR="00DF3AC8" w:rsidRDefault="00FD227B" w:rsidP="002F262E">
      <w:pPr>
        <w:spacing w:after="60" w:line="276" w:lineRule="auto"/>
        <w:ind w:firstLine="709"/>
        <w:rPr>
          <w:rFonts w:ascii="Lato" w:hAnsi="Lato"/>
        </w:rPr>
      </w:pPr>
      <w:r w:rsidRPr="004F0DBF">
        <w:rPr>
          <w:rFonts w:ascii="Lato" w:hAnsi="Lato"/>
        </w:rPr>
        <w:t>W 2022 r. ł</w:t>
      </w:r>
      <w:r w:rsidRPr="004F0DBF">
        <w:rPr>
          <w:rFonts w:ascii="Lato" w:hAnsi="Lato" w:cs="Calibri"/>
        </w:rPr>
        <w:t>ą</w:t>
      </w:r>
      <w:r w:rsidRPr="004F0DBF">
        <w:rPr>
          <w:rFonts w:ascii="Lato" w:hAnsi="Lato"/>
        </w:rPr>
        <w:t xml:space="preserve">cznie zrealizowano 58 dostaw skroplonego gazu ziemnego do terminalu regazyfikacyjnego LNG w </w:t>
      </w:r>
      <w:r w:rsidRPr="004F0DBF">
        <w:rPr>
          <w:rFonts w:ascii="Lato" w:hAnsi="Lato" w:cs="Calibri"/>
        </w:rPr>
        <w:t>Ś</w:t>
      </w:r>
      <w:r w:rsidRPr="004F0DBF">
        <w:rPr>
          <w:rFonts w:ascii="Lato" w:hAnsi="Lato"/>
        </w:rPr>
        <w:t>winouj</w:t>
      </w:r>
      <w:r w:rsidRPr="004F0DBF">
        <w:rPr>
          <w:rFonts w:ascii="Lato" w:hAnsi="Lato" w:cs="Calibri"/>
        </w:rPr>
        <w:t>ś</w:t>
      </w:r>
      <w:r w:rsidRPr="004F0DBF">
        <w:rPr>
          <w:rFonts w:ascii="Lato" w:hAnsi="Lato"/>
        </w:rPr>
        <w:t>ciu, w tym 36 z USA, 18 z Kataru, 2 z Nigerii, 1 z Trynidadu i Tobago i 1 z Egiptu. Dla por</w:t>
      </w:r>
      <w:r w:rsidRPr="004F0DBF">
        <w:rPr>
          <w:rFonts w:ascii="Lato" w:hAnsi="Lato" w:cs="Malgun Gothic"/>
        </w:rPr>
        <w:t>ó</w:t>
      </w:r>
      <w:r w:rsidRPr="004F0DBF">
        <w:rPr>
          <w:rFonts w:ascii="Lato" w:hAnsi="Lato"/>
        </w:rPr>
        <w:t>wnania w 2021 r. zrealizowano 37 dostaw LNG, w 2020 r. – 35 dostaw a w 2019 r.</w:t>
      </w:r>
      <w:r w:rsidR="00C17333">
        <w:rPr>
          <w:rFonts w:ascii="Lato" w:hAnsi="Lato"/>
        </w:rPr>
        <w:t xml:space="preserve"> – </w:t>
      </w:r>
      <w:r w:rsidRPr="004F0DBF">
        <w:rPr>
          <w:rFonts w:ascii="Lato" w:hAnsi="Lato"/>
        </w:rPr>
        <w:t xml:space="preserve">31 dostaw. </w:t>
      </w:r>
    </w:p>
    <w:p w14:paraId="47D4C0DC" w14:textId="1C7FB4F9" w:rsidR="00FD227B" w:rsidRPr="004F0DBF" w:rsidRDefault="00FD227B" w:rsidP="002F262E">
      <w:pPr>
        <w:spacing w:after="60" w:line="276" w:lineRule="auto"/>
        <w:ind w:firstLine="709"/>
        <w:rPr>
          <w:rFonts w:ascii="Lato" w:hAnsi="Lato"/>
        </w:rPr>
      </w:pPr>
      <w:r w:rsidRPr="004F0DBF">
        <w:rPr>
          <w:rFonts w:ascii="Lato" w:hAnsi="Lato"/>
        </w:rPr>
        <w:t>Eksport gazu ziemnego z Polski w 2022 r. wyniósł 553,78 mln m</w:t>
      </w:r>
      <w:r w:rsidRPr="004F0DBF">
        <w:rPr>
          <w:rFonts w:ascii="Lato" w:hAnsi="Lato"/>
          <w:vertAlign w:val="superscript"/>
        </w:rPr>
        <w:t>3</w:t>
      </w:r>
      <w:r w:rsidRPr="004F0DBF">
        <w:rPr>
          <w:rFonts w:ascii="Lato" w:hAnsi="Lato"/>
        </w:rPr>
        <w:t xml:space="preserve"> (6,13 TWh) i w stosunku do roku poprzedniego wzrósł o ok. 400%. Gaz ziemny eksportowany był w 67,4% </w:t>
      </w:r>
      <w:r w:rsidR="5D0D7B3D" w:rsidRPr="0F514605">
        <w:rPr>
          <w:rFonts w:ascii="Lato" w:hAnsi="Lato"/>
        </w:rPr>
        <w:t>do</w:t>
      </w:r>
      <w:r w:rsidRPr="0F514605">
        <w:rPr>
          <w:rFonts w:ascii="Lato" w:hAnsi="Lato"/>
        </w:rPr>
        <w:t xml:space="preserve"> Ukrain</w:t>
      </w:r>
      <w:r w:rsidR="1838B13B" w:rsidRPr="0F514605">
        <w:rPr>
          <w:rFonts w:ascii="Lato" w:hAnsi="Lato"/>
        </w:rPr>
        <w:t>y</w:t>
      </w:r>
      <w:r w:rsidRPr="0F514605">
        <w:rPr>
          <w:rFonts w:ascii="Lato" w:hAnsi="Lato"/>
        </w:rPr>
        <w:t>.</w:t>
      </w:r>
    </w:p>
    <w:p w14:paraId="1360010B" w14:textId="7C91B1F3" w:rsidR="00FD227B" w:rsidRPr="00DF3AC8" w:rsidRDefault="00C7771E" w:rsidP="002F262E">
      <w:pPr>
        <w:pStyle w:val="Rozdzia3"/>
        <w:spacing w:after="120"/>
        <w:ind w:left="1077" w:hanging="1077"/>
        <w:rPr>
          <w:rFonts w:ascii="Lato" w:hAnsi="Lato"/>
        </w:rPr>
      </w:pPr>
      <w:bookmarkStart w:id="41" w:name="_Toc12287742"/>
      <w:bookmarkStart w:id="42" w:name="_Toc12953901"/>
      <w:bookmarkStart w:id="43" w:name="_Toc19782934"/>
      <w:bookmarkStart w:id="44" w:name="_Toc142469561"/>
      <w:r w:rsidRPr="00C758B1">
        <w:rPr>
          <w:rFonts w:ascii="Lato" w:hAnsi="Lato"/>
        </w:rPr>
        <w:t>System magazynowania gazu ziemnego</w:t>
      </w:r>
      <w:bookmarkEnd w:id="41"/>
      <w:bookmarkEnd w:id="42"/>
      <w:bookmarkEnd w:id="43"/>
      <w:bookmarkEnd w:id="44"/>
    </w:p>
    <w:p w14:paraId="4F79AC17" w14:textId="77777777" w:rsidR="00FD227B" w:rsidRPr="004F0DBF" w:rsidRDefault="00FD227B" w:rsidP="002F262E">
      <w:pPr>
        <w:spacing w:after="60" w:line="276" w:lineRule="auto"/>
        <w:ind w:firstLine="709"/>
        <w:rPr>
          <w:rFonts w:ascii="Lato" w:hAnsi="Lato"/>
        </w:rPr>
      </w:pPr>
      <w:r w:rsidRPr="004F0DBF">
        <w:rPr>
          <w:rFonts w:ascii="Lato" w:hAnsi="Lato"/>
        </w:rPr>
        <w:t>W Polsce funkcjonuje siedem podziemnych magazynów gazu ziemnego wysokometanowego współpracuj</w:t>
      </w:r>
      <w:r w:rsidRPr="004F0DBF">
        <w:rPr>
          <w:rFonts w:ascii="Lato" w:hAnsi="Lato" w:cs="Calibri"/>
        </w:rPr>
        <w:t>ą</w:t>
      </w:r>
      <w:r w:rsidRPr="004F0DBF">
        <w:rPr>
          <w:rFonts w:ascii="Lato" w:hAnsi="Lato"/>
        </w:rPr>
        <w:t>cych z gazowym systemem przesyłowym: PMG Husów, PMG Wierzchowice, PMG Swarzów, PMG Brze</w:t>
      </w:r>
      <w:r w:rsidRPr="004F0DBF">
        <w:rPr>
          <w:rFonts w:ascii="Lato" w:hAnsi="Lato" w:cs="Calibri"/>
        </w:rPr>
        <w:t>ź</w:t>
      </w:r>
      <w:r w:rsidRPr="004F0DBF">
        <w:rPr>
          <w:rFonts w:ascii="Lato" w:hAnsi="Lato"/>
        </w:rPr>
        <w:t>nica, PMG Strachocina, KPMG Mogilno i KPMG Kosakowo.</w:t>
      </w:r>
    </w:p>
    <w:p w14:paraId="3F3EFD07" w14:textId="0F5613F9" w:rsidR="00BB583E" w:rsidRPr="00983C18" w:rsidRDefault="00FD227B" w:rsidP="0067393E">
      <w:pPr>
        <w:spacing w:after="60" w:line="276" w:lineRule="auto"/>
        <w:ind w:firstLine="709"/>
        <w:rPr>
          <w:rFonts w:ascii="Lato" w:hAnsi="Lato"/>
        </w:rPr>
      </w:pPr>
      <w:r w:rsidRPr="004F0DBF">
        <w:rPr>
          <w:rFonts w:ascii="Lato" w:hAnsi="Lato"/>
        </w:rPr>
        <w:t>Według stanu na koniec grudnia 2022 r. pojemno</w:t>
      </w:r>
      <w:r w:rsidRPr="004F0DBF">
        <w:rPr>
          <w:rFonts w:ascii="Lato" w:hAnsi="Lato" w:cs="Calibri"/>
        </w:rPr>
        <w:t>ść</w:t>
      </w:r>
      <w:r w:rsidRPr="004F0DBF">
        <w:rPr>
          <w:rFonts w:ascii="Lato" w:hAnsi="Lato"/>
        </w:rPr>
        <w:t xml:space="preserve"> czynna podziemnych magazyn</w:t>
      </w:r>
      <w:r w:rsidRPr="004F0DBF">
        <w:rPr>
          <w:rFonts w:ascii="Lato" w:hAnsi="Lato" w:cs="Malgun Gothic"/>
        </w:rPr>
        <w:t>ó</w:t>
      </w:r>
      <w:r w:rsidRPr="004F0DBF">
        <w:rPr>
          <w:rFonts w:ascii="Lato" w:hAnsi="Lato"/>
        </w:rPr>
        <w:t>w gazu wysokometanowego wynios</w:t>
      </w:r>
      <w:r w:rsidRPr="004F0DBF">
        <w:rPr>
          <w:rFonts w:ascii="Lato" w:hAnsi="Lato" w:cs="Malgun Gothic"/>
        </w:rPr>
        <w:t>ł</w:t>
      </w:r>
      <w:r w:rsidRPr="004F0DBF">
        <w:rPr>
          <w:rFonts w:ascii="Lato" w:hAnsi="Lato"/>
        </w:rPr>
        <w:t>a 3,23 mld m</w:t>
      </w:r>
      <w:r w:rsidRPr="004F0DBF">
        <w:rPr>
          <w:rFonts w:ascii="Lato" w:hAnsi="Lato"/>
          <w:vertAlign w:val="superscript"/>
        </w:rPr>
        <w:t xml:space="preserve">3 </w:t>
      </w:r>
      <w:r w:rsidRPr="004F0DBF">
        <w:rPr>
          <w:rFonts w:ascii="Lato" w:hAnsi="Lato"/>
        </w:rPr>
        <w:t>(36,4 TWh), co stanowiło 19,4% zu</w:t>
      </w:r>
      <w:r w:rsidRPr="004F0DBF">
        <w:rPr>
          <w:rFonts w:ascii="Lato" w:hAnsi="Lato" w:cs="Calibri"/>
        </w:rPr>
        <w:t>ż</w:t>
      </w:r>
      <w:r w:rsidRPr="004F0DBF">
        <w:rPr>
          <w:rFonts w:ascii="Lato" w:hAnsi="Lato"/>
        </w:rPr>
        <w:t>ycia gazu ziemnego w Polsce w 2022 r. Natomiast całkowita pojemno</w:t>
      </w:r>
      <w:r w:rsidRPr="004F0DBF">
        <w:rPr>
          <w:rFonts w:ascii="Lato" w:hAnsi="Lato" w:cs="Calibri"/>
        </w:rPr>
        <w:t>ść</w:t>
      </w:r>
      <w:r w:rsidRPr="004F0DBF">
        <w:rPr>
          <w:rFonts w:ascii="Lato" w:hAnsi="Lato"/>
        </w:rPr>
        <w:t xml:space="preserve"> podziemnych magazyn</w:t>
      </w:r>
      <w:r w:rsidRPr="004F0DBF">
        <w:rPr>
          <w:rFonts w:ascii="Lato" w:hAnsi="Lato" w:cs="Malgun Gothic"/>
        </w:rPr>
        <w:t>ó</w:t>
      </w:r>
      <w:r w:rsidRPr="004F0DBF">
        <w:rPr>
          <w:rFonts w:ascii="Lato" w:hAnsi="Lato"/>
        </w:rPr>
        <w:t>w gazu wysokometanowego (wraz z gazem buforowym, który podczas cyklu odbioru gazu ziemnego z PMG nie jest eksploatowany) wynosi</w:t>
      </w:r>
      <w:r w:rsidR="002F262E">
        <w:rPr>
          <w:rFonts w:ascii="Lato" w:hAnsi="Lato"/>
        </w:rPr>
        <w:t xml:space="preserve"> </w:t>
      </w:r>
      <w:r w:rsidRPr="004F0DBF">
        <w:rPr>
          <w:rFonts w:ascii="Lato" w:hAnsi="Lato"/>
        </w:rPr>
        <w:t>10,49 mld m</w:t>
      </w:r>
      <w:r w:rsidRPr="004F0DBF">
        <w:rPr>
          <w:rFonts w:ascii="Lato" w:hAnsi="Lato"/>
          <w:vertAlign w:val="superscript"/>
        </w:rPr>
        <w:t xml:space="preserve">3 </w:t>
      </w:r>
      <w:r w:rsidRPr="004F0DBF">
        <w:rPr>
          <w:rFonts w:ascii="Lato" w:hAnsi="Lato"/>
        </w:rPr>
        <w:t xml:space="preserve">(115,1 TWh). </w:t>
      </w:r>
    </w:p>
    <w:p w14:paraId="6C2BB08F" w14:textId="7A600EE5" w:rsidR="00FD227B" w:rsidRPr="006E0158" w:rsidRDefault="00FD227B" w:rsidP="00983C18">
      <w:pPr>
        <w:spacing w:before="240" w:line="276" w:lineRule="auto"/>
        <w:rPr>
          <w:rFonts w:ascii="Lato" w:eastAsia="Malgun Gothic" w:hAnsi="Lato"/>
          <w:b/>
          <w:bCs/>
          <w:szCs w:val="24"/>
        </w:rPr>
      </w:pPr>
      <w:r w:rsidRPr="006E0158">
        <w:rPr>
          <w:rFonts w:ascii="Lato" w:eastAsia="Malgun Gothic" w:hAnsi="Lato"/>
          <w:b/>
          <w:bCs/>
          <w:szCs w:val="24"/>
        </w:rPr>
        <w:t xml:space="preserve">Tabela </w:t>
      </w:r>
      <w:r w:rsidRPr="006E0158">
        <w:rPr>
          <w:rFonts w:ascii="Lato" w:eastAsia="Malgun Gothic" w:hAnsi="Lato"/>
          <w:b/>
          <w:bCs/>
          <w:szCs w:val="24"/>
        </w:rPr>
        <w:fldChar w:fldCharType="begin"/>
      </w:r>
      <w:r w:rsidRPr="006E0158">
        <w:rPr>
          <w:rFonts w:ascii="Lato" w:eastAsia="Malgun Gothic" w:hAnsi="Lato"/>
          <w:b/>
          <w:bCs/>
          <w:szCs w:val="24"/>
        </w:rPr>
        <w:instrText xml:space="preserve"> SEQ Tabela \* ARABIC </w:instrText>
      </w:r>
      <w:r w:rsidRPr="006E0158">
        <w:rPr>
          <w:rFonts w:ascii="Lato" w:eastAsia="Malgun Gothic" w:hAnsi="Lato"/>
          <w:b/>
          <w:bCs/>
          <w:szCs w:val="24"/>
        </w:rPr>
        <w:fldChar w:fldCharType="separate"/>
      </w:r>
      <w:r w:rsidR="00D520CA">
        <w:rPr>
          <w:rFonts w:ascii="Lato" w:eastAsia="Malgun Gothic" w:hAnsi="Lato"/>
          <w:b/>
          <w:bCs/>
          <w:noProof/>
          <w:szCs w:val="24"/>
        </w:rPr>
        <w:t>3</w:t>
      </w:r>
      <w:r w:rsidRPr="006E0158">
        <w:rPr>
          <w:rFonts w:ascii="Lato" w:eastAsia="Malgun Gothic" w:hAnsi="Lato"/>
          <w:b/>
          <w:bCs/>
          <w:szCs w:val="24"/>
        </w:rPr>
        <w:fldChar w:fldCharType="end"/>
      </w:r>
      <w:r w:rsidRPr="006E0158">
        <w:rPr>
          <w:rFonts w:ascii="Lato" w:eastAsia="Malgun Gothic" w:hAnsi="Lato"/>
          <w:b/>
          <w:bCs/>
          <w:szCs w:val="24"/>
        </w:rPr>
        <w:t>. Parametry techniczne PMG - stan na dzień 31.12.2022 r.</w:t>
      </w:r>
    </w:p>
    <w:tbl>
      <w:tblPr>
        <w:tblW w:w="10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3"/>
        <w:gridCol w:w="2073"/>
        <w:gridCol w:w="1105"/>
        <w:gridCol w:w="1105"/>
        <w:gridCol w:w="1105"/>
        <w:gridCol w:w="1519"/>
        <w:gridCol w:w="1519"/>
      </w:tblGrid>
      <w:tr w:rsidR="00FD227B" w:rsidRPr="00C758B1" w14:paraId="672E0BA6" w14:textId="77777777" w:rsidTr="00270AE5">
        <w:trPr>
          <w:trHeight w:val="1386"/>
          <w:jc w:val="center"/>
        </w:trPr>
        <w:tc>
          <w:tcPr>
            <w:tcW w:w="1653" w:type="dxa"/>
            <w:shd w:val="clear" w:color="auto" w:fill="D9D9D9"/>
            <w:vAlign w:val="center"/>
          </w:tcPr>
          <w:p w14:paraId="632148DF" w14:textId="77777777" w:rsidR="00FD227B" w:rsidRPr="00C758B1" w:rsidRDefault="00FD227B" w:rsidP="00983C18">
            <w:pPr>
              <w:spacing w:line="276" w:lineRule="auto"/>
              <w:ind w:left="-113" w:right="-108"/>
              <w:jc w:val="center"/>
              <w:rPr>
                <w:rFonts w:ascii="Lato" w:eastAsia="Malgun Gothic" w:hAnsi="Lato"/>
                <w:sz w:val="20"/>
                <w:szCs w:val="20"/>
              </w:rPr>
            </w:pPr>
            <w:r w:rsidRPr="00C758B1">
              <w:rPr>
                <w:rFonts w:ascii="Lato" w:eastAsia="Malgun Gothic" w:hAnsi="Lato"/>
                <w:b/>
                <w:sz w:val="20"/>
                <w:szCs w:val="20"/>
              </w:rPr>
              <w:lastRenderedPageBreak/>
              <w:t>Instalacja</w:t>
            </w:r>
          </w:p>
        </w:tc>
        <w:tc>
          <w:tcPr>
            <w:tcW w:w="2073" w:type="dxa"/>
            <w:shd w:val="clear" w:color="auto" w:fill="D9D9D9"/>
            <w:vAlign w:val="center"/>
          </w:tcPr>
          <w:p w14:paraId="0EF574A6" w14:textId="77777777" w:rsidR="00FD227B" w:rsidRPr="00C758B1" w:rsidRDefault="00FD227B" w:rsidP="00983C18">
            <w:pPr>
              <w:spacing w:line="276" w:lineRule="auto"/>
              <w:jc w:val="center"/>
              <w:rPr>
                <w:rFonts w:ascii="Lato" w:eastAsia="Malgun Gothic" w:hAnsi="Lato"/>
                <w:sz w:val="20"/>
                <w:szCs w:val="20"/>
              </w:rPr>
            </w:pPr>
            <w:r w:rsidRPr="00C758B1">
              <w:rPr>
                <w:rFonts w:ascii="Lato" w:eastAsia="Malgun Gothic" w:hAnsi="Lato"/>
                <w:b/>
                <w:sz w:val="20"/>
                <w:szCs w:val="20"/>
              </w:rPr>
              <w:t>Rodzaj</w:t>
            </w:r>
          </w:p>
        </w:tc>
        <w:tc>
          <w:tcPr>
            <w:tcW w:w="1105" w:type="dxa"/>
            <w:shd w:val="clear" w:color="auto" w:fill="D9D9D9"/>
            <w:vAlign w:val="center"/>
          </w:tcPr>
          <w:p w14:paraId="7988AB6A" w14:textId="77777777" w:rsidR="00FD227B" w:rsidRPr="00C758B1" w:rsidRDefault="00FD227B" w:rsidP="00983C18">
            <w:pPr>
              <w:spacing w:line="276" w:lineRule="auto"/>
              <w:ind w:left="-108" w:right="-108"/>
              <w:jc w:val="center"/>
              <w:rPr>
                <w:rFonts w:ascii="Lato" w:eastAsia="Malgun Gothic" w:hAnsi="Lato"/>
                <w:b/>
                <w:sz w:val="20"/>
                <w:szCs w:val="20"/>
              </w:rPr>
            </w:pPr>
            <w:r w:rsidRPr="00C758B1">
              <w:rPr>
                <w:rFonts w:ascii="Lato" w:eastAsia="Malgun Gothic" w:hAnsi="Lato"/>
                <w:b/>
                <w:sz w:val="20"/>
                <w:szCs w:val="20"/>
              </w:rPr>
              <w:t>pojemność całkowita</w:t>
            </w:r>
          </w:p>
          <w:p w14:paraId="0B24FAAC" w14:textId="77777777" w:rsidR="00FD227B" w:rsidRPr="00C758B1" w:rsidRDefault="00FD227B" w:rsidP="00983C18">
            <w:pPr>
              <w:spacing w:line="276" w:lineRule="auto"/>
              <w:ind w:left="-108" w:right="-108"/>
              <w:jc w:val="center"/>
              <w:rPr>
                <w:rFonts w:ascii="Lato" w:eastAsia="Malgun Gothic" w:hAnsi="Lato"/>
                <w:b/>
                <w:sz w:val="20"/>
                <w:szCs w:val="20"/>
              </w:rPr>
            </w:pPr>
            <w:r w:rsidRPr="00C758B1">
              <w:rPr>
                <w:rFonts w:ascii="Lato" w:eastAsia="Malgun Gothic" w:hAnsi="Lato"/>
                <w:b/>
                <w:sz w:val="20"/>
                <w:szCs w:val="20"/>
              </w:rPr>
              <w:t>[w mln m</w:t>
            </w:r>
            <w:r w:rsidRPr="00C758B1">
              <w:rPr>
                <w:rFonts w:ascii="Lato" w:eastAsia="Malgun Gothic" w:hAnsi="Lato"/>
                <w:b/>
                <w:sz w:val="20"/>
                <w:szCs w:val="20"/>
                <w:vertAlign w:val="superscript"/>
              </w:rPr>
              <w:t>3</w:t>
            </w:r>
            <w:r w:rsidRPr="00C758B1">
              <w:rPr>
                <w:rFonts w:ascii="Lato" w:eastAsia="Malgun Gothic" w:hAnsi="Lato"/>
                <w:b/>
                <w:sz w:val="20"/>
                <w:szCs w:val="20"/>
              </w:rPr>
              <w:t>]</w:t>
            </w:r>
          </w:p>
        </w:tc>
        <w:tc>
          <w:tcPr>
            <w:tcW w:w="1105" w:type="dxa"/>
            <w:shd w:val="clear" w:color="auto" w:fill="D9D9D9"/>
            <w:vAlign w:val="center"/>
          </w:tcPr>
          <w:p w14:paraId="24B14106" w14:textId="77777777" w:rsidR="00FD227B" w:rsidRPr="00C758B1" w:rsidRDefault="00FD227B" w:rsidP="00983C18">
            <w:pPr>
              <w:spacing w:line="276" w:lineRule="auto"/>
              <w:ind w:left="-108" w:right="-108"/>
              <w:jc w:val="center"/>
              <w:rPr>
                <w:rFonts w:ascii="Lato" w:eastAsia="Malgun Gothic" w:hAnsi="Lato"/>
                <w:b/>
                <w:sz w:val="20"/>
                <w:szCs w:val="20"/>
              </w:rPr>
            </w:pPr>
            <w:r w:rsidRPr="00C758B1">
              <w:rPr>
                <w:rFonts w:ascii="Lato" w:eastAsia="Malgun Gothic" w:hAnsi="Lato"/>
                <w:b/>
                <w:sz w:val="20"/>
                <w:szCs w:val="20"/>
              </w:rPr>
              <w:t>pojemność czynna</w:t>
            </w:r>
          </w:p>
          <w:p w14:paraId="3F1840EC" w14:textId="77777777" w:rsidR="00FD227B" w:rsidRPr="00C758B1" w:rsidRDefault="00FD227B" w:rsidP="00983C18">
            <w:pPr>
              <w:spacing w:line="276" w:lineRule="auto"/>
              <w:ind w:left="-108" w:right="-108"/>
              <w:jc w:val="center"/>
              <w:rPr>
                <w:rFonts w:ascii="Lato" w:eastAsia="Malgun Gothic" w:hAnsi="Lato"/>
                <w:b/>
                <w:sz w:val="20"/>
                <w:szCs w:val="20"/>
              </w:rPr>
            </w:pPr>
            <w:r w:rsidRPr="00C758B1">
              <w:rPr>
                <w:rFonts w:ascii="Lato" w:eastAsia="Malgun Gothic" w:hAnsi="Lato"/>
                <w:b/>
                <w:sz w:val="20"/>
                <w:szCs w:val="20"/>
              </w:rPr>
              <w:t>[w mln m</w:t>
            </w:r>
            <w:r w:rsidRPr="00C758B1">
              <w:rPr>
                <w:rFonts w:ascii="Lato" w:eastAsia="Malgun Gothic" w:hAnsi="Lato"/>
                <w:b/>
                <w:sz w:val="20"/>
                <w:szCs w:val="20"/>
                <w:vertAlign w:val="superscript"/>
              </w:rPr>
              <w:t>3</w:t>
            </w:r>
            <w:r w:rsidRPr="00C758B1">
              <w:rPr>
                <w:rFonts w:ascii="Lato" w:eastAsia="Malgun Gothic" w:hAnsi="Lato"/>
                <w:b/>
                <w:sz w:val="20"/>
                <w:szCs w:val="20"/>
              </w:rPr>
              <w:t>]</w:t>
            </w:r>
          </w:p>
        </w:tc>
        <w:tc>
          <w:tcPr>
            <w:tcW w:w="1105" w:type="dxa"/>
            <w:shd w:val="clear" w:color="auto" w:fill="D9D9D9"/>
            <w:vAlign w:val="center"/>
          </w:tcPr>
          <w:p w14:paraId="207F6AFD" w14:textId="77777777" w:rsidR="00FD227B" w:rsidRPr="00C758B1" w:rsidRDefault="00FD227B" w:rsidP="00983C18">
            <w:pPr>
              <w:spacing w:line="276" w:lineRule="auto"/>
              <w:ind w:left="-108" w:right="-109"/>
              <w:jc w:val="center"/>
              <w:rPr>
                <w:rFonts w:ascii="Lato" w:eastAsia="Malgun Gothic" w:hAnsi="Lato"/>
                <w:b/>
                <w:sz w:val="20"/>
                <w:szCs w:val="20"/>
              </w:rPr>
            </w:pPr>
            <w:r w:rsidRPr="00C758B1">
              <w:rPr>
                <w:rFonts w:ascii="Lato" w:eastAsia="Malgun Gothic" w:hAnsi="Lato"/>
                <w:b/>
                <w:sz w:val="20"/>
                <w:szCs w:val="20"/>
              </w:rPr>
              <w:t>pojemność buforowa</w:t>
            </w:r>
          </w:p>
          <w:p w14:paraId="533829CD" w14:textId="77777777" w:rsidR="00FD227B" w:rsidRPr="00C758B1" w:rsidRDefault="00FD227B" w:rsidP="00983C18">
            <w:pPr>
              <w:spacing w:line="276" w:lineRule="auto"/>
              <w:ind w:left="-108" w:right="-109"/>
              <w:jc w:val="center"/>
              <w:rPr>
                <w:rFonts w:ascii="Lato" w:eastAsia="Malgun Gothic" w:hAnsi="Lato"/>
                <w:b/>
                <w:sz w:val="20"/>
                <w:szCs w:val="20"/>
              </w:rPr>
            </w:pPr>
            <w:r w:rsidRPr="00C758B1">
              <w:rPr>
                <w:rFonts w:ascii="Lato" w:eastAsia="Malgun Gothic" w:hAnsi="Lato"/>
                <w:b/>
                <w:sz w:val="20"/>
                <w:szCs w:val="20"/>
              </w:rPr>
              <w:t>[w mln m</w:t>
            </w:r>
            <w:r w:rsidRPr="00C758B1">
              <w:rPr>
                <w:rFonts w:ascii="Lato" w:eastAsia="Malgun Gothic" w:hAnsi="Lato"/>
                <w:b/>
                <w:sz w:val="20"/>
                <w:szCs w:val="20"/>
                <w:vertAlign w:val="superscript"/>
              </w:rPr>
              <w:t>3</w:t>
            </w:r>
            <w:r w:rsidRPr="00C758B1">
              <w:rPr>
                <w:rFonts w:ascii="Lato" w:eastAsia="Malgun Gothic" w:hAnsi="Lato"/>
                <w:b/>
                <w:sz w:val="20"/>
                <w:szCs w:val="20"/>
              </w:rPr>
              <w:t>]</w:t>
            </w:r>
          </w:p>
        </w:tc>
        <w:tc>
          <w:tcPr>
            <w:tcW w:w="1519" w:type="dxa"/>
            <w:shd w:val="clear" w:color="auto" w:fill="D9D9D9"/>
            <w:vAlign w:val="center"/>
          </w:tcPr>
          <w:p w14:paraId="2CA878A9" w14:textId="77777777" w:rsidR="00FD227B" w:rsidRPr="00C758B1" w:rsidRDefault="00FD227B" w:rsidP="00983C18">
            <w:pPr>
              <w:spacing w:line="276" w:lineRule="auto"/>
              <w:ind w:left="-107"/>
              <w:jc w:val="center"/>
              <w:rPr>
                <w:rFonts w:ascii="Lato" w:eastAsia="Malgun Gothic" w:hAnsi="Lato"/>
                <w:b/>
                <w:sz w:val="20"/>
                <w:szCs w:val="20"/>
              </w:rPr>
            </w:pPr>
            <w:r w:rsidRPr="00C758B1">
              <w:rPr>
                <w:rFonts w:ascii="Lato" w:eastAsia="Malgun Gothic" w:hAnsi="Lato"/>
                <w:b/>
                <w:sz w:val="20"/>
                <w:szCs w:val="20"/>
              </w:rPr>
              <w:t>Moc odbioru przy 100% napełnieniu</w:t>
            </w:r>
          </w:p>
          <w:p w14:paraId="5629C768" w14:textId="77777777" w:rsidR="00FD227B" w:rsidRPr="00C758B1" w:rsidRDefault="00FD227B" w:rsidP="00983C18">
            <w:pPr>
              <w:spacing w:line="276" w:lineRule="auto"/>
              <w:ind w:left="-107"/>
              <w:jc w:val="center"/>
              <w:rPr>
                <w:rFonts w:ascii="Lato" w:eastAsia="Malgun Gothic" w:hAnsi="Lato"/>
                <w:b/>
                <w:sz w:val="20"/>
                <w:szCs w:val="20"/>
              </w:rPr>
            </w:pPr>
            <w:r w:rsidRPr="00C758B1">
              <w:rPr>
                <w:rFonts w:ascii="Lato" w:eastAsia="Malgun Gothic" w:hAnsi="Lato"/>
                <w:b/>
                <w:sz w:val="20"/>
                <w:szCs w:val="20"/>
              </w:rPr>
              <w:t>[mln m</w:t>
            </w:r>
            <w:r w:rsidRPr="00C758B1">
              <w:rPr>
                <w:rFonts w:ascii="Lato" w:eastAsia="Malgun Gothic" w:hAnsi="Lato"/>
                <w:b/>
                <w:sz w:val="20"/>
                <w:szCs w:val="20"/>
                <w:vertAlign w:val="superscript"/>
              </w:rPr>
              <w:t>3</w:t>
            </w:r>
            <w:r w:rsidRPr="00C758B1">
              <w:rPr>
                <w:rFonts w:ascii="Lato" w:eastAsia="Malgun Gothic" w:hAnsi="Lato"/>
                <w:b/>
                <w:sz w:val="20"/>
                <w:szCs w:val="20"/>
              </w:rPr>
              <w:t>/dobę]</w:t>
            </w:r>
          </w:p>
        </w:tc>
        <w:tc>
          <w:tcPr>
            <w:tcW w:w="1519" w:type="dxa"/>
            <w:shd w:val="clear" w:color="auto" w:fill="D9D9D9"/>
            <w:vAlign w:val="center"/>
          </w:tcPr>
          <w:p w14:paraId="1BD3BCB9" w14:textId="77777777" w:rsidR="00FD227B" w:rsidRPr="00C758B1" w:rsidRDefault="00FD227B" w:rsidP="00983C18">
            <w:pPr>
              <w:spacing w:line="276" w:lineRule="auto"/>
              <w:ind w:left="-107"/>
              <w:jc w:val="center"/>
              <w:rPr>
                <w:rFonts w:ascii="Lato" w:eastAsia="Malgun Gothic" w:hAnsi="Lato"/>
                <w:b/>
                <w:sz w:val="20"/>
                <w:szCs w:val="20"/>
              </w:rPr>
            </w:pPr>
            <w:r w:rsidRPr="00C758B1">
              <w:rPr>
                <w:rFonts w:ascii="Lato" w:eastAsia="Malgun Gothic" w:hAnsi="Lato"/>
                <w:b/>
                <w:sz w:val="20"/>
                <w:szCs w:val="20"/>
              </w:rPr>
              <w:t>Moc odbioru przy 30% napełnienia</w:t>
            </w:r>
          </w:p>
          <w:p w14:paraId="24FBB3D0" w14:textId="77777777" w:rsidR="00FD227B" w:rsidRPr="00C758B1" w:rsidRDefault="00FD227B" w:rsidP="00983C18">
            <w:pPr>
              <w:spacing w:line="276" w:lineRule="auto"/>
              <w:ind w:left="-107"/>
              <w:jc w:val="center"/>
              <w:rPr>
                <w:rFonts w:ascii="Lato" w:eastAsia="Malgun Gothic" w:hAnsi="Lato"/>
                <w:b/>
                <w:sz w:val="20"/>
                <w:szCs w:val="20"/>
              </w:rPr>
            </w:pPr>
            <w:r w:rsidRPr="00C758B1">
              <w:rPr>
                <w:rFonts w:ascii="Lato" w:eastAsia="Malgun Gothic" w:hAnsi="Lato"/>
                <w:b/>
                <w:sz w:val="20"/>
                <w:szCs w:val="20"/>
              </w:rPr>
              <w:t>[mln m</w:t>
            </w:r>
            <w:r w:rsidRPr="00C758B1">
              <w:rPr>
                <w:rFonts w:ascii="Lato" w:eastAsia="Malgun Gothic" w:hAnsi="Lato"/>
                <w:b/>
                <w:sz w:val="20"/>
                <w:szCs w:val="20"/>
                <w:vertAlign w:val="superscript"/>
              </w:rPr>
              <w:t>3</w:t>
            </w:r>
            <w:r w:rsidRPr="00C758B1">
              <w:rPr>
                <w:rFonts w:ascii="Lato" w:eastAsia="Malgun Gothic" w:hAnsi="Lato"/>
                <w:b/>
                <w:sz w:val="20"/>
                <w:szCs w:val="20"/>
              </w:rPr>
              <w:t>/dobę]</w:t>
            </w:r>
          </w:p>
        </w:tc>
      </w:tr>
      <w:tr w:rsidR="00FD227B" w:rsidRPr="00C758B1" w14:paraId="4A0BC221" w14:textId="77777777" w:rsidTr="00270AE5">
        <w:trPr>
          <w:trHeight w:val="703"/>
          <w:jc w:val="center"/>
        </w:trPr>
        <w:tc>
          <w:tcPr>
            <w:tcW w:w="1653" w:type="dxa"/>
            <w:vAlign w:val="center"/>
          </w:tcPr>
          <w:p w14:paraId="6C81DE61" w14:textId="77777777" w:rsidR="00FD227B" w:rsidRPr="00C758B1" w:rsidRDefault="00FD227B" w:rsidP="00983C18">
            <w:pPr>
              <w:spacing w:line="276" w:lineRule="auto"/>
              <w:jc w:val="center"/>
              <w:rPr>
                <w:rFonts w:ascii="Lato" w:eastAsia="Malgun Gothic" w:hAnsi="Lato"/>
                <w:sz w:val="20"/>
                <w:szCs w:val="20"/>
              </w:rPr>
            </w:pPr>
            <w:r w:rsidRPr="00C758B1">
              <w:rPr>
                <w:rFonts w:ascii="Lato" w:eastAsia="Malgun Gothic" w:hAnsi="Lato"/>
                <w:sz w:val="20"/>
                <w:szCs w:val="20"/>
              </w:rPr>
              <w:t>Wierzchowice</w:t>
            </w:r>
          </w:p>
        </w:tc>
        <w:tc>
          <w:tcPr>
            <w:tcW w:w="2073" w:type="dxa"/>
            <w:vAlign w:val="center"/>
          </w:tcPr>
          <w:p w14:paraId="4D3D31D6" w14:textId="77777777" w:rsidR="00FD227B" w:rsidRPr="00C758B1" w:rsidRDefault="00FD227B" w:rsidP="00983C18">
            <w:pPr>
              <w:spacing w:line="276" w:lineRule="auto"/>
              <w:jc w:val="center"/>
              <w:rPr>
                <w:rFonts w:ascii="Lato" w:eastAsia="Malgun Gothic" w:hAnsi="Lato"/>
                <w:sz w:val="20"/>
                <w:szCs w:val="20"/>
              </w:rPr>
            </w:pPr>
            <w:r w:rsidRPr="00C758B1">
              <w:rPr>
                <w:rFonts w:ascii="Lato" w:eastAsia="Malgun Gothic" w:hAnsi="Lato"/>
                <w:sz w:val="20"/>
                <w:szCs w:val="20"/>
              </w:rPr>
              <w:t>złoże wyeksploatowane</w:t>
            </w:r>
          </w:p>
        </w:tc>
        <w:tc>
          <w:tcPr>
            <w:tcW w:w="1105" w:type="dxa"/>
            <w:vAlign w:val="center"/>
          </w:tcPr>
          <w:p w14:paraId="3FADCFA9" w14:textId="77777777" w:rsidR="00FD227B" w:rsidRPr="00C758B1" w:rsidRDefault="00FD227B" w:rsidP="00983C18">
            <w:pPr>
              <w:spacing w:line="276" w:lineRule="auto"/>
              <w:jc w:val="center"/>
              <w:rPr>
                <w:rFonts w:ascii="Lato" w:eastAsia="Malgun Gothic" w:hAnsi="Lato"/>
                <w:sz w:val="20"/>
                <w:szCs w:val="20"/>
              </w:rPr>
            </w:pPr>
            <w:r w:rsidRPr="00C758B1">
              <w:rPr>
                <w:rFonts w:ascii="Lato" w:eastAsia="Malgun Gothic" w:hAnsi="Lato"/>
                <w:sz w:val="20"/>
                <w:szCs w:val="20"/>
              </w:rPr>
              <w:t xml:space="preserve">7 028,1 </w:t>
            </w:r>
          </w:p>
        </w:tc>
        <w:tc>
          <w:tcPr>
            <w:tcW w:w="1105" w:type="dxa"/>
            <w:vAlign w:val="center"/>
          </w:tcPr>
          <w:p w14:paraId="0A0455F9" w14:textId="77777777" w:rsidR="00FD227B" w:rsidRPr="00C758B1" w:rsidRDefault="00FD227B" w:rsidP="00983C18">
            <w:pPr>
              <w:spacing w:line="276" w:lineRule="auto"/>
              <w:jc w:val="center"/>
              <w:rPr>
                <w:rFonts w:ascii="Lato" w:eastAsia="Malgun Gothic" w:hAnsi="Lato"/>
                <w:b/>
                <w:sz w:val="20"/>
                <w:szCs w:val="20"/>
              </w:rPr>
            </w:pPr>
            <w:r w:rsidRPr="00C758B1">
              <w:rPr>
                <w:rFonts w:ascii="Lato" w:eastAsia="Malgun Gothic" w:hAnsi="Lato"/>
                <w:b/>
                <w:sz w:val="20"/>
                <w:szCs w:val="20"/>
              </w:rPr>
              <w:t>1 300,0</w:t>
            </w:r>
          </w:p>
        </w:tc>
        <w:tc>
          <w:tcPr>
            <w:tcW w:w="1105" w:type="dxa"/>
            <w:vAlign w:val="center"/>
          </w:tcPr>
          <w:p w14:paraId="6362E12F" w14:textId="77777777" w:rsidR="00FD227B" w:rsidRPr="00C758B1" w:rsidRDefault="00FD227B" w:rsidP="00983C18">
            <w:pPr>
              <w:spacing w:line="276" w:lineRule="auto"/>
              <w:jc w:val="center"/>
              <w:rPr>
                <w:rFonts w:ascii="Lato" w:eastAsia="Malgun Gothic" w:hAnsi="Lato"/>
                <w:sz w:val="20"/>
                <w:szCs w:val="20"/>
              </w:rPr>
            </w:pPr>
            <w:r w:rsidRPr="00C758B1">
              <w:rPr>
                <w:rFonts w:ascii="Lato" w:eastAsia="Malgun Gothic" w:hAnsi="Lato"/>
                <w:sz w:val="20"/>
                <w:szCs w:val="20"/>
              </w:rPr>
              <w:t>5 728,1</w:t>
            </w:r>
          </w:p>
        </w:tc>
        <w:tc>
          <w:tcPr>
            <w:tcW w:w="1519" w:type="dxa"/>
            <w:vAlign w:val="center"/>
          </w:tcPr>
          <w:p w14:paraId="6365BCF6" w14:textId="77777777" w:rsidR="00FD227B" w:rsidRPr="00C758B1" w:rsidRDefault="00FD227B" w:rsidP="00983C18">
            <w:pPr>
              <w:spacing w:line="276" w:lineRule="auto"/>
              <w:jc w:val="center"/>
              <w:rPr>
                <w:rFonts w:ascii="Lato" w:eastAsia="Malgun Gothic" w:hAnsi="Lato"/>
                <w:sz w:val="20"/>
                <w:szCs w:val="20"/>
              </w:rPr>
            </w:pPr>
            <w:r w:rsidRPr="00C758B1">
              <w:rPr>
                <w:rFonts w:ascii="Lato" w:eastAsia="Malgun Gothic" w:hAnsi="Lato"/>
                <w:sz w:val="20"/>
                <w:szCs w:val="20"/>
              </w:rPr>
              <w:t>14,40</w:t>
            </w:r>
          </w:p>
        </w:tc>
        <w:tc>
          <w:tcPr>
            <w:tcW w:w="1519" w:type="dxa"/>
            <w:vAlign w:val="center"/>
          </w:tcPr>
          <w:p w14:paraId="510F10FE" w14:textId="77777777" w:rsidR="00FD227B" w:rsidRPr="00C758B1" w:rsidRDefault="00FD227B" w:rsidP="00983C18">
            <w:pPr>
              <w:spacing w:line="276" w:lineRule="auto"/>
              <w:jc w:val="center"/>
              <w:rPr>
                <w:rFonts w:ascii="Lato" w:eastAsia="Malgun Gothic" w:hAnsi="Lato"/>
                <w:sz w:val="20"/>
                <w:szCs w:val="20"/>
              </w:rPr>
            </w:pPr>
            <w:r w:rsidRPr="00C758B1">
              <w:rPr>
                <w:rFonts w:ascii="Lato" w:eastAsia="Malgun Gothic" w:hAnsi="Lato"/>
                <w:sz w:val="20"/>
                <w:szCs w:val="20"/>
              </w:rPr>
              <w:t xml:space="preserve">12,24 </w:t>
            </w:r>
          </w:p>
        </w:tc>
      </w:tr>
      <w:tr w:rsidR="00FD227B" w:rsidRPr="00C758B1" w14:paraId="4A5C5508" w14:textId="77777777" w:rsidTr="00270AE5">
        <w:trPr>
          <w:trHeight w:val="419"/>
          <w:jc w:val="center"/>
        </w:trPr>
        <w:tc>
          <w:tcPr>
            <w:tcW w:w="1653" w:type="dxa"/>
            <w:vAlign w:val="center"/>
          </w:tcPr>
          <w:p w14:paraId="40234E5F" w14:textId="77777777" w:rsidR="00FD227B" w:rsidRPr="00C758B1" w:rsidRDefault="00FD227B" w:rsidP="00983C18">
            <w:pPr>
              <w:spacing w:line="276" w:lineRule="auto"/>
              <w:jc w:val="center"/>
              <w:rPr>
                <w:rFonts w:ascii="Lato" w:eastAsia="Malgun Gothic" w:hAnsi="Lato"/>
                <w:sz w:val="20"/>
                <w:szCs w:val="20"/>
              </w:rPr>
            </w:pPr>
            <w:r w:rsidRPr="00C758B1">
              <w:rPr>
                <w:rFonts w:ascii="Lato" w:eastAsia="Malgun Gothic" w:hAnsi="Lato"/>
                <w:sz w:val="20"/>
                <w:szCs w:val="20"/>
              </w:rPr>
              <w:t>Mogilno</w:t>
            </w:r>
          </w:p>
        </w:tc>
        <w:tc>
          <w:tcPr>
            <w:tcW w:w="2073" w:type="dxa"/>
            <w:vAlign w:val="center"/>
          </w:tcPr>
          <w:p w14:paraId="258258F2" w14:textId="77777777" w:rsidR="00FD227B" w:rsidRPr="00C758B1" w:rsidRDefault="00FD227B" w:rsidP="00983C18">
            <w:pPr>
              <w:spacing w:line="276" w:lineRule="auto"/>
              <w:jc w:val="center"/>
              <w:rPr>
                <w:rFonts w:ascii="Lato" w:eastAsia="Malgun Gothic" w:hAnsi="Lato"/>
                <w:sz w:val="20"/>
                <w:szCs w:val="20"/>
              </w:rPr>
            </w:pPr>
            <w:r w:rsidRPr="00C758B1">
              <w:rPr>
                <w:rFonts w:ascii="Lato" w:eastAsia="Malgun Gothic" w:hAnsi="Lato"/>
                <w:sz w:val="20"/>
                <w:szCs w:val="20"/>
              </w:rPr>
              <w:t>kawerny solne</w:t>
            </w:r>
          </w:p>
        </w:tc>
        <w:tc>
          <w:tcPr>
            <w:tcW w:w="1105" w:type="dxa"/>
            <w:vAlign w:val="center"/>
          </w:tcPr>
          <w:p w14:paraId="149B0BDE" w14:textId="77777777" w:rsidR="00FD227B" w:rsidRPr="00C758B1" w:rsidRDefault="00FD227B" w:rsidP="00983C18">
            <w:pPr>
              <w:spacing w:line="276" w:lineRule="auto"/>
              <w:jc w:val="center"/>
              <w:rPr>
                <w:rFonts w:ascii="Lato" w:eastAsia="Malgun Gothic" w:hAnsi="Lato"/>
                <w:sz w:val="20"/>
                <w:szCs w:val="20"/>
              </w:rPr>
            </w:pPr>
            <w:r w:rsidRPr="00C758B1">
              <w:rPr>
                <w:rFonts w:ascii="Lato" w:eastAsia="Malgun Gothic" w:hAnsi="Lato"/>
                <w:sz w:val="20"/>
                <w:szCs w:val="20"/>
              </w:rPr>
              <w:t xml:space="preserve">821,2 </w:t>
            </w:r>
          </w:p>
        </w:tc>
        <w:tc>
          <w:tcPr>
            <w:tcW w:w="1105" w:type="dxa"/>
            <w:vAlign w:val="center"/>
          </w:tcPr>
          <w:p w14:paraId="1B22EFDC" w14:textId="77777777" w:rsidR="00FD227B" w:rsidRPr="00C758B1" w:rsidRDefault="00FD227B" w:rsidP="00983C18">
            <w:pPr>
              <w:spacing w:line="276" w:lineRule="auto"/>
              <w:jc w:val="center"/>
              <w:rPr>
                <w:rFonts w:ascii="Lato" w:eastAsia="Malgun Gothic" w:hAnsi="Lato"/>
                <w:b/>
                <w:sz w:val="20"/>
                <w:szCs w:val="20"/>
              </w:rPr>
            </w:pPr>
            <w:r w:rsidRPr="00C758B1">
              <w:rPr>
                <w:rFonts w:ascii="Lato" w:eastAsia="Malgun Gothic" w:hAnsi="Lato"/>
                <w:b/>
                <w:sz w:val="20"/>
                <w:szCs w:val="20"/>
              </w:rPr>
              <w:t>580,9</w:t>
            </w:r>
          </w:p>
        </w:tc>
        <w:tc>
          <w:tcPr>
            <w:tcW w:w="1105" w:type="dxa"/>
            <w:vAlign w:val="center"/>
          </w:tcPr>
          <w:p w14:paraId="265884D8" w14:textId="77777777" w:rsidR="00FD227B" w:rsidRPr="00C758B1" w:rsidRDefault="00FD227B" w:rsidP="00983C18">
            <w:pPr>
              <w:spacing w:line="276" w:lineRule="auto"/>
              <w:jc w:val="center"/>
              <w:rPr>
                <w:rFonts w:ascii="Lato" w:eastAsia="Malgun Gothic" w:hAnsi="Lato"/>
                <w:sz w:val="20"/>
                <w:szCs w:val="20"/>
              </w:rPr>
            </w:pPr>
            <w:r w:rsidRPr="00C758B1">
              <w:rPr>
                <w:rFonts w:ascii="Lato" w:eastAsia="Malgun Gothic" w:hAnsi="Lato"/>
                <w:sz w:val="20"/>
                <w:szCs w:val="20"/>
              </w:rPr>
              <w:t xml:space="preserve">240,3 </w:t>
            </w:r>
          </w:p>
        </w:tc>
        <w:tc>
          <w:tcPr>
            <w:tcW w:w="1519" w:type="dxa"/>
            <w:vAlign w:val="center"/>
          </w:tcPr>
          <w:p w14:paraId="2CED159B" w14:textId="77777777" w:rsidR="00FD227B" w:rsidRPr="00C758B1" w:rsidRDefault="00FD227B" w:rsidP="00983C18">
            <w:pPr>
              <w:spacing w:line="276" w:lineRule="auto"/>
              <w:jc w:val="center"/>
              <w:rPr>
                <w:rFonts w:ascii="Lato" w:eastAsia="Malgun Gothic" w:hAnsi="Lato"/>
                <w:sz w:val="20"/>
                <w:szCs w:val="20"/>
              </w:rPr>
            </w:pPr>
            <w:r w:rsidRPr="00C758B1">
              <w:rPr>
                <w:rFonts w:ascii="Lato" w:eastAsia="Malgun Gothic" w:hAnsi="Lato"/>
                <w:sz w:val="20"/>
                <w:szCs w:val="20"/>
              </w:rPr>
              <w:t>18,00</w:t>
            </w:r>
          </w:p>
        </w:tc>
        <w:tc>
          <w:tcPr>
            <w:tcW w:w="1519" w:type="dxa"/>
            <w:vAlign w:val="center"/>
          </w:tcPr>
          <w:p w14:paraId="1E62AB8F" w14:textId="77777777" w:rsidR="00FD227B" w:rsidRPr="00C758B1" w:rsidRDefault="00FD227B" w:rsidP="00983C18">
            <w:pPr>
              <w:spacing w:line="276" w:lineRule="auto"/>
              <w:jc w:val="center"/>
              <w:rPr>
                <w:rFonts w:ascii="Lato" w:eastAsia="Malgun Gothic" w:hAnsi="Lato"/>
                <w:sz w:val="20"/>
                <w:szCs w:val="20"/>
              </w:rPr>
            </w:pPr>
            <w:r w:rsidRPr="00C758B1">
              <w:rPr>
                <w:rFonts w:ascii="Lato" w:eastAsia="Malgun Gothic" w:hAnsi="Lato"/>
                <w:sz w:val="20"/>
                <w:szCs w:val="20"/>
              </w:rPr>
              <w:t>11,52</w:t>
            </w:r>
          </w:p>
        </w:tc>
      </w:tr>
      <w:tr w:rsidR="00FD227B" w:rsidRPr="00C758B1" w14:paraId="53BBF2BF" w14:textId="77777777" w:rsidTr="00270AE5">
        <w:trPr>
          <w:trHeight w:val="693"/>
          <w:jc w:val="center"/>
        </w:trPr>
        <w:tc>
          <w:tcPr>
            <w:tcW w:w="1653" w:type="dxa"/>
            <w:vAlign w:val="center"/>
          </w:tcPr>
          <w:p w14:paraId="5336E3B4" w14:textId="77777777" w:rsidR="00FD227B" w:rsidRPr="00C758B1" w:rsidRDefault="00FD227B" w:rsidP="00983C18">
            <w:pPr>
              <w:spacing w:line="276" w:lineRule="auto"/>
              <w:jc w:val="center"/>
              <w:rPr>
                <w:rFonts w:ascii="Lato" w:eastAsia="Malgun Gothic" w:hAnsi="Lato"/>
                <w:sz w:val="20"/>
                <w:szCs w:val="20"/>
              </w:rPr>
            </w:pPr>
            <w:r w:rsidRPr="00C758B1">
              <w:rPr>
                <w:rFonts w:ascii="Lato" w:eastAsia="Malgun Gothic" w:hAnsi="Lato"/>
                <w:sz w:val="20"/>
                <w:szCs w:val="20"/>
              </w:rPr>
              <w:t>Husów</w:t>
            </w:r>
          </w:p>
        </w:tc>
        <w:tc>
          <w:tcPr>
            <w:tcW w:w="2073" w:type="dxa"/>
            <w:vAlign w:val="center"/>
          </w:tcPr>
          <w:p w14:paraId="7BCA5B63" w14:textId="77777777" w:rsidR="00FD227B" w:rsidRPr="00C758B1" w:rsidRDefault="00FD227B" w:rsidP="00983C18">
            <w:pPr>
              <w:spacing w:line="276" w:lineRule="auto"/>
              <w:jc w:val="center"/>
              <w:rPr>
                <w:rFonts w:ascii="Lato" w:eastAsia="Malgun Gothic" w:hAnsi="Lato"/>
                <w:sz w:val="20"/>
                <w:szCs w:val="20"/>
              </w:rPr>
            </w:pPr>
            <w:r w:rsidRPr="00C758B1">
              <w:rPr>
                <w:rFonts w:ascii="Lato" w:eastAsia="Malgun Gothic" w:hAnsi="Lato"/>
                <w:sz w:val="20"/>
                <w:szCs w:val="20"/>
              </w:rPr>
              <w:t>złoże wyeksploatowane</w:t>
            </w:r>
          </w:p>
        </w:tc>
        <w:tc>
          <w:tcPr>
            <w:tcW w:w="1105" w:type="dxa"/>
            <w:vAlign w:val="center"/>
          </w:tcPr>
          <w:p w14:paraId="1D20CD7E" w14:textId="77777777" w:rsidR="00FD227B" w:rsidRPr="00C758B1" w:rsidRDefault="00FD227B" w:rsidP="00983C18">
            <w:pPr>
              <w:spacing w:line="276" w:lineRule="auto"/>
              <w:jc w:val="center"/>
              <w:rPr>
                <w:rFonts w:ascii="Lato" w:eastAsia="Malgun Gothic" w:hAnsi="Lato"/>
                <w:sz w:val="20"/>
                <w:szCs w:val="20"/>
              </w:rPr>
            </w:pPr>
            <w:r w:rsidRPr="00C758B1">
              <w:rPr>
                <w:rFonts w:ascii="Lato" w:eastAsia="Malgun Gothic" w:hAnsi="Lato"/>
                <w:sz w:val="20"/>
                <w:szCs w:val="20"/>
              </w:rPr>
              <w:t>1 000,0</w:t>
            </w:r>
          </w:p>
        </w:tc>
        <w:tc>
          <w:tcPr>
            <w:tcW w:w="1105" w:type="dxa"/>
            <w:vAlign w:val="center"/>
          </w:tcPr>
          <w:p w14:paraId="0E781D3D" w14:textId="77777777" w:rsidR="00FD227B" w:rsidRPr="00C758B1" w:rsidRDefault="00FD227B" w:rsidP="00983C18">
            <w:pPr>
              <w:spacing w:line="276" w:lineRule="auto"/>
              <w:jc w:val="center"/>
              <w:rPr>
                <w:rFonts w:ascii="Lato" w:eastAsia="Malgun Gothic" w:hAnsi="Lato"/>
                <w:b/>
                <w:sz w:val="20"/>
                <w:szCs w:val="20"/>
              </w:rPr>
            </w:pPr>
            <w:r w:rsidRPr="00C758B1">
              <w:rPr>
                <w:rFonts w:ascii="Lato" w:eastAsia="Malgun Gothic" w:hAnsi="Lato"/>
                <w:b/>
                <w:sz w:val="20"/>
                <w:szCs w:val="20"/>
              </w:rPr>
              <w:t>500,0</w:t>
            </w:r>
          </w:p>
        </w:tc>
        <w:tc>
          <w:tcPr>
            <w:tcW w:w="1105" w:type="dxa"/>
            <w:vAlign w:val="center"/>
          </w:tcPr>
          <w:p w14:paraId="3106650F" w14:textId="77777777" w:rsidR="00FD227B" w:rsidRPr="00C758B1" w:rsidRDefault="00FD227B" w:rsidP="00983C18">
            <w:pPr>
              <w:spacing w:line="276" w:lineRule="auto"/>
              <w:jc w:val="center"/>
              <w:rPr>
                <w:rFonts w:ascii="Lato" w:eastAsia="Malgun Gothic" w:hAnsi="Lato"/>
                <w:sz w:val="20"/>
                <w:szCs w:val="20"/>
              </w:rPr>
            </w:pPr>
            <w:r w:rsidRPr="00C758B1">
              <w:rPr>
                <w:rFonts w:ascii="Lato" w:eastAsia="Malgun Gothic" w:hAnsi="Lato"/>
                <w:sz w:val="20"/>
                <w:szCs w:val="20"/>
              </w:rPr>
              <w:t>500,0</w:t>
            </w:r>
          </w:p>
        </w:tc>
        <w:tc>
          <w:tcPr>
            <w:tcW w:w="1519" w:type="dxa"/>
            <w:vAlign w:val="center"/>
          </w:tcPr>
          <w:p w14:paraId="5D5FB741" w14:textId="77777777" w:rsidR="00FD227B" w:rsidRPr="00C758B1" w:rsidRDefault="00FD227B" w:rsidP="00983C18">
            <w:pPr>
              <w:spacing w:line="276" w:lineRule="auto"/>
              <w:jc w:val="center"/>
              <w:rPr>
                <w:rFonts w:ascii="Lato" w:eastAsia="Malgun Gothic" w:hAnsi="Lato"/>
                <w:sz w:val="20"/>
                <w:szCs w:val="20"/>
              </w:rPr>
            </w:pPr>
            <w:r w:rsidRPr="00C758B1">
              <w:rPr>
                <w:rFonts w:ascii="Lato" w:eastAsia="Malgun Gothic" w:hAnsi="Lato"/>
                <w:sz w:val="20"/>
                <w:szCs w:val="20"/>
              </w:rPr>
              <w:t>5,76</w:t>
            </w:r>
          </w:p>
        </w:tc>
        <w:tc>
          <w:tcPr>
            <w:tcW w:w="1519" w:type="dxa"/>
            <w:vAlign w:val="center"/>
          </w:tcPr>
          <w:p w14:paraId="3C062B67" w14:textId="77777777" w:rsidR="00FD227B" w:rsidRPr="00C758B1" w:rsidRDefault="00FD227B" w:rsidP="00983C18">
            <w:pPr>
              <w:spacing w:line="276" w:lineRule="auto"/>
              <w:jc w:val="center"/>
              <w:rPr>
                <w:rFonts w:ascii="Lato" w:eastAsia="Malgun Gothic" w:hAnsi="Lato"/>
                <w:sz w:val="20"/>
                <w:szCs w:val="20"/>
              </w:rPr>
            </w:pPr>
            <w:r w:rsidRPr="00C758B1">
              <w:rPr>
                <w:rFonts w:ascii="Lato" w:eastAsia="Malgun Gothic" w:hAnsi="Lato"/>
                <w:sz w:val="20"/>
                <w:szCs w:val="20"/>
              </w:rPr>
              <w:t>4,17</w:t>
            </w:r>
          </w:p>
        </w:tc>
      </w:tr>
      <w:tr w:rsidR="00FD227B" w:rsidRPr="00C758B1" w14:paraId="7B557488" w14:textId="77777777" w:rsidTr="00270AE5">
        <w:trPr>
          <w:trHeight w:val="703"/>
          <w:jc w:val="center"/>
        </w:trPr>
        <w:tc>
          <w:tcPr>
            <w:tcW w:w="1653" w:type="dxa"/>
            <w:vAlign w:val="center"/>
          </w:tcPr>
          <w:p w14:paraId="6C5C6B8A" w14:textId="77777777" w:rsidR="00FD227B" w:rsidRPr="00C758B1" w:rsidRDefault="00FD227B" w:rsidP="00983C18">
            <w:pPr>
              <w:spacing w:line="276" w:lineRule="auto"/>
              <w:jc w:val="center"/>
              <w:rPr>
                <w:rFonts w:ascii="Lato" w:eastAsia="Malgun Gothic" w:hAnsi="Lato"/>
                <w:sz w:val="20"/>
                <w:szCs w:val="20"/>
              </w:rPr>
            </w:pPr>
            <w:r w:rsidRPr="00C758B1">
              <w:rPr>
                <w:rFonts w:ascii="Lato" w:eastAsia="Malgun Gothic" w:hAnsi="Lato"/>
                <w:sz w:val="20"/>
                <w:szCs w:val="20"/>
              </w:rPr>
              <w:t>Strachocina</w:t>
            </w:r>
          </w:p>
        </w:tc>
        <w:tc>
          <w:tcPr>
            <w:tcW w:w="2073" w:type="dxa"/>
            <w:vAlign w:val="center"/>
          </w:tcPr>
          <w:p w14:paraId="30968B63" w14:textId="77777777" w:rsidR="00FD227B" w:rsidRPr="00C758B1" w:rsidRDefault="00FD227B" w:rsidP="00983C18">
            <w:pPr>
              <w:spacing w:line="276" w:lineRule="auto"/>
              <w:jc w:val="center"/>
              <w:rPr>
                <w:rFonts w:ascii="Lato" w:eastAsia="Malgun Gothic" w:hAnsi="Lato"/>
                <w:sz w:val="20"/>
                <w:szCs w:val="20"/>
              </w:rPr>
            </w:pPr>
            <w:r w:rsidRPr="00C758B1">
              <w:rPr>
                <w:rFonts w:ascii="Lato" w:eastAsia="Malgun Gothic" w:hAnsi="Lato"/>
                <w:sz w:val="20"/>
                <w:szCs w:val="20"/>
              </w:rPr>
              <w:t>złoże wyeksploatowane</w:t>
            </w:r>
          </w:p>
        </w:tc>
        <w:tc>
          <w:tcPr>
            <w:tcW w:w="1105" w:type="dxa"/>
            <w:vAlign w:val="center"/>
          </w:tcPr>
          <w:p w14:paraId="1A6E315B" w14:textId="77777777" w:rsidR="00FD227B" w:rsidRPr="00C758B1" w:rsidRDefault="00FD227B" w:rsidP="00983C18">
            <w:pPr>
              <w:spacing w:line="276" w:lineRule="auto"/>
              <w:jc w:val="center"/>
              <w:rPr>
                <w:rFonts w:ascii="Lato" w:eastAsia="Malgun Gothic" w:hAnsi="Lato"/>
                <w:sz w:val="20"/>
                <w:szCs w:val="20"/>
              </w:rPr>
            </w:pPr>
            <w:r w:rsidRPr="00C758B1">
              <w:rPr>
                <w:rFonts w:ascii="Lato" w:eastAsia="Malgun Gothic" w:hAnsi="Lato"/>
                <w:sz w:val="20"/>
                <w:szCs w:val="20"/>
              </w:rPr>
              <w:t>890,9</w:t>
            </w:r>
          </w:p>
        </w:tc>
        <w:tc>
          <w:tcPr>
            <w:tcW w:w="1105" w:type="dxa"/>
            <w:vAlign w:val="center"/>
          </w:tcPr>
          <w:p w14:paraId="1068221D" w14:textId="77777777" w:rsidR="00FD227B" w:rsidRPr="00C758B1" w:rsidRDefault="00FD227B" w:rsidP="00983C18">
            <w:pPr>
              <w:spacing w:line="276" w:lineRule="auto"/>
              <w:jc w:val="center"/>
              <w:rPr>
                <w:rFonts w:ascii="Lato" w:eastAsia="Malgun Gothic" w:hAnsi="Lato"/>
                <w:b/>
                <w:sz w:val="20"/>
                <w:szCs w:val="20"/>
              </w:rPr>
            </w:pPr>
            <w:r w:rsidRPr="00C758B1">
              <w:rPr>
                <w:rFonts w:ascii="Lato" w:eastAsia="Malgun Gothic" w:hAnsi="Lato"/>
                <w:b/>
                <w:sz w:val="20"/>
                <w:szCs w:val="20"/>
              </w:rPr>
              <w:t>360,0</w:t>
            </w:r>
          </w:p>
        </w:tc>
        <w:tc>
          <w:tcPr>
            <w:tcW w:w="1105" w:type="dxa"/>
            <w:vAlign w:val="center"/>
          </w:tcPr>
          <w:p w14:paraId="05F172E7" w14:textId="77777777" w:rsidR="00FD227B" w:rsidRPr="00C758B1" w:rsidRDefault="00FD227B" w:rsidP="00983C18">
            <w:pPr>
              <w:spacing w:line="276" w:lineRule="auto"/>
              <w:jc w:val="center"/>
              <w:rPr>
                <w:rFonts w:ascii="Lato" w:eastAsia="Malgun Gothic" w:hAnsi="Lato"/>
                <w:sz w:val="20"/>
                <w:szCs w:val="20"/>
              </w:rPr>
            </w:pPr>
            <w:r w:rsidRPr="00C758B1">
              <w:rPr>
                <w:rFonts w:ascii="Lato" w:eastAsia="Malgun Gothic" w:hAnsi="Lato"/>
                <w:sz w:val="20"/>
                <w:szCs w:val="20"/>
              </w:rPr>
              <w:t>530,9</w:t>
            </w:r>
          </w:p>
        </w:tc>
        <w:tc>
          <w:tcPr>
            <w:tcW w:w="1519" w:type="dxa"/>
            <w:vAlign w:val="center"/>
          </w:tcPr>
          <w:p w14:paraId="1AD1BC85" w14:textId="77777777" w:rsidR="00FD227B" w:rsidRPr="00C758B1" w:rsidRDefault="00FD227B" w:rsidP="00983C18">
            <w:pPr>
              <w:spacing w:line="276" w:lineRule="auto"/>
              <w:jc w:val="center"/>
              <w:rPr>
                <w:rFonts w:ascii="Lato" w:eastAsia="Malgun Gothic" w:hAnsi="Lato"/>
                <w:sz w:val="20"/>
                <w:szCs w:val="20"/>
              </w:rPr>
            </w:pPr>
            <w:r w:rsidRPr="00C758B1">
              <w:rPr>
                <w:rFonts w:ascii="Lato" w:eastAsia="Malgun Gothic" w:hAnsi="Lato"/>
                <w:sz w:val="20"/>
                <w:szCs w:val="20"/>
              </w:rPr>
              <w:t>3,36</w:t>
            </w:r>
          </w:p>
        </w:tc>
        <w:tc>
          <w:tcPr>
            <w:tcW w:w="1519" w:type="dxa"/>
            <w:vAlign w:val="center"/>
          </w:tcPr>
          <w:p w14:paraId="7B3A016C" w14:textId="77777777" w:rsidR="00FD227B" w:rsidRPr="00C758B1" w:rsidRDefault="00FD227B" w:rsidP="00983C18">
            <w:pPr>
              <w:spacing w:line="276" w:lineRule="auto"/>
              <w:jc w:val="center"/>
              <w:rPr>
                <w:rFonts w:ascii="Lato" w:eastAsia="Malgun Gothic" w:hAnsi="Lato"/>
                <w:sz w:val="20"/>
                <w:szCs w:val="20"/>
              </w:rPr>
            </w:pPr>
            <w:r w:rsidRPr="00C758B1">
              <w:rPr>
                <w:rFonts w:ascii="Lato" w:eastAsia="Malgun Gothic" w:hAnsi="Lato"/>
                <w:sz w:val="20"/>
                <w:szCs w:val="20"/>
              </w:rPr>
              <w:t>2,35</w:t>
            </w:r>
          </w:p>
        </w:tc>
      </w:tr>
      <w:tr w:rsidR="00FD227B" w:rsidRPr="00C758B1" w14:paraId="32E54DB6" w14:textId="77777777" w:rsidTr="00270AE5">
        <w:trPr>
          <w:trHeight w:val="693"/>
          <w:jc w:val="center"/>
        </w:trPr>
        <w:tc>
          <w:tcPr>
            <w:tcW w:w="1653" w:type="dxa"/>
            <w:vAlign w:val="center"/>
          </w:tcPr>
          <w:p w14:paraId="18647F9E" w14:textId="77777777" w:rsidR="00FD227B" w:rsidRPr="00C758B1" w:rsidRDefault="00FD227B" w:rsidP="00983C18">
            <w:pPr>
              <w:spacing w:line="276" w:lineRule="auto"/>
              <w:jc w:val="center"/>
              <w:rPr>
                <w:rFonts w:ascii="Lato" w:eastAsia="Malgun Gothic" w:hAnsi="Lato"/>
                <w:sz w:val="20"/>
                <w:szCs w:val="20"/>
              </w:rPr>
            </w:pPr>
            <w:r w:rsidRPr="00C758B1">
              <w:rPr>
                <w:rFonts w:ascii="Lato" w:eastAsia="Malgun Gothic" w:hAnsi="Lato"/>
                <w:sz w:val="20"/>
                <w:szCs w:val="20"/>
              </w:rPr>
              <w:t>Swarzów</w:t>
            </w:r>
          </w:p>
        </w:tc>
        <w:tc>
          <w:tcPr>
            <w:tcW w:w="2073" w:type="dxa"/>
            <w:vAlign w:val="center"/>
          </w:tcPr>
          <w:p w14:paraId="62808DC3" w14:textId="77777777" w:rsidR="00FD227B" w:rsidRPr="00C758B1" w:rsidRDefault="00FD227B" w:rsidP="00983C18">
            <w:pPr>
              <w:spacing w:line="276" w:lineRule="auto"/>
              <w:jc w:val="center"/>
              <w:rPr>
                <w:rFonts w:ascii="Lato" w:eastAsia="Malgun Gothic" w:hAnsi="Lato"/>
                <w:sz w:val="20"/>
                <w:szCs w:val="20"/>
              </w:rPr>
            </w:pPr>
            <w:r w:rsidRPr="00C758B1">
              <w:rPr>
                <w:rFonts w:ascii="Lato" w:eastAsia="Malgun Gothic" w:hAnsi="Lato"/>
                <w:sz w:val="20"/>
                <w:szCs w:val="20"/>
              </w:rPr>
              <w:t>złoże wyeksploatowane</w:t>
            </w:r>
          </w:p>
        </w:tc>
        <w:tc>
          <w:tcPr>
            <w:tcW w:w="1105" w:type="dxa"/>
            <w:vAlign w:val="center"/>
          </w:tcPr>
          <w:p w14:paraId="78CB68F9" w14:textId="77777777" w:rsidR="00FD227B" w:rsidRPr="00C758B1" w:rsidRDefault="00FD227B" w:rsidP="00983C18">
            <w:pPr>
              <w:spacing w:line="276" w:lineRule="auto"/>
              <w:jc w:val="center"/>
              <w:rPr>
                <w:rFonts w:ascii="Lato" w:eastAsia="Malgun Gothic" w:hAnsi="Lato"/>
                <w:sz w:val="20"/>
                <w:szCs w:val="20"/>
              </w:rPr>
            </w:pPr>
            <w:r w:rsidRPr="00C758B1">
              <w:rPr>
                <w:rFonts w:ascii="Lato" w:eastAsia="Malgun Gothic" w:hAnsi="Lato"/>
                <w:sz w:val="20"/>
                <w:szCs w:val="20"/>
              </w:rPr>
              <w:t>201,0</w:t>
            </w:r>
          </w:p>
        </w:tc>
        <w:tc>
          <w:tcPr>
            <w:tcW w:w="1105" w:type="dxa"/>
            <w:vAlign w:val="center"/>
          </w:tcPr>
          <w:p w14:paraId="2E871151" w14:textId="77777777" w:rsidR="00FD227B" w:rsidRPr="00C758B1" w:rsidRDefault="00FD227B" w:rsidP="00983C18">
            <w:pPr>
              <w:spacing w:line="276" w:lineRule="auto"/>
              <w:jc w:val="center"/>
              <w:rPr>
                <w:rFonts w:ascii="Lato" w:eastAsia="Malgun Gothic" w:hAnsi="Lato"/>
                <w:b/>
                <w:sz w:val="20"/>
                <w:szCs w:val="20"/>
              </w:rPr>
            </w:pPr>
            <w:r w:rsidRPr="00C758B1">
              <w:rPr>
                <w:rFonts w:ascii="Lato" w:eastAsia="Malgun Gothic" w:hAnsi="Lato"/>
                <w:b/>
                <w:sz w:val="20"/>
                <w:szCs w:val="20"/>
              </w:rPr>
              <w:t>90,0</w:t>
            </w:r>
          </w:p>
        </w:tc>
        <w:tc>
          <w:tcPr>
            <w:tcW w:w="1105" w:type="dxa"/>
            <w:vAlign w:val="center"/>
          </w:tcPr>
          <w:p w14:paraId="0EB029D2" w14:textId="77777777" w:rsidR="00FD227B" w:rsidRPr="00C758B1" w:rsidRDefault="00FD227B" w:rsidP="00983C18">
            <w:pPr>
              <w:spacing w:line="276" w:lineRule="auto"/>
              <w:jc w:val="center"/>
              <w:rPr>
                <w:rFonts w:ascii="Lato" w:eastAsia="Malgun Gothic" w:hAnsi="Lato"/>
                <w:sz w:val="20"/>
                <w:szCs w:val="20"/>
              </w:rPr>
            </w:pPr>
            <w:r w:rsidRPr="00C758B1">
              <w:rPr>
                <w:rFonts w:ascii="Lato" w:eastAsia="Malgun Gothic" w:hAnsi="Lato"/>
                <w:sz w:val="20"/>
                <w:szCs w:val="20"/>
              </w:rPr>
              <w:t>111,0</w:t>
            </w:r>
          </w:p>
        </w:tc>
        <w:tc>
          <w:tcPr>
            <w:tcW w:w="1519" w:type="dxa"/>
            <w:vAlign w:val="center"/>
          </w:tcPr>
          <w:p w14:paraId="17410527" w14:textId="77777777" w:rsidR="00FD227B" w:rsidRPr="00C758B1" w:rsidRDefault="00FD227B" w:rsidP="00983C18">
            <w:pPr>
              <w:spacing w:line="276" w:lineRule="auto"/>
              <w:jc w:val="center"/>
              <w:rPr>
                <w:rFonts w:ascii="Lato" w:eastAsia="Malgun Gothic" w:hAnsi="Lato"/>
                <w:sz w:val="20"/>
                <w:szCs w:val="20"/>
              </w:rPr>
            </w:pPr>
            <w:r w:rsidRPr="00C758B1">
              <w:rPr>
                <w:rFonts w:ascii="Lato" w:eastAsia="Malgun Gothic" w:hAnsi="Lato"/>
                <w:sz w:val="20"/>
                <w:szCs w:val="20"/>
              </w:rPr>
              <w:t>0,93</w:t>
            </w:r>
          </w:p>
        </w:tc>
        <w:tc>
          <w:tcPr>
            <w:tcW w:w="1519" w:type="dxa"/>
            <w:vAlign w:val="center"/>
          </w:tcPr>
          <w:p w14:paraId="346F74EC" w14:textId="77777777" w:rsidR="00FD227B" w:rsidRPr="00C758B1" w:rsidRDefault="00FD227B" w:rsidP="00983C18">
            <w:pPr>
              <w:spacing w:line="276" w:lineRule="auto"/>
              <w:jc w:val="center"/>
              <w:rPr>
                <w:rFonts w:ascii="Lato" w:eastAsia="Malgun Gothic" w:hAnsi="Lato"/>
                <w:sz w:val="20"/>
                <w:szCs w:val="20"/>
              </w:rPr>
            </w:pPr>
            <w:r w:rsidRPr="00C758B1">
              <w:rPr>
                <w:rFonts w:ascii="Lato" w:eastAsia="Malgun Gothic" w:hAnsi="Lato"/>
                <w:sz w:val="20"/>
                <w:szCs w:val="20"/>
              </w:rPr>
              <w:t>0,47</w:t>
            </w:r>
          </w:p>
        </w:tc>
      </w:tr>
      <w:tr w:rsidR="00FD227B" w:rsidRPr="00C758B1" w14:paraId="3255BE49" w14:textId="77777777" w:rsidTr="00270AE5">
        <w:trPr>
          <w:trHeight w:val="693"/>
          <w:jc w:val="center"/>
        </w:trPr>
        <w:tc>
          <w:tcPr>
            <w:tcW w:w="1653" w:type="dxa"/>
            <w:vAlign w:val="center"/>
          </w:tcPr>
          <w:p w14:paraId="21E32000" w14:textId="77777777" w:rsidR="00FD227B" w:rsidRPr="00C758B1" w:rsidRDefault="00FD227B" w:rsidP="00983C18">
            <w:pPr>
              <w:spacing w:line="276" w:lineRule="auto"/>
              <w:jc w:val="center"/>
              <w:rPr>
                <w:rFonts w:ascii="Lato" w:eastAsia="Malgun Gothic" w:hAnsi="Lato"/>
                <w:sz w:val="20"/>
                <w:szCs w:val="20"/>
              </w:rPr>
            </w:pPr>
            <w:r w:rsidRPr="00C758B1">
              <w:rPr>
                <w:rFonts w:ascii="Lato" w:eastAsia="Malgun Gothic" w:hAnsi="Lato"/>
                <w:sz w:val="20"/>
                <w:szCs w:val="20"/>
              </w:rPr>
              <w:t>Brzeźnica</w:t>
            </w:r>
          </w:p>
        </w:tc>
        <w:tc>
          <w:tcPr>
            <w:tcW w:w="2073" w:type="dxa"/>
            <w:vAlign w:val="center"/>
          </w:tcPr>
          <w:p w14:paraId="214F7485" w14:textId="77777777" w:rsidR="00FD227B" w:rsidRPr="00C758B1" w:rsidRDefault="00FD227B" w:rsidP="00983C18">
            <w:pPr>
              <w:spacing w:line="276" w:lineRule="auto"/>
              <w:jc w:val="center"/>
              <w:rPr>
                <w:rFonts w:ascii="Lato" w:eastAsia="Malgun Gothic" w:hAnsi="Lato"/>
                <w:sz w:val="20"/>
                <w:szCs w:val="20"/>
              </w:rPr>
            </w:pPr>
            <w:r w:rsidRPr="00C758B1">
              <w:rPr>
                <w:rFonts w:ascii="Lato" w:eastAsia="Malgun Gothic" w:hAnsi="Lato"/>
                <w:sz w:val="20"/>
                <w:szCs w:val="20"/>
              </w:rPr>
              <w:t>złoże wyeksploatowane</w:t>
            </w:r>
          </w:p>
        </w:tc>
        <w:tc>
          <w:tcPr>
            <w:tcW w:w="1105" w:type="dxa"/>
            <w:vAlign w:val="center"/>
          </w:tcPr>
          <w:p w14:paraId="0035E7F7" w14:textId="77777777" w:rsidR="00FD227B" w:rsidRPr="00C758B1" w:rsidRDefault="00FD227B" w:rsidP="00983C18">
            <w:pPr>
              <w:spacing w:line="276" w:lineRule="auto"/>
              <w:jc w:val="center"/>
              <w:rPr>
                <w:rFonts w:ascii="Lato" w:eastAsia="Malgun Gothic" w:hAnsi="Lato"/>
                <w:sz w:val="20"/>
                <w:szCs w:val="20"/>
              </w:rPr>
            </w:pPr>
            <w:r w:rsidRPr="00C758B1">
              <w:rPr>
                <w:rFonts w:ascii="Lato" w:eastAsia="Malgun Gothic" w:hAnsi="Lato"/>
                <w:sz w:val="20"/>
                <w:szCs w:val="20"/>
              </w:rPr>
              <w:t>166,9</w:t>
            </w:r>
          </w:p>
        </w:tc>
        <w:tc>
          <w:tcPr>
            <w:tcW w:w="1105" w:type="dxa"/>
            <w:vAlign w:val="center"/>
          </w:tcPr>
          <w:p w14:paraId="2F109372" w14:textId="77777777" w:rsidR="00FD227B" w:rsidRPr="00C758B1" w:rsidRDefault="00FD227B" w:rsidP="00983C18">
            <w:pPr>
              <w:spacing w:line="276" w:lineRule="auto"/>
              <w:jc w:val="center"/>
              <w:rPr>
                <w:rFonts w:ascii="Lato" w:eastAsia="Malgun Gothic" w:hAnsi="Lato"/>
                <w:b/>
                <w:sz w:val="20"/>
                <w:szCs w:val="20"/>
              </w:rPr>
            </w:pPr>
            <w:r w:rsidRPr="00C758B1">
              <w:rPr>
                <w:rFonts w:ascii="Lato" w:eastAsia="Malgun Gothic" w:hAnsi="Lato"/>
                <w:b/>
                <w:sz w:val="20"/>
                <w:szCs w:val="20"/>
              </w:rPr>
              <w:t>100,0</w:t>
            </w:r>
          </w:p>
        </w:tc>
        <w:tc>
          <w:tcPr>
            <w:tcW w:w="1105" w:type="dxa"/>
            <w:vAlign w:val="center"/>
          </w:tcPr>
          <w:p w14:paraId="29F55668" w14:textId="77777777" w:rsidR="00FD227B" w:rsidRPr="00C758B1" w:rsidRDefault="00FD227B" w:rsidP="00983C18">
            <w:pPr>
              <w:spacing w:line="276" w:lineRule="auto"/>
              <w:jc w:val="center"/>
              <w:rPr>
                <w:rFonts w:ascii="Lato" w:eastAsia="Malgun Gothic" w:hAnsi="Lato"/>
                <w:sz w:val="20"/>
                <w:szCs w:val="20"/>
              </w:rPr>
            </w:pPr>
            <w:r w:rsidRPr="00C758B1">
              <w:rPr>
                <w:rFonts w:ascii="Lato" w:eastAsia="Malgun Gothic" w:hAnsi="Lato"/>
                <w:sz w:val="20"/>
                <w:szCs w:val="20"/>
              </w:rPr>
              <w:t>66,9</w:t>
            </w:r>
          </w:p>
        </w:tc>
        <w:tc>
          <w:tcPr>
            <w:tcW w:w="1519" w:type="dxa"/>
            <w:vAlign w:val="center"/>
          </w:tcPr>
          <w:p w14:paraId="44009B6A" w14:textId="77777777" w:rsidR="00FD227B" w:rsidRPr="00C758B1" w:rsidRDefault="00FD227B" w:rsidP="00983C18">
            <w:pPr>
              <w:spacing w:line="276" w:lineRule="auto"/>
              <w:jc w:val="center"/>
              <w:rPr>
                <w:rFonts w:ascii="Lato" w:eastAsia="Malgun Gothic" w:hAnsi="Lato"/>
                <w:sz w:val="20"/>
                <w:szCs w:val="20"/>
              </w:rPr>
            </w:pPr>
            <w:r w:rsidRPr="00C758B1">
              <w:rPr>
                <w:rFonts w:ascii="Lato" w:eastAsia="Malgun Gothic" w:hAnsi="Lato"/>
                <w:sz w:val="20"/>
                <w:szCs w:val="20"/>
              </w:rPr>
              <w:t>1,44</w:t>
            </w:r>
          </w:p>
        </w:tc>
        <w:tc>
          <w:tcPr>
            <w:tcW w:w="1519" w:type="dxa"/>
            <w:vAlign w:val="center"/>
          </w:tcPr>
          <w:p w14:paraId="6656FDDC" w14:textId="77777777" w:rsidR="00FD227B" w:rsidRPr="00C758B1" w:rsidRDefault="00FD227B" w:rsidP="00983C18">
            <w:pPr>
              <w:spacing w:line="276" w:lineRule="auto"/>
              <w:jc w:val="center"/>
              <w:rPr>
                <w:rFonts w:ascii="Lato" w:eastAsia="Malgun Gothic" w:hAnsi="Lato"/>
                <w:sz w:val="20"/>
                <w:szCs w:val="20"/>
              </w:rPr>
            </w:pPr>
            <w:r w:rsidRPr="00C758B1">
              <w:rPr>
                <w:rFonts w:ascii="Lato" w:eastAsia="Malgun Gothic" w:hAnsi="Lato"/>
                <w:sz w:val="20"/>
                <w:szCs w:val="20"/>
              </w:rPr>
              <w:t>0,89</w:t>
            </w:r>
          </w:p>
        </w:tc>
      </w:tr>
      <w:tr w:rsidR="00FD227B" w:rsidRPr="00C758B1" w14:paraId="6441FBDA" w14:textId="77777777" w:rsidTr="00270AE5">
        <w:trPr>
          <w:trHeight w:val="429"/>
          <w:jc w:val="center"/>
        </w:trPr>
        <w:tc>
          <w:tcPr>
            <w:tcW w:w="1653" w:type="dxa"/>
            <w:vAlign w:val="center"/>
          </w:tcPr>
          <w:p w14:paraId="1E71B670" w14:textId="77777777" w:rsidR="00FD227B" w:rsidRPr="00C758B1" w:rsidRDefault="00FD227B" w:rsidP="00983C18">
            <w:pPr>
              <w:spacing w:line="276" w:lineRule="auto"/>
              <w:jc w:val="center"/>
              <w:rPr>
                <w:rFonts w:ascii="Lato" w:eastAsia="Malgun Gothic" w:hAnsi="Lato"/>
                <w:sz w:val="20"/>
                <w:szCs w:val="20"/>
              </w:rPr>
            </w:pPr>
            <w:r w:rsidRPr="00C758B1">
              <w:rPr>
                <w:rFonts w:ascii="Lato" w:eastAsia="Malgun Gothic" w:hAnsi="Lato"/>
                <w:sz w:val="20"/>
                <w:szCs w:val="20"/>
              </w:rPr>
              <w:t>Kosakowo</w:t>
            </w:r>
          </w:p>
        </w:tc>
        <w:tc>
          <w:tcPr>
            <w:tcW w:w="2073" w:type="dxa"/>
            <w:vAlign w:val="center"/>
          </w:tcPr>
          <w:p w14:paraId="0B7097D8" w14:textId="77777777" w:rsidR="00FD227B" w:rsidRPr="00C758B1" w:rsidRDefault="00FD227B" w:rsidP="00983C18">
            <w:pPr>
              <w:spacing w:line="276" w:lineRule="auto"/>
              <w:jc w:val="center"/>
              <w:rPr>
                <w:rFonts w:ascii="Lato" w:eastAsia="Malgun Gothic" w:hAnsi="Lato"/>
                <w:sz w:val="20"/>
                <w:szCs w:val="20"/>
              </w:rPr>
            </w:pPr>
            <w:r w:rsidRPr="00C758B1">
              <w:rPr>
                <w:rFonts w:ascii="Lato" w:eastAsia="Malgun Gothic" w:hAnsi="Lato"/>
                <w:sz w:val="20"/>
                <w:szCs w:val="20"/>
              </w:rPr>
              <w:t>kawerny solne</w:t>
            </w:r>
          </w:p>
        </w:tc>
        <w:tc>
          <w:tcPr>
            <w:tcW w:w="1105" w:type="dxa"/>
            <w:vAlign w:val="center"/>
          </w:tcPr>
          <w:p w14:paraId="797DF2F0" w14:textId="77777777" w:rsidR="00FD227B" w:rsidRPr="00C758B1" w:rsidRDefault="00FD227B" w:rsidP="00983C18">
            <w:pPr>
              <w:spacing w:line="276" w:lineRule="auto"/>
              <w:jc w:val="center"/>
              <w:rPr>
                <w:rFonts w:ascii="Lato" w:eastAsia="Malgun Gothic" w:hAnsi="Lato"/>
                <w:sz w:val="20"/>
                <w:szCs w:val="20"/>
              </w:rPr>
            </w:pPr>
            <w:r w:rsidRPr="00C758B1">
              <w:rPr>
                <w:rFonts w:ascii="Lato" w:eastAsia="Malgun Gothic" w:hAnsi="Lato"/>
                <w:sz w:val="20"/>
                <w:szCs w:val="20"/>
              </w:rPr>
              <w:t xml:space="preserve">384,0 </w:t>
            </w:r>
          </w:p>
        </w:tc>
        <w:tc>
          <w:tcPr>
            <w:tcW w:w="1105" w:type="dxa"/>
            <w:vAlign w:val="center"/>
          </w:tcPr>
          <w:p w14:paraId="6FDDC73D" w14:textId="77777777" w:rsidR="00FD227B" w:rsidRPr="00C758B1" w:rsidRDefault="00FD227B" w:rsidP="00983C18">
            <w:pPr>
              <w:spacing w:line="276" w:lineRule="auto"/>
              <w:jc w:val="center"/>
              <w:rPr>
                <w:rFonts w:ascii="Lato" w:eastAsia="Malgun Gothic" w:hAnsi="Lato"/>
                <w:b/>
                <w:sz w:val="20"/>
                <w:szCs w:val="20"/>
              </w:rPr>
            </w:pPr>
            <w:r w:rsidRPr="00C758B1">
              <w:rPr>
                <w:rFonts w:ascii="Lato" w:eastAsia="Malgun Gothic" w:hAnsi="Lato"/>
                <w:b/>
                <w:sz w:val="20"/>
                <w:szCs w:val="20"/>
              </w:rPr>
              <w:t>299,7</w:t>
            </w:r>
          </w:p>
        </w:tc>
        <w:tc>
          <w:tcPr>
            <w:tcW w:w="1105" w:type="dxa"/>
            <w:vAlign w:val="center"/>
          </w:tcPr>
          <w:p w14:paraId="2A315849" w14:textId="77777777" w:rsidR="00FD227B" w:rsidRPr="00C758B1" w:rsidRDefault="00FD227B" w:rsidP="00983C18">
            <w:pPr>
              <w:spacing w:line="276" w:lineRule="auto"/>
              <w:jc w:val="center"/>
              <w:rPr>
                <w:rFonts w:ascii="Lato" w:eastAsia="Malgun Gothic" w:hAnsi="Lato"/>
                <w:sz w:val="20"/>
                <w:szCs w:val="20"/>
              </w:rPr>
            </w:pPr>
            <w:r w:rsidRPr="00C758B1">
              <w:rPr>
                <w:rFonts w:ascii="Lato" w:eastAsia="Malgun Gothic" w:hAnsi="Lato"/>
                <w:sz w:val="20"/>
                <w:szCs w:val="20"/>
              </w:rPr>
              <w:t xml:space="preserve">84,3 </w:t>
            </w:r>
          </w:p>
        </w:tc>
        <w:tc>
          <w:tcPr>
            <w:tcW w:w="1519" w:type="dxa"/>
            <w:vAlign w:val="center"/>
          </w:tcPr>
          <w:p w14:paraId="4214BC5D" w14:textId="77777777" w:rsidR="00FD227B" w:rsidRPr="00C758B1" w:rsidRDefault="00FD227B" w:rsidP="00983C18">
            <w:pPr>
              <w:spacing w:line="276" w:lineRule="auto"/>
              <w:jc w:val="center"/>
              <w:rPr>
                <w:rFonts w:ascii="Lato" w:eastAsia="Malgun Gothic" w:hAnsi="Lato"/>
                <w:sz w:val="20"/>
                <w:szCs w:val="20"/>
              </w:rPr>
            </w:pPr>
            <w:r w:rsidRPr="00C758B1">
              <w:rPr>
                <w:rFonts w:ascii="Lato" w:eastAsia="Malgun Gothic" w:hAnsi="Lato"/>
                <w:sz w:val="20"/>
                <w:szCs w:val="20"/>
              </w:rPr>
              <w:t>9,60</w:t>
            </w:r>
          </w:p>
        </w:tc>
        <w:tc>
          <w:tcPr>
            <w:tcW w:w="1519" w:type="dxa"/>
            <w:vAlign w:val="center"/>
          </w:tcPr>
          <w:p w14:paraId="308B1F71" w14:textId="77777777" w:rsidR="00FD227B" w:rsidRPr="00C758B1" w:rsidRDefault="00FD227B" w:rsidP="00983C18">
            <w:pPr>
              <w:spacing w:line="276" w:lineRule="auto"/>
              <w:jc w:val="center"/>
              <w:rPr>
                <w:rFonts w:ascii="Lato" w:eastAsia="Malgun Gothic" w:hAnsi="Lato"/>
                <w:sz w:val="20"/>
                <w:szCs w:val="20"/>
              </w:rPr>
            </w:pPr>
            <w:r w:rsidRPr="00C758B1">
              <w:rPr>
                <w:rFonts w:ascii="Lato" w:eastAsia="Malgun Gothic" w:hAnsi="Lato"/>
                <w:sz w:val="20"/>
                <w:szCs w:val="20"/>
              </w:rPr>
              <w:t>6,0</w:t>
            </w:r>
          </w:p>
        </w:tc>
      </w:tr>
      <w:tr w:rsidR="00FD227B" w:rsidRPr="00C758B1" w14:paraId="328495F9" w14:textId="77777777" w:rsidTr="00270AE5">
        <w:trPr>
          <w:trHeight w:val="419"/>
          <w:jc w:val="center"/>
        </w:trPr>
        <w:tc>
          <w:tcPr>
            <w:tcW w:w="3726" w:type="dxa"/>
            <w:gridSpan w:val="2"/>
            <w:shd w:val="clear" w:color="auto" w:fill="D9D9D9"/>
            <w:vAlign w:val="center"/>
          </w:tcPr>
          <w:p w14:paraId="5267D72D" w14:textId="77777777" w:rsidR="00FD227B" w:rsidRPr="00C758B1" w:rsidRDefault="00FD227B" w:rsidP="00983C18">
            <w:pPr>
              <w:spacing w:line="276" w:lineRule="auto"/>
              <w:jc w:val="center"/>
              <w:rPr>
                <w:rFonts w:ascii="Lato" w:eastAsia="Malgun Gothic" w:hAnsi="Lato"/>
                <w:sz w:val="20"/>
                <w:szCs w:val="20"/>
              </w:rPr>
            </w:pPr>
            <w:r w:rsidRPr="00C758B1">
              <w:rPr>
                <w:rFonts w:ascii="Lato" w:eastAsia="Malgun Gothic" w:hAnsi="Lato"/>
                <w:b/>
                <w:sz w:val="20"/>
                <w:szCs w:val="20"/>
              </w:rPr>
              <w:t>Razem</w:t>
            </w:r>
          </w:p>
        </w:tc>
        <w:tc>
          <w:tcPr>
            <w:tcW w:w="1105" w:type="dxa"/>
            <w:shd w:val="clear" w:color="auto" w:fill="D9D9D9"/>
            <w:vAlign w:val="center"/>
          </w:tcPr>
          <w:p w14:paraId="74B6B249" w14:textId="77777777" w:rsidR="00FD227B" w:rsidRPr="00C758B1" w:rsidRDefault="00FD227B" w:rsidP="00983C18">
            <w:pPr>
              <w:spacing w:line="276" w:lineRule="auto"/>
              <w:jc w:val="center"/>
              <w:rPr>
                <w:rFonts w:ascii="Lato" w:eastAsia="Malgun Gothic" w:hAnsi="Lato"/>
                <w:sz w:val="20"/>
                <w:szCs w:val="20"/>
                <w:highlight w:val="yellow"/>
              </w:rPr>
            </w:pPr>
            <w:r w:rsidRPr="00C758B1">
              <w:rPr>
                <w:rFonts w:ascii="Lato" w:eastAsia="Malgun Gothic" w:hAnsi="Lato"/>
                <w:sz w:val="20"/>
                <w:szCs w:val="20"/>
              </w:rPr>
              <w:t xml:space="preserve">10 492,1 </w:t>
            </w:r>
          </w:p>
        </w:tc>
        <w:tc>
          <w:tcPr>
            <w:tcW w:w="1105" w:type="dxa"/>
            <w:shd w:val="clear" w:color="auto" w:fill="D9D9D9"/>
            <w:vAlign w:val="center"/>
          </w:tcPr>
          <w:p w14:paraId="1FE28BAA" w14:textId="77777777" w:rsidR="00FD227B" w:rsidRPr="00C758B1" w:rsidRDefault="00FD227B" w:rsidP="00983C18">
            <w:pPr>
              <w:spacing w:line="276" w:lineRule="auto"/>
              <w:jc w:val="center"/>
              <w:rPr>
                <w:rFonts w:ascii="Lato" w:eastAsia="Malgun Gothic" w:hAnsi="Lato"/>
                <w:b/>
                <w:sz w:val="20"/>
                <w:szCs w:val="20"/>
              </w:rPr>
            </w:pPr>
            <w:r w:rsidRPr="00C758B1">
              <w:rPr>
                <w:rFonts w:ascii="Lato" w:eastAsia="Malgun Gothic" w:hAnsi="Lato"/>
                <w:b/>
                <w:sz w:val="20"/>
                <w:szCs w:val="20"/>
              </w:rPr>
              <w:t>3 230,6</w:t>
            </w:r>
          </w:p>
        </w:tc>
        <w:tc>
          <w:tcPr>
            <w:tcW w:w="1105" w:type="dxa"/>
            <w:shd w:val="clear" w:color="auto" w:fill="D9D9D9"/>
            <w:vAlign w:val="center"/>
          </w:tcPr>
          <w:p w14:paraId="5114B706" w14:textId="77777777" w:rsidR="00FD227B" w:rsidRPr="00C758B1" w:rsidRDefault="00FD227B" w:rsidP="00983C18">
            <w:pPr>
              <w:spacing w:line="276" w:lineRule="auto"/>
              <w:jc w:val="center"/>
              <w:rPr>
                <w:rFonts w:ascii="Lato" w:eastAsia="Malgun Gothic" w:hAnsi="Lato"/>
                <w:sz w:val="20"/>
                <w:szCs w:val="20"/>
              </w:rPr>
            </w:pPr>
            <w:r w:rsidRPr="00C758B1">
              <w:rPr>
                <w:rFonts w:ascii="Lato" w:eastAsia="Malgun Gothic" w:hAnsi="Lato"/>
                <w:sz w:val="20"/>
                <w:szCs w:val="20"/>
              </w:rPr>
              <w:t xml:space="preserve">7 261,5 </w:t>
            </w:r>
          </w:p>
        </w:tc>
        <w:tc>
          <w:tcPr>
            <w:tcW w:w="1519" w:type="dxa"/>
            <w:shd w:val="clear" w:color="auto" w:fill="D9D9D9"/>
            <w:vAlign w:val="center"/>
          </w:tcPr>
          <w:p w14:paraId="22BE38D9" w14:textId="77777777" w:rsidR="00FD227B" w:rsidRPr="00C758B1" w:rsidRDefault="00FD227B" w:rsidP="00983C18">
            <w:pPr>
              <w:spacing w:line="276" w:lineRule="auto"/>
              <w:jc w:val="center"/>
              <w:rPr>
                <w:rFonts w:ascii="Lato" w:eastAsia="Malgun Gothic" w:hAnsi="Lato"/>
                <w:sz w:val="20"/>
                <w:szCs w:val="20"/>
              </w:rPr>
            </w:pPr>
            <w:r w:rsidRPr="00C758B1">
              <w:rPr>
                <w:rFonts w:ascii="Lato" w:eastAsia="Malgun Gothic" w:hAnsi="Lato"/>
                <w:sz w:val="20"/>
                <w:szCs w:val="20"/>
              </w:rPr>
              <w:t>53,49</w:t>
            </w:r>
          </w:p>
        </w:tc>
        <w:tc>
          <w:tcPr>
            <w:tcW w:w="1519" w:type="dxa"/>
            <w:shd w:val="clear" w:color="auto" w:fill="D9D9D9"/>
            <w:vAlign w:val="center"/>
          </w:tcPr>
          <w:p w14:paraId="7697A43C" w14:textId="77777777" w:rsidR="00FD227B" w:rsidRPr="00C758B1" w:rsidRDefault="00FD227B" w:rsidP="00983C18">
            <w:pPr>
              <w:spacing w:line="276" w:lineRule="auto"/>
              <w:jc w:val="center"/>
              <w:rPr>
                <w:rFonts w:ascii="Lato" w:eastAsia="Malgun Gothic" w:hAnsi="Lato"/>
                <w:sz w:val="20"/>
                <w:szCs w:val="20"/>
              </w:rPr>
            </w:pPr>
            <w:r w:rsidRPr="00C758B1">
              <w:rPr>
                <w:rFonts w:ascii="Lato" w:eastAsia="Malgun Gothic" w:hAnsi="Lato"/>
                <w:sz w:val="20"/>
                <w:szCs w:val="20"/>
              </w:rPr>
              <w:t>37,64</w:t>
            </w:r>
          </w:p>
        </w:tc>
      </w:tr>
    </w:tbl>
    <w:p w14:paraId="22491B15" w14:textId="5975C4F4" w:rsidR="00FD227B" w:rsidRPr="00C758B1" w:rsidRDefault="00FD227B" w:rsidP="00983C18">
      <w:pPr>
        <w:spacing w:before="120" w:line="276" w:lineRule="auto"/>
        <w:rPr>
          <w:rFonts w:ascii="Lato" w:eastAsia="Malgun Gothic" w:hAnsi="Lato"/>
          <w:i/>
          <w:sz w:val="20"/>
          <w:szCs w:val="20"/>
        </w:rPr>
      </w:pPr>
      <w:r w:rsidRPr="00983C18">
        <w:rPr>
          <w:rFonts w:ascii="Lato" w:eastAsia="Malgun Gothic" w:hAnsi="Lato" w:cs="Calibri"/>
          <w:i/>
          <w:sz w:val="20"/>
          <w:szCs w:val="20"/>
        </w:rPr>
        <w:t>Ź</w:t>
      </w:r>
      <w:r w:rsidRPr="00983C18">
        <w:rPr>
          <w:rFonts w:ascii="Lato" w:eastAsia="Malgun Gothic" w:hAnsi="Lato"/>
          <w:i/>
          <w:sz w:val="20"/>
          <w:szCs w:val="20"/>
        </w:rPr>
        <w:t>r</w:t>
      </w:r>
      <w:r w:rsidRPr="00983C18">
        <w:rPr>
          <w:rFonts w:ascii="Lato" w:eastAsia="Malgun Gothic" w:hAnsi="Lato" w:cs="Malgun Gothic"/>
          <w:i/>
          <w:sz w:val="20"/>
          <w:szCs w:val="20"/>
        </w:rPr>
        <w:t>ó</w:t>
      </w:r>
      <w:r w:rsidRPr="00983C18">
        <w:rPr>
          <w:rFonts w:ascii="Lato" w:eastAsia="Malgun Gothic" w:hAnsi="Lato"/>
          <w:i/>
          <w:sz w:val="20"/>
          <w:szCs w:val="20"/>
        </w:rPr>
        <w:t>d</w:t>
      </w:r>
      <w:r w:rsidRPr="00983C18">
        <w:rPr>
          <w:rFonts w:ascii="Lato" w:eastAsia="Malgun Gothic" w:hAnsi="Lato" w:cs="Malgun Gothic"/>
          <w:i/>
          <w:sz w:val="20"/>
          <w:szCs w:val="20"/>
        </w:rPr>
        <w:t>ł</w:t>
      </w:r>
      <w:r w:rsidRPr="00983C18">
        <w:rPr>
          <w:rFonts w:ascii="Lato" w:eastAsia="Malgun Gothic" w:hAnsi="Lato"/>
          <w:i/>
          <w:sz w:val="20"/>
          <w:szCs w:val="20"/>
        </w:rPr>
        <w:t>o: Gas Storage Poland Sp. z o.o.</w:t>
      </w:r>
    </w:p>
    <w:p w14:paraId="69A0B058" w14:textId="77777777" w:rsidR="00FD227B" w:rsidRPr="004F0DBF" w:rsidRDefault="00FD227B" w:rsidP="00983C18">
      <w:pPr>
        <w:spacing w:line="276" w:lineRule="auto"/>
        <w:ind w:firstLine="708"/>
        <w:rPr>
          <w:rFonts w:ascii="Lato" w:eastAsia="Malgun Gothic" w:hAnsi="Lato"/>
          <w:szCs w:val="24"/>
        </w:rPr>
      </w:pPr>
      <w:r w:rsidRPr="004F0DBF">
        <w:rPr>
          <w:rFonts w:ascii="Lato" w:eastAsia="Malgun Gothic" w:hAnsi="Lato"/>
          <w:szCs w:val="24"/>
        </w:rPr>
        <w:t>Obok ww. magazynów gazu wysokometanowego, funkcjonuj</w:t>
      </w:r>
      <w:r w:rsidRPr="004F0DBF">
        <w:rPr>
          <w:rFonts w:ascii="Lato" w:eastAsia="Malgun Gothic" w:hAnsi="Lato" w:cs="Calibri"/>
          <w:szCs w:val="24"/>
        </w:rPr>
        <w:t>ą</w:t>
      </w:r>
      <w:r w:rsidRPr="004F0DBF">
        <w:rPr>
          <w:rFonts w:ascii="Lato" w:eastAsia="Malgun Gothic" w:hAnsi="Lato"/>
          <w:szCs w:val="24"/>
        </w:rPr>
        <w:t xml:space="preserve"> dwa magazyny gazu zaazotowanego, zarz</w:t>
      </w:r>
      <w:r w:rsidRPr="004F0DBF">
        <w:rPr>
          <w:rFonts w:ascii="Lato" w:eastAsia="Malgun Gothic" w:hAnsi="Lato" w:cs="Calibri"/>
          <w:szCs w:val="24"/>
        </w:rPr>
        <w:t>ą</w:t>
      </w:r>
      <w:r w:rsidRPr="004F0DBF">
        <w:rPr>
          <w:rFonts w:ascii="Lato" w:eastAsia="Malgun Gothic" w:hAnsi="Lato"/>
          <w:szCs w:val="24"/>
        </w:rPr>
        <w:t>dzane przez Orlen S.A.: PMG Daszewo o pojemno</w:t>
      </w:r>
      <w:r w:rsidRPr="004F0DBF">
        <w:rPr>
          <w:rFonts w:ascii="Lato" w:eastAsia="Malgun Gothic" w:hAnsi="Lato" w:cs="Calibri"/>
          <w:szCs w:val="24"/>
        </w:rPr>
        <w:t>ś</w:t>
      </w:r>
      <w:r w:rsidRPr="004F0DBF">
        <w:rPr>
          <w:rFonts w:ascii="Lato" w:eastAsia="Malgun Gothic" w:hAnsi="Lato"/>
          <w:szCs w:val="24"/>
        </w:rPr>
        <w:t>ci 40 mln m</w:t>
      </w:r>
      <w:r w:rsidRPr="004F0DBF">
        <w:rPr>
          <w:rFonts w:ascii="Lato" w:eastAsia="Malgun Gothic" w:hAnsi="Lato"/>
          <w:szCs w:val="24"/>
          <w:vertAlign w:val="superscript"/>
        </w:rPr>
        <w:t>3</w:t>
      </w:r>
      <w:r w:rsidRPr="004F0DBF">
        <w:rPr>
          <w:rFonts w:ascii="Lato" w:eastAsia="Malgun Gothic" w:hAnsi="Lato"/>
          <w:szCs w:val="24"/>
        </w:rPr>
        <w:t xml:space="preserve"> (439 GWh) i maksymalnej mocy odbioru 0,48 mln m</w:t>
      </w:r>
      <w:r w:rsidRPr="004F0DBF">
        <w:rPr>
          <w:rFonts w:ascii="Lato" w:eastAsia="Malgun Gothic" w:hAnsi="Lato"/>
          <w:szCs w:val="24"/>
          <w:vertAlign w:val="superscript"/>
        </w:rPr>
        <w:t>3</w:t>
      </w:r>
      <w:r w:rsidRPr="004F0DBF">
        <w:rPr>
          <w:rFonts w:ascii="Lato" w:eastAsia="Malgun Gothic" w:hAnsi="Lato"/>
          <w:szCs w:val="24"/>
        </w:rPr>
        <w:t>/dob</w:t>
      </w:r>
      <w:r w:rsidRPr="004F0DBF">
        <w:rPr>
          <w:rFonts w:ascii="Lato" w:eastAsia="Malgun Gothic" w:hAnsi="Lato" w:cs="Calibri"/>
          <w:szCs w:val="24"/>
        </w:rPr>
        <w:t>ę</w:t>
      </w:r>
      <w:r w:rsidRPr="004F0DBF">
        <w:rPr>
          <w:rFonts w:ascii="Lato" w:eastAsia="Malgun Gothic" w:hAnsi="Lato"/>
          <w:szCs w:val="24"/>
        </w:rPr>
        <w:t xml:space="preserve"> (5,3 GWh/dob</w:t>
      </w:r>
      <w:r w:rsidRPr="004F0DBF">
        <w:rPr>
          <w:rFonts w:ascii="Lato" w:eastAsia="Malgun Gothic" w:hAnsi="Lato" w:cs="Calibri"/>
          <w:szCs w:val="24"/>
        </w:rPr>
        <w:t>ę</w:t>
      </w:r>
      <w:r w:rsidRPr="004F0DBF">
        <w:rPr>
          <w:rFonts w:ascii="Lato" w:eastAsia="Malgun Gothic" w:hAnsi="Lato"/>
          <w:szCs w:val="24"/>
        </w:rPr>
        <w:t>) i PMG Bonikowo o pojemno</w:t>
      </w:r>
      <w:r w:rsidRPr="004F0DBF">
        <w:rPr>
          <w:rFonts w:ascii="Lato" w:eastAsia="Malgun Gothic" w:hAnsi="Lato" w:cs="Calibri"/>
          <w:szCs w:val="24"/>
        </w:rPr>
        <w:t>ś</w:t>
      </w:r>
      <w:r w:rsidRPr="004F0DBF">
        <w:rPr>
          <w:rFonts w:ascii="Lato" w:eastAsia="Malgun Gothic" w:hAnsi="Lato"/>
          <w:szCs w:val="24"/>
        </w:rPr>
        <w:t>ci 200 mln m</w:t>
      </w:r>
      <w:r w:rsidRPr="004F0DBF">
        <w:rPr>
          <w:rFonts w:ascii="Lato" w:eastAsia="Malgun Gothic" w:hAnsi="Lato"/>
          <w:szCs w:val="24"/>
          <w:vertAlign w:val="superscript"/>
        </w:rPr>
        <w:t xml:space="preserve">3 </w:t>
      </w:r>
      <w:r w:rsidRPr="004F0DBF">
        <w:rPr>
          <w:rFonts w:ascii="Lato" w:eastAsia="Malgun Gothic" w:hAnsi="Lato"/>
          <w:szCs w:val="24"/>
        </w:rPr>
        <w:t>(2 194 GWh) i maksymalnej mocy odbioru 2,4 mln m</w:t>
      </w:r>
      <w:r w:rsidRPr="004F0DBF">
        <w:rPr>
          <w:rFonts w:ascii="Lato" w:eastAsia="Malgun Gothic" w:hAnsi="Lato"/>
          <w:szCs w:val="24"/>
          <w:vertAlign w:val="superscript"/>
        </w:rPr>
        <w:t>3</w:t>
      </w:r>
      <w:r w:rsidRPr="004F0DBF">
        <w:rPr>
          <w:rFonts w:ascii="Lato" w:eastAsia="Malgun Gothic" w:hAnsi="Lato"/>
          <w:szCs w:val="24"/>
        </w:rPr>
        <w:t>/dob</w:t>
      </w:r>
      <w:r w:rsidRPr="004F0DBF">
        <w:rPr>
          <w:rFonts w:ascii="Lato" w:eastAsia="Malgun Gothic" w:hAnsi="Lato" w:cs="Calibri"/>
          <w:szCs w:val="24"/>
        </w:rPr>
        <w:t>ę</w:t>
      </w:r>
      <w:r w:rsidRPr="004F0DBF">
        <w:rPr>
          <w:rFonts w:ascii="Lato" w:eastAsia="Malgun Gothic" w:hAnsi="Lato"/>
          <w:szCs w:val="24"/>
        </w:rPr>
        <w:t xml:space="preserve"> (26,3 GWh/dob</w:t>
      </w:r>
      <w:r w:rsidRPr="004F0DBF">
        <w:rPr>
          <w:rFonts w:ascii="Lato" w:eastAsia="Malgun Gothic" w:hAnsi="Lato" w:cs="Calibri"/>
          <w:szCs w:val="24"/>
        </w:rPr>
        <w:t>ę</w:t>
      </w:r>
      <w:r w:rsidRPr="004F0DBF">
        <w:rPr>
          <w:rFonts w:ascii="Lato" w:eastAsia="Malgun Gothic" w:hAnsi="Lato"/>
          <w:szCs w:val="24"/>
        </w:rPr>
        <w:t>), które wykorzystywane s</w:t>
      </w:r>
      <w:r w:rsidRPr="004F0DBF">
        <w:rPr>
          <w:rFonts w:ascii="Lato" w:eastAsia="Malgun Gothic" w:hAnsi="Lato" w:cs="Calibri"/>
          <w:szCs w:val="24"/>
        </w:rPr>
        <w:t>ą</w:t>
      </w:r>
      <w:r w:rsidRPr="004F0DBF">
        <w:rPr>
          <w:rFonts w:ascii="Lato" w:eastAsia="Malgun Gothic" w:hAnsi="Lato"/>
          <w:szCs w:val="24"/>
        </w:rPr>
        <w:t xml:space="preserve"> do stabilizacji wydobycia gazu zaazotowanego. </w:t>
      </w:r>
    </w:p>
    <w:p w14:paraId="01A06013" w14:textId="3A0C92B1" w:rsidR="00C17333" w:rsidRPr="00381EF8" w:rsidRDefault="00C7771E" w:rsidP="002F262E">
      <w:pPr>
        <w:pStyle w:val="Rozdzia3"/>
        <w:spacing w:after="120"/>
        <w:ind w:left="1077" w:hanging="1077"/>
        <w:rPr>
          <w:rFonts w:ascii="Lato" w:hAnsi="Lato"/>
        </w:rPr>
      </w:pPr>
      <w:bookmarkStart w:id="45" w:name="_Toc518482778"/>
      <w:bookmarkStart w:id="46" w:name="_Toc518482829"/>
      <w:bookmarkStart w:id="47" w:name="_Toc518482988"/>
      <w:bookmarkStart w:id="48" w:name="_Toc12287743"/>
      <w:bookmarkStart w:id="49" w:name="_Toc12953902"/>
      <w:bookmarkStart w:id="50" w:name="_Toc19782935"/>
      <w:bookmarkStart w:id="51" w:name="_Toc142469562"/>
      <w:bookmarkEnd w:id="45"/>
      <w:bookmarkEnd w:id="46"/>
      <w:bookmarkEnd w:id="47"/>
      <w:r w:rsidRPr="00C758B1">
        <w:rPr>
          <w:rFonts w:ascii="Lato" w:hAnsi="Lato"/>
        </w:rPr>
        <w:t>Krajowe wydobycie gazu ziemnego</w:t>
      </w:r>
      <w:bookmarkEnd w:id="48"/>
      <w:bookmarkEnd w:id="49"/>
      <w:bookmarkEnd w:id="50"/>
      <w:bookmarkEnd w:id="51"/>
    </w:p>
    <w:p w14:paraId="4FD3CBFB" w14:textId="1E10E809" w:rsidR="00FD227B" w:rsidRDefault="00C17333" w:rsidP="002F262E">
      <w:pPr>
        <w:spacing w:after="60" w:line="276" w:lineRule="auto"/>
        <w:ind w:firstLine="567"/>
        <w:rPr>
          <w:rFonts w:ascii="Lato" w:eastAsia="Malgun Gothic" w:hAnsi="Lato"/>
          <w:szCs w:val="24"/>
        </w:rPr>
      </w:pPr>
      <w:r w:rsidRPr="00C17333">
        <w:rPr>
          <w:rFonts w:ascii="Lato" w:eastAsia="Malgun Gothic" w:hAnsi="Lato"/>
          <w:szCs w:val="24"/>
        </w:rPr>
        <w:t xml:space="preserve">Według opracowania przygotowanego przez Państwowy Instytut Geologiczny – Państwowy Instytut Badawczy w 2023 r. pn. </w:t>
      </w:r>
      <w:r w:rsidRPr="00983C18">
        <w:rPr>
          <w:rFonts w:ascii="Lato" w:eastAsia="Malgun Gothic" w:hAnsi="Lato"/>
          <w:i/>
          <w:iCs/>
          <w:szCs w:val="24"/>
        </w:rPr>
        <w:t>Bilans zasobów złóż kopalin w Polsce wg stanu na 31.12.2022 r.</w:t>
      </w:r>
      <w:r w:rsidRPr="00C17333">
        <w:rPr>
          <w:rFonts w:ascii="Lato" w:eastAsia="Malgun Gothic" w:hAnsi="Lato"/>
          <w:szCs w:val="24"/>
        </w:rPr>
        <w:t xml:space="preserve"> stan wydobywalnych zasobów gazu ziemnego </w:t>
      </w:r>
      <w:r w:rsidR="002F262E" w:rsidRPr="00C17333">
        <w:rPr>
          <w:rFonts w:ascii="Lato" w:eastAsia="Malgun Gothic" w:hAnsi="Lato"/>
          <w:szCs w:val="24"/>
        </w:rPr>
        <w:t xml:space="preserve">(łącznie zasoby bilansowe i pozabilansowe) </w:t>
      </w:r>
      <w:r w:rsidRPr="00C17333">
        <w:rPr>
          <w:rFonts w:ascii="Lato" w:eastAsia="Malgun Gothic" w:hAnsi="Lato"/>
          <w:szCs w:val="24"/>
        </w:rPr>
        <w:t xml:space="preserve">wyniósł </w:t>
      </w:r>
      <w:r>
        <w:rPr>
          <w:rFonts w:ascii="Lato" w:eastAsia="Malgun Gothic" w:hAnsi="Lato"/>
          <w:szCs w:val="24"/>
        </w:rPr>
        <w:t>153,5</w:t>
      </w:r>
      <w:r w:rsidR="00847573">
        <w:rPr>
          <w:rFonts w:ascii="Lato" w:eastAsia="Malgun Gothic" w:hAnsi="Lato"/>
          <w:szCs w:val="24"/>
        </w:rPr>
        <w:t>2 mld m</w:t>
      </w:r>
      <w:r w:rsidR="00847573">
        <w:rPr>
          <w:rFonts w:ascii="Lato" w:eastAsia="Malgun Gothic" w:hAnsi="Lato"/>
          <w:szCs w:val="24"/>
          <w:vertAlign w:val="superscript"/>
        </w:rPr>
        <w:t>3</w:t>
      </w:r>
      <w:r w:rsidR="00847573">
        <w:rPr>
          <w:rFonts w:ascii="Lato" w:eastAsia="Malgun Gothic" w:hAnsi="Lato"/>
          <w:szCs w:val="24"/>
        </w:rPr>
        <w:t xml:space="preserve"> (</w:t>
      </w:r>
      <w:r w:rsidRPr="00C17333">
        <w:rPr>
          <w:rFonts w:ascii="Lato" w:eastAsia="Malgun Gothic" w:hAnsi="Lato"/>
          <w:szCs w:val="24"/>
        </w:rPr>
        <w:t>1 684,4 TWh</w:t>
      </w:r>
      <w:r w:rsidR="00847573">
        <w:rPr>
          <w:rFonts w:ascii="Lato" w:eastAsia="Malgun Gothic" w:hAnsi="Lato"/>
          <w:szCs w:val="24"/>
        </w:rPr>
        <w:t>)</w:t>
      </w:r>
      <w:r w:rsidRPr="00C17333">
        <w:rPr>
          <w:rFonts w:ascii="Lato" w:eastAsia="Malgun Gothic" w:hAnsi="Lato"/>
          <w:szCs w:val="24"/>
        </w:rPr>
        <w:t xml:space="preserve"> i w porównaniu z rokiem poprzednim zwiększyły się o </w:t>
      </w:r>
      <w:r w:rsidR="00847573">
        <w:rPr>
          <w:rFonts w:ascii="Lato" w:eastAsia="Malgun Gothic" w:hAnsi="Lato"/>
          <w:szCs w:val="24"/>
        </w:rPr>
        <w:t>8,25 mld m</w:t>
      </w:r>
      <w:r w:rsidR="00847573">
        <w:rPr>
          <w:rFonts w:ascii="Lato" w:eastAsia="Malgun Gothic" w:hAnsi="Lato"/>
          <w:szCs w:val="24"/>
          <w:vertAlign w:val="superscript"/>
        </w:rPr>
        <w:t>3</w:t>
      </w:r>
      <w:r w:rsidR="00847573">
        <w:rPr>
          <w:rFonts w:ascii="Lato" w:eastAsia="Malgun Gothic" w:hAnsi="Lato"/>
          <w:szCs w:val="24"/>
        </w:rPr>
        <w:t xml:space="preserve"> (</w:t>
      </w:r>
      <w:r w:rsidRPr="00C17333">
        <w:rPr>
          <w:rFonts w:ascii="Lato" w:eastAsia="Malgun Gothic" w:hAnsi="Lato"/>
          <w:szCs w:val="24"/>
        </w:rPr>
        <w:t>90,5 TWh</w:t>
      </w:r>
      <w:r w:rsidR="00847573">
        <w:rPr>
          <w:rFonts w:ascii="Lato" w:eastAsia="Malgun Gothic" w:hAnsi="Lato"/>
          <w:szCs w:val="24"/>
        </w:rPr>
        <w:t>)</w:t>
      </w:r>
      <w:r w:rsidRPr="00C17333">
        <w:rPr>
          <w:rFonts w:ascii="Lato" w:eastAsia="Malgun Gothic" w:hAnsi="Lato"/>
          <w:szCs w:val="24"/>
        </w:rPr>
        <w:t>.</w:t>
      </w:r>
      <w:r w:rsidR="00847573">
        <w:rPr>
          <w:rFonts w:ascii="Lato" w:eastAsia="Malgun Gothic" w:hAnsi="Lato"/>
          <w:szCs w:val="24"/>
        </w:rPr>
        <w:t xml:space="preserve"> </w:t>
      </w:r>
      <w:r w:rsidR="00847573" w:rsidRPr="00847573">
        <w:rPr>
          <w:rFonts w:ascii="Lato" w:eastAsia="Malgun Gothic" w:hAnsi="Lato"/>
          <w:szCs w:val="24"/>
        </w:rPr>
        <w:t>Największy przyrost zasobów wydobywalnych odnotowano w złożach Przemyśl, Lubiatów, Żuchlów i Mirocin. Ubytki zasobów spowodowane były głównie wydobyciem</w:t>
      </w:r>
      <w:r w:rsidR="00FD227B" w:rsidRPr="004F0DBF">
        <w:rPr>
          <w:rFonts w:ascii="Lato" w:eastAsia="Malgun Gothic" w:hAnsi="Lato"/>
          <w:szCs w:val="24"/>
        </w:rPr>
        <w:t>.</w:t>
      </w:r>
    </w:p>
    <w:p w14:paraId="7C9B08C1" w14:textId="17CBDDC2" w:rsidR="001F751F" w:rsidRDefault="00847573" w:rsidP="75FF27EA">
      <w:pPr>
        <w:spacing w:after="60" w:line="276" w:lineRule="auto"/>
        <w:ind w:firstLine="567"/>
        <w:rPr>
          <w:rFonts w:ascii="Lato" w:eastAsia="Malgun Gothic" w:hAnsi="Lato"/>
        </w:rPr>
      </w:pPr>
      <w:r w:rsidRPr="75FF27EA">
        <w:rPr>
          <w:rFonts w:ascii="Lato" w:eastAsia="Malgun Gothic" w:hAnsi="Lato"/>
        </w:rPr>
        <w:t xml:space="preserve">Zasoby wydobywalne </w:t>
      </w:r>
      <w:r w:rsidR="0CDCB55A" w:rsidRPr="75FF27EA">
        <w:rPr>
          <w:rFonts w:ascii="Lato" w:eastAsia="Malgun Gothic" w:hAnsi="Lato"/>
        </w:rPr>
        <w:t xml:space="preserve">z </w:t>
      </w:r>
      <w:r w:rsidRPr="75FF27EA">
        <w:rPr>
          <w:rFonts w:ascii="Lato" w:eastAsia="Malgun Gothic" w:hAnsi="Lato"/>
        </w:rPr>
        <w:t>zagospodarowanych złóż gazu ziemnego wynoszą 104,83 mld m</w:t>
      </w:r>
      <w:r w:rsidRPr="75FF27EA">
        <w:rPr>
          <w:rFonts w:ascii="Lato" w:eastAsia="Malgun Gothic" w:hAnsi="Lato"/>
          <w:vertAlign w:val="superscript"/>
        </w:rPr>
        <w:t>3</w:t>
      </w:r>
      <w:r w:rsidRPr="75FF27EA">
        <w:rPr>
          <w:rFonts w:ascii="Lato" w:eastAsia="Malgun Gothic" w:hAnsi="Lato"/>
        </w:rPr>
        <w:t xml:space="preserve"> (1 150,2 TWh), co stanowi 68,3% ogólnej ilości zasobów wydobywalnych. Zasoby przemysłowe złóż gazu ziemnego w 2022 r. wyniosły 77,96 mld m</w:t>
      </w:r>
      <w:r w:rsidRPr="75FF27EA">
        <w:rPr>
          <w:rFonts w:ascii="Lato" w:eastAsia="Malgun Gothic" w:hAnsi="Lato"/>
          <w:vertAlign w:val="superscript"/>
        </w:rPr>
        <w:t>3</w:t>
      </w:r>
      <w:r w:rsidRPr="75FF27EA">
        <w:rPr>
          <w:rFonts w:ascii="Lato" w:eastAsia="Malgun Gothic" w:hAnsi="Lato"/>
        </w:rPr>
        <w:t xml:space="preserve"> (855,4 TWh).</w:t>
      </w:r>
    </w:p>
    <w:p w14:paraId="796A1385" w14:textId="3679D3F4" w:rsidR="00FD227B" w:rsidRPr="004F0DBF" w:rsidRDefault="00FD227B" w:rsidP="002F262E">
      <w:pPr>
        <w:spacing w:after="60" w:line="276" w:lineRule="auto"/>
        <w:ind w:firstLine="567"/>
        <w:rPr>
          <w:rFonts w:ascii="Lato" w:eastAsia="Malgun Gothic" w:hAnsi="Lato"/>
          <w:szCs w:val="24"/>
        </w:rPr>
      </w:pPr>
      <w:r w:rsidRPr="004F0DBF">
        <w:rPr>
          <w:rFonts w:ascii="Lato" w:eastAsia="Malgun Gothic" w:hAnsi="Lato"/>
          <w:szCs w:val="24"/>
        </w:rPr>
        <w:t>W 2022 r. krajowe wydobycie gazu ziemnego stanowi</w:t>
      </w:r>
      <w:r w:rsidRPr="004F0DBF">
        <w:rPr>
          <w:rFonts w:ascii="Lato" w:eastAsia="Malgun Gothic" w:hAnsi="Lato" w:cs="Calibri"/>
          <w:szCs w:val="24"/>
        </w:rPr>
        <w:t>ą</w:t>
      </w:r>
      <w:r w:rsidRPr="004F0DBF">
        <w:rPr>
          <w:rFonts w:ascii="Lato" w:eastAsia="Malgun Gothic" w:hAnsi="Lato"/>
          <w:szCs w:val="24"/>
        </w:rPr>
        <w:t>ce 23,1% krajowego</w:t>
      </w:r>
      <w:r w:rsidR="002F262E">
        <w:rPr>
          <w:rFonts w:ascii="Lato" w:eastAsia="Malgun Gothic" w:hAnsi="Lato"/>
          <w:szCs w:val="24"/>
        </w:rPr>
        <w:t xml:space="preserve"> </w:t>
      </w:r>
      <w:r w:rsidRPr="004F0DBF">
        <w:rPr>
          <w:rFonts w:ascii="Lato" w:eastAsia="Malgun Gothic" w:hAnsi="Lato"/>
          <w:szCs w:val="24"/>
        </w:rPr>
        <w:t>zu</w:t>
      </w:r>
      <w:r w:rsidRPr="004F0DBF">
        <w:rPr>
          <w:rFonts w:ascii="Lato" w:eastAsia="Malgun Gothic" w:hAnsi="Lato" w:cs="Calibri"/>
          <w:szCs w:val="24"/>
        </w:rPr>
        <w:t>ż</w:t>
      </w:r>
      <w:r w:rsidRPr="004F0DBF">
        <w:rPr>
          <w:rFonts w:ascii="Lato" w:eastAsia="Malgun Gothic" w:hAnsi="Lato"/>
          <w:szCs w:val="24"/>
        </w:rPr>
        <w:t>ycia gazu ziemnego, wyniosło 3,85 mld m</w:t>
      </w:r>
      <w:r w:rsidRPr="004F0DBF">
        <w:rPr>
          <w:rFonts w:ascii="Lato" w:eastAsia="Malgun Gothic" w:hAnsi="Lato"/>
          <w:szCs w:val="24"/>
          <w:vertAlign w:val="superscript"/>
        </w:rPr>
        <w:t>3</w:t>
      </w:r>
      <w:r w:rsidRPr="004F0DBF">
        <w:rPr>
          <w:rFonts w:ascii="Lato" w:eastAsia="Malgun Gothic" w:hAnsi="Lato"/>
          <w:szCs w:val="24"/>
        </w:rPr>
        <w:t xml:space="preserve"> (42,2 TWh), </w:t>
      </w:r>
      <w:r w:rsidR="001F751F">
        <w:rPr>
          <w:rFonts w:ascii="Lato" w:eastAsia="Malgun Gothic" w:hAnsi="Lato"/>
          <w:szCs w:val="24"/>
        </w:rPr>
        <w:t>w</w:t>
      </w:r>
      <w:r w:rsidRPr="004F0DBF">
        <w:rPr>
          <w:rFonts w:ascii="Lato" w:eastAsia="Malgun Gothic" w:hAnsi="Lato"/>
          <w:szCs w:val="24"/>
        </w:rPr>
        <w:t xml:space="preserve"> tym: </w:t>
      </w:r>
    </w:p>
    <w:p w14:paraId="757BD79D" w14:textId="41BEA3E5" w:rsidR="00FD227B" w:rsidRPr="001F751F" w:rsidRDefault="00FD227B">
      <w:pPr>
        <w:pStyle w:val="Akapitzlist"/>
        <w:numPr>
          <w:ilvl w:val="0"/>
          <w:numId w:val="16"/>
        </w:numPr>
        <w:spacing w:after="0" w:line="276" w:lineRule="auto"/>
        <w:contextualSpacing w:val="0"/>
        <w:rPr>
          <w:rFonts w:ascii="Lato" w:eastAsia="Malgun Gothic" w:hAnsi="Lato"/>
          <w:spacing w:val="-4"/>
          <w:szCs w:val="24"/>
        </w:rPr>
      </w:pPr>
      <w:r w:rsidRPr="001F751F">
        <w:rPr>
          <w:rFonts w:ascii="Lato" w:eastAsia="Malgun Gothic" w:hAnsi="Lato"/>
          <w:szCs w:val="24"/>
        </w:rPr>
        <w:lastRenderedPageBreak/>
        <w:t xml:space="preserve">gazu </w:t>
      </w:r>
      <w:r w:rsidRPr="001F751F">
        <w:rPr>
          <w:rFonts w:ascii="Lato" w:eastAsia="Malgun Gothic" w:hAnsi="Lato"/>
          <w:spacing w:val="-4"/>
          <w:szCs w:val="24"/>
        </w:rPr>
        <w:t>wysokometanowego – 1,30 mld m</w:t>
      </w:r>
      <w:r w:rsidRPr="001F751F">
        <w:rPr>
          <w:rFonts w:ascii="Lato" w:eastAsia="Malgun Gothic" w:hAnsi="Lato"/>
          <w:spacing w:val="-4"/>
          <w:szCs w:val="24"/>
          <w:vertAlign w:val="superscript"/>
        </w:rPr>
        <w:t xml:space="preserve">3 </w:t>
      </w:r>
      <w:r w:rsidRPr="001F751F">
        <w:rPr>
          <w:rFonts w:ascii="Lato" w:eastAsia="Malgun Gothic" w:hAnsi="Lato"/>
          <w:spacing w:val="-4"/>
          <w:szCs w:val="24"/>
        </w:rPr>
        <w:t>(14,3 TWh)</w:t>
      </w:r>
      <w:r w:rsidR="001F751F">
        <w:rPr>
          <w:rFonts w:ascii="Lato" w:eastAsia="Malgun Gothic" w:hAnsi="Lato"/>
          <w:spacing w:val="-4"/>
          <w:szCs w:val="24"/>
        </w:rPr>
        <w:t>;</w:t>
      </w:r>
    </w:p>
    <w:p w14:paraId="2B0B9D72" w14:textId="3D1E0DBF" w:rsidR="00FD227B" w:rsidRPr="001F751F" w:rsidRDefault="00FD227B">
      <w:pPr>
        <w:pStyle w:val="Akapitzlist"/>
        <w:numPr>
          <w:ilvl w:val="0"/>
          <w:numId w:val="16"/>
        </w:numPr>
        <w:spacing w:after="0" w:line="276" w:lineRule="auto"/>
        <w:contextualSpacing w:val="0"/>
        <w:rPr>
          <w:rFonts w:ascii="Lato" w:eastAsia="Malgun Gothic" w:hAnsi="Lato"/>
          <w:spacing w:val="-4"/>
          <w:szCs w:val="24"/>
        </w:rPr>
      </w:pPr>
      <w:r w:rsidRPr="001F751F">
        <w:rPr>
          <w:rFonts w:ascii="Lato" w:eastAsia="Malgun Gothic" w:hAnsi="Lato"/>
          <w:spacing w:val="-4"/>
          <w:szCs w:val="24"/>
        </w:rPr>
        <w:t>gazu zaazotowanego – 2,31 mld m</w:t>
      </w:r>
      <w:r w:rsidRPr="001F751F">
        <w:rPr>
          <w:rFonts w:ascii="Lato" w:eastAsia="Malgun Gothic" w:hAnsi="Lato"/>
          <w:spacing w:val="-4"/>
          <w:szCs w:val="24"/>
          <w:vertAlign w:val="superscript"/>
        </w:rPr>
        <w:t xml:space="preserve">3 </w:t>
      </w:r>
      <w:r w:rsidRPr="001F751F">
        <w:rPr>
          <w:rFonts w:ascii="Lato" w:eastAsia="Malgun Gothic" w:hAnsi="Lato"/>
          <w:spacing w:val="-4"/>
          <w:szCs w:val="24"/>
        </w:rPr>
        <w:t>(25,3 TWh)</w:t>
      </w:r>
      <w:r w:rsidR="001F751F">
        <w:rPr>
          <w:rFonts w:ascii="Lato" w:eastAsia="Malgun Gothic" w:hAnsi="Lato"/>
          <w:spacing w:val="-4"/>
          <w:szCs w:val="24"/>
        </w:rPr>
        <w:t>;</w:t>
      </w:r>
    </w:p>
    <w:p w14:paraId="77A3D82E" w14:textId="479F19C0" w:rsidR="00FD227B" w:rsidRPr="001F751F" w:rsidRDefault="00FD227B">
      <w:pPr>
        <w:pStyle w:val="Akapitzlist"/>
        <w:numPr>
          <w:ilvl w:val="0"/>
          <w:numId w:val="16"/>
        </w:numPr>
        <w:spacing w:after="0" w:line="276" w:lineRule="auto"/>
        <w:contextualSpacing w:val="0"/>
        <w:rPr>
          <w:rFonts w:ascii="Lato" w:eastAsia="Malgun Gothic" w:hAnsi="Lato"/>
          <w:szCs w:val="24"/>
        </w:rPr>
      </w:pPr>
      <w:r w:rsidRPr="001F751F">
        <w:rPr>
          <w:rFonts w:ascii="Lato" w:eastAsia="Malgun Gothic" w:hAnsi="Lato"/>
          <w:spacing w:val="-4"/>
          <w:szCs w:val="24"/>
        </w:rPr>
        <w:t xml:space="preserve">gazu z odmetanowania </w:t>
      </w:r>
      <w:r w:rsidRPr="001F751F">
        <w:rPr>
          <w:rFonts w:ascii="Lato" w:eastAsia="Malgun Gothic" w:hAnsi="Lato"/>
          <w:szCs w:val="24"/>
        </w:rPr>
        <w:t>kopal</w:t>
      </w:r>
      <w:r w:rsidRPr="001F751F">
        <w:rPr>
          <w:rFonts w:ascii="Lato" w:eastAsia="Malgun Gothic" w:hAnsi="Lato" w:cs="Calibri"/>
          <w:szCs w:val="24"/>
        </w:rPr>
        <w:t>ń</w:t>
      </w:r>
      <w:r w:rsidRPr="001F751F">
        <w:rPr>
          <w:rFonts w:ascii="Lato" w:eastAsia="Malgun Gothic" w:hAnsi="Lato"/>
          <w:szCs w:val="24"/>
        </w:rPr>
        <w:t xml:space="preserve"> i z wydobycia podmorskiego – 237 mln m</w:t>
      </w:r>
      <w:r w:rsidRPr="001F751F">
        <w:rPr>
          <w:rFonts w:ascii="Lato" w:eastAsia="Malgun Gothic" w:hAnsi="Lato"/>
          <w:szCs w:val="24"/>
          <w:vertAlign w:val="superscript"/>
        </w:rPr>
        <w:t xml:space="preserve">3 </w:t>
      </w:r>
      <w:r w:rsidRPr="001F751F">
        <w:rPr>
          <w:rFonts w:ascii="Lato" w:eastAsia="Malgun Gothic" w:hAnsi="Lato"/>
          <w:szCs w:val="24"/>
        </w:rPr>
        <w:t xml:space="preserve">(2,6 </w:t>
      </w:r>
      <w:r w:rsidRPr="001F751F">
        <w:rPr>
          <w:rFonts w:ascii="Lato" w:eastAsia="Malgun Gothic" w:hAnsi="Lato"/>
          <w:spacing w:val="-4"/>
          <w:szCs w:val="24"/>
        </w:rPr>
        <w:t>TWh</w:t>
      </w:r>
      <w:r w:rsidRPr="001F751F">
        <w:rPr>
          <w:rFonts w:ascii="Lato" w:eastAsia="Malgun Gothic" w:hAnsi="Lato"/>
          <w:szCs w:val="24"/>
        </w:rPr>
        <w:t>).</w:t>
      </w:r>
    </w:p>
    <w:p w14:paraId="63A95EA2" w14:textId="6A4E6D66" w:rsidR="00FD227B" w:rsidRPr="004F0DBF" w:rsidRDefault="00FD227B" w:rsidP="002F262E">
      <w:pPr>
        <w:spacing w:after="60" w:line="276" w:lineRule="auto"/>
        <w:ind w:firstLine="567"/>
        <w:rPr>
          <w:rFonts w:ascii="Lato" w:eastAsia="Malgun Gothic" w:hAnsi="Lato"/>
          <w:szCs w:val="24"/>
        </w:rPr>
      </w:pPr>
      <w:r w:rsidRPr="004F0DBF">
        <w:rPr>
          <w:rFonts w:ascii="Lato" w:eastAsia="Malgun Gothic" w:hAnsi="Lato"/>
          <w:szCs w:val="24"/>
        </w:rPr>
        <w:t>Cz</w:t>
      </w:r>
      <w:r w:rsidRPr="004F0DBF">
        <w:rPr>
          <w:rFonts w:ascii="Lato" w:eastAsia="Malgun Gothic" w:hAnsi="Lato" w:cs="Calibri"/>
          <w:szCs w:val="24"/>
        </w:rPr>
        <w:t>ęść</w:t>
      </w:r>
      <w:r w:rsidRPr="004F0DBF">
        <w:rPr>
          <w:rFonts w:ascii="Lato" w:eastAsia="Malgun Gothic" w:hAnsi="Lato"/>
          <w:szCs w:val="24"/>
        </w:rPr>
        <w:t xml:space="preserve"> wydobywanego gazu zaazotowanego przekazywana jest do systemu gazu zaazotowanego i odbierana przez odbiorców, natomiast cz</w:t>
      </w:r>
      <w:r w:rsidRPr="004F0DBF">
        <w:rPr>
          <w:rFonts w:ascii="Lato" w:eastAsia="Malgun Gothic" w:hAnsi="Lato" w:cs="Calibri"/>
          <w:szCs w:val="24"/>
        </w:rPr>
        <w:t>ęść</w:t>
      </w:r>
      <w:r w:rsidRPr="004F0DBF">
        <w:rPr>
          <w:rFonts w:ascii="Lato" w:eastAsia="Malgun Gothic" w:hAnsi="Lato"/>
          <w:szCs w:val="24"/>
        </w:rPr>
        <w:t xml:space="preserve"> podlega przetworzeniu w odazotowniach w Odolanowie o maksymalnej mocy przetwórczej 5,76 mln m</w:t>
      </w:r>
      <w:r w:rsidRPr="004F0DBF">
        <w:rPr>
          <w:rFonts w:ascii="Lato" w:eastAsia="Malgun Gothic" w:hAnsi="Lato"/>
          <w:szCs w:val="24"/>
          <w:vertAlign w:val="superscript"/>
        </w:rPr>
        <w:t>3</w:t>
      </w:r>
      <w:r w:rsidRPr="004F0DBF">
        <w:rPr>
          <w:rFonts w:ascii="Lato" w:eastAsia="Malgun Gothic" w:hAnsi="Lato"/>
          <w:szCs w:val="24"/>
        </w:rPr>
        <w:t>/dob</w:t>
      </w:r>
      <w:r w:rsidRPr="004F0DBF">
        <w:rPr>
          <w:rFonts w:ascii="Lato" w:eastAsia="Malgun Gothic" w:hAnsi="Lato" w:cs="Calibri"/>
          <w:szCs w:val="24"/>
        </w:rPr>
        <w:t>ę</w:t>
      </w:r>
      <w:r w:rsidRPr="004F0DBF">
        <w:rPr>
          <w:rFonts w:ascii="Lato" w:eastAsia="Malgun Gothic" w:hAnsi="Lato"/>
          <w:szCs w:val="24"/>
        </w:rPr>
        <w:t xml:space="preserve"> (63,2 GWh/dob</w:t>
      </w:r>
      <w:r w:rsidRPr="004F0DBF">
        <w:rPr>
          <w:rFonts w:ascii="Lato" w:eastAsia="Malgun Gothic" w:hAnsi="Lato" w:cs="Calibri"/>
          <w:szCs w:val="24"/>
        </w:rPr>
        <w:t>ę</w:t>
      </w:r>
      <w:r w:rsidRPr="004F0DBF">
        <w:rPr>
          <w:rFonts w:ascii="Lato" w:eastAsia="Malgun Gothic" w:hAnsi="Lato"/>
          <w:szCs w:val="24"/>
        </w:rPr>
        <w:t>) i zdolno</w:t>
      </w:r>
      <w:r w:rsidRPr="004F0DBF">
        <w:rPr>
          <w:rFonts w:ascii="Lato" w:eastAsia="Malgun Gothic" w:hAnsi="Lato" w:cs="Calibri"/>
          <w:szCs w:val="24"/>
        </w:rPr>
        <w:t>ś</w:t>
      </w:r>
      <w:r w:rsidRPr="004F0DBF">
        <w:rPr>
          <w:rFonts w:ascii="Lato" w:eastAsia="Malgun Gothic" w:hAnsi="Lato"/>
          <w:szCs w:val="24"/>
        </w:rPr>
        <w:t>ci optymalnej 3,84 mln m</w:t>
      </w:r>
      <w:r w:rsidRPr="004F0DBF">
        <w:rPr>
          <w:rFonts w:ascii="Lato" w:eastAsia="Malgun Gothic" w:hAnsi="Lato"/>
          <w:szCs w:val="24"/>
          <w:vertAlign w:val="superscript"/>
        </w:rPr>
        <w:t>3</w:t>
      </w:r>
      <w:r w:rsidRPr="004F0DBF">
        <w:rPr>
          <w:rFonts w:ascii="Lato" w:eastAsia="Malgun Gothic" w:hAnsi="Lato"/>
          <w:szCs w:val="24"/>
        </w:rPr>
        <w:t>/dob</w:t>
      </w:r>
      <w:r w:rsidRPr="004F0DBF">
        <w:rPr>
          <w:rFonts w:ascii="Lato" w:eastAsia="Malgun Gothic" w:hAnsi="Lato" w:cs="Calibri"/>
          <w:szCs w:val="24"/>
        </w:rPr>
        <w:t>ę</w:t>
      </w:r>
      <w:r w:rsidRPr="004F0DBF">
        <w:rPr>
          <w:rFonts w:ascii="Lato" w:eastAsia="Malgun Gothic" w:hAnsi="Lato"/>
          <w:szCs w:val="24"/>
        </w:rPr>
        <w:t xml:space="preserve"> (42,1 GWh/dob</w:t>
      </w:r>
      <w:r w:rsidRPr="004F0DBF">
        <w:rPr>
          <w:rFonts w:ascii="Lato" w:eastAsia="Malgun Gothic" w:hAnsi="Lato" w:cs="Calibri"/>
          <w:szCs w:val="24"/>
        </w:rPr>
        <w:t>ę</w:t>
      </w:r>
      <w:r w:rsidRPr="004F0DBF">
        <w:rPr>
          <w:rFonts w:ascii="Lato" w:eastAsia="Malgun Gothic" w:hAnsi="Lato"/>
          <w:szCs w:val="24"/>
        </w:rPr>
        <w:t>) oraz w Grodzisku Wielkopolskim o maksymalnych zdolno</w:t>
      </w:r>
      <w:r w:rsidRPr="004F0DBF">
        <w:rPr>
          <w:rFonts w:ascii="Lato" w:eastAsia="Malgun Gothic" w:hAnsi="Lato" w:cs="Calibri"/>
          <w:szCs w:val="24"/>
        </w:rPr>
        <w:t>ś</w:t>
      </w:r>
      <w:r w:rsidRPr="004F0DBF">
        <w:rPr>
          <w:rFonts w:ascii="Lato" w:eastAsia="Malgun Gothic" w:hAnsi="Lato"/>
          <w:szCs w:val="24"/>
        </w:rPr>
        <w:t>ciach technicznych pracy wynosz</w:t>
      </w:r>
      <w:r w:rsidRPr="004F0DBF">
        <w:rPr>
          <w:rFonts w:ascii="Lato" w:eastAsia="Malgun Gothic" w:hAnsi="Lato" w:cs="Calibri"/>
          <w:szCs w:val="24"/>
        </w:rPr>
        <w:t>ą</w:t>
      </w:r>
      <w:r w:rsidRPr="004F0DBF">
        <w:rPr>
          <w:rFonts w:ascii="Lato" w:eastAsia="Malgun Gothic" w:hAnsi="Lato"/>
          <w:szCs w:val="24"/>
        </w:rPr>
        <w:t>cych 1,92 mln m</w:t>
      </w:r>
      <w:r w:rsidRPr="004F0DBF">
        <w:rPr>
          <w:rFonts w:ascii="Lato" w:eastAsia="Malgun Gothic" w:hAnsi="Lato"/>
          <w:szCs w:val="24"/>
          <w:vertAlign w:val="superscript"/>
        </w:rPr>
        <w:t>3</w:t>
      </w:r>
      <w:r w:rsidRPr="004F0DBF">
        <w:rPr>
          <w:rFonts w:ascii="Lato" w:eastAsia="Malgun Gothic" w:hAnsi="Lato"/>
          <w:szCs w:val="24"/>
        </w:rPr>
        <w:t>/dob</w:t>
      </w:r>
      <w:r w:rsidRPr="004F0DBF">
        <w:rPr>
          <w:rFonts w:ascii="Lato" w:eastAsia="Malgun Gothic" w:hAnsi="Lato" w:cs="Calibri"/>
          <w:szCs w:val="24"/>
        </w:rPr>
        <w:t>ę</w:t>
      </w:r>
      <w:r w:rsidRPr="004F0DBF">
        <w:rPr>
          <w:rFonts w:ascii="Lato" w:eastAsia="Malgun Gothic" w:hAnsi="Lato"/>
          <w:szCs w:val="24"/>
        </w:rPr>
        <w:t xml:space="preserve"> (21,1 GWh/dob</w:t>
      </w:r>
      <w:r w:rsidRPr="004F0DBF">
        <w:rPr>
          <w:rFonts w:ascii="Lato" w:eastAsia="Malgun Gothic" w:hAnsi="Lato" w:cs="Calibri"/>
          <w:szCs w:val="24"/>
        </w:rPr>
        <w:t>ę</w:t>
      </w:r>
      <w:r w:rsidRPr="004F0DBF">
        <w:rPr>
          <w:rFonts w:ascii="Lato" w:eastAsia="Malgun Gothic" w:hAnsi="Lato"/>
          <w:szCs w:val="24"/>
        </w:rPr>
        <w:t>) i zdolno</w:t>
      </w:r>
      <w:r w:rsidRPr="004F0DBF">
        <w:rPr>
          <w:rFonts w:ascii="Lato" w:eastAsia="Malgun Gothic" w:hAnsi="Lato" w:cs="Calibri"/>
          <w:szCs w:val="24"/>
        </w:rPr>
        <w:t>ś</w:t>
      </w:r>
      <w:r w:rsidRPr="004F0DBF">
        <w:rPr>
          <w:rFonts w:ascii="Lato" w:eastAsia="Malgun Gothic" w:hAnsi="Lato"/>
          <w:szCs w:val="24"/>
        </w:rPr>
        <w:t>ci optymalnej 1,44 mln m</w:t>
      </w:r>
      <w:r w:rsidRPr="004F0DBF">
        <w:rPr>
          <w:rFonts w:ascii="Lato" w:eastAsia="Malgun Gothic" w:hAnsi="Lato"/>
          <w:szCs w:val="24"/>
          <w:vertAlign w:val="superscript"/>
        </w:rPr>
        <w:t>3</w:t>
      </w:r>
      <w:r w:rsidRPr="004F0DBF">
        <w:rPr>
          <w:rFonts w:ascii="Lato" w:eastAsia="Malgun Gothic" w:hAnsi="Lato"/>
          <w:szCs w:val="24"/>
        </w:rPr>
        <w:t>/dob</w:t>
      </w:r>
      <w:r w:rsidRPr="004F0DBF">
        <w:rPr>
          <w:rFonts w:ascii="Lato" w:eastAsia="Malgun Gothic" w:hAnsi="Lato" w:cs="Calibri"/>
          <w:szCs w:val="24"/>
        </w:rPr>
        <w:t>ę</w:t>
      </w:r>
      <w:r w:rsidRPr="004F0DBF">
        <w:rPr>
          <w:rFonts w:ascii="Lato" w:eastAsia="Malgun Gothic" w:hAnsi="Lato"/>
          <w:szCs w:val="24"/>
        </w:rPr>
        <w:t xml:space="preserve"> (15,8 GWh/dob</w:t>
      </w:r>
      <w:r w:rsidRPr="004F0DBF">
        <w:rPr>
          <w:rFonts w:ascii="Lato" w:eastAsia="Malgun Gothic" w:hAnsi="Lato" w:cs="Calibri"/>
          <w:szCs w:val="24"/>
        </w:rPr>
        <w:t>ę</w:t>
      </w:r>
      <w:r w:rsidRPr="004F0DBF">
        <w:rPr>
          <w:rFonts w:ascii="Lato" w:eastAsia="Malgun Gothic" w:hAnsi="Lato"/>
          <w:szCs w:val="24"/>
        </w:rPr>
        <w:t>).</w:t>
      </w:r>
    </w:p>
    <w:p w14:paraId="73A06BDA" w14:textId="091B993E" w:rsidR="00FD227B" w:rsidRPr="004F0DBF" w:rsidRDefault="00FD227B" w:rsidP="002F262E">
      <w:pPr>
        <w:spacing w:after="60" w:line="276" w:lineRule="auto"/>
        <w:ind w:firstLine="567"/>
        <w:contextualSpacing/>
        <w:rPr>
          <w:rFonts w:ascii="Lato" w:eastAsia="Malgun Gothic" w:hAnsi="Lato"/>
          <w:szCs w:val="24"/>
        </w:rPr>
      </w:pPr>
      <w:r w:rsidRPr="004F0DBF">
        <w:rPr>
          <w:rFonts w:ascii="Lato" w:eastAsia="Malgun Gothic" w:hAnsi="Lato" w:cs="Calibri"/>
          <w:szCs w:val="24"/>
        </w:rPr>
        <w:t>Ś</w:t>
      </w:r>
      <w:r w:rsidRPr="004F0DBF">
        <w:rPr>
          <w:rFonts w:ascii="Lato" w:eastAsia="Malgun Gothic" w:hAnsi="Lato"/>
          <w:szCs w:val="24"/>
        </w:rPr>
        <w:t>rednia dzienna zdolno</w:t>
      </w:r>
      <w:r w:rsidRPr="004F0DBF">
        <w:rPr>
          <w:rFonts w:ascii="Lato" w:eastAsia="Malgun Gothic" w:hAnsi="Lato" w:cs="Calibri"/>
          <w:szCs w:val="24"/>
        </w:rPr>
        <w:t>ść</w:t>
      </w:r>
      <w:r w:rsidRPr="004F0DBF">
        <w:rPr>
          <w:rFonts w:ascii="Lato" w:eastAsia="Malgun Gothic" w:hAnsi="Lato"/>
          <w:szCs w:val="24"/>
        </w:rPr>
        <w:t xml:space="preserve"> produkcyjna kopal</w:t>
      </w:r>
      <w:r w:rsidRPr="004F0DBF">
        <w:rPr>
          <w:rFonts w:ascii="Lato" w:eastAsia="Malgun Gothic" w:hAnsi="Lato" w:cs="Calibri"/>
          <w:szCs w:val="24"/>
        </w:rPr>
        <w:t>ń</w:t>
      </w:r>
      <w:r w:rsidRPr="004F0DBF">
        <w:rPr>
          <w:rFonts w:ascii="Lato" w:eastAsia="Malgun Gothic" w:hAnsi="Lato"/>
          <w:szCs w:val="24"/>
        </w:rPr>
        <w:t xml:space="preserve"> przy</w:t>
      </w:r>
      <w:r w:rsidRPr="004F0DBF">
        <w:rPr>
          <w:rFonts w:ascii="Lato" w:eastAsia="Malgun Gothic" w:hAnsi="Lato" w:cs="Malgun Gothic"/>
          <w:szCs w:val="24"/>
        </w:rPr>
        <w:t>ł</w:t>
      </w:r>
      <w:r w:rsidRPr="004F0DBF">
        <w:rPr>
          <w:rFonts w:ascii="Lato" w:eastAsia="Malgun Gothic" w:hAnsi="Lato" w:cs="Calibri"/>
          <w:szCs w:val="24"/>
        </w:rPr>
        <w:t>ą</w:t>
      </w:r>
      <w:r w:rsidRPr="004F0DBF">
        <w:rPr>
          <w:rFonts w:ascii="Lato" w:eastAsia="Malgun Gothic" w:hAnsi="Lato"/>
          <w:szCs w:val="24"/>
        </w:rPr>
        <w:t>czonych do krajowego systemu przesy</w:t>
      </w:r>
      <w:r w:rsidRPr="004F0DBF">
        <w:rPr>
          <w:rFonts w:ascii="Lato" w:eastAsia="Malgun Gothic" w:hAnsi="Lato" w:cs="Malgun Gothic"/>
          <w:szCs w:val="24"/>
        </w:rPr>
        <w:t>ł</w:t>
      </w:r>
      <w:r w:rsidRPr="004F0DBF">
        <w:rPr>
          <w:rFonts w:ascii="Lato" w:eastAsia="Malgun Gothic" w:hAnsi="Lato"/>
          <w:szCs w:val="24"/>
        </w:rPr>
        <w:t>owego oraz odazotowni kszta</w:t>
      </w:r>
      <w:r w:rsidRPr="004F0DBF">
        <w:rPr>
          <w:rFonts w:ascii="Lato" w:eastAsia="Malgun Gothic" w:hAnsi="Lato" w:cs="Malgun Gothic"/>
          <w:szCs w:val="24"/>
        </w:rPr>
        <w:t>ł</w:t>
      </w:r>
      <w:r w:rsidRPr="004F0DBF">
        <w:rPr>
          <w:rFonts w:ascii="Lato" w:eastAsia="Malgun Gothic" w:hAnsi="Lato"/>
          <w:szCs w:val="24"/>
        </w:rPr>
        <w:t>towa</w:t>
      </w:r>
      <w:r w:rsidRPr="004F0DBF">
        <w:rPr>
          <w:rFonts w:ascii="Lato" w:eastAsia="Malgun Gothic" w:hAnsi="Lato" w:cs="Malgun Gothic"/>
          <w:szCs w:val="24"/>
        </w:rPr>
        <w:t>ł</w:t>
      </w:r>
      <w:r w:rsidRPr="004F0DBF">
        <w:rPr>
          <w:rFonts w:ascii="Lato" w:eastAsia="Malgun Gothic" w:hAnsi="Lato"/>
          <w:szCs w:val="24"/>
        </w:rPr>
        <w:t>a si</w:t>
      </w:r>
      <w:r w:rsidRPr="004F0DBF">
        <w:rPr>
          <w:rFonts w:ascii="Lato" w:eastAsia="Malgun Gothic" w:hAnsi="Lato" w:cs="Calibri"/>
          <w:szCs w:val="24"/>
        </w:rPr>
        <w:t>ę</w:t>
      </w:r>
      <w:r w:rsidRPr="004F0DBF">
        <w:rPr>
          <w:rFonts w:ascii="Lato" w:eastAsia="Malgun Gothic" w:hAnsi="Lato"/>
          <w:szCs w:val="24"/>
        </w:rPr>
        <w:t xml:space="preserve"> na poziomie ok. 12,79 mln m</w:t>
      </w:r>
      <w:r w:rsidRPr="004F0DBF">
        <w:rPr>
          <w:rFonts w:ascii="Lato" w:eastAsia="Malgun Gothic" w:hAnsi="Lato"/>
          <w:szCs w:val="24"/>
          <w:vertAlign w:val="superscript"/>
        </w:rPr>
        <w:t>3</w:t>
      </w:r>
      <w:r w:rsidRPr="004F0DBF">
        <w:rPr>
          <w:rFonts w:ascii="Lato" w:eastAsia="Malgun Gothic" w:hAnsi="Lato"/>
          <w:szCs w:val="24"/>
        </w:rPr>
        <w:t>/dob</w:t>
      </w:r>
      <w:r w:rsidRPr="004F0DBF">
        <w:rPr>
          <w:rFonts w:ascii="Lato" w:eastAsia="Malgun Gothic" w:hAnsi="Lato" w:cs="Calibri"/>
          <w:szCs w:val="24"/>
        </w:rPr>
        <w:t>ę</w:t>
      </w:r>
      <w:r w:rsidRPr="004F0DBF">
        <w:rPr>
          <w:rFonts w:ascii="Lato" w:eastAsia="Malgun Gothic" w:hAnsi="Lato"/>
          <w:szCs w:val="24"/>
        </w:rPr>
        <w:t xml:space="preserve"> (108 GWh/dob</w:t>
      </w:r>
      <w:r w:rsidRPr="004F0DBF">
        <w:rPr>
          <w:rFonts w:ascii="Lato" w:eastAsia="Malgun Gothic" w:hAnsi="Lato" w:cs="Calibri"/>
          <w:szCs w:val="24"/>
        </w:rPr>
        <w:t>ę</w:t>
      </w:r>
      <w:r w:rsidRPr="004F0DBF">
        <w:rPr>
          <w:rFonts w:ascii="Lato" w:eastAsia="Malgun Gothic" w:hAnsi="Lato"/>
          <w:szCs w:val="24"/>
        </w:rPr>
        <w:t>). Maksymalna zdolno</w:t>
      </w:r>
      <w:r w:rsidRPr="004F0DBF">
        <w:rPr>
          <w:rFonts w:ascii="Lato" w:eastAsia="Malgun Gothic" w:hAnsi="Lato" w:cs="Calibri"/>
          <w:szCs w:val="24"/>
        </w:rPr>
        <w:t>ść</w:t>
      </w:r>
      <w:r w:rsidRPr="004F0DBF">
        <w:rPr>
          <w:rFonts w:ascii="Lato" w:eastAsia="Malgun Gothic" w:hAnsi="Lato"/>
          <w:szCs w:val="24"/>
        </w:rPr>
        <w:t xml:space="preserve"> produkcyjna w 2022 r. wyniosła 13,894 mln m</w:t>
      </w:r>
      <w:r w:rsidRPr="004F0DBF">
        <w:rPr>
          <w:rFonts w:ascii="Lato" w:eastAsia="Malgun Gothic" w:hAnsi="Lato"/>
          <w:szCs w:val="24"/>
          <w:vertAlign w:val="superscript"/>
        </w:rPr>
        <w:t>3</w:t>
      </w:r>
      <w:r w:rsidRPr="004F0DBF">
        <w:rPr>
          <w:rFonts w:ascii="Lato" w:eastAsia="Malgun Gothic" w:hAnsi="Lato"/>
          <w:szCs w:val="24"/>
        </w:rPr>
        <w:t>/dob</w:t>
      </w:r>
      <w:r w:rsidRPr="004F0DBF">
        <w:rPr>
          <w:rFonts w:ascii="Lato" w:eastAsia="Malgun Gothic" w:hAnsi="Lato" w:cs="Calibri"/>
          <w:szCs w:val="24"/>
        </w:rPr>
        <w:t>ę</w:t>
      </w:r>
      <w:r w:rsidRPr="004F0DBF">
        <w:rPr>
          <w:rFonts w:ascii="Lato" w:eastAsia="Malgun Gothic" w:hAnsi="Lato"/>
          <w:szCs w:val="24"/>
        </w:rPr>
        <w:t xml:space="preserve"> (116,01 GWh/dob</w:t>
      </w:r>
      <w:r w:rsidRPr="004F0DBF">
        <w:rPr>
          <w:rFonts w:ascii="Lato" w:eastAsia="Malgun Gothic" w:hAnsi="Lato" w:cs="Calibri"/>
          <w:szCs w:val="24"/>
        </w:rPr>
        <w:t>ę</w:t>
      </w:r>
      <w:r w:rsidRPr="004F0DBF">
        <w:rPr>
          <w:rFonts w:ascii="Lato" w:eastAsia="Malgun Gothic" w:hAnsi="Lato"/>
          <w:szCs w:val="24"/>
        </w:rPr>
        <w:t>).</w:t>
      </w:r>
    </w:p>
    <w:p w14:paraId="06A90F68" w14:textId="2DE01B78" w:rsidR="001F751F" w:rsidRPr="002F262E" w:rsidRDefault="00FD227B" w:rsidP="002F262E">
      <w:pPr>
        <w:spacing w:after="60" w:line="276" w:lineRule="auto"/>
        <w:ind w:firstLine="567"/>
        <w:rPr>
          <w:rFonts w:ascii="Lato" w:eastAsia="Malgun Gothic" w:hAnsi="Lato"/>
          <w:szCs w:val="24"/>
        </w:rPr>
      </w:pPr>
      <w:r w:rsidRPr="004F0DBF">
        <w:rPr>
          <w:rFonts w:ascii="Lato" w:eastAsia="Malgun Gothic" w:hAnsi="Lato"/>
          <w:szCs w:val="24"/>
        </w:rPr>
        <w:t>W stosunku do roku poprzedniego całkowite wydobycie zmniejszyło się o 1,8%. Na spadek wydobycia miało wpływ sczerpywanie się eksploatowanych złóż oraz zróżnicowana i skomplikowana struktura geologiczna nowych złóż uniemożliwiająca pełne zastąpienie wydobycia z obecnie eksploatowanych złóż.</w:t>
      </w:r>
    </w:p>
    <w:p w14:paraId="165697F0" w14:textId="77777777" w:rsidR="0067393E" w:rsidRDefault="0067393E" w:rsidP="00983C18">
      <w:pPr>
        <w:spacing w:before="100" w:beforeAutospacing="1" w:line="276" w:lineRule="auto"/>
        <w:rPr>
          <w:rFonts w:ascii="Lato" w:eastAsia="Malgun Gothic" w:hAnsi="Lato"/>
          <w:b/>
          <w:szCs w:val="24"/>
        </w:rPr>
      </w:pPr>
    </w:p>
    <w:p w14:paraId="58CEF6AA" w14:textId="77777777" w:rsidR="0067393E" w:rsidRDefault="0067393E" w:rsidP="00983C18">
      <w:pPr>
        <w:spacing w:before="100" w:beforeAutospacing="1" w:line="276" w:lineRule="auto"/>
        <w:rPr>
          <w:rFonts w:ascii="Lato" w:eastAsia="Malgun Gothic" w:hAnsi="Lato"/>
          <w:b/>
          <w:szCs w:val="24"/>
        </w:rPr>
      </w:pPr>
    </w:p>
    <w:p w14:paraId="2B0DD425" w14:textId="1058689F" w:rsidR="0067393E" w:rsidRPr="004D7EBB" w:rsidRDefault="00FD227B" w:rsidP="004D7EBB">
      <w:pPr>
        <w:spacing w:before="100" w:beforeAutospacing="1" w:line="276" w:lineRule="auto"/>
        <w:rPr>
          <w:rFonts w:ascii="Lato" w:eastAsia="Malgun Gothic" w:hAnsi="Lato"/>
          <w:b/>
          <w:szCs w:val="24"/>
        </w:rPr>
      </w:pPr>
      <w:r w:rsidRPr="006E0158">
        <w:rPr>
          <w:rFonts w:ascii="Lato" w:eastAsia="Malgun Gothic" w:hAnsi="Lato"/>
          <w:b/>
          <w:szCs w:val="24"/>
        </w:rPr>
        <w:t xml:space="preserve">Rysunek </w:t>
      </w:r>
      <w:r w:rsidR="001B1D8F">
        <w:rPr>
          <w:rFonts w:ascii="Lato" w:eastAsia="Malgun Gothic" w:hAnsi="Lato"/>
          <w:b/>
          <w:szCs w:val="24"/>
        </w:rPr>
        <w:t>10</w:t>
      </w:r>
      <w:r w:rsidRPr="006E0158">
        <w:rPr>
          <w:rFonts w:ascii="Lato" w:eastAsia="Malgun Gothic" w:hAnsi="Lato"/>
          <w:b/>
          <w:szCs w:val="24"/>
        </w:rPr>
        <w:t>. Wydobycie krajowe gazu ziemnego w 2022 r.</w:t>
      </w:r>
    </w:p>
    <w:p w14:paraId="35C38DD3" w14:textId="448AA8F8" w:rsidR="00FD227B" w:rsidRPr="001F751F" w:rsidRDefault="001F751F" w:rsidP="001F751F">
      <w:pPr>
        <w:spacing w:before="240" w:line="276" w:lineRule="auto"/>
        <w:ind w:firstLine="357"/>
        <w:rPr>
          <w:rFonts w:ascii="Lato" w:eastAsia="Malgun Gothic" w:hAnsi="Lato"/>
          <w:sz w:val="20"/>
          <w:szCs w:val="20"/>
        </w:rPr>
      </w:pPr>
      <w:r w:rsidRPr="001F751F">
        <w:rPr>
          <w:rFonts w:ascii="Lato" w:eastAsia="Malgun Gothic" w:hAnsi="Lato" w:cs="Calibri"/>
          <w:i/>
          <w:sz w:val="20"/>
          <w:szCs w:val="20"/>
        </w:rPr>
        <w:t>Ź</w:t>
      </w:r>
      <w:r w:rsidRPr="001F751F">
        <w:rPr>
          <w:rFonts w:ascii="Lato" w:eastAsia="Malgun Gothic" w:hAnsi="Lato"/>
          <w:i/>
          <w:sz w:val="20"/>
          <w:szCs w:val="20"/>
        </w:rPr>
        <w:t>r</w:t>
      </w:r>
      <w:r w:rsidRPr="001F751F">
        <w:rPr>
          <w:rFonts w:ascii="Lato" w:eastAsia="Malgun Gothic" w:hAnsi="Lato" w:cs="Malgun Gothic"/>
          <w:i/>
          <w:sz w:val="20"/>
          <w:szCs w:val="20"/>
        </w:rPr>
        <w:t>ó</w:t>
      </w:r>
      <w:r w:rsidRPr="001F751F">
        <w:rPr>
          <w:rFonts w:ascii="Lato" w:eastAsia="Malgun Gothic" w:hAnsi="Lato"/>
          <w:i/>
          <w:sz w:val="20"/>
          <w:szCs w:val="20"/>
        </w:rPr>
        <w:t>d</w:t>
      </w:r>
      <w:r w:rsidRPr="001F751F">
        <w:rPr>
          <w:rFonts w:ascii="Lato" w:eastAsia="Malgun Gothic" w:hAnsi="Lato" w:cs="Malgun Gothic"/>
          <w:i/>
          <w:sz w:val="20"/>
          <w:szCs w:val="20"/>
        </w:rPr>
        <w:t>ł</w:t>
      </w:r>
      <w:r w:rsidRPr="001F751F">
        <w:rPr>
          <w:rFonts w:ascii="Lato" w:eastAsia="Malgun Gothic" w:hAnsi="Lato"/>
          <w:i/>
          <w:sz w:val="20"/>
          <w:szCs w:val="20"/>
        </w:rPr>
        <w:t>o: Badania statystyczne Ministra Klimatu i Środowiska</w:t>
      </w:r>
    </w:p>
    <w:p w14:paraId="09A75BA8" w14:textId="266D50BF" w:rsidR="00B03DBA" w:rsidRPr="00C758B1" w:rsidRDefault="0067393E" w:rsidP="002F262E">
      <w:pPr>
        <w:pStyle w:val="Rozdzia3"/>
        <w:spacing w:after="120"/>
        <w:ind w:left="1077" w:hanging="1077"/>
        <w:rPr>
          <w:rFonts w:ascii="Lato" w:hAnsi="Lato"/>
        </w:rPr>
      </w:pPr>
      <w:bookmarkStart w:id="52" w:name="_Toc12287744"/>
      <w:bookmarkStart w:id="53" w:name="_Toc12953903"/>
      <w:bookmarkStart w:id="54" w:name="_Toc19782936"/>
      <w:bookmarkStart w:id="55" w:name="_Toc142469563"/>
      <w:r w:rsidRPr="001F751F">
        <w:rPr>
          <w:rFonts w:ascii="Lato" w:hAnsi="Lato"/>
          <w:noProof/>
          <w:sz w:val="22"/>
        </w:rPr>
        <w:lastRenderedPageBreak/>
        <w:drawing>
          <wp:anchor distT="0" distB="0" distL="114300" distR="114300" simplePos="0" relativeHeight="251658244" behindDoc="1" locked="0" layoutInCell="1" allowOverlap="1" wp14:anchorId="5CD3DF48" wp14:editId="5A9DD514">
            <wp:simplePos x="0" y="0"/>
            <wp:positionH relativeFrom="margin">
              <wp:posOffset>579120</wp:posOffset>
            </wp:positionH>
            <wp:positionV relativeFrom="page">
              <wp:posOffset>1327150</wp:posOffset>
            </wp:positionV>
            <wp:extent cx="3166110" cy="2626995"/>
            <wp:effectExtent l="0" t="0" r="0" b="1905"/>
            <wp:wrapTopAndBottom/>
            <wp:docPr id="103" name="Wykres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C7771E" w:rsidRPr="00C758B1">
        <w:rPr>
          <w:rFonts w:ascii="Lato" w:hAnsi="Lato"/>
        </w:rPr>
        <w:t>Wykorzystanie gazu ziemnego przy produkcji energii elektrycznej</w:t>
      </w:r>
      <w:bookmarkEnd w:id="52"/>
      <w:bookmarkEnd w:id="53"/>
      <w:bookmarkEnd w:id="54"/>
      <w:bookmarkEnd w:id="55"/>
    </w:p>
    <w:p w14:paraId="0BB84A23" w14:textId="55DD50B0" w:rsidR="002F262E" w:rsidRDefault="00C7771E" w:rsidP="00086AFF">
      <w:pPr>
        <w:spacing w:after="60" w:line="276" w:lineRule="auto"/>
        <w:ind w:firstLine="567"/>
        <w:rPr>
          <w:rFonts w:ascii="Lato" w:eastAsia="Malgun Gothic" w:hAnsi="Lato"/>
          <w:szCs w:val="24"/>
        </w:rPr>
      </w:pPr>
      <w:r w:rsidRPr="00C758B1">
        <w:rPr>
          <w:rFonts w:ascii="Lato" w:hAnsi="Lato"/>
        </w:rPr>
        <w:tab/>
      </w:r>
      <w:r w:rsidR="00FD227B" w:rsidRPr="004F0DBF">
        <w:rPr>
          <w:rFonts w:ascii="Lato" w:eastAsia="Malgun Gothic" w:hAnsi="Lato"/>
          <w:szCs w:val="24"/>
        </w:rPr>
        <w:t>Panujący w Europie w 2022 r. kryzys energetyczny (napaść zbrojna Rosji na Ukrainę oraz wzrost hurtowych cen gazu ziemnego) spowodował</w:t>
      </w:r>
      <w:r w:rsidR="00954099">
        <w:rPr>
          <w:rFonts w:ascii="Lato" w:eastAsia="Malgun Gothic" w:hAnsi="Lato"/>
          <w:szCs w:val="24"/>
        </w:rPr>
        <w:t xml:space="preserve"> </w:t>
      </w:r>
      <w:r w:rsidR="00FD227B" w:rsidRPr="004F0DBF">
        <w:rPr>
          <w:rFonts w:ascii="Lato" w:eastAsia="Malgun Gothic" w:hAnsi="Lato"/>
          <w:szCs w:val="24"/>
        </w:rPr>
        <w:t xml:space="preserve">tymczasowy spadek zużycia gazu ziemnego przede wszystkim przez odbiorców przemysłowych, w tym przez elektroenergetykę. W 2022 r. w Polsce z paliw gazowych wytworzono 11,69 TWh energii elektrycznej, co odpowiadało udziałowi wynoszącemu 6,5% całkowitej jej produkcji, stanowi to spadek w stosunku do lat poprzednich. Niemniej </w:t>
      </w:r>
      <w:r w:rsidR="00D128A1">
        <w:rPr>
          <w:rFonts w:ascii="Lato" w:eastAsia="Malgun Gothic" w:hAnsi="Lato"/>
          <w:szCs w:val="24"/>
        </w:rPr>
        <w:t xml:space="preserve">jednak, </w:t>
      </w:r>
      <w:r w:rsidR="00FD227B" w:rsidRPr="004F0DBF">
        <w:rPr>
          <w:rFonts w:ascii="Lato" w:eastAsia="Malgun Gothic" w:hAnsi="Lato"/>
          <w:szCs w:val="24"/>
        </w:rPr>
        <w:t>w związku z procesem transformacji polskiego sektora energetycznego, w tym z realizacją zaplanowanych już inwestycji w nowe moce wytwórcze, udział paliw gazowych w produkcji energii elektrycznej i ciepła w następnych latach może wzrastać.</w:t>
      </w:r>
    </w:p>
    <w:p w14:paraId="0985D619" w14:textId="7070026E" w:rsidR="00FD227B" w:rsidRPr="002F262E" w:rsidRDefault="00FD227B" w:rsidP="00270AE5">
      <w:pPr>
        <w:tabs>
          <w:tab w:val="left" w:pos="709"/>
        </w:tabs>
        <w:spacing w:before="240" w:after="240" w:line="276" w:lineRule="auto"/>
        <w:rPr>
          <w:rFonts w:ascii="Lato" w:eastAsia="Malgun Gothic" w:hAnsi="Lato"/>
          <w:b/>
          <w:bCs/>
          <w:szCs w:val="24"/>
        </w:rPr>
      </w:pPr>
      <w:r w:rsidRPr="002F262E">
        <w:rPr>
          <w:rFonts w:ascii="Lato" w:eastAsia="Malgun Gothic" w:hAnsi="Lato"/>
          <w:b/>
          <w:bCs/>
          <w:szCs w:val="24"/>
        </w:rPr>
        <w:t xml:space="preserve">Tabela </w:t>
      </w:r>
      <w:r w:rsidRPr="002F262E">
        <w:rPr>
          <w:rFonts w:ascii="Lato" w:eastAsia="Malgun Gothic" w:hAnsi="Lato"/>
          <w:b/>
          <w:bCs/>
          <w:szCs w:val="24"/>
        </w:rPr>
        <w:fldChar w:fldCharType="begin"/>
      </w:r>
      <w:r w:rsidRPr="002F262E">
        <w:rPr>
          <w:rFonts w:ascii="Lato" w:eastAsia="Malgun Gothic" w:hAnsi="Lato"/>
          <w:b/>
          <w:bCs/>
          <w:szCs w:val="24"/>
        </w:rPr>
        <w:instrText xml:space="preserve"> SEQ Tabela \* ARABIC </w:instrText>
      </w:r>
      <w:r w:rsidRPr="002F262E">
        <w:rPr>
          <w:rFonts w:ascii="Lato" w:eastAsia="Malgun Gothic" w:hAnsi="Lato"/>
          <w:b/>
          <w:bCs/>
          <w:szCs w:val="24"/>
        </w:rPr>
        <w:fldChar w:fldCharType="separate"/>
      </w:r>
      <w:r w:rsidR="00D520CA">
        <w:rPr>
          <w:rFonts w:ascii="Lato" w:eastAsia="Malgun Gothic" w:hAnsi="Lato"/>
          <w:b/>
          <w:bCs/>
          <w:noProof/>
          <w:szCs w:val="24"/>
        </w:rPr>
        <w:t>4</w:t>
      </w:r>
      <w:r w:rsidRPr="002F262E">
        <w:rPr>
          <w:rFonts w:ascii="Lato" w:eastAsia="Malgun Gothic" w:hAnsi="Lato"/>
          <w:b/>
          <w:bCs/>
          <w:szCs w:val="24"/>
        </w:rPr>
        <w:fldChar w:fldCharType="end"/>
      </w:r>
      <w:r w:rsidRPr="002F262E">
        <w:rPr>
          <w:rFonts w:ascii="Lato" w:eastAsia="Malgun Gothic" w:hAnsi="Lato"/>
          <w:b/>
          <w:bCs/>
          <w:szCs w:val="24"/>
        </w:rPr>
        <w:t>. Produkcja energii elektrycznej z gazu ziemnego [TWh]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402"/>
        <w:gridCol w:w="2268"/>
        <w:gridCol w:w="1418"/>
      </w:tblGrid>
      <w:tr w:rsidR="00FD227B" w:rsidRPr="00847573" w14:paraId="5F11C017" w14:textId="77777777" w:rsidTr="00CE63C5">
        <w:trPr>
          <w:trHeight w:val="680"/>
          <w:jc w:val="center"/>
        </w:trPr>
        <w:tc>
          <w:tcPr>
            <w:tcW w:w="1134" w:type="dxa"/>
            <w:shd w:val="clear" w:color="auto" w:fill="00A499"/>
            <w:vAlign w:val="center"/>
          </w:tcPr>
          <w:p w14:paraId="55D83B93" w14:textId="77777777" w:rsidR="00FD227B" w:rsidRPr="002F262E" w:rsidRDefault="00FD227B" w:rsidP="002F262E">
            <w:pPr>
              <w:spacing w:before="40" w:afterLines="40" w:after="96" w:line="276" w:lineRule="auto"/>
              <w:jc w:val="center"/>
              <w:rPr>
                <w:rFonts w:ascii="Lato" w:eastAsia="Calibri" w:hAnsi="Lato"/>
                <w:b/>
                <w:sz w:val="20"/>
                <w:szCs w:val="20"/>
              </w:rPr>
            </w:pPr>
            <w:r w:rsidRPr="002F262E">
              <w:rPr>
                <w:rFonts w:ascii="Lato" w:eastAsia="Calibri" w:hAnsi="Lato"/>
                <w:b/>
                <w:sz w:val="20"/>
                <w:szCs w:val="20"/>
              </w:rPr>
              <w:t>Rok</w:t>
            </w:r>
          </w:p>
        </w:tc>
        <w:tc>
          <w:tcPr>
            <w:tcW w:w="3402" w:type="dxa"/>
            <w:shd w:val="clear" w:color="auto" w:fill="00A499"/>
            <w:vAlign w:val="center"/>
          </w:tcPr>
          <w:p w14:paraId="63725D47" w14:textId="4E226E3E" w:rsidR="00FD227B" w:rsidRPr="002F262E" w:rsidRDefault="00FD227B" w:rsidP="002F262E">
            <w:pPr>
              <w:spacing w:before="40" w:afterLines="40" w:after="96" w:line="276" w:lineRule="auto"/>
              <w:jc w:val="center"/>
              <w:rPr>
                <w:rFonts w:ascii="Lato" w:eastAsia="Calibri" w:hAnsi="Lato"/>
                <w:b/>
                <w:sz w:val="20"/>
                <w:szCs w:val="20"/>
              </w:rPr>
            </w:pPr>
            <w:r w:rsidRPr="002F262E">
              <w:rPr>
                <w:rFonts w:ascii="Lato" w:eastAsia="Calibri" w:hAnsi="Lato"/>
                <w:b/>
                <w:sz w:val="20"/>
                <w:szCs w:val="20"/>
              </w:rPr>
              <w:t>Produkcja energii elektrycznej – ogółem [TWh]</w:t>
            </w:r>
          </w:p>
        </w:tc>
        <w:tc>
          <w:tcPr>
            <w:tcW w:w="2268" w:type="dxa"/>
            <w:shd w:val="clear" w:color="auto" w:fill="00A499"/>
            <w:vAlign w:val="center"/>
          </w:tcPr>
          <w:p w14:paraId="357155B2" w14:textId="50640DF6" w:rsidR="00FD227B" w:rsidRPr="002F262E" w:rsidRDefault="00FD227B" w:rsidP="002F262E">
            <w:pPr>
              <w:spacing w:before="40" w:afterLines="40" w:after="96" w:line="276" w:lineRule="auto"/>
              <w:jc w:val="center"/>
              <w:rPr>
                <w:rFonts w:ascii="Lato" w:eastAsia="Calibri" w:hAnsi="Lato"/>
                <w:b/>
                <w:sz w:val="20"/>
                <w:szCs w:val="20"/>
              </w:rPr>
            </w:pPr>
            <w:r w:rsidRPr="002F262E">
              <w:rPr>
                <w:rFonts w:ascii="Lato" w:eastAsia="Calibri" w:hAnsi="Lato"/>
                <w:b/>
                <w:sz w:val="20"/>
                <w:szCs w:val="20"/>
              </w:rPr>
              <w:t>w tym z paliw gazowych [TWh]</w:t>
            </w:r>
          </w:p>
        </w:tc>
        <w:tc>
          <w:tcPr>
            <w:tcW w:w="1418" w:type="dxa"/>
            <w:shd w:val="clear" w:color="auto" w:fill="00A499"/>
            <w:vAlign w:val="center"/>
          </w:tcPr>
          <w:p w14:paraId="57F14C87" w14:textId="77777777" w:rsidR="00FD227B" w:rsidRPr="002F262E" w:rsidRDefault="00FD227B" w:rsidP="002F262E">
            <w:pPr>
              <w:spacing w:before="40" w:afterLines="40" w:after="96" w:line="276" w:lineRule="auto"/>
              <w:jc w:val="center"/>
              <w:rPr>
                <w:rFonts w:ascii="Lato" w:eastAsia="Calibri" w:hAnsi="Lato"/>
                <w:b/>
                <w:sz w:val="20"/>
                <w:szCs w:val="20"/>
              </w:rPr>
            </w:pPr>
            <w:r w:rsidRPr="002F262E">
              <w:rPr>
                <w:rFonts w:ascii="Lato" w:eastAsia="Calibri" w:hAnsi="Lato"/>
                <w:b/>
                <w:sz w:val="20"/>
                <w:szCs w:val="20"/>
              </w:rPr>
              <w:t>%</w:t>
            </w:r>
          </w:p>
        </w:tc>
      </w:tr>
      <w:tr w:rsidR="00FD227B" w:rsidRPr="00847573" w14:paraId="6355BC3D" w14:textId="77777777" w:rsidTr="00CE63C5">
        <w:trPr>
          <w:trHeight w:val="340"/>
          <w:jc w:val="center"/>
        </w:trPr>
        <w:tc>
          <w:tcPr>
            <w:tcW w:w="1134" w:type="dxa"/>
            <w:vAlign w:val="center"/>
          </w:tcPr>
          <w:p w14:paraId="47032585" w14:textId="77777777" w:rsidR="00FD227B" w:rsidRPr="002F262E" w:rsidRDefault="00FD227B" w:rsidP="002F262E">
            <w:pPr>
              <w:spacing w:before="40" w:afterLines="40" w:after="96"/>
              <w:jc w:val="center"/>
              <w:rPr>
                <w:rFonts w:ascii="Lato" w:eastAsia="Calibri" w:hAnsi="Lato"/>
                <w:sz w:val="20"/>
                <w:szCs w:val="20"/>
              </w:rPr>
            </w:pPr>
            <w:r w:rsidRPr="002F262E">
              <w:rPr>
                <w:rFonts w:ascii="Lato" w:eastAsia="Calibri" w:hAnsi="Lato"/>
                <w:sz w:val="20"/>
                <w:szCs w:val="20"/>
              </w:rPr>
              <w:t>2010</w:t>
            </w:r>
          </w:p>
        </w:tc>
        <w:tc>
          <w:tcPr>
            <w:tcW w:w="3402" w:type="dxa"/>
            <w:vAlign w:val="center"/>
          </w:tcPr>
          <w:p w14:paraId="5EC3401F" w14:textId="77777777" w:rsidR="00FD227B" w:rsidRPr="002F262E" w:rsidRDefault="00FD227B" w:rsidP="002F262E">
            <w:pPr>
              <w:spacing w:before="40" w:afterLines="40" w:after="96"/>
              <w:jc w:val="center"/>
              <w:rPr>
                <w:rFonts w:ascii="Lato" w:eastAsia="Calibri" w:hAnsi="Lato"/>
                <w:sz w:val="20"/>
                <w:szCs w:val="20"/>
              </w:rPr>
            </w:pPr>
            <w:r w:rsidRPr="002F262E">
              <w:rPr>
                <w:rFonts w:ascii="Lato" w:eastAsia="Calibri" w:hAnsi="Lato"/>
                <w:sz w:val="20"/>
                <w:szCs w:val="20"/>
              </w:rPr>
              <w:t>157,7</w:t>
            </w:r>
          </w:p>
        </w:tc>
        <w:tc>
          <w:tcPr>
            <w:tcW w:w="2268" w:type="dxa"/>
            <w:vAlign w:val="center"/>
          </w:tcPr>
          <w:p w14:paraId="037FD92E" w14:textId="77777777" w:rsidR="00FD227B" w:rsidRPr="002F262E" w:rsidRDefault="00FD227B" w:rsidP="002F262E">
            <w:pPr>
              <w:spacing w:before="40" w:afterLines="40" w:after="96"/>
              <w:jc w:val="center"/>
              <w:rPr>
                <w:rFonts w:ascii="Lato" w:eastAsia="Calibri" w:hAnsi="Lato"/>
                <w:sz w:val="20"/>
                <w:szCs w:val="20"/>
              </w:rPr>
            </w:pPr>
            <w:r w:rsidRPr="002F262E">
              <w:rPr>
                <w:rFonts w:ascii="Lato" w:eastAsia="Calibri" w:hAnsi="Lato"/>
                <w:sz w:val="20"/>
                <w:szCs w:val="20"/>
              </w:rPr>
              <w:t>4,9</w:t>
            </w:r>
          </w:p>
        </w:tc>
        <w:tc>
          <w:tcPr>
            <w:tcW w:w="1418" w:type="dxa"/>
            <w:vAlign w:val="center"/>
          </w:tcPr>
          <w:p w14:paraId="5ABB6D1C" w14:textId="77777777" w:rsidR="00FD227B" w:rsidRPr="002F262E" w:rsidRDefault="00FD227B" w:rsidP="002F262E">
            <w:pPr>
              <w:spacing w:before="40" w:afterLines="40" w:after="96"/>
              <w:jc w:val="center"/>
              <w:rPr>
                <w:rFonts w:ascii="Lato" w:eastAsia="Calibri" w:hAnsi="Lato"/>
                <w:sz w:val="20"/>
                <w:szCs w:val="20"/>
              </w:rPr>
            </w:pPr>
            <w:r w:rsidRPr="002F262E">
              <w:rPr>
                <w:rFonts w:ascii="Lato" w:eastAsia="Calibri" w:hAnsi="Lato"/>
                <w:sz w:val="20"/>
                <w:szCs w:val="20"/>
              </w:rPr>
              <w:t>3,1%</w:t>
            </w:r>
          </w:p>
        </w:tc>
      </w:tr>
      <w:tr w:rsidR="00FD227B" w:rsidRPr="00847573" w14:paraId="3DF95BAB" w14:textId="77777777" w:rsidTr="00CE63C5">
        <w:trPr>
          <w:trHeight w:val="340"/>
          <w:jc w:val="center"/>
        </w:trPr>
        <w:tc>
          <w:tcPr>
            <w:tcW w:w="1134" w:type="dxa"/>
            <w:vAlign w:val="center"/>
          </w:tcPr>
          <w:p w14:paraId="6B234DAB" w14:textId="77777777" w:rsidR="00FD227B" w:rsidRPr="002F262E" w:rsidRDefault="00FD227B" w:rsidP="002F262E">
            <w:pPr>
              <w:spacing w:before="40" w:afterLines="40" w:after="96"/>
              <w:jc w:val="center"/>
              <w:rPr>
                <w:rFonts w:ascii="Lato" w:eastAsia="Calibri" w:hAnsi="Lato"/>
                <w:sz w:val="20"/>
                <w:szCs w:val="20"/>
              </w:rPr>
            </w:pPr>
            <w:r w:rsidRPr="002F262E">
              <w:rPr>
                <w:rFonts w:ascii="Lato" w:eastAsia="Calibri" w:hAnsi="Lato"/>
                <w:sz w:val="20"/>
                <w:szCs w:val="20"/>
              </w:rPr>
              <w:t>2015</w:t>
            </w:r>
          </w:p>
        </w:tc>
        <w:tc>
          <w:tcPr>
            <w:tcW w:w="3402" w:type="dxa"/>
            <w:vAlign w:val="center"/>
          </w:tcPr>
          <w:p w14:paraId="44678D56" w14:textId="77777777" w:rsidR="00FD227B" w:rsidRPr="002F262E" w:rsidRDefault="00FD227B" w:rsidP="002F262E">
            <w:pPr>
              <w:spacing w:before="40" w:afterLines="40" w:after="96"/>
              <w:jc w:val="center"/>
              <w:rPr>
                <w:rFonts w:ascii="Lato" w:eastAsia="Calibri" w:hAnsi="Lato"/>
                <w:sz w:val="20"/>
                <w:szCs w:val="20"/>
              </w:rPr>
            </w:pPr>
            <w:r w:rsidRPr="002F262E">
              <w:rPr>
                <w:rFonts w:ascii="Lato" w:eastAsia="Calibri" w:hAnsi="Lato"/>
                <w:sz w:val="20"/>
                <w:szCs w:val="20"/>
              </w:rPr>
              <w:t>164,9</w:t>
            </w:r>
          </w:p>
        </w:tc>
        <w:tc>
          <w:tcPr>
            <w:tcW w:w="2268" w:type="dxa"/>
            <w:vAlign w:val="center"/>
          </w:tcPr>
          <w:p w14:paraId="53A5EB97" w14:textId="3079F40D" w:rsidR="00FD227B" w:rsidRPr="002F262E" w:rsidRDefault="00FD227B" w:rsidP="002F262E">
            <w:pPr>
              <w:spacing w:before="40" w:afterLines="40" w:after="96"/>
              <w:jc w:val="center"/>
              <w:rPr>
                <w:rFonts w:ascii="Lato" w:eastAsia="Calibri" w:hAnsi="Lato"/>
                <w:sz w:val="20"/>
                <w:szCs w:val="20"/>
              </w:rPr>
            </w:pPr>
            <w:r w:rsidRPr="002F262E">
              <w:rPr>
                <w:rFonts w:ascii="Lato" w:eastAsia="Calibri" w:hAnsi="Lato"/>
                <w:sz w:val="20"/>
                <w:szCs w:val="20"/>
              </w:rPr>
              <w:t>6,4</w:t>
            </w:r>
          </w:p>
        </w:tc>
        <w:tc>
          <w:tcPr>
            <w:tcW w:w="1418" w:type="dxa"/>
            <w:vAlign w:val="center"/>
          </w:tcPr>
          <w:p w14:paraId="1F4BE769" w14:textId="77777777" w:rsidR="00FD227B" w:rsidRPr="002F262E" w:rsidRDefault="00FD227B" w:rsidP="002F262E">
            <w:pPr>
              <w:spacing w:before="40" w:afterLines="40" w:after="96"/>
              <w:jc w:val="center"/>
              <w:rPr>
                <w:rFonts w:ascii="Lato" w:eastAsia="Calibri" w:hAnsi="Lato"/>
                <w:sz w:val="20"/>
                <w:szCs w:val="20"/>
              </w:rPr>
            </w:pPr>
            <w:r w:rsidRPr="002F262E">
              <w:rPr>
                <w:rFonts w:ascii="Lato" w:eastAsia="Calibri" w:hAnsi="Lato"/>
                <w:sz w:val="20"/>
                <w:szCs w:val="20"/>
              </w:rPr>
              <w:t>3,9%</w:t>
            </w:r>
          </w:p>
        </w:tc>
      </w:tr>
      <w:tr w:rsidR="00FD227B" w:rsidRPr="00847573" w14:paraId="486B46E5" w14:textId="77777777" w:rsidTr="00CE63C5">
        <w:trPr>
          <w:trHeight w:val="340"/>
          <w:jc w:val="center"/>
        </w:trPr>
        <w:tc>
          <w:tcPr>
            <w:tcW w:w="1134" w:type="dxa"/>
            <w:vAlign w:val="center"/>
          </w:tcPr>
          <w:p w14:paraId="223E95A0" w14:textId="77777777" w:rsidR="00FD227B" w:rsidRPr="002F262E" w:rsidRDefault="00FD227B" w:rsidP="002F262E">
            <w:pPr>
              <w:spacing w:before="40" w:afterLines="40" w:after="96"/>
              <w:jc w:val="center"/>
              <w:rPr>
                <w:rFonts w:ascii="Lato" w:eastAsia="Calibri" w:hAnsi="Lato"/>
                <w:sz w:val="20"/>
                <w:szCs w:val="20"/>
              </w:rPr>
            </w:pPr>
            <w:r w:rsidRPr="002F262E">
              <w:rPr>
                <w:rFonts w:ascii="Lato" w:eastAsia="Calibri" w:hAnsi="Lato"/>
                <w:sz w:val="20"/>
                <w:szCs w:val="20"/>
              </w:rPr>
              <w:t>2016</w:t>
            </w:r>
          </w:p>
        </w:tc>
        <w:tc>
          <w:tcPr>
            <w:tcW w:w="3402" w:type="dxa"/>
            <w:vAlign w:val="center"/>
          </w:tcPr>
          <w:p w14:paraId="55FEE12F" w14:textId="77777777" w:rsidR="00FD227B" w:rsidRPr="002F262E" w:rsidRDefault="00FD227B" w:rsidP="002F262E">
            <w:pPr>
              <w:spacing w:before="40" w:afterLines="40" w:after="96"/>
              <w:jc w:val="center"/>
              <w:rPr>
                <w:rFonts w:ascii="Lato" w:eastAsia="Calibri" w:hAnsi="Lato"/>
                <w:sz w:val="20"/>
                <w:szCs w:val="20"/>
              </w:rPr>
            </w:pPr>
            <w:r w:rsidRPr="002F262E">
              <w:rPr>
                <w:rFonts w:ascii="Lato" w:eastAsia="Calibri" w:hAnsi="Lato"/>
                <w:sz w:val="20"/>
                <w:szCs w:val="20"/>
              </w:rPr>
              <w:t>166,6</w:t>
            </w:r>
          </w:p>
        </w:tc>
        <w:tc>
          <w:tcPr>
            <w:tcW w:w="2268" w:type="dxa"/>
            <w:vAlign w:val="center"/>
          </w:tcPr>
          <w:p w14:paraId="2E119B8C" w14:textId="77777777" w:rsidR="00FD227B" w:rsidRPr="002F262E" w:rsidRDefault="00FD227B" w:rsidP="002F262E">
            <w:pPr>
              <w:spacing w:before="40" w:afterLines="40" w:after="96"/>
              <w:jc w:val="center"/>
              <w:rPr>
                <w:rFonts w:ascii="Lato" w:eastAsia="Calibri" w:hAnsi="Lato"/>
                <w:sz w:val="20"/>
                <w:szCs w:val="20"/>
              </w:rPr>
            </w:pPr>
            <w:r w:rsidRPr="002F262E">
              <w:rPr>
                <w:rFonts w:ascii="Lato" w:eastAsia="Calibri" w:hAnsi="Lato"/>
                <w:sz w:val="20"/>
                <w:szCs w:val="20"/>
              </w:rPr>
              <w:t>7,9</w:t>
            </w:r>
          </w:p>
        </w:tc>
        <w:tc>
          <w:tcPr>
            <w:tcW w:w="1418" w:type="dxa"/>
            <w:vAlign w:val="center"/>
          </w:tcPr>
          <w:p w14:paraId="74890AAB" w14:textId="77777777" w:rsidR="00FD227B" w:rsidRPr="002F262E" w:rsidRDefault="00FD227B" w:rsidP="002F262E">
            <w:pPr>
              <w:spacing w:before="40" w:afterLines="40" w:after="96"/>
              <w:jc w:val="center"/>
              <w:rPr>
                <w:rFonts w:ascii="Lato" w:eastAsia="Calibri" w:hAnsi="Lato"/>
                <w:sz w:val="20"/>
                <w:szCs w:val="20"/>
              </w:rPr>
            </w:pPr>
            <w:r w:rsidRPr="002F262E">
              <w:rPr>
                <w:rFonts w:ascii="Lato" w:eastAsia="Calibri" w:hAnsi="Lato"/>
                <w:sz w:val="20"/>
                <w:szCs w:val="20"/>
              </w:rPr>
              <w:t>4,7%</w:t>
            </w:r>
          </w:p>
        </w:tc>
      </w:tr>
      <w:tr w:rsidR="00FD227B" w:rsidRPr="00847573" w14:paraId="15254124" w14:textId="77777777" w:rsidTr="00CE63C5">
        <w:trPr>
          <w:trHeight w:val="340"/>
          <w:jc w:val="center"/>
        </w:trPr>
        <w:tc>
          <w:tcPr>
            <w:tcW w:w="1134" w:type="dxa"/>
            <w:vAlign w:val="center"/>
          </w:tcPr>
          <w:p w14:paraId="568B93EF" w14:textId="77777777" w:rsidR="00FD227B" w:rsidRPr="002F262E" w:rsidRDefault="00FD227B" w:rsidP="002F262E">
            <w:pPr>
              <w:spacing w:before="40" w:afterLines="40" w:after="96"/>
              <w:jc w:val="center"/>
              <w:rPr>
                <w:rFonts w:ascii="Lato" w:eastAsia="Calibri" w:hAnsi="Lato"/>
                <w:sz w:val="20"/>
                <w:szCs w:val="20"/>
              </w:rPr>
            </w:pPr>
            <w:r w:rsidRPr="002F262E">
              <w:rPr>
                <w:rFonts w:ascii="Lato" w:eastAsia="Calibri" w:hAnsi="Lato"/>
                <w:sz w:val="20"/>
                <w:szCs w:val="20"/>
              </w:rPr>
              <w:t>2017</w:t>
            </w:r>
          </w:p>
        </w:tc>
        <w:tc>
          <w:tcPr>
            <w:tcW w:w="3402" w:type="dxa"/>
            <w:vAlign w:val="center"/>
          </w:tcPr>
          <w:p w14:paraId="43B7225F" w14:textId="77777777" w:rsidR="00FD227B" w:rsidRPr="002F262E" w:rsidRDefault="00FD227B" w:rsidP="002F262E">
            <w:pPr>
              <w:spacing w:before="40" w:afterLines="40" w:after="96"/>
              <w:jc w:val="center"/>
              <w:rPr>
                <w:rFonts w:ascii="Lato" w:eastAsia="Calibri" w:hAnsi="Lato"/>
                <w:sz w:val="20"/>
                <w:szCs w:val="20"/>
              </w:rPr>
            </w:pPr>
            <w:r w:rsidRPr="002F262E">
              <w:rPr>
                <w:rFonts w:ascii="Lato" w:eastAsia="Calibri" w:hAnsi="Lato"/>
                <w:sz w:val="20"/>
                <w:szCs w:val="20"/>
              </w:rPr>
              <w:t>170,5</w:t>
            </w:r>
          </w:p>
        </w:tc>
        <w:tc>
          <w:tcPr>
            <w:tcW w:w="2268" w:type="dxa"/>
            <w:vAlign w:val="center"/>
          </w:tcPr>
          <w:p w14:paraId="63AE7B97" w14:textId="77777777" w:rsidR="00FD227B" w:rsidRPr="002F262E" w:rsidRDefault="00FD227B" w:rsidP="002F262E">
            <w:pPr>
              <w:spacing w:before="40" w:afterLines="40" w:after="96"/>
              <w:jc w:val="center"/>
              <w:rPr>
                <w:rFonts w:ascii="Lato" w:eastAsia="Calibri" w:hAnsi="Lato"/>
                <w:sz w:val="20"/>
                <w:szCs w:val="20"/>
              </w:rPr>
            </w:pPr>
            <w:r w:rsidRPr="002F262E">
              <w:rPr>
                <w:rFonts w:ascii="Lato" w:eastAsia="Calibri" w:hAnsi="Lato"/>
                <w:sz w:val="20"/>
                <w:szCs w:val="20"/>
              </w:rPr>
              <w:t>10,1</w:t>
            </w:r>
          </w:p>
        </w:tc>
        <w:tc>
          <w:tcPr>
            <w:tcW w:w="1418" w:type="dxa"/>
            <w:vAlign w:val="center"/>
          </w:tcPr>
          <w:p w14:paraId="37C82AF8" w14:textId="77777777" w:rsidR="00FD227B" w:rsidRPr="002F262E" w:rsidRDefault="00FD227B" w:rsidP="002F262E">
            <w:pPr>
              <w:spacing w:before="40" w:afterLines="40" w:after="96"/>
              <w:jc w:val="center"/>
              <w:rPr>
                <w:rFonts w:ascii="Lato" w:eastAsia="Calibri" w:hAnsi="Lato"/>
                <w:sz w:val="20"/>
                <w:szCs w:val="20"/>
              </w:rPr>
            </w:pPr>
            <w:r w:rsidRPr="002F262E">
              <w:rPr>
                <w:rFonts w:ascii="Lato" w:eastAsia="Calibri" w:hAnsi="Lato"/>
                <w:sz w:val="20"/>
                <w:szCs w:val="20"/>
              </w:rPr>
              <w:t>5,9%</w:t>
            </w:r>
          </w:p>
        </w:tc>
      </w:tr>
      <w:tr w:rsidR="00FD227B" w:rsidRPr="00847573" w14:paraId="6E1A7D40" w14:textId="77777777" w:rsidTr="00CE63C5">
        <w:trPr>
          <w:trHeight w:val="340"/>
          <w:jc w:val="center"/>
        </w:trPr>
        <w:tc>
          <w:tcPr>
            <w:tcW w:w="1134" w:type="dxa"/>
            <w:vAlign w:val="center"/>
          </w:tcPr>
          <w:p w14:paraId="5140BBC6" w14:textId="77777777" w:rsidR="00FD227B" w:rsidRPr="002F262E" w:rsidRDefault="00FD227B" w:rsidP="002F262E">
            <w:pPr>
              <w:spacing w:before="40" w:afterLines="40" w:after="96"/>
              <w:jc w:val="center"/>
              <w:rPr>
                <w:rFonts w:ascii="Lato" w:eastAsia="Calibri" w:hAnsi="Lato"/>
                <w:sz w:val="20"/>
                <w:szCs w:val="20"/>
              </w:rPr>
            </w:pPr>
            <w:r w:rsidRPr="002F262E">
              <w:rPr>
                <w:rFonts w:ascii="Lato" w:eastAsia="Calibri" w:hAnsi="Lato"/>
                <w:sz w:val="20"/>
                <w:szCs w:val="20"/>
              </w:rPr>
              <w:t>2018</w:t>
            </w:r>
          </w:p>
        </w:tc>
        <w:tc>
          <w:tcPr>
            <w:tcW w:w="3402" w:type="dxa"/>
            <w:vAlign w:val="center"/>
          </w:tcPr>
          <w:p w14:paraId="3B706F86" w14:textId="77777777" w:rsidR="00FD227B" w:rsidRPr="002F262E" w:rsidRDefault="00FD227B" w:rsidP="002F262E">
            <w:pPr>
              <w:spacing w:before="40" w:afterLines="40" w:after="96"/>
              <w:jc w:val="center"/>
              <w:rPr>
                <w:rFonts w:ascii="Lato" w:eastAsia="Calibri" w:hAnsi="Lato"/>
                <w:sz w:val="20"/>
                <w:szCs w:val="20"/>
              </w:rPr>
            </w:pPr>
            <w:r w:rsidRPr="002F262E">
              <w:rPr>
                <w:rFonts w:ascii="Lato" w:eastAsia="Calibri" w:hAnsi="Lato"/>
                <w:sz w:val="20"/>
                <w:szCs w:val="20"/>
              </w:rPr>
              <w:t>170,0</w:t>
            </w:r>
          </w:p>
        </w:tc>
        <w:tc>
          <w:tcPr>
            <w:tcW w:w="2268" w:type="dxa"/>
            <w:vAlign w:val="center"/>
          </w:tcPr>
          <w:p w14:paraId="6373444A" w14:textId="77777777" w:rsidR="00FD227B" w:rsidRPr="002F262E" w:rsidRDefault="00FD227B" w:rsidP="002F262E">
            <w:pPr>
              <w:spacing w:before="40" w:afterLines="40" w:after="96"/>
              <w:jc w:val="center"/>
              <w:rPr>
                <w:rFonts w:ascii="Lato" w:eastAsia="Calibri" w:hAnsi="Lato"/>
                <w:sz w:val="20"/>
                <w:szCs w:val="20"/>
              </w:rPr>
            </w:pPr>
            <w:r w:rsidRPr="002F262E">
              <w:rPr>
                <w:rFonts w:ascii="Lato" w:eastAsia="Calibri" w:hAnsi="Lato"/>
                <w:sz w:val="20"/>
                <w:szCs w:val="20"/>
              </w:rPr>
              <w:t>12,7</w:t>
            </w:r>
          </w:p>
        </w:tc>
        <w:tc>
          <w:tcPr>
            <w:tcW w:w="1418" w:type="dxa"/>
            <w:vAlign w:val="center"/>
          </w:tcPr>
          <w:p w14:paraId="580FB834" w14:textId="77777777" w:rsidR="00FD227B" w:rsidRPr="002F262E" w:rsidRDefault="00FD227B" w:rsidP="002F262E">
            <w:pPr>
              <w:spacing w:before="40" w:afterLines="40" w:after="96"/>
              <w:jc w:val="center"/>
              <w:rPr>
                <w:rFonts w:ascii="Lato" w:eastAsia="Calibri" w:hAnsi="Lato"/>
                <w:sz w:val="20"/>
                <w:szCs w:val="20"/>
              </w:rPr>
            </w:pPr>
            <w:r w:rsidRPr="002F262E">
              <w:rPr>
                <w:rFonts w:ascii="Lato" w:eastAsia="Calibri" w:hAnsi="Lato"/>
                <w:sz w:val="20"/>
                <w:szCs w:val="20"/>
              </w:rPr>
              <w:t>7,5%</w:t>
            </w:r>
          </w:p>
        </w:tc>
      </w:tr>
      <w:tr w:rsidR="00FD227B" w:rsidRPr="00847573" w14:paraId="7FACE6AC" w14:textId="77777777" w:rsidTr="00CE63C5">
        <w:trPr>
          <w:trHeight w:val="340"/>
          <w:jc w:val="center"/>
        </w:trPr>
        <w:tc>
          <w:tcPr>
            <w:tcW w:w="1134" w:type="dxa"/>
            <w:vAlign w:val="center"/>
          </w:tcPr>
          <w:p w14:paraId="094402B4" w14:textId="77777777" w:rsidR="00FD227B" w:rsidRPr="002F262E" w:rsidRDefault="00FD227B" w:rsidP="002F262E">
            <w:pPr>
              <w:spacing w:before="40" w:afterLines="40" w:after="96"/>
              <w:jc w:val="center"/>
              <w:rPr>
                <w:rFonts w:ascii="Lato" w:eastAsia="Calibri" w:hAnsi="Lato"/>
                <w:sz w:val="20"/>
                <w:szCs w:val="20"/>
              </w:rPr>
            </w:pPr>
            <w:r w:rsidRPr="002F262E">
              <w:rPr>
                <w:rFonts w:ascii="Lato" w:eastAsia="Calibri" w:hAnsi="Lato"/>
                <w:sz w:val="20"/>
                <w:szCs w:val="20"/>
              </w:rPr>
              <w:t>2019</w:t>
            </w:r>
          </w:p>
        </w:tc>
        <w:tc>
          <w:tcPr>
            <w:tcW w:w="3402" w:type="dxa"/>
            <w:vAlign w:val="center"/>
          </w:tcPr>
          <w:p w14:paraId="11287003" w14:textId="77777777" w:rsidR="00FD227B" w:rsidRPr="002F262E" w:rsidRDefault="00FD227B" w:rsidP="002F262E">
            <w:pPr>
              <w:spacing w:before="40" w:afterLines="40" w:after="96"/>
              <w:jc w:val="center"/>
              <w:rPr>
                <w:rFonts w:ascii="Lato" w:eastAsia="Calibri" w:hAnsi="Lato"/>
                <w:sz w:val="20"/>
                <w:szCs w:val="20"/>
              </w:rPr>
            </w:pPr>
            <w:r w:rsidRPr="002F262E">
              <w:rPr>
                <w:rFonts w:ascii="Lato" w:eastAsia="Calibri" w:hAnsi="Lato"/>
                <w:sz w:val="20"/>
                <w:szCs w:val="20"/>
              </w:rPr>
              <w:t>163,9</w:t>
            </w:r>
          </w:p>
        </w:tc>
        <w:tc>
          <w:tcPr>
            <w:tcW w:w="2268" w:type="dxa"/>
            <w:vAlign w:val="center"/>
          </w:tcPr>
          <w:p w14:paraId="575DD48B" w14:textId="77777777" w:rsidR="00FD227B" w:rsidRPr="002F262E" w:rsidRDefault="00FD227B" w:rsidP="002F262E">
            <w:pPr>
              <w:spacing w:before="40" w:afterLines="40" w:after="96"/>
              <w:jc w:val="center"/>
              <w:rPr>
                <w:rFonts w:ascii="Lato" w:eastAsia="Calibri" w:hAnsi="Lato"/>
                <w:sz w:val="20"/>
                <w:szCs w:val="20"/>
              </w:rPr>
            </w:pPr>
            <w:r w:rsidRPr="002F262E">
              <w:rPr>
                <w:rFonts w:ascii="Lato" w:eastAsia="Calibri" w:hAnsi="Lato"/>
                <w:sz w:val="20"/>
                <w:szCs w:val="20"/>
              </w:rPr>
              <w:t>14,5</w:t>
            </w:r>
          </w:p>
        </w:tc>
        <w:tc>
          <w:tcPr>
            <w:tcW w:w="1418" w:type="dxa"/>
            <w:vAlign w:val="center"/>
          </w:tcPr>
          <w:p w14:paraId="45AFADD7" w14:textId="77777777" w:rsidR="00FD227B" w:rsidRPr="002F262E" w:rsidRDefault="00FD227B" w:rsidP="002F262E">
            <w:pPr>
              <w:spacing w:before="40" w:afterLines="40" w:after="96"/>
              <w:jc w:val="center"/>
              <w:rPr>
                <w:rFonts w:ascii="Lato" w:eastAsia="Calibri" w:hAnsi="Lato"/>
                <w:sz w:val="20"/>
                <w:szCs w:val="20"/>
              </w:rPr>
            </w:pPr>
            <w:r w:rsidRPr="002F262E">
              <w:rPr>
                <w:rFonts w:ascii="Lato" w:eastAsia="Calibri" w:hAnsi="Lato"/>
                <w:sz w:val="20"/>
                <w:szCs w:val="20"/>
              </w:rPr>
              <w:t>8,8%</w:t>
            </w:r>
          </w:p>
        </w:tc>
      </w:tr>
      <w:tr w:rsidR="00FD227B" w:rsidRPr="00847573" w14:paraId="13FE9995" w14:textId="77777777" w:rsidTr="00CE63C5">
        <w:trPr>
          <w:trHeight w:val="340"/>
          <w:jc w:val="center"/>
        </w:trPr>
        <w:tc>
          <w:tcPr>
            <w:tcW w:w="1134" w:type="dxa"/>
            <w:vAlign w:val="center"/>
          </w:tcPr>
          <w:p w14:paraId="271A3EF6" w14:textId="77777777" w:rsidR="00FD227B" w:rsidRPr="002F262E" w:rsidRDefault="00FD227B" w:rsidP="002F262E">
            <w:pPr>
              <w:spacing w:before="40" w:afterLines="40" w:after="96"/>
              <w:jc w:val="center"/>
              <w:rPr>
                <w:rFonts w:ascii="Lato" w:eastAsia="Calibri" w:hAnsi="Lato"/>
                <w:sz w:val="20"/>
                <w:szCs w:val="20"/>
              </w:rPr>
            </w:pPr>
            <w:r w:rsidRPr="002F262E">
              <w:rPr>
                <w:rFonts w:ascii="Lato" w:eastAsia="Calibri" w:hAnsi="Lato"/>
                <w:sz w:val="20"/>
                <w:szCs w:val="20"/>
              </w:rPr>
              <w:t>2020</w:t>
            </w:r>
          </w:p>
        </w:tc>
        <w:tc>
          <w:tcPr>
            <w:tcW w:w="3402" w:type="dxa"/>
            <w:vAlign w:val="center"/>
          </w:tcPr>
          <w:p w14:paraId="34EE1B31" w14:textId="77777777" w:rsidR="00FD227B" w:rsidRPr="002F262E" w:rsidRDefault="00FD227B" w:rsidP="002F262E">
            <w:pPr>
              <w:spacing w:before="40" w:afterLines="40" w:after="96"/>
              <w:jc w:val="center"/>
              <w:rPr>
                <w:rFonts w:ascii="Lato" w:eastAsia="Calibri" w:hAnsi="Lato"/>
                <w:sz w:val="20"/>
                <w:szCs w:val="20"/>
              </w:rPr>
            </w:pPr>
            <w:r w:rsidRPr="002F262E">
              <w:rPr>
                <w:rFonts w:ascii="Lato" w:eastAsia="Calibri" w:hAnsi="Lato"/>
                <w:sz w:val="20"/>
                <w:szCs w:val="20"/>
              </w:rPr>
              <w:t>157,9</w:t>
            </w:r>
          </w:p>
        </w:tc>
        <w:tc>
          <w:tcPr>
            <w:tcW w:w="2268" w:type="dxa"/>
            <w:vAlign w:val="center"/>
          </w:tcPr>
          <w:p w14:paraId="2D95E6A4" w14:textId="77777777" w:rsidR="00FD227B" w:rsidRPr="002F262E" w:rsidRDefault="00FD227B" w:rsidP="002F262E">
            <w:pPr>
              <w:spacing w:before="40" w:afterLines="40" w:after="96"/>
              <w:jc w:val="center"/>
              <w:rPr>
                <w:rFonts w:ascii="Lato" w:eastAsia="Calibri" w:hAnsi="Lato"/>
                <w:sz w:val="20"/>
                <w:szCs w:val="20"/>
              </w:rPr>
            </w:pPr>
            <w:r w:rsidRPr="002F262E">
              <w:rPr>
                <w:rFonts w:ascii="Lato" w:eastAsia="Calibri" w:hAnsi="Lato"/>
                <w:sz w:val="20"/>
                <w:szCs w:val="20"/>
              </w:rPr>
              <w:t>16,1</w:t>
            </w:r>
          </w:p>
        </w:tc>
        <w:tc>
          <w:tcPr>
            <w:tcW w:w="1418" w:type="dxa"/>
            <w:vAlign w:val="center"/>
          </w:tcPr>
          <w:p w14:paraId="6ABDF220" w14:textId="77777777" w:rsidR="00FD227B" w:rsidRPr="002F262E" w:rsidRDefault="00FD227B" w:rsidP="002F262E">
            <w:pPr>
              <w:spacing w:before="40" w:afterLines="40" w:after="96"/>
              <w:jc w:val="center"/>
              <w:rPr>
                <w:rFonts w:ascii="Lato" w:eastAsia="Calibri" w:hAnsi="Lato"/>
                <w:sz w:val="20"/>
                <w:szCs w:val="20"/>
              </w:rPr>
            </w:pPr>
            <w:r w:rsidRPr="002F262E">
              <w:rPr>
                <w:rFonts w:ascii="Lato" w:eastAsia="Calibri" w:hAnsi="Lato"/>
                <w:sz w:val="20"/>
                <w:szCs w:val="20"/>
              </w:rPr>
              <w:t>10,3%</w:t>
            </w:r>
          </w:p>
        </w:tc>
      </w:tr>
      <w:tr w:rsidR="00FD227B" w:rsidRPr="00847573" w14:paraId="3934526A" w14:textId="77777777" w:rsidTr="00CE63C5">
        <w:trPr>
          <w:trHeight w:val="340"/>
          <w:jc w:val="center"/>
        </w:trPr>
        <w:tc>
          <w:tcPr>
            <w:tcW w:w="1134" w:type="dxa"/>
            <w:shd w:val="clear" w:color="auto" w:fill="FFFFFF" w:themeFill="background1"/>
            <w:vAlign w:val="center"/>
          </w:tcPr>
          <w:p w14:paraId="2956A872" w14:textId="77777777" w:rsidR="00FD227B" w:rsidRPr="002F262E" w:rsidRDefault="00FD227B" w:rsidP="002F262E">
            <w:pPr>
              <w:spacing w:before="40" w:afterLines="40" w:after="96"/>
              <w:jc w:val="center"/>
              <w:rPr>
                <w:rFonts w:ascii="Lato" w:eastAsia="Calibri" w:hAnsi="Lato"/>
                <w:sz w:val="20"/>
                <w:szCs w:val="20"/>
                <w:vertAlign w:val="superscript"/>
              </w:rPr>
            </w:pPr>
            <w:r w:rsidRPr="002F262E">
              <w:rPr>
                <w:rFonts w:ascii="Lato" w:eastAsia="Calibri" w:hAnsi="Lato"/>
                <w:sz w:val="20"/>
                <w:szCs w:val="20"/>
              </w:rPr>
              <w:t>2021</w:t>
            </w:r>
          </w:p>
        </w:tc>
        <w:tc>
          <w:tcPr>
            <w:tcW w:w="3402" w:type="dxa"/>
            <w:shd w:val="clear" w:color="auto" w:fill="FFFFFF" w:themeFill="background1"/>
            <w:vAlign w:val="center"/>
          </w:tcPr>
          <w:p w14:paraId="7C88E38B" w14:textId="77777777" w:rsidR="00FD227B" w:rsidRPr="002F262E" w:rsidRDefault="00FD227B" w:rsidP="002F262E">
            <w:pPr>
              <w:spacing w:before="40" w:afterLines="40" w:after="96"/>
              <w:jc w:val="center"/>
              <w:rPr>
                <w:rFonts w:ascii="Lato" w:eastAsia="Calibri" w:hAnsi="Lato"/>
                <w:sz w:val="20"/>
                <w:szCs w:val="20"/>
              </w:rPr>
            </w:pPr>
            <w:r w:rsidRPr="002F262E">
              <w:rPr>
                <w:rFonts w:ascii="Lato" w:eastAsia="Calibri" w:hAnsi="Lato"/>
                <w:sz w:val="20"/>
                <w:szCs w:val="20"/>
              </w:rPr>
              <w:t>179,6</w:t>
            </w:r>
          </w:p>
        </w:tc>
        <w:tc>
          <w:tcPr>
            <w:tcW w:w="2268" w:type="dxa"/>
            <w:shd w:val="clear" w:color="auto" w:fill="FFFFFF" w:themeFill="background1"/>
            <w:vAlign w:val="center"/>
          </w:tcPr>
          <w:p w14:paraId="2A8E4C4D" w14:textId="77777777" w:rsidR="00FD227B" w:rsidRPr="002F262E" w:rsidRDefault="00FD227B" w:rsidP="002F262E">
            <w:pPr>
              <w:spacing w:before="40" w:afterLines="40" w:after="96"/>
              <w:jc w:val="center"/>
              <w:rPr>
                <w:rFonts w:ascii="Lato" w:eastAsia="Calibri" w:hAnsi="Lato"/>
                <w:sz w:val="20"/>
                <w:szCs w:val="20"/>
              </w:rPr>
            </w:pPr>
            <w:r w:rsidRPr="002F262E">
              <w:rPr>
                <w:rFonts w:ascii="Lato" w:eastAsia="Calibri" w:hAnsi="Lato"/>
                <w:sz w:val="20"/>
                <w:szCs w:val="20"/>
              </w:rPr>
              <w:t>15,6</w:t>
            </w:r>
          </w:p>
        </w:tc>
        <w:tc>
          <w:tcPr>
            <w:tcW w:w="1418" w:type="dxa"/>
            <w:shd w:val="clear" w:color="auto" w:fill="FFFFFF" w:themeFill="background1"/>
            <w:vAlign w:val="center"/>
          </w:tcPr>
          <w:p w14:paraId="3011E2BE" w14:textId="77777777" w:rsidR="00FD227B" w:rsidRPr="002F262E" w:rsidRDefault="00FD227B" w:rsidP="002F262E">
            <w:pPr>
              <w:spacing w:before="40" w:afterLines="40" w:after="96"/>
              <w:jc w:val="center"/>
              <w:rPr>
                <w:rFonts w:ascii="Lato" w:eastAsia="Calibri" w:hAnsi="Lato"/>
                <w:sz w:val="20"/>
                <w:szCs w:val="20"/>
              </w:rPr>
            </w:pPr>
            <w:r w:rsidRPr="002F262E">
              <w:rPr>
                <w:rFonts w:ascii="Lato" w:eastAsia="Calibri" w:hAnsi="Lato"/>
                <w:sz w:val="20"/>
                <w:szCs w:val="20"/>
              </w:rPr>
              <w:t>8,7%</w:t>
            </w:r>
          </w:p>
        </w:tc>
      </w:tr>
      <w:tr w:rsidR="00FD227B" w:rsidRPr="00847573" w14:paraId="190DA794" w14:textId="77777777" w:rsidTr="00CE63C5">
        <w:trPr>
          <w:trHeight w:val="340"/>
          <w:jc w:val="center"/>
        </w:trPr>
        <w:tc>
          <w:tcPr>
            <w:tcW w:w="1134" w:type="dxa"/>
            <w:shd w:val="clear" w:color="auto" w:fill="EEDC00"/>
            <w:vAlign w:val="center"/>
          </w:tcPr>
          <w:p w14:paraId="274A799C" w14:textId="3BFD3692" w:rsidR="00FD227B" w:rsidRPr="002F262E" w:rsidRDefault="00FD227B" w:rsidP="002F262E">
            <w:pPr>
              <w:spacing w:before="40" w:afterLines="40" w:after="96"/>
              <w:jc w:val="center"/>
              <w:rPr>
                <w:rFonts w:ascii="Lato" w:eastAsia="Calibri" w:hAnsi="Lato"/>
                <w:sz w:val="20"/>
                <w:szCs w:val="20"/>
              </w:rPr>
            </w:pPr>
            <w:r w:rsidRPr="002F262E">
              <w:rPr>
                <w:rFonts w:ascii="Lato" w:eastAsia="Calibri" w:hAnsi="Lato"/>
                <w:sz w:val="20"/>
                <w:szCs w:val="20"/>
              </w:rPr>
              <w:t>2022</w:t>
            </w:r>
          </w:p>
        </w:tc>
        <w:tc>
          <w:tcPr>
            <w:tcW w:w="3402" w:type="dxa"/>
            <w:shd w:val="clear" w:color="auto" w:fill="EEDC00"/>
            <w:vAlign w:val="center"/>
          </w:tcPr>
          <w:p w14:paraId="6F282BFD" w14:textId="77777777" w:rsidR="00FD227B" w:rsidRPr="002F262E" w:rsidRDefault="00FD227B" w:rsidP="002F262E">
            <w:pPr>
              <w:spacing w:before="40" w:afterLines="40" w:after="96"/>
              <w:jc w:val="center"/>
              <w:rPr>
                <w:rFonts w:ascii="Lato" w:eastAsia="Calibri" w:hAnsi="Lato"/>
                <w:sz w:val="20"/>
                <w:szCs w:val="20"/>
              </w:rPr>
            </w:pPr>
            <w:r w:rsidRPr="002F262E">
              <w:rPr>
                <w:rFonts w:ascii="Lato" w:eastAsia="Calibri" w:hAnsi="Lato"/>
                <w:sz w:val="20"/>
                <w:szCs w:val="20"/>
              </w:rPr>
              <w:t>178,8</w:t>
            </w:r>
          </w:p>
        </w:tc>
        <w:tc>
          <w:tcPr>
            <w:tcW w:w="2268" w:type="dxa"/>
            <w:shd w:val="clear" w:color="auto" w:fill="EEDC00"/>
            <w:vAlign w:val="center"/>
          </w:tcPr>
          <w:p w14:paraId="732C6C56" w14:textId="77777777" w:rsidR="00FD227B" w:rsidRPr="002F262E" w:rsidRDefault="00FD227B" w:rsidP="002F262E">
            <w:pPr>
              <w:spacing w:before="40" w:afterLines="40" w:after="96"/>
              <w:jc w:val="center"/>
              <w:rPr>
                <w:rFonts w:ascii="Lato" w:eastAsia="Calibri" w:hAnsi="Lato"/>
                <w:sz w:val="20"/>
                <w:szCs w:val="20"/>
              </w:rPr>
            </w:pPr>
            <w:r w:rsidRPr="002F262E">
              <w:rPr>
                <w:rFonts w:ascii="Lato" w:eastAsia="Calibri" w:hAnsi="Lato"/>
                <w:sz w:val="20"/>
                <w:szCs w:val="20"/>
              </w:rPr>
              <w:t>11,7</w:t>
            </w:r>
          </w:p>
        </w:tc>
        <w:tc>
          <w:tcPr>
            <w:tcW w:w="1418" w:type="dxa"/>
            <w:shd w:val="clear" w:color="auto" w:fill="EEDC00"/>
            <w:vAlign w:val="center"/>
          </w:tcPr>
          <w:p w14:paraId="0A4520F2" w14:textId="77777777" w:rsidR="00FD227B" w:rsidRPr="002F262E" w:rsidRDefault="00FD227B" w:rsidP="002F262E">
            <w:pPr>
              <w:spacing w:before="40" w:afterLines="40" w:after="96"/>
              <w:jc w:val="center"/>
              <w:rPr>
                <w:rFonts w:ascii="Lato" w:eastAsia="Calibri" w:hAnsi="Lato"/>
                <w:sz w:val="20"/>
                <w:szCs w:val="20"/>
              </w:rPr>
            </w:pPr>
            <w:r w:rsidRPr="002F262E">
              <w:rPr>
                <w:rFonts w:ascii="Lato" w:eastAsia="Calibri" w:hAnsi="Lato"/>
                <w:sz w:val="20"/>
                <w:szCs w:val="20"/>
              </w:rPr>
              <w:t>6,5%</w:t>
            </w:r>
          </w:p>
        </w:tc>
      </w:tr>
    </w:tbl>
    <w:p w14:paraId="7D4A96C5" w14:textId="77777777" w:rsidR="00FD227B" w:rsidRPr="001F751F" w:rsidRDefault="00FD227B" w:rsidP="001F751F">
      <w:pPr>
        <w:spacing w:before="120" w:line="276" w:lineRule="auto"/>
        <w:ind w:firstLine="357"/>
        <w:rPr>
          <w:rFonts w:ascii="Lato" w:eastAsia="Malgun Gothic" w:hAnsi="Lato"/>
          <w:sz w:val="20"/>
          <w:szCs w:val="20"/>
        </w:rPr>
      </w:pPr>
      <w:r w:rsidRPr="001F751F">
        <w:rPr>
          <w:rFonts w:ascii="Lato" w:eastAsia="Malgun Gothic" w:hAnsi="Lato" w:cs="Calibri"/>
          <w:i/>
          <w:sz w:val="20"/>
          <w:szCs w:val="20"/>
        </w:rPr>
        <w:t>Ź</w:t>
      </w:r>
      <w:r w:rsidRPr="001F751F">
        <w:rPr>
          <w:rFonts w:ascii="Lato" w:eastAsia="Malgun Gothic" w:hAnsi="Lato"/>
          <w:i/>
          <w:sz w:val="20"/>
          <w:szCs w:val="20"/>
        </w:rPr>
        <w:t>r</w:t>
      </w:r>
      <w:r w:rsidRPr="001F751F">
        <w:rPr>
          <w:rFonts w:ascii="Lato" w:eastAsia="Malgun Gothic" w:hAnsi="Lato" w:cs="Malgun Gothic"/>
          <w:i/>
          <w:sz w:val="20"/>
          <w:szCs w:val="20"/>
        </w:rPr>
        <w:t>ó</w:t>
      </w:r>
      <w:r w:rsidRPr="001F751F">
        <w:rPr>
          <w:rFonts w:ascii="Lato" w:eastAsia="Malgun Gothic" w:hAnsi="Lato"/>
          <w:i/>
          <w:sz w:val="20"/>
          <w:szCs w:val="20"/>
        </w:rPr>
        <w:t>d</w:t>
      </w:r>
      <w:r w:rsidRPr="001F751F">
        <w:rPr>
          <w:rFonts w:ascii="Lato" w:eastAsia="Malgun Gothic" w:hAnsi="Lato" w:cs="Malgun Gothic"/>
          <w:i/>
          <w:sz w:val="20"/>
          <w:szCs w:val="20"/>
        </w:rPr>
        <w:t>ł</w:t>
      </w:r>
      <w:r w:rsidRPr="001F751F">
        <w:rPr>
          <w:rFonts w:ascii="Lato" w:eastAsia="Malgun Gothic" w:hAnsi="Lato"/>
          <w:i/>
          <w:sz w:val="20"/>
          <w:szCs w:val="20"/>
        </w:rPr>
        <w:t>o: Badania statystyczne Ministra Klimatu i Środowiska</w:t>
      </w:r>
    </w:p>
    <w:p w14:paraId="3893F8B8" w14:textId="50505030" w:rsidR="00B03DBA" w:rsidRPr="004F0DBF" w:rsidRDefault="00C7771E" w:rsidP="002F262E">
      <w:pPr>
        <w:spacing w:after="60" w:line="276" w:lineRule="auto"/>
        <w:rPr>
          <w:rFonts w:ascii="Lato" w:hAnsi="Lato"/>
        </w:rPr>
      </w:pPr>
      <w:r w:rsidRPr="004F0DBF">
        <w:rPr>
          <w:rFonts w:ascii="Lato" w:hAnsi="Lato"/>
        </w:rPr>
        <w:tab/>
        <w:t xml:space="preserve">W kolejnych latach </w:t>
      </w:r>
      <w:r w:rsidR="00257046">
        <w:rPr>
          <w:rFonts w:ascii="Lato" w:hAnsi="Lato"/>
        </w:rPr>
        <w:t>j</w:t>
      </w:r>
      <w:r w:rsidR="00257046" w:rsidRPr="00257046">
        <w:rPr>
          <w:rFonts w:ascii="Lato" w:hAnsi="Lato"/>
        </w:rPr>
        <w:t xml:space="preserve">ednostki gazowe wciąż będą miały znaczenie dla regulowania pracy systemu energetycznego, ale w kontekście nowej sytuacji geopolitycznej, </w:t>
      </w:r>
      <w:r w:rsidR="00257046" w:rsidRPr="00257046">
        <w:rPr>
          <w:rFonts w:ascii="Lato" w:hAnsi="Lato"/>
        </w:rPr>
        <w:lastRenderedPageBreak/>
        <w:t>weryfikacji mogą podlegać dotychczasowe plany inwestycyjne dotyczące nowych mocy gazowych, co będzie oddziaływać na prognozy wykorzystania gazu ziemnego w kolejnych latach.</w:t>
      </w:r>
      <w:r w:rsidR="00E270EB">
        <w:rPr>
          <w:rFonts w:ascii="Lato" w:hAnsi="Lato"/>
        </w:rPr>
        <w:t xml:space="preserve"> W związku z tym, o</w:t>
      </w:r>
      <w:r w:rsidRPr="004F0DBF">
        <w:rPr>
          <w:rFonts w:ascii="Lato" w:hAnsi="Lato"/>
        </w:rPr>
        <w:t>peratorzy systemów przesyłowych – gazowego i elektroenergetycznego (OGP Gaz-System S.A. i Polskie Sieci Elektroenergetyczne S.A)</w:t>
      </w:r>
      <w:r w:rsidR="00257046">
        <w:rPr>
          <w:rFonts w:ascii="Lato" w:hAnsi="Lato"/>
        </w:rPr>
        <w:t>, kontynuują współpracę mającą na</w:t>
      </w:r>
      <w:r w:rsidRPr="004F0DBF">
        <w:rPr>
          <w:rFonts w:ascii="Lato" w:hAnsi="Lato"/>
        </w:rPr>
        <w:t xml:space="preserve"> celu:</w:t>
      </w:r>
    </w:p>
    <w:p w14:paraId="1FB988F5" w14:textId="680D0541" w:rsidR="00B03DBA" w:rsidRPr="004F0DBF" w:rsidRDefault="00C7771E">
      <w:pPr>
        <w:pStyle w:val="Akapitzlist"/>
        <w:numPr>
          <w:ilvl w:val="0"/>
          <w:numId w:val="11"/>
        </w:numPr>
        <w:spacing w:line="276" w:lineRule="auto"/>
        <w:rPr>
          <w:rFonts w:ascii="Lato" w:hAnsi="Lato"/>
        </w:rPr>
      </w:pPr>
      <w:r w:rsidRPr="004F0DBF">
        <w:rPr>
          <w:rFonts w:ascii="Lato" w:hAnsi="Lato"/>
        </w:rPr>
        <w:t>rozw</w:t>
      </w:r>
      <w:r w:rsidR="00D128A1">
        <w:rPr>
          <w:rFonts w:ascii="Lato" w:hAnsi="Lato"/>
        </w:rPr>
        <w:t>ój</w:t>
      </w:r>
      <w:r w:rsidRPr="004F0DBF">
        <w:rPr>
          <w:rFonts w:ascii="Lato" w:hAnsi="Lato"/>
        </w:rPr>
        <w:t xml:space="preserve"> systemów elektroenergetycznego i gazowego, </w:t>
      </w:r>
    </w:p>
    <w:p w14:paraId="2BC7D7E0" w14:textId="044FC911" w:rsidR="00B03DBA" w:rsidRPr="004F0DBF" w:rsidRDefault="00C7771E">
      <w:pPr>
        <w:pStyle w:val="Akapitzlist"/>
        <w:numPr>
          <w:ilvl w:val="0"/>
          <w:numId w:val="11"/>
        </w:numPr>
        <w:spacing w:line="276" w:lineRule="auto"/>
        <w:rPr>
          <w:rFonts w:ascii="Lato" w:hAnsi="Lato"/>
        </w:rPr>
      </w:pPr>
      <w:r w:rsidRPr="004F0DBF">
        <w:rPr>
          <w:rFonts w:ascii="Lato" w:hAnsi="Lato"/>
        </w:rPr>
        <w:t>rozw</w:t>
      </w:r>
      <w:r w:rsidR="00D128A1">
        <w:rPr>
          <w:rFonts w:ascii="Lato" w:hAnsi="Lato"/>
        </w:rPr>
        <w:t>ój</w:t>
      </w:r>
      <w:r w:rsidRPr="004F0DBF">
        <w:rPr>
          <w:rFonts w:ascii="Lato" w:hAnsi="Lato"/>
        </w:rPr>
        <w:t xml:space="preserve"> zasad rynku energii elektrycznej i rynku gazu ziemnego</w:t>
      </w:r>
      <w:r w:rsidR="00457C7E" w:rsidRPr="004F0DBF">
        <w:rPr>
          <w:rFonts w:ascii="Lato" w:hAnsi="Lato"/>
        </w:rPr>
        <w:t>;</w:t>
      </w:r>
    </w:p>
    <w:p w14:paraId="2CB1810C" w14:textId="751EEBCE" w:rsidR="00B03DBA" w:rsidRPr="004F0DBF" w:rsidRDefault="00C7771E">
      <w:pPr>
        <w:pStyle w:val="Akapitzlist"/>
        <w:numPr>
          <w:ilvl w:val="0"/>
          <w:numId w:val="11"/>
        </w:numPr>
        <w:spacing w:line="276" w:lineRule="auto"/>
        <w:rPr>
          <w:rFonts w:ascii="Lato" w:hAnsi="Lato"/>
        </w:rPr>
      </w:pPr>
      <w:r w:rsidRPr="004F0DBF">
        <w:rPr>
          <w:rFonts w:ascii="Lato" w:hAnsi="Lato"/>
        </w:rPr>
        <w:t>prowadzeni</w:t>
      </w:r>
      <w:r w:rsidR="00D128A1">
        <w:rPr>
          <w:rFonts w:ascii="Lato" w:hAnsi="Lato"/>
        </w:rPr>
        <w:t>e</w:t>
      </w:r>
      <w:r w:rsidRPr="004F0DBF">
        <w:rPr>
          <w:rFonts w:ascii="Lato" w:hAnsi="Lato"/>
        </w:rPr>
        <w:t xml:space="preserve"> ruchu w systemach elektroenergetycznym i gazowym.</w:t>
      </w:r>
    </w:p>
    <w:p w14:paraId="30B06694" w14:textId="77777777" w:rsidR="00B03DBA" w:rsidRPr="00D128A1" w:rsidRDefault="00C7771E" w:rsidP="00730C94">
      <w:pPr>
        <w:pStyle w:val="Rozdzia3"/>
        <w:spacing w:after="120"/>
        <w:ind w:left="1077" w:hanging="1077"/>
        <w:rPr>
          <w:rFonts w:ascii="Lato" w:hAnsi="Lato"/>
        </w:rPr>
      </w:pPr>
      <w:bookmarkStart w:id="56" w:name="_Toc12953904"/>
      <w:bookmarkStart w:id="57" w:name="_Toc19782937"/>
      <w:bookmarkStart w:id="58" w:name="_Toc142469564"/>
      <w:r w:rsidRPr="00D128A1">
        <w:rPr>
          <w:rFonts w:ascii="Lato" w:hAnsi="Lato"/>
        </w:rPr>
        <w:t>Rola środków na rzecz efektywności energetycznej</w:t>
      </w:r>
      <w:bookmarkEnd w:id="56"/>
      <w:bookmarkEnd w:id="57"/>
      <w:bookmarkEnd w:id="58"/>
    </w:p>
    <w:p w14:paraId="7A5BFE99" w14:textId="497633FA" w:rsidR="00B03DBA" w:rsidRPr="004F0DBF" w:rsidRDefault="00C7771E" w:rsidP="00D128A1">
      <w:pPr>
        <w:spacing w:after="0" w:line="276" w:lineRule="auto"/>
        <w:rPr>
          <w:rFonts w:ascii="Lato" w:hAnsi="Lato"/>
        </w:rPr>
      </w:pPr>
      <w:r w:rsidRPr="00C758B1">
        <w:tab/>
      </w:r>
      <w:r w:rsidRPr="004F0DBF">
        <w:rPr>
          <w:rFonts w:ascii="Lato" w:hAnsi="Lato"/>
        </w:rPr>
        <w:t xml:space="preserve">W </w:t>
      </w:r>
      <w:r w:rsidR="00730C94">
        <w:rPr>
          <w:rFonts w:ascii="Lato" w:hAnsi="Lato"/>
        </w:rPr>
        <w:t>polskim systemie</w:t>
      </w:r>
      <w:r w:rsidRPr="004F0DBF">
        <w:rPr>
          <w:rFonts w:ascii="Lato" w:hAnsi="Lato"/>
        </w:rPr>
        <w:t xml:space="preserve"> prawnym</w:t>
      </w:r>
      <w:r w:rsidR="00730C94">
        <w:rPr>
          <w:rFonts w:ascii="Lato" w:hAnsi="Lato"/>
        </w:rPr>
        <w:t xml:space="preserve"> aktem</w:t>
      </w:r>
      <w:r w:rsidRPr="004F0DBF">
        <w:rPr>
          <w:rFonts w:ascii="Lato" w:hAnsi="Lato"/>
        </w:rPr>
        <w:t xml:space="preserve"> regulującym kwestie efektywności energetycznej jest ustawa z dnia 20 maja 2016 r</w:t>
      </w:r>
      <w:r w:rsidRPr="004F0DBF">
        <w:rPr>
          <w:rFonts w:ascii="Lato" w:hAnsi="Lato"/>
          <w:i/>
        </w:rPr>
        <w:t>. o efektywności energetycznej</w:t>
      </w:r>
      <w:r w:rsidRPr="004F0DBF">
        <w:rPr>
          <w:rFonts w:ascii="Lato" w:hAnsi="Lato"/>
        </w:rPr>
        <w:t xml:space="preserve"> (t.j. </w:t>
      </w:r>
      <w:r w:rsidR="000D42F8" w:rsidRPr="000D42F8">
        <w:rPr>
          <w:rFonts w:ascii="Lato" w:hAnsi="Lato"/>
        </w:rPr>
        <w:t>Dz.U. z 2021 r. poz. 2166</w:t>
      </w:r>
      <w:r w:rsidRPr="004F0DBF">
        <w:rPr>
          <w:rFonts w:ascii="Lato" w:hAnsi="Lato"/>
        </w:rPr>
        <w:t xml:space="preserve"> z późn. zm.), na podstawie której podmioty </w:t>
      </w:r>
      <w:r w:rsidR="00D128A1" w:rsidRPr="004F0DBF">
        <w:rPr>
          <w:rFonts w:ascii="Lato" w:hAnsi="Lato"/>
        </w:rPr>
        <w:t xml:space="preserve">są </w:t>
      </w:r>
      <w:r w:rsidRPr="004F0DBF">
        <w:rPr>
          <w:rFonts w:ascii="Lato" w:hAnsi="Lato"/>
        </w:rPr>
        <w:t>zobowiązane do realizacji przedsięwzięć zwiększających efektywność energetyczną. Ustawa obejmuje zarówno sektor prywatny, jak i sektor publiczny</w:t>
      </w:r>
      <w:r w:rsidR="00730C94">
        <w:rPr>
          <w:rFonts w:ascii="Lato" w:hAnsi="Lato"/>
        </w:rPr>
        <w:t>, określając</w:t>
      </w:r>
      <w:r w:rsidRPr="004F0DBF">
        <w:rPr>
          <w:rFonts w:ascii="Lato" w:hAnsi="Lato"/>
        </w:rPr>
        <w:t xml:space="preserve"> środki zwiększające efektywność </w:t>
      </w:r>
      <w:r w:rsidR="004D6A74">
        <w:rPr>
          <w:rFonts w:ascii="Lato" w:hAnsi="Lato"/>
        </w:rPr>
        <w:t xml:space="preserve">jednostek </w:t>
      </w:r>
      <w:r w:rsidRPr="004F0DBF">
        <w:rPr>
          <w:rFonts w:ascii="Lato" w:hAnsi="Lato"/>
        </w:rPr>
        <w:t>sektora publicznego</w:t>
      </w:r>
      <w:r w:rsidR="00730C94">
        <w:rPr>
          <w:rFonts w:ascii="Lato" w:hAnsi="Lato"/>
        </w:rPr>
        <w:t xml:space="preserve">, np. </w:t>
      </w:r>
      <w:r w:rsidRPr="004F0DBF">
        <w:rPr>
          <w:rFonts w:ascii="Lato" w:hAnsi="Lato"/>
        </w:rPr>
        <w:t>rozwiązani</w:t>
      </w:r>
      <w:r w:rsidR="004D6A74">
        <w:rPr>
          <w:rFonts w:ascii="Lato" w:hAnsi="Lato"/>
        </w:rPr>
        <w:t>a</w:t>
      </w:r>
      <w:r w:rsidRPr="004F0DBF">
        <w:rPr>
          <w:rFonts w:ascii="Lato" w:hAnsi="Lato"/>
        </w:rPr>
        <w:t xml:space="preserve"> </w:t>
      </w:r>
      <w:r w:rsidR="00730C94">
        <w:rPr>
          <w:rFonts w:ascii="Lato" w:hAnsi="Lato"/>
        </w:rPr>
        <w:t>w zakresie</w:t>
      </w:r>
      <w:r w:rsidRPr="004F0DBF">
        <w:rPr>
          <w:rFonts w:ascii="Lato" w:hAnsi="Lato"/>
        </w:rPr>
        <w:t xml:space="preserve"> zawiązania umowy o poprawę efektywności. Ponadto</w:t>
      </w:r>
      <w:r w:rsidR="00E270EB">
        <w:rPr>
          <w:rFonts w:ascii="Lato" w:hAnsi="Lato"/>
        </w:rPr>
        <w:t>,</w:t>
      </w:r>
      <w:r w:rsidRPr="004F0DBF">
        <w:rPr>
          <w:rFonts w:ascii="Lato" w:hAnsi="Lato"/>
        </w:rPr>
        <w:t xml:space="preserve"> zgodnie z ustawą</w:t>
      </w:r>
      <w:r w:rsidR="004D6A74">
        <w:rPr>
          <w:rFonts w:ascii="Lato" w:hAnsi="Lato"/>
        </w:rPr>
        <w:t>,</w:t>
      </w:r>
      <w:r w:rsidRPr="004F0DBF">
        <w:rPr>
          <w:rFonts w:ascii="Lato" w:hAnsi="Lato"/>
        </w:rPr>
        <w:t xml:space="preserve"> duże przedsiębiorstwa zostały </w:t>
      </w:r>
      <w:r w:rsidR="00730C94" w:rsidRPr="004F0DBF">
        <w:rPr>
          <w:rFonts w:ascii="Lato" w:hAnsi="Lato"/>
        </w:rPr>
        <w:t xml:space="preserve">zobligowane </w:t>
      </w:r>
      <w:r w:rsidRPr="004F0DBF">
        <w:rPr>
          <w:rFonts w:ascii="Lato" w:hAnsi="Lato"/>
        </w:rPr>
        <w:t>do przeprowadzania audytów energetycznych w odstępach czteroletnich.</w:t>
      </w:r>
    </w:p>
    <w:p w14:paraId="4B48F637" w14:textId="44962116" w:rsidR="00B03DBA" w:rsidRPr="004F0DBF" w:rsidRDefault="00C7771E" w:rsidP="00983C18">
      <w:pPr>
        <w:spacing w:line="276" w:lineRule="auto"/>
        <w:rPr>
          <w:rFonts w:ascii="Lato" w:hAnsi="Lato"/>
        </w:rPr>
      </w:pPr>
      <w:r w:rsidRPr="004F0DBF">
        <w:rPr>
          <w:rFonts w:ascii="Lato" w:hAnsi="Lato"/>
        </w:rPr>
        <w:tab/>
        <w:t xml:space="preserve">Określone w ustawie przedsięwzięcia, </w:t>
      </w:r>
      <w:r w:rsidR="00730C94">
        <w:rPr>
          <w:rFonts w:ascii="Lato" w:hAnsi="Lato"/>
        </w:rPr>
        <w:t>które stanowią</w:t>
      </w:r>
      <w:r w:rsidRPr="004F0DBF">
        <w:rPr>
          <w:rFonts w:ascii="Lato" w:hAnsi="Lato"/>
        </w:rPr>
        <w:t xml:space="preserve"> podstaw</w:t>
      </w:r>
      <w:r w:rsidR="00730C94">
        <w:rPr>
          <w:rFonts w:ascii="Lato" w:hAnsi="Lato"/>
        </w:rPr>
        <w:t>ę dla</w:t>
      </w:r>
      <w:r w:rsidRPr="004F0DBF">
        <w:rPr>
          <w:rFonts w:ascii="Lato" w:hAnsi="Lato"/>
        </w:rPr>
        <w:t xml:space="preserve"> mechanizmów poprawy efektywności energetycznej</w:t>
      </w:r>
      <w:r w:rsidR="00730C94">
        <w:rPr>
          <w:rFonts w:ascii="Lato" w:hAnsi="Lato"/>
        </w:rPr>
        <w:t xml:space="preserve">, </w:t>
      </w:r>
      <w:r w:rsidR="00730C94" w:rsidRPr="004F0DBF">
        <w:rPr>
          <w:rFonts w:ascii="Lato" w:hAnsi="Lato"/>
        </w:rPr>
        <w:t xml:space="preserve">w zależności od ich specyfiki </w:t>
      </w:r>
      <w:r w:rsidRPr="004F0DBF">
        <w:rPr>
          <w:rFonts w:ascii="Lato" w:hAnsi="Lato"/>
        </w:rPr>
        <w:t xml:space="preserve">mogą wywierać dwojaki wpływ na </w:t>
      </w:r>
      <w:r w:rsidR="00730C94">
        <w:rPr>
          <w:rFonts w:ascii="Lato" w:hAnsi="Lato"/>
        </w:rPr>
        <w:t xml:space="preserve">skalę </w:t>
      </w:r>
      <w:r w:rsidRPr="004F0DBF">
        <w:rPr>
          <w:rFonts w:ascii="Lato" w:hAnsi="Lato"/>
        </w:rPr>
        <w:t>roczne</w:t>
      </w:r>
      <w:r w:rsidR="00730C94">
        <w:rPr>
          <w:rFonts w:ascii="Lato" w:hAnsi="Lato"/>
        </w:rPr>
        <w:t>go</w:t>
      </w:r>
      <w:r w:rsidRPr="004F0DBF">
        <w:rPr>
          <w:rFonts w:ascii="Lato" w:hAnsi="Lato"/>
        </w:rPr>
        <w:t xml:space="preserve"> zużycie gazu ziemnego.</w:t>
      </w:r>
      <w:r w:rsidR="00730C94">
        <w:rPr>
          <w:rFonts w:ascii="Lato" w:hAnsi="Lato"/>
        </w:rPr>
        <w:t xml:space="preserve"> </w:t>
      </w:r>
      <w:r w:rsidRPr="004F0DBF">
        <w:rPr>
          <w:rFonts w:ascii="Lato" w:hAnsi="Lato"/>
        </w:rPr>
        <w:t>Usprawnienia i modernizacje realizowane w</w:t>
      </w:r>
      <w:r w:rsidR="000D42F8">
        <w:rPr>
          <w:rFonts w:ascii="Lato" w:hAnsi="Lato"/>
        </w:rPr>
        <w:t xml:space="preserve"> </w:t>
      </w:r>
      <w:r w:rsidRPr="004F0DBF">
        <w:rPr>
          <w:rFonts w:ascii="Lato" w:hAnsi="Lato"/>
        </w:rPr>
        <w:t>obrębie zużywających gaz ziemny urządzeń i instalacji wykorzystywanych w procesach przemysłowych lub w</w:t>
      </w:r>
      <w:r w:rsidR="000D42F8">
        <w:rPr>
          <w:rFonts w:ascii="Lato" w:hAnsi="Lato"/>
        </w:rPr>
        <w:t xml:space="preserve"> </w:t>
      </w:r>
      <w:r w:rsidRPr="004F0DBF">
        <w:rPr>
          <w:rFonts w:ascii="Lato" w:hAnsi="Lato"/>
        </w:rPr>
        <w:t>procesach energetycznych, co do zasady ograniczą jego finalne zużycie. Niemniej jednak</w:t>
      </w:r>
      <w:r w:rsidR="004D6A74">
        <w:rPr>
          <w:rFonts w:ascii="Lato" w:hAnsi="Lato"/>
        </w:rPr>
        <w:t>,</w:t>
      </w:r>
      <w:r w:rsidRPr="004F0DBF">
        <w:rPr>
          <w:rFonts w:ascii="Lato" w:hAnsi="Lato"/>
        </w:rPr>
        <w:t xml:space="preserve"> przedsięwzięcia zakładające zmianę rodzaju zużywanego paliwa, przykładowo polegające na zastosowaniu układów kogeneracyjnych zasilanych gazem ziemnym w lokalnych źródłach ciepła, w miejsce kotłów zasilanych paliwami stałymi (np. węglem kamiennym) spowodują zwiększenie rocznego zużycia gazu ziemnego.</w:t>
      </w:r>
    </w:p>
    <w:p w14:paraId="40226F54" w14:textId="2AB251C9" w:rsidR="00457C7E" w:rsidRPr="00C758B1" w:rsidRDefault="00457C7E" w:rsidP="00983C18">
      <w:pPr>
        <w:spacing w:line="276" w:lineRule="auto"/>
        <w:jc w:val="left"/>
        <w:rPr>
          <w:rFonts w:ascii="Lato" w:hAnsi="Lato"/>
        </w:rPr>
      </w:pPr>
    </w:p>
    <w:p w14:paraId="67D1393D" w14:textId="77777777" w:rsidR="00B03DBA" w:rsidRPr="004D6A74" w:rsidRDefault="00C7771E" w:rsidP="00D128A1">
      <w:pPr>
        <w:pStyle w:val="Rozdzia1"/>
        <w:rPr>
          <w:rFonts w:ascii="Lato" w:hAnsi="Lato"/>
          <w:sz w:val="28"/>
          <w:szCs w:val="28"/>
        </w:rPr>
      </w:pPr>
      <w:bookmarkStart w:id="59" w:name="_Toc12953905"/>
      <w:bookmarkStart w:id="60" w:name="_Toc19782938"/>
      <w:bookmarkStart w:id="61" w:name="_Toc142469565"/>
      <w:r w:rsidRPr="004D6A74">
        <w:rPr>
          <w:rFonts w:ascii="Lato" w:hAnsi="Lato"/>
          <w:sz w:val="28"/>
          <w:szCs w:val="28"/>
        </w:rPr>
        <w:t>Streszczenie oceny ryzyka</w:t>
      </w:r>
      <w:bookmarkEnd w:id="59"/>
      <w:bookmarkEnd w:id="60"/>
      <w:bookmarkEnd w:id="61"/>
    </w:p>
    <w:p w14:paraId="608DD95C" w14:textId="77777777" w:rsidR="00B03DBA" w:rsidRPr="004D6A74" w:rsidRDefault="00C7771E" w:rsidP="00983C18">
      <w:pPr>
        <w:pStyle w:val="Rozdzia2"/>
        <w:rPr>
          <w:rFonts w:ascii="Lato" w:hAnsi="Lato"/>
          <w:szCs w:val="28"/>
        </w:rPr>
      </w:pPr>
      <w:bookmarkStart w:id="62" w:name="_Toc12953906"/>
      <w:bookmarkStart w:id="63" w:name="_Toc19782939"/>
      <w:bookmarkStart w:id="64" w:name="_Toc142469566"/>
      <w:r w:rsidRPr="004D6A74">
        <w:rPr>
          <w:rFonts w:ascii="Lato" w:hAnsi="Lato"/>
          <w:szCs w:val="28"/>
        </w:rPr>
        <w:t>Wspólna ocena ryzyka</w:t>
      </w:r>
      <w:bookmarkEnd w:id="62"/>
      <w:bookmarkEnd w:id="63"/>
      <w:bookmarkEnd w:id="64"/>
    </w:p>
    <w:p w14:paraId="7491E79F" w14:textId="5DC7E40E" w:rsidR="00372640" w:rsidRPr="00C758B1" w:rsidRDefault="00372640" w:rsidP="00D128A1">
      <w:pPr>
        <w:spacing w:line="276" w:lineRule="auto"/>
        <w:ind w:firstLine="709"/>
        <w:contextualSpacing/>
        <w:rPr>
          <w:rFonts w:ascii="Lato" w:hAnsi="Lato"/>
        </w:rPr>
      </w:pPr>
      <w:r w:rsidRPr="00C758B1">
        <w:rPr>
          <w:rFonts w:ascii="Lato" w:hAnsi="Lato"/>
        </w:rPr>
        <w:t xml:space="preserve">Polska do 2022 r. była </w:t>
      </w:r>
      <w:r w:rsidRPr="68C61004">
        <w:rPr>
          <w:rFonts w:ascii="Lato" w:hAnsi="Lato"/>
        </w:rPr>
        <w:t>członkiem</w:t>
      </w:r>
      <w:r w:rsidRPr="00C758B1">
        <w:rPr>
          <w:rFonts w:ascii="Lato" w:hAnsi="Lato"/>
        </w:rPr>
        <w:t xml:space="preserve"> </w:t>
      </w:r>
      <w:r w:rsidR="00CA062E" w:rsidRPr="68C61004">
        <w:rPr>
          <w:rFonts w:ascii="Lato" w:hAnsi="Lato"/>
        </w:rPr>
        <w:t xml:space="preserve">jedynie </w:t>
      </w:r>
      <w:r w:rsidRPr="00C758B1">
        <w:rPr>
          <w:rFonts w:ascii="Lato" w:hAnsi="Lato"/>
        </w:rPr>
        <w:t xml:space="preserve">białoruskiej i ukraińskiej grupy ryzyka. </w:t>
      </w:r>
      <w:r w:rsidR="00730C94">
        <w:rPr>
          <w:rFonts w:ascii="Lato" w:hAnsi="Lato"/>
        </w:rPr>
        <w:t>W wyniku</w:t>
      </w:r>
      <w:r w:rsidRPr="00C758B1">
        <w:rPr>
          <w:rFonts w:ascii="Lato" w:hAnsi="Lato"/>
        </w:rPr>
        <w:t xml:space="preserve"> realizacji inwestycji zwiększających bezpieczeństwo polskiego systemu gazowego Polsk</w:t>
      </w:r>
      <w:r w:rsidR="00E270EB">
        <w:rPr>
          <w:rFonts w:ascii="Lato" w:hAnsi="Lato"/>
        </w:rPr>
        <w:t>a</w:t>
      </w:r>
      <w:r w:rsidRPr="00C758B1">
        <w:rPr>
          <w:rFonts w:ascii="Lato" w:hAnsi="Lato"/>
        </w:rPr>
        <w:t xml:space="preserve"> </w:t>
      </w:r>
      <w:r w:rsidR="00730C94">
        <w:rPr>
          <w:rFonts w:ascii="Lato" w:hAnsi="Lato"/>
        </w:rPr>
        <w:t xml:space="preserve">dołączyła </w:t>
      </w:r>
      <w:r w:rsidRPr="00C758B1">
        <w:rPr>
          <w:rFonts w:ascii="Lato" w:hAnsi="Lato"/>
        </w:rPr>
        <w:t>do nowych grup ryzyka wskazanych w załączniku</w:t>
      </w:r>
      <w:r w:rsidR="002C0B0A">
        <w:rPr>
          <w:rFonts w:ascii="Lato" w:hAnsi="Lato"/>
        </w:rPr>
        <w:t xml:space="preserve"> „I”</w:t>
      </w:r>
      <w:r w:rsidRPr="00C758B1">
        <w:rPr>
          <w:rFonts w:ascii="Lato" w:hAnsi="Lato"/>
        </w:rPr>
        <w:t xml:space="preserve"> do rozporządzenia 2017/1938. W wyniku budowy połączenia międzysystemowego Polska-Litwa, Polska dołączyła do północno-wschodniej grupy ryzyka, związanej z dostawami gazu z kierunku wschodniego, natomiast w wyniku budowy gazociągu Baltic Pipe, łączącego polski system gazowy przez Danię </w:t>
      </w:r>
      <w:r w:rsidRPr="68C61004">
        <w:rPr>
          <w:rFonts w:ascii="Lato" w:hAnsi="Lato"/>
        </w:rPr>
        <w:t>z</w:t>
      </w:r>
      <w:r w:rsidR="1049CB71" w:rsidRPr="68C61004">
        <w:rPr>
          <w:rFonts w:ascii="Lato" w:hAnsi="Lato"/>
        </w:rPr>
        <w:t>e</w:t>
      </w:r>
      <w:r w:rsidRPr="00C758B1">
        <w:rPr>
          <w:rFonts w:ascii="Lato" w:hAnsi="Lato"/>
        </w:rPr>
        <w:t xml:space="preserve"> złożami Norweskiego Szelfu </w:t>
      </w:r>
      <w:r w:rsidRPr="00C758B1">
        <w:rPr>
          <w:rFonts w:ascii="Lato" w:hAnsi="Lato"/>
        </w:rPr>
        <w:lastRenderedPageBreak/>
        <w:t xml:space="preserve">Kontynentalnego, Polska stała się członkiem </w:t>
      </w:r>
      <w:r w:rsidR="00E270EB">
        <w:rPr>
          <w:rFonts w:ascii="Lato" w:hAnsi="Lato"/>
        </w:rPr>
        <w:t>n</w:t>
      </w:r>
      <w:r w:rsidR="00E270EB" w:rsidRPr="00C758B1">
        <w:rPr>
          <w:rFonts w:ascii="Lato" w:hAnsi="Lato"/>
        </w:rPr>
        <w:t xml:space="preserve">orweskiej i </w:t>
      </w:r>
      <w:r w:rsidR="00E270EB">
        <w:rPr>
          <w:rFonts w:ascii="Lato" w:hAnsi="Lato"/>
        </w:rPr>
        <w:t>d</w:t>
      </w:r>
      <w:r w:rsidR="00E270EB" w:rsidRPr="00C758B1">
        <w:rPr>
          <w:rFonts w:ascii="Lato" w:hAnsi="Lato"/>
        </w:rPr>
        <w:t xml:space="preserve">uńskiej </w:t>
      </w:r>
      <w:r w:rsidRPr="00C758B1">
        <w:rPr>
          <w:rFonts w:ascii="Lato" w:hAnsi="Lato"/>
        </w:rPr>
        <w:t>grup</w:t>
      </w:r>
      <w:r w:rsidR="00E270EB">
        <w:rPr>
          <w:rFonts w:ascii="Lato" w:hAnsi="Lato"/>
        </w:rPr>
        <w:t>y</w:t>
      </w:r>
      <w:r w:rsidRPr="00C758B1">
        <w:rPr>
          <w:rFonts w:ascii="Lato" w:hAnsi="Lato"/>
        </w:rPr>
        <w:t xml:space="preserve"> ryzyka. Poziom bezpieczeństwa polskiego systemu gazowego od ostatniej aktualizacji </w:t>
      </w:r>
      <w:r w:rsidR="004B3A0A">
        <w:rPr>
          <w:rFonts w:ascii="Lato" w:hAnsi="Lato"/>
        </w:rPr>
        <w:t>planu działań zapobiegawczych</w:t>
      </w:r>
      <w:r w:rsidRPr="00C758B1">
        <w:rPr>
          <w:rFonts w:ascii="Lato" w:hAnsi="Lato"/>
        </w:rPr>
        <w:t>, dzięki realizacji wskazanych powyżej inwestycji</w:t>
      </w:r>
      <w:r w:rsidR="00E270EB">
        <w:rPr>
          <w:rFonts w:ascii="Lato" w:hAnsi="Lato"/>
        </w:rPr>
        <w:t>,</w:t>
      </w:r>
      <w:r w:rsidRPr="00C758B1">
        <w:rPr>
          <w:rFonts w:ascii="Lato" w:hAnsi="Lato"/>
        </w:rPr>
        <w:t xml:space="preserve"> uległ znacznej poprawie. </w:t>
      </w:r>
      <w:r w:rsidR="00E270EB">
        <w:rPr>
          <w:rFonts w:ascii="Lato" w:hAnsi="Lato"/>
        </w:rPr>
        <w:t>Szczegółowe informacje</w:t>
      </w:r>
      <w:r w:rsidR="000E780A">
        <w:rPr>
          <w:rFonts w:ascii="Lato" w:hAnsi="Lato"/>
        </w:rPr>
        <w:t xml:space="preserve"> </w:t>
      </w:r>
      <w:r w:rsidR="004C439A">
        <w:rPr>
          <w:rFonts w:ascii="Lato" w:hAnsi="Lato"/>
        </w:rPr>
        <w:t xml:space="preserve">związane </w:t>
      </w:r>
      <w:r w:rsidR="00245AD3">
        <w:rPr>
          <w:rFonts w:ascii="Lato" w:hAnsi="Lato"/>
        </w:rPr>
        <w:t>z bezpieczeństwem w ramach poszczególnych grup ryzyka zostały opisane w podrozdziale 3.1.</w:t>
      </w:r>
      <w:r w:rsidR="000E780A">
        <w:rPr>
          <w:rFonts w:ascii="Lato" w:hAnsi="Lato"/>
        </w:rPr>
        <w:t xml:space="preserve"> </w:t>
      </w:r>
    </w:p>
    <w:p w14:paraId="1C6FB633" w14:textId="0FB58A9A" w:rsidR="00372640" w:rsidRPr="00C758B1" w:rsidRDefault="00372640" w:rsidP="00D128A1">
      <w:pPr>
        <w:spacing w:line="276" w:lineRule="auto"/>
        <w:ind w:firstLine="709"/>
        <w:contextualSpacing/>
        <w:rPr>
          <w:rFonts w:ascii="Lato" w:hAnsi="Lato"/>
        </w:rPr>
      </w:pPr>
      <w:r w:rsidRPr="00C758B1">
        <w:rPr>
          <w:rFonts w:ascii="Lato" w:hAnsi="Lato"/>
        </w:rPr>
        <w:t>W związku z działaniami Federacji Rosyjskiej w 202</w:t>
      </w:r>
      <w:r w:rsidR="004C439A">
        <w:rPr>
          <w:rFonts w:ascii="Lato" w:hAnsi="Lato"/>
        </w:rPr>
        <w:t xml:space="preserve">1 </w:t>
      </w:r>
      <w:r w:rsidRPr="00C758B1">
        <w:rPr>
          <w:rFonts w:ascii="Lato" w:hAnsi="Lato"/>
        </w:rPr>
        <w:t xml:space="preserve">r. i 2022 r. polegającymi na ograniczaniu dostaw gazu ziemnego do Europy, w ramach </w:t>
      </w:r>
      <w:r w:rsidR="004C439A">
        <w:rPr>
          <w:rFonts w:ascii="Lato" w:hAnsi="Lato"/>
        </w:rPr>
        <w:t xml:space="preserve">prac zarówno </w:t>
      </w:r>
      <w:r w:rsidRPr="00C758B1">
        <w:rPr>
          <w:rFonts w:ascii="Lato" w:hAnsi="Lato"/>
        </w:rPr>
        <w:t>Grupy Koordynacyjnej ds. Gazu</w:t>
      </w:r>
      <w:r w:rsidR="004C439A">
        <w:rPr>
          <w:rFonts w:ascii="Lato" w:hAnsi="Lato"/>
        </w:rPr>
        <w:t xml:space="preserve">, jak również </w:t>
      </w:r>
      <w:r w:rsidRPr="00C758B1">
        <w:rPr>
          <w:rFonts w:ascii="Lato" w:hAnsi="Lato"/>
        </w:rPr>
        <w:t>białoruskiej, ukraińskiej, północno-wschodniej, duńskiej oraz norweskiej grupy ryzyka, jako największe zagrożenie bezpieczeństwa dostaw gazu ziemnego dla europejskiego systemu gazowego w sezonie zimowym 2022/2023 wskazan</w:t>
      </w:r>
      <w:r w:rsidR="004C439A">
        <w:rPr>
          <w:rFonts w:ascii="Lato" w:hAnsi="Lato"/>
        </w:rPr>
        <w:t>o</w:t>
      </w:r>
      <w:r w:rsidRPr="00C758B1">
        <w:rPr>
          <w:rFonts w:ascii="Lato" w:hAnsi="Lato"/>
        </w:rPr>
        <w:t xml:space="preserve"> całkowite wstrzymanie dostaw gazu ziemnego z kierunku wschodniego. W wyniku przeprowadzonych symulacji</w:t>
      </w:r>
      <w:r w:rsidR="004C439A">
        <w:rPr>
          <w:rFonts w:ascii="Lato" w:hAnsi="Lato"/>
        </w:rPr>
        <w:t xml:space="preserve">, określonych w załączniku </w:t>
      </w:r>
      <w:r w:rsidR="004B3A0A">
        <w:rPr>
          <w:rFonts w:ascii="Lato" w:hAnsi="Lato"/>
        </w:rPr>
        <w:t xml:space="preserve">do wspólnej oceny ryzyka </w:t>
      </w:r>
      <w:r w:rsidR="00F46D86">
        <w:rPr>
          <w:rFonts w:ascii="Lato" w:hAnsi="Lato"/>
        </w:rPr>
        <w:t xml:space="preserve">poszczególnych </w:t>
      </w:r>
      <w:r w:rsidR="004B3A0A">
        <w:rPr>
          <w:rFonts w:ascii="Lato" w:hAnsi="Lato"/>
        </w:rPr>
        <w:t xml:space="preserve">grup ryzyka, </w:t>
      </w:r>
      <w:r w:rsidR="004C439A">
        <w:rPr>
          <w:rFonts w:ascii="Lato" w:hAnsi="Lato"/>
        </w:rPr>
        <w:t>zidentyfikowano</w:t>
      </w:r>
      <w:r w:rsidRPr="00C758B1">
        <w:rPr>
          <w:rFonts w:ascii="Lato" w:hAnsi="Lato"/>
        </w:rPr>
        <w:t xml:space="preserve"> skutki </w:t>
      </w:r>
      <w:r w:rsidR="004B3A0A">
        <w:rPr>
          <w:rFonts w:ascii="Lato" w:hAnsi="Lato"/>
        </w:rPr>
        <w:t>wstrzymania dostaw gazu ziemnego z kierunku wschodniego</w:t>
      </w:r>
      <w:r w:rsidR="004C439A" w:rsidRPr="004C439A">
        <w:rPr>
          <w:rFonts w:ascii="Lato" w:hAnsi="Lato"/>
        </w:rPr>
        <w:t xml:space="preserve"> </w:t>
      </w:r>
      <w:r w:rsidR="004C439A" w:rsidRPr="00C758B1">
        <w:rPr>
          <w:rFonts w:ascii="Lato" w:hAnsi="Lato"/>
        </w:rPr>
        <w:t>dla europejskiego systemu gazowego</w:t>
      </w:r>
      <w:r w:rsidRPr="00C758B1">
        <w:rPr>
          <w:rFonts w:ascii="Lato" w:hAnsi="Lato"/>
        </w:rPr>
        <w:t xml:space="preserve">. Z przeprowadzonych symulacji wynika, że skoordynowane działania państw członkowskich zmniejszają niedobór gazu ziemnego, który może wystąpić w momencie szczytowego zapotrzebowania na gaz ziemny. </w:t>
      </w:r>
      <w:r w:rsidR="004B3A0A">
        <w:rPr>
          <w:rFonts w:ascii="Lato" w:hAnsi="Lato"/>
        </w:rPr>
        <w:t>Dodatkowo, d</w:t>
      </w:r>
      <w:r w:rsidRPr="00C758B1">
        <w:rPr>
          <w:rFonts w:ascii="Lato" w:hAnsi="Lato"/>
        </w:rPr>
        <w:t>ługoterminowa strategia zarządzania magazynami pozytywnie wpływa na bezpieczeństwo systemu gazowego poszczególnych państw członkowskich oraz bezpieczeństwo europejskiego systemu gazowego jako całości, w szczególności w przypadku wystąpienia nadzwyczajnie niskich temperatur w sezonie zimowym i wystąpienia nadzwyczajnie wysokiego zapotrzebowania na gaz ziemny.</w:t>
      </w:r>
    </w:p>
    <w:p w14:paraId="04AD8AB0" w14:textId="2F37D436" w:rsidR="00372640" w:rsidRPr="00C758B1" w:rsidRDefault="00372640" w:rsidP="00D128A1">
      <w:pPr>
        <w:spacing w:after="0" w:line="276" w:lineRule="auto"/>
        <w:ind w:firstLine="708"/>
        <w:rPr>
          <w:rFonts w:ascii="Lato" w:hAnsi="Lato"/>
        </w:rPr>
      </w:pPr>
      <w:r w:rsidRPr="00C758B1">
        <w:rPr>
          <w:rFonts w:ascii="Lato" w:hAnsi="Lato"/>
        </w:rPr>
        <w:t xml:space="preserve">Przeprowadzone symulacje dotyczące bezpieczeństwa europejskiego systemu gazowego w sezonie zimowym 2022/2023 wskazują, że w przypadku wystąpienia poważnego zagrożenia dostaw gazu ziemnego, </w:t>
      </w:r>
      <w:r w:rsidR="004C439A">
        <w:rPr>
          <w:rFonts w:ascii="Lato" w:hAnsi="Lato"/>
        </w:rPr>
        <w:t>dla</w:t>
      </w:r>
      <w:r w:rsidRPr="00C758B1">
        <w:rPr>
          <w:rFonts w:ascii="Lato" w:hAnsi="Lato"/>
        </w:rPr>
        <w:t xml:space="preserve"> zapewnienia możliwie najwyższego poziomu bezpieczeństwa systemu gazowego</w:t>
      </w:r>
      <w:r w:rsidR="004C439A">
        <w:rPr>
          <w:rFonts w:ascii="Lato" w:hAnsi="Lato"/>
        </w:rPr>
        <w:t xml:space="preserve"> </w:t>
      </w:r>
      <w:r w:rsidRPr="00C758B1">
        <w:rPr>
          <w:rFonts w:ascii="Lato" w:hAnsi="Lato"/>
        </w:rPr>
        <w:t xml:space="preserve">kluczowe </w:t>
      </w:r>
      <w:r w:rsidR="004C439A">
        <w:rPr>
          <w:rFonts w:ascii="Lato" w:hAnsi="Lato"/>
        </w:rPr>
        <w:t>znaczenie ma</w:t>
      </w:r>
      <w:r w:rsidRPr="00C758B1">
        <w:rPr>
          <w:rFonts w:ascii="Lato" w:hAnsi="Lato"/>
        </w:rPr>
        <w:t xml:space="preserve"> utrzymanie jak najwyższego poziomu wypełnienia magazynów gazu ziemnego, co może zostać osiągnięte przez strategię długoterminowego zarządzania tymi instalacjami. </w:t>
      </w:r>
      <w:r w:rsidR="004C439A">
        <w:rPr>
          <w:rFonts w:ascii="Lato" w:hAnsi="Lato"/>
        </w:rPr>
        <w:t>P</w:t>
      </w:r>
      <w:r w:rsidRPr="00C758B1">
        <w:rPr>
          <w:rFonts w:ascii="Lato" w:hAnsi="Lato"/>
        </w:rPr>
        <w:t>odjęci</w:t>
      </w:r>
      <w:r w:rsidR="004C439A">
        <w:rPr>
          <w:rFonts w:ascii="Lato" w:hAnsi="Lato"/>
        </w:rPr>
        <w:t>e</w:t>
      </w:r>
      <w:r w:rsidRPr="00C758B1">
        <w:rPr>
          <w:rFonts w:ascii="Lato" w:hAnsi="Lato"/>
        </w:rPr>
        <w:t xml:space="preserve"> działań wskazanych w</w:t>
      </w:r>
      <w:r w:rsidR="004C439A">
        <w:rPr>
          <w:rFonts w:ascii="Lato" w:hAnsi="Lato"/>
        </w:rPr>
        <w:t>e</w:t>
      </w:r>
      <w:r w:rsidRPr="00C758B1">
        <w:rPr>
          <w:rFonts w:ascii="Lato" w:hAnsi="Lato"/>
        </w:rPr>
        <w:t xml:space="preserve"> wnioskach z przeprowadzonych symulacji</w:t>
      </w:r>
      <w:r w:rsidR="004C439A">
        <w:rPr>
          <w:rFonts w:ascii="Lato" w:hAnsi="Lato"/>
        </w:rPr>
        <w:t xml:space="preserve"> ograniczyłoby również ryzyko </w:t>
      </w:r>
      <w:r w:rsidRPr="00C758B1">
        <w:rPr>
          <w:rFonts w:ascii="Lato" w:hAnsi="Lato"/>
        </w:rPr>
        <w:t>zagrożenia dostaw gazu ziemnego do odbiorców chronionych w ramach solidarnego wsparcia.</w:t>
      </w:r>
    </w:p>
    <w:p w14:paraId="10AE3258" w14:textId="7FC50D32" w:rsidR="00372640" w:rsidRPr="00C758B1" w:rsidRDefault="00372640" w:rsidP="00D128A1">
      <w:pPr>
        <w:spacing w:after="0" w:line="276" w:lineRule="auto"/>
        <w:ind w:firstLine="709"/>
        <w:contextualSpacing/>
        <w:rPr>
          <w:rFonts w:ascii="Lato" w:hAnsi="Lato"/>
        </w:rPr>
      </w:pPr>
      <w:r w:rsidRPr="00C758B1">
        <w:rPr>
          <w:rFonts w:ascii="Lato" w:hAnsi="Lato"/>
        </w:rPr>
        <w:t xml:space="preserve">Państwa członkowskie w reakcji na kryzys na rynku gazu </w:t>
      </w:r>
      <w:r w:rsidR="00F46D86">
        <w:rPr>
          <w:rFonts w:ascii="Lato" w:hAnsi="Lato"/>
        </w:rPr>
        <w:t xml:space="preserve">ziemnego </w:t>
      </w:r>
      <w:r w:rsidRPr="00C758B1">
        <w:rPr>
          <w:rFonts w:ascii="Lato" w:hAnsi="Lato"/>
        </w:rPr>
        <w:t>podjęły ekstraordynaryjne działania, w szczególności polegające na budowie nowych terminali LNG, które umożliwiły zwiększenie dostaw gazu ziemnego do Europy w trakcie sezonu zimowego 2022/2023</w:t>
      </w:r>
      <w:r w:rsidR="00D128A1">
        <w:rPr>
          <w:rFonts w:ascii="Lato" w:hAnsi="Lato"/>
        </w:rPr>
        <w:t xml:space="preserve">. </w:t>
      </w:r>
      <w:r w:rsidR="00D34078">
        <w:rPr>
          <w:rFonts w:ascii="Lato" w:hAnsi="Lato"/>
        </w:rPr>
        <w:t>Terminale LNG w</w:t>
      </w:r>
      <w:r w:rsidRPr="00C758B1">
        <w:rPr>
          <w:rFonts w:ascii="Lato" w:hAnsi="Lato"/>
        </w:rPr>
        <w:t xml:space="preserve"> zauważalny sposób zwiększają </w:t>
      </w:r>
      <w:r w:rsidR="00D128A1">
        <w:rPr>
          <w:rFonts w:ascii="Lato" w:hAnsi="Lato"/>
        </w:rPr>
        <w:t xml:space="preserve">również </w:t>
      </w:r>
      <w:r w:rsidRPr="00C758B1">
        <w:rPr>
          <w:rFonts w:ascii="Lato" w:hAnsi="Lato"/>
        </w:rPr>
        <w:t xml:space="preserve">dostępność gazu ziemnego na europejskim rynku, co przyczynia się do szybszego wypełnienia magazynów gazu ziemnego przed sezonem zimowym 2023/2024, a także do ograniczenia poboru gazu ziemnego z magazynów w sezonie zimowym. </w:t>
      </w:r>
      <w:r w:rsidR="00D128A1">
        <w:rPr>
          <w:rFonts w:ascii="Lato" w:hAnsi="Lato"/>
        </w:rPr>
        <w:t xml:space="preserve">Działania te wzmacniają </w:t>
      </w:r>
      <w:r w:rsidRPr="00C758B1">
        <w:rPr>
          <w:rFonts w:ascii="Lato" w:hAnsi="Lato"/>
        </w:rPr>
        <w:t xml:space="preserve">odporność europejskiego systemu gazowego na wewnętrzne i zewnętrzne zakłócenia dostaw. </w:t>
      </w:r>
    </w:p>
    <w:p w14:paraId="0F5A4BE4" w14:textId="79A7DA11" w:rsidR="00372640" w:rsidRPr="00C758B1" w:rsidRDefault="00372640" w:rsidP="00D128A1">
      <w:pPr>
        <w:spacing w:line="276" w:lineRule="auto"/>
        <w:ind w:firstLine="709"/>
        <w:contextualSpacing/>
        <w:rPr>
          <w:rFonts w:ascii="Lato" w:hAnsi="Lato"/>
        </w:rPr>
      </w:pPr>
      <w:r w:rsidRPr="00C758B1">
        <w:rPr>
          <w:rFonts w:ascii="Lato" w:hAnsi="Lato"/>
        </w:rPr>
        <w:lastRenderedPageBreak/>
        <w:t>W wyniku ograniczenia dostaw gazu ziemnego z kierunku wschodniego do europejskiego systemu gazowego, a także dzięki realizacji inwestycji umożliwiających zwiększenie dostaw LNG w sezonie zimowym 2023/2024, skutki scenariuszy zdarzeń rozpatrywanych w symulacji będącej wkładem do wspólnej oceny ryzyka grup</w:t>
      </w:r>
      <w:r w:rsidR="00D128A1">
        <w:rPr>
          <w:rFonts w:ascii="Lato" w:hAnsi="Lato"/>
        </w:rPr>
        <w:t xml:space="preserve"> </w:t>
      </w:r>
      <w:r w:rsidRPr="00C758B1">
        <w:rPr>
          <w:rFonts w:ascii="Lato" w:hAnsi="Lato"/>
        </w:rPr>
        <w:t>mogą okazać się wyraźnie mniej dotkliwe niż przewidywane dla sezonu zimowego 2022/2023.</w:t>
      </w:r>
    </w:p>
    <w:p w14:paraId="5302BF3A" w14:textId="77777777" w:rsidR="00B03DBA" w:rsidRPr="00C758B1" w:rsidRDefault="00C7771E" w:rsidP="00D128A1">
      <w:pPr>
        <w:pStyle w:val="Rozdzia2"/>
        <w:rPr>
          <w:rFonts w:ascii="Lato" w:hAnsi="Lato"/>
        </w:rPr>
      </w:pPr>
      <w:bookmarkStart w:id="65" w:name="_Toc140488262"/>
      <w:bookmarkStart w:id="66" w:name="_Toc140580254"/>
      <w:bookmarkStart w:id="67" w:name="_Toc140488263"/>
      <w:bookmarkStart w:id="68" w:name="_Toc140580255"/>
      <w:bookmarkStart w:id="69" w:name="_Toc140488264"/>
      <w:bookmarkStart w:id="70" w:name="_Toc140580256"/>
      <w:bookmarkStart w:id="71" w:name="_Toc140488265"/>
      <w:bookmarkStart w:id="72" w:name="_Toc140580257"/>
      <w:bookmarkStart w:id="73" w:name="_Toc140488266"/>
      <w:bookmarkStart w:id="74" w:name="_Toc140580258"/>
      <w:bookmarkStart w:id="75" w:name="_Toc140488267"/>
      <w:bookmarkStart w:id="76" w:name="_Toc140580259"/>
      <w:bookmarkStart w:id="77" w:name="_Toc140488268"/>
      <w:bookmarkStart w:id="78" w:name="_Toc140580260"/>
      <w:bookmarkStart w:id="79" w:name="_Toc140488269"/>
      <w:bookmarkStart w:id="80" w:name="_Toc140580261"/>
      <w:bookmarkStart w:id="81" w:name="_Toc140488270"/>
      <w:bookmarkStart w:id="82" w:name="_Toc140580262"/>
      <w:bookmarkStart w:id="83" w:name="_Toc140488271"/>
      <w:bookmarkStart w:id="84" w:name="_Toc140580263"/>
      <w:bookmarkStart w:id="85" w:name="_Toc140488272"/>
      <w:bookmarkStart w:id="86" w:name="_Toc140580264"/>
      <w:bookmarkStart w:id="87" w:name="_Toc140488273"/>
      <w:bookmarkStart w:id="88" w:name="_Toc140580265"/>
      <w:bookmarkStart w:id="89" w:name="_Toc140488274"/>
      <w:bookmarkStart w:id="90" w:name="_Toc140580266"/>
      <w:bookmarkStart w:id="91" w:name="_Toc140488275"/>
      <w:bookmarkStart w:id="92" w:name="_Toc140580267"/>
      <w:bookmarkStart w:id="93" w:name="_Toc140488276"/>
      <w:bookmarkStart w:id="94" w:name="_Toc140580268"/>
      <w:bookmarkStart w:id="95" w:name="_Toc140488277"/>
      <w:bookmarkStart w:id="96" w:name="_Toc140580269"/>
      <w:bookmarkStart w:id="97" w:name="_Toc140488278"/>
      <w:bookmarkStart w:id="98" w:name="_Toc140580270"/>
      <w:bookmarkStart w:id="99" w:name="_Toc140488279"/>
      <w:bookmarkStart w:id="100" w:name="_Toc140580271"/>
      <w:bookmarkStart w:id="101" w:name="_Toc140488280"/>
      <w:bookmarkStart w:id="102" w:name="_Toc140580272"/>
      <w:bookmarkStart w:id="103" w:name="_Toc140488281"/>
      <w:bookmarkStart w:id="104" w:name="_Toc140580273"/>
      <w:bookmarkStart w:id="105" w:name="_Toc140488282"/>
      <w:bookmarkStart w:id="106" w:name="_Toc140580274"/>
      <w:bookmarkStart w:id="107" w:name="_Toc140488283"/>
      <w:bookmarkStart w:id="108" w:name="_Toc140580275"/>
      <w:bookmarkStart w:id="109" w:name="_Toc140488284"/>
      <w:bookmarkStart w:id="110" w:name="_Toc140580276"/>
      <w:bookmarkStart w:id="111" w:name="_Toc140488285"/>
      <w:bookmarkStart w:id="112" w:name="_Toc140580277"/>
      <w:bookmarkStart w:id="113" w:name="_Toc140488286"/>
      <w:bookmarkStart w:id="114" w:name="_Toc140580278"/>
      <w:bookmarkStart w:id="115" w:name="_Toc140488287"/>
      <w:bookmarkStart w:id="116" w:name="_Toc140580279"/>
      <w:bookmarkStart w:id="117" w:name="_Toc140488288"/>
      <w:bookmarkStart w:id="118" w:name="_Toc140580280"/>
      <w:bookmarkStart w:id="119" w:name="_Toc140488289"/>
      <w:bookmarkStart w:id="120" w:name="_Toc140580281"/>
      <w:bookmarkStart w:id="121" w:name="_Toc140488290"/>
      <w:bookmarkStart w:id="122" w:name="_Toc140580282"/>
      <w:bookmarkStart w:id="123" w:name="_Toc140488291"/>
      <w:bookmarkStart w:id="124" w:name="_Toc140580283"/>
      <w:bookmarkStart w:id="125" w:name="_Toc140488292"/>
      <w:bookmarkStart w:id="126" w:name="_Toc140580284"/>
      <w:bookmarkStart w:id="127" w:name="_Toc140488293"/>
      <w:bookmarkStart w:id="128" w:name="_Toc140580285"/>
      <w:bookmarkStart w:id="129" w:name="_Toc140488294"/>
      <w:bookmarkStart w:id="130" w:name="_Toc140580286"/>
      <w:bookmarkStart w:id="131" w:name="_Toc140488295"/>
      <w:bookmarkStart w:id="132" w:name="_Toc140580287"/>
      <w:bookmarkStart w:id="133" w:name="_Toc140488296"/>
      <w:bookmarkStart w:id="134" w:name="_Toc140580288"/>
      <w:bookmarkStart w:id="135" w:name="_Toc140488297"/>
      <w:bookmarkStart w:id="136" w:name="_Toc140580289"/>
      <w:bookmarkStart w:id="137" w:name="_Toc140488298"/>
      <w:bookmarkStart w:id="138" w:name="_Toc140580290"/>
      <w:bookmarkStart w:id="139" w:name="_Toc12953909"/>
      <w:bookmarkStart w:id="140" w:name="_Toc19782942"/>
      <w:bookmarkStart w:id="141" w:name="_Toc142469567"/>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Pr="00C758B1">
        <w:rPr>
          <w:rFonts w:ascii="Lato" w:hAnsi="Lato"/>
        </w:rPr>
        <w:t>Krajowa ocena ryzyka</w:t>
      </w:r>
      <w:bookmarkEnd w:id="139"/>
      <w:bookmarkEnd w:id="140"/>
      <w:bookmarkEnd w:id="141"/>
    </w:p>
    <w:p w14:paraId="06EEEE66" w14:textId="77777777" w:rsidR="002223E5" w:rsidRDefault="00C7771E" w:rsidP="002223E5">
      <w:pPr>
        <w:spacing w:line="276" w:lineRule="auto"/>
        <w:contextualSpacing/>
        <w:rPr>
          <w:rFonts w:ascii="Lato" w:hAnsi="Lato"/>
          <w:szCs w:val="24"/>
        </w:rPr>
      </w:pPr>
      <w:r w:rsidRPr="00C758B1">
        <w:tab/>
      </w:r>
      <w:r w:rsidRPr="00D1163A">
        <w:rPr>
          <w:rFonts w:ascii="Lato" w:hAnsi="Lato"/>
          <w:szCs w:val="24"/>
        </w:rPr>
        <w:t>Uwzgl</w:t>
      </w:r>
      <w:r w:rsidRPr="00D1163A">
        <w:rPr>
          <w:rFonts w:ascii="Lato" w:hAnsi="Lato" w:cs="Calibri"/>
          <w:szCs w:val="24"/>
        </w:rPr>
        <w:t>ę</w:t>
      </w:r>
      <w:r w:rsidRPr="00D1163A">
        <w:rPr>
          <w:rFonts w:ascii="Lato" w:hAnsi="Lato"/>
          <w:szCs w:val="24"/>
        </w:rPr>
        <w:t>dnione w analizach hydraulicznych maksymalne przewidywane zapotrzebowanie na gaz ziemny w szczycie zimowym 20</w:t>
      </w:r>
      <w:r w:rsidR="008124FC" w:rsidRPr="00D1163A">
        <w:rPr>
          <w:rFonts w:ascii="Lato" w:hAnsi="Lato"/>
          <w:szCs w:val="24"/>
        </w:rPr>
        <w:t>22</w:t>
      </w:r>
      <w:r w:rsidRPr="00D1163A">
        <w:rPr>
          <w:rFonts w:ascii="Lato" w:hAnsi="Lato"/>
          <w:szCs w:val="24"/>
        </w:rPr>
        <w:t>/202</w:t>
      </w:r>
      <w:r w:rsidR="008124FC" w:rsidRPr="00D1163A">
        <w:rPr>
          <w:rFonts w:ascii="Lato" w:hAnsi="Lato"/>
          <w:szCs w:val="24"/>
        </w:rPr>
        <w:t>3</w:t>
      </w:r>
      <w:r w:rsidRPr="00D1163A">
        <w:rPr>
          <w:rFonts w:ascii="Lato" w:hAnsi="Lato"/>
          <w:szCs w:val="24"/>
        </w:rPr>
        <w:t xml:space="preserve"> oszacowano na poziomie ok. </w:t>
      </w:r>
      <w:r w:rsidR="0072293F" w:rsidRPr="00D1163A">
        <w:rPr>
          <w:rFonts w:ascii="Lato" w:hAnsi="Lato"/>
          <w:szCs w:val="24"/>
        </w:rPr>
        <w:t>100,3</w:t>
      </w:r>
      <w:r w:rsidRPr="00D1163A">
        <w:rPr>
          <w:rFonts w:ascii="Lato" w:hAnsi="Lato"/>
          <w:szCs w:val="24"/>
        </w:rPr>
        <w:t xml:space="preserve"> mln m</w:t>
      </w:r>
      <w:r w:rsidRPr="00D1163A">
        <w:rPr>
          <w:rFonts w:ascii="Lato" w:hAnsi="Lato"/>
          <w:szCs w:val="24"/>
          <w:vertAlign w:val="superscript"/>
        </w:rPr>
        <w:t>3</w:t>
      </w:r>
      <w:r w:rsidRPr="00D1163A">
        <w:rPr>
          <w:rFonts w:ascii="Lato" w:hAnsi="Lato"/>
          <w:szCs w:val="24"/>
        </w:rPr>
        <w:t>/dob</w:t>
      </w:r>
      <w:r w:rsidRPr="00D1163A">
        <w:rPr>
          <w:rFonts w:ascii="Lato" w:hAnsi="Lato" w:cs="Calibri"/>
          <w:szCs w:val="24"/>
        </w:rPr>
        <w:t>ę</w:t>
      </w:r>
      <w:r w:rsidRPr="00D1163A">
        <w:rPr>
          <w:rFonts w:ascii="Lato" w:hAnsi="Lato"/>
          <w:szCs w:val="24"/>
        </w:rPr>
        <w:t xml:space="preserve"> (1 </w:t>
      </w:r>
      <w:r w:rsidR="00C71656" w:rsidRPr="00D1163A">
        <w:rPr>
          <w:rFonts w:ascii="Lato" w:hAnsi="Lato"/>
          <w:szCs w:val="24"/>
        </w:rPr>
        <w:t xml:space="preserve">133 </w:t>
      </w:r>
      <w:r w:rsidRPr="00D1163A">
        <w:rPr>
          <w:rFonts w:ascii="Lato" w:hAnsi="Lato"/>
          <w:szCs w:val="24"/>
        </w:rPr>
        <w:t>GWh/dob</w:t>
      </w:r>
      <w:r w:rsidRPr="00D1163A">
        <w:rPr>
          <w:rFonts w:ascii="Lato" w:hAnsi="Lato" w:cs="Calibri"/>
          <w:szCs w:val="24"/>
        </w:rPr>
        <w:t>ę</w:t>
      </w:r>
      <w:r w:rsidRPr="00D1163A">
        <w:rPr>
          <w:rFonts w:ascii="Lato" w:hAnsi="Lato"/>
          <w:szCs w:val="24"/>
        </w:rPr>
        <w:t>). Wielko</w:t>
      </w:r>
      <w:r w:rsidRPr="00D1163A">
        <w:rPr>
          <w:rFonts w:ascii="Lato" w:hAnsi="Lato" w:cs="Calibri"/>
          <w:szCs w:val="24"/>
        </w:rPr>
        <w:t>ść</w:t>
      </w:r>
      <w:r w:rsidRPr="00D1163A">
        <w:rPr>
          <w:rFonts w:ascii="Lato" w:hAnsi="Lato"/>
          <w:szCs w:val="24"/>
        </w:rPr>
        <w:t xml:space="preserve"> ta jest zgodna z prognoz</w:t>
      </w:r>
      <w:r w:rsidRPr="00D1163A">
        <w:rPr>
          <w:rFonts w:ascii="Lato" w:hAnsi="Lato" w:cs="Calibri"/>
          <w:szCs w:val="24"/>
        </w:rPr>
        <w:t>ą</w:t>
      </w:r>
      <w:r w:rsidRPr="00D1163A">
        <w:rPr>
          <w:rFonts w:ascii="Lato" w:hAnsi="Lato"/>
          <w:szCs w:val="24"/>
        </w:rPr>
        <w:t xml:space="preserve"> zu</w:t>
      </w:r>
      <w:r w:rsidRPr="00D1163A">
        <w:rPr>
          <w:rFonts w:ascii="Lato" w:hAnsi="Lato" w:cs="Calibri"/>
          <w:szCs w:val="24"/>
        </w:rPr>
        <w:t>ż</w:t>
      </w:r>
      <w:r w:rsidRPr="00D1163A">
        <w:rPr>
          <w:rFonts w:ascii="Lato" w:hAnsi="Lato"/>
          <w:szCs w:val="24"/>
        </w:rPr>
        <w:t>ycia gazu opracowan</w:t>
      </w:r>
      <w:r w:rsidRPr="00D1163A">
        <w:rPr>
          <w:rFonts w:ascii="Lato" w:hAnsi="Lato" w:cs="Calibri"/>
          <w:szCs w:val="24"/>
        </w:rPr>
        <w:t>ą</w:t>
      </w:r>
      <w:r w:rsidRPr="00D1163A">
        <w:rPr>
          <w:rFonts w:ascii="Lato" w:hAnsi="Lato"/>
          <w:szCs w:val="24"/>
        </w:rPr>
        <w:t xml:space="preserve"> przez OGP Gaz-System S.A. Analiza zapotrzebowania odbiorców na gaz ziemny została przygotowana z</w:t>
      </w:r>
      <w:r w:rsidR="000E780A">
        <w:rPr>
          <w:rFonts w:ascii="Lato" w:hAnsi="Lato"/>
          <w:szCs w:val="24"/>
        </w:rPr>
        <w:t xml:space="preserve"> </w:t>
      </w:r>
      <w:r w:rsidRPr="00D1163A">
        <w:rPr>
          <w:rFonts w:ascii="Lato" w:hAnsi="Lato"/>
          <w:szCs w:val="24"/>
        </w:rPr>
        <w:t>uwzgl</w:t>
      </w:r>
      <w:r w:rsidRPr="00D1163A">
        <w:rPr>
          <w:rFonts w:ascii="Lato" w:hAnsi="Lato" w:cs="Calibri"/>
          <w:szCs w:val="24"/>
        </w:rPr>
        <w:t>ę</w:t>
      </w:r>
      <w:r w:rsidRPr="00D1163A">
        <w:rPr>
          <w:rFonts w:ascii="Lato" w:hAnsi="Lato"/>
          <w:szCs w:val="24"/>
        </w:rPr>
        <w:t>dnieniem danych archiwalnych o historycznych dobach szczytowych oraz informacjach w zakresie nowych przył</w:t>
      </w:r>
      <w:r w:rsidRPr="00D1163A">
        <w:rPr>
          <w:rFonts w:ascii="Lato" w:hAnsi="Lato" w:cs="Calibri"/>
          <w:szCs w:val="24"/>
        </w:rPr>
        <w:t>ą</w:t>
      </w:r>
      <w:r w:rsidRPr="00D1163A">
        <w:rPr>
          <w:rFonts w:ascii="Lato" w:hAnsi="Lato"/>
          <w:szCs w:val="24"/>
        </w:rPr>
        <w:t>cze</w:t>
      </w:r>
      <w:r w:rsidRPr="00D1163A">
        <w:rPr>
          <w:rFonts w:ascii="Lato" w:hAnsi="Lato" w:cs="Calibri"/>
          <w:szCs w:val="24"/>
        </w:rPr>
        <w:t>ń</w:t>
      </w:r>
      <w:r w:rsidRPr="00D1163A">
        <w:rPr>
          <w:rFonts w:ascii="Lato" w:hAnsi="Lato"/>
          <w:szCs w:val="24"/>
        </w:rPr>
        <w:t xml:space="preserve"> do krajowego systemu przesy</w:t>
      </w:r>
      <w:r w:rsidRPr="00D1163A">
        <w:rPr>
          <w:rFonts w:ascii="Lato" w:hAnsi="Lato" w:cs="Malgun Gothic"/>
          <w:szCs w:val="24"/>
        </w:rPr>
        <w:t>ł</w:t>
      </w:r>
      <w:r w:rsidRPr="00D1163A">
        <w:rPr>
          <w:rFonts w:ascii="Lato" w:hAnsi="Lato"/>
          <w:szCs w:val="24"/>
        </w:rPr>
        <w:t>owego. Techniczne zdolno</w:t>
      </w:r>
      <w:r w:rsidRPr="00D1163A">
        <w:rPr>
          <w:rFonts w:ascii="Lato" w:hAnsi="Lato" w:cs="Calibri"/>
          <w:szCs w:val="24"/>
        </w:rPr>
        <w:t>ś</w:t>
      </w:r>
      <w:r w:rsidRPr="00D1163A">
        <w:rPr>
          <w:rFonts w:ascii="Lato" w:hAnsi="Lato"/>
          <w:szCs w:val="24"/>
        </w:rPr>
        <w:t>ci punktów wej</w:t>
      </w:r>
      <w:r w:rsidRPr="00D1163A">
        <w:rPr>
          <w:rFonts w:ascii="Lato" w:hAnsi="Lato" w:cs="Calibri"/>
          <w:szCs w:val="24"/>
        </w:rPr>
        <w:t>ś</w:t>
      </w:r>
      <w:r w:rsidRPr="00D1163A">
        <w:rPr>
          <w:rFonts w:ascii="Lato" w:hAnsi="Lato"/>
          <w:szCs w:val="24"/>
        </w:rPr>
        <w:t>cia do systemu przesy</w:t>
      </w:r>
      <w:r w:rsidRPr="00D1163A">
        <w:rPr>
          <w:rFonts w:ascii="Lato" w:hAnsi="Lato" w:cs="Malgun Gothic"/>
          <w:szCs w:val="24"/>
        </w:rPr>
        <w:t>ł</w:t>
      </w:r>
      <w:r w:rsidRPr="00D1163A">
        <w:rPr>
          <w:rFonts w:ascii="Lato" w:hAnsi="Lato"/>
          <w:szCs w:val="24"/>
        </w:rPr>
        <w:t>owego systematycznie rosn</w:t>
      </w:r>
      <w:r w:rsidRPr="00D1163A">
        <w:rPr>
          <w:rFonts w:ascii="Lato" w:hAnsi="Lato" w:cs="Calibri"/>
          <w:szCs w:val="24"/>
        </w:rPr>
        <w:t>ą</w:t>
      </w:r>
      <w:r w:rsidRPr="00D1163A">
        <w:rPr>
          <w:rFonts w:ascii="Lato" w:hAnsi="Lato"/>
          <w:szCs w:val="24"/>
        </w:rPr>
        <w:t xml:space="preserve"> i</w:t>
      </w:r>
      <w:r w:rsidR="000E780A">
        <w:rPr>
          <w:rFonts w:ascii="Lato" w:hAnsi="Lato"/>
          <w:szCs w:val="24"/>
        </w:rPr>
        <w:t xml:space="preserve"> </w:t>
      </w:r>
      <w:r w:rsidRPr="00D1163A">
        <w:rPr>
          <w:rFonts w:ascii="Lato" w:hAnsi="Lato"/>
          <w:szCs w:val="24"/>
        </w:rPr>
        <w:t>kształtuj</w:t>
      </w:r>
      <w:r w:rsidRPr="00D1163A">
        <w:rPr>
          <w:rFonts w:ascii="Lato" w:hAnsi="Lato" w:cs="Calibri"/>
          <w:szCs w:val="24"/>
        </w:rPr>
        <w:t>ą</w:t>
      </w:r>
      <w:r w:rsidRPr="00D1163A">
        <w:rPr>
          <w:rFonts w:ascii="Lato" w:hAnsi="Lato"/>
          <w:szCs w:val="24"/>
        </w:rPr>
        <w:t xml:space="preserve"> si</w:t>
      </w:r>
      <w:r w:rsidRPr="00D1163A">
        <w:rPr>
          <w:rFonts w:ascii="Lato" w:hAnsi="Lato" w:cs="Calibri"/>
          <w:szCs w:val="24"/>
        </w:rPr>
        <w:t>ę</w:t>
      </w:r>
      <w:r w:rsidRPr="00D1163A">
        <w:rPr>
          <w:rFonts w:ascii="Lato" w:hAnsi="Lato"/>
          <w:szCs w:val="24"/>
        </w:rPr>
        <w:t xml:space="preserve"> na poziomie przekraczaj</w:t>
      </w:r>
      <w:r w:rsidRPr="00D1163A">
        <w:rPr>
          <w:rFonts w:ascii="Lato" w:hAnsi="Lato" w:cs="Calibri"/>
          <w:szCs w:val="24"/>
        </w:rPr>
        <w:t>ą</w:t>
      </w:r>
      <w:r w:rsidRPr="00D1163A">
        <w:rPr>
          <w:rFonts w:ascii="Lato" w:hAnsi="Lato"/>
          <w:szCs w:val="24"/>
        </w:rPr>
        <w:t xml:space="preserve">cym </w:t>
      </w:r>
      <w:r w:rsidR="00403217" w:rsidRPr="00D1163A">
        <w:rPr>
          <w:rFonts w:ascii="Lato" w:hAnsi="Lato"/>
          <w:szCs w:val="24"/>
        </w:rPr>
        <w:t xml:space="preserve">171 </w:t>
      </w:r>
      <w:r w:rsidRPr="00D1163A">
        <w:rPr>
          <w:rFonts w:ascii="Lato" w:hAnsi="Lato"/>
          <w:szCs w:val="24"/>
        </w:rPr>
        <w:t>mln m</w:t>
      </w:r>
      <w:r w:rsidRPr="00D1163A">
        <w:rPr>
          <w:rFonts w:ascii="Lato" w:hAnsi="Lato"/>
          <w:szCs w:val="24"/>
          <w:vertAlign w:val="superscript"/>
        </w:rPr>
        <w:t>3</w:t>
      </w:r>
      <w:r w:rsidRPr="00D1163A">
        <w:rPr>
          <w:rFonts w:ascii="Lato" w:hAnsi="Lato"/>
          <w:szCs w:val="24"/>
        </w:rPr>
        <w:t>/dob</w:t>
      </w:r>
      <w:r w:rsidRPr="00D1163A">
        <w:rPr>
          <w:rFonts w:ascii="Lato" w:hAnsi="Lato" w:cs="Calibri"/>
          <w:szCs w:val="24"/>
        </w:rPr>
        <w:t>ę</w:t>
      </w:r>
      <w:r w:rsidRPr="00D1163A">
        <w:rPr>
          <w:rFonts w:ascii="Lato" w:hAnsi="Lato"/>
          <w:szCs w:val="24"/>
        </w:rPr>
        <w:t xml:space="preserve"> (1 </w:t>
      </w:r>
      <w:r w:rsidR="00BF1DF1" w:rsidRPr="00D1163A">
        <w:rPr>
          <w:rFonts w:ascii="Lato" w:hAnsi="Lato"/>
          <w:szCs w:val="24"/>
        </w:rPr>
        <w:t>945</w:t>
      </w:r>
      <w:r w:rsidRPr="00D1163A">
        <w:rPr>
          <w:rFonts w:ascii="Lato" w:hAnsi="Lato"/>
          <w:szCs w:val="24"/>
        </w:rPr>
        <w:t xml:space="preserve"> GWh/dob</w:t>
      </w:r>
      <w:r w:rsidRPr="00D1163A">
        <w:rPr>
          <w:rFonts w:ascii="Lato" w:hAnsi="Lato" w:cs="Calibri"/>
          <w:szCs w:val="24"/>
        </w:rPr>
        <w:t>ę</w:t>
      </w:r>
      <w:r w:rsidRPr="00D1163A">
        <w:rPr>
          <w:rFonts w:ascii="Lato" w:hAnsi="Lato"/>
          <w:szCs w:val="24"/>
        </w:rPr>
        <w:t>), przy zało</w:t>
      </w:r>
      <w:r w:rsidRPr="00D1163A">
        <w:rPr>
          <w:rFonts w:ascii="Lato" w:hAnsi="Lato" w:cs="Calibri"/>
          <w:szCs w:val="24"/>
        </w:rPr>
        <w:t>ż</w:t>
      </w:r>
      <w:r w:rsidRPr="00D1163A">
        <w:rPr>
          <w:rFonts w:ascii="Lato" w:hAnsi="Lato"/>
          <w:szCs w:val="24"/>
        </w:rPr>
        <w:t>eniu maksymalnych dost</w:t>
      </w:r>
      <w:r w:rsidRPr="00D1163A">
        <w:rPr>
          <w:rFonts w:ascii="Lato" w:hAnsi="Lato" w:cs="Calibri"/>
          <w:szCs w:val="24"/>
        </w:rPr>
        <w:t>ę</w:t>
      </w:r>
      <w:r w:rsidRPr="00D1163A">
        <w:rPr>
          <w:rFonts w:ascii="Lato" w:hAnsi="Lato"/>
          <w:szCs w:val="24"/>
        </w:rPr>
        <w:t>pnych zdolno</w:t>
      </w:r>
      <w:r w:rsidRPr="00D1163A">
        <w:rPr>
          <w:rFonts w:ascii="Lato" w:hAnsi="Lato" w:cs="Calibri"/>
          <w:szCs w:val="24"/>
        </w:rPr>
        <w:t>ś</w:t>
      </w:r>
      <w:r w:rsidRPr="00D1163A">
        <w:rPr>
          <w:rFonts w:ascii="Lato" w:hAnsi="Lato"/>
          <w:szCs w:val="24"/>
        </w:rPr>
        <w:t>ci odbioru na punktach wej</w:t>
      </w:r>
      <w:r w:rsidRPr="00D1163A">
        <w:rPr>
          <w:rFonts w:ascii="Lato" w:hAnsi="Lato" w:cs="Calibri"/>
          <w:szCs w:val="24"/>
        </w:rPr>
        <w:t>ś</w:t>
      </w:r>
      <w:r w:rsidRPr="00D1163A">
        <w:rPr>
          <w:rFonts w:ascii="Lato" w:hAnsi="Lato"/>
          <w:szCs w:val="24"/>
        </w:rPr>
        <w:t>cia z importu, dostaw wewn</w:t>
      </w:r>
      <w:r w:rsidRPr="00D1163A">
        <w:rPr>
          <w:rFonts w:ascii="Lato" w:hAnsi="Lato" w:cs="Calibri"/>
          <w:szCs w:val="24"/>
        </w:rPr>
        <w:t>ą</w:t>
      </w:r>
      <w:r w:rsidRPr="00D1163A">
        <w:rPr>
          <w:rFonts w:ascii="Lato" w:hAnsi="Lato"/>
          <w:szCs w:val="24"/>
        </w:rPr>
        <w:t>trzwsp</w:t>
      </w:r>
      <w:r w:rsidRPr="00D1163A">
        <w:rPr>
          <w:rFonts w:ascii="Lato" w:hAnsi="Lato" w:cs="Malgun Gothic"/>
          <w:szCs w:val="24"/>
        </w:rPr>
        <w:t>ó</w:t>
      </w:r>
      <w:r w:rsidRPr="00D1163A">
        <w:rPr>
          <w:rFonts w:ascii="Lato" w:hAnsi="Lato"/>
          <w:szCs w:val="24"/>
        </w:rPr>
        <w:t>lnotowych, terminalu LNG i z PMG, tj. mocy odbioru na pocz</w:t>
      </w:r>
      <w:r w:rsidRPr="00D1163A">
        <w:rPr>
          <w:rFonts w:ascii="Lato" w:hAnsi="Lato" w:cs="Calibri"/>
          <w:szCs w:val="24"/>
        </w:rPr>
        <w:t>ą</w:t>
      </w:r>
      <w:r w:rsidRPr="00D1163A">
        <w:rPr>
          <w:rFonts w:ascii="Lato" w:hAnsi="Lato"/>
          <w:szCs w:val="24"/>
        </w:rPr>
        <w:t>tku cyklu odbioru gazu ziemnego z magazynów (na pocz</w:t>
      </w:r>
      <w:r w:rsidRPr="00D1163A">
        <w:rPr>
          <w:rFonts w:ascii="Lato" w:hAnsi="Lato" w:cs="Calibri"/>
          <w:szCs w:val="24"/>
        </w:rPr>
        <w:t>ą</w:t>
      </w:r>
      <w:r w:rsidRPr="00D1163A">
        <w:rPr>
          <w:rFonts w:ascii="Lato" w:hAnsi="Lato"/>
          <w:szCs w:val="24"/>
        </w:rPr>
        <w:t>tku charakterystyki). W analizie scenariuszy zało</w:t>
      </w:r>
      <w:r w:rsidRPr="00D1163A">
        <w:rPr>
          <w:rFonts w:ascii="Lato" w:hAnsi="Lato" w:cs="Calibri"/>
          <w:szCs w:val="24"/>
        </w:rPr>
        <w:t>ż</w:t>
      </w:r>
      <w:r w:rsidRPr="00D1163A">
        <w:rPr>
          <w:rFonts w:ascii="Lato" w:hAnsi="Lato"/>
          <w:szCs w:val="24"/>
        </w:rPr>
        <w:t>ono mo</w:t>
      </w:r>
      <w:r w:rsidRPr="00D1163A">
        <w:rPr>
          <w:rFonts w:ascii="Lato" w:hAnsi="Lato" w:cs="Calibri"/>
          <w:szCs w:val="24"/>
        </w:rPr>
        <w:t>ż</w:t>
      </w:r>
      <w:r w:rsidRPr="00D1163A">
        <w:rPr>
          <w:rFonts w:ascii="Lato" w:hAnsi="Lato"/>
          <w:szCs w:val="24"/>
        </w:rPr>
        <w:t>liwo</w:t>
      </w:r>
      <w:r w:rsidRPr="00D1163A">
        <w:rPr>
          <w:rFonts w:ascii="Lato" w:hAnsi="Lato" w:cs="Calibri"/>
          <w:szCs w:val="24"/>
        </w:rPr>
        <w:t>ść</w:t>
      </w:r>
      <w:r w:rsidRPr="00D1163A">
        <w:rPr>
          <w:rFonts w:ascii="Lato" w:hAnsi="Lato"/>
          <w:szCs w:val="24"/>
        </w:rPr>
        <w:t xml:space="preserve"> pracy po</w:t>
      </w:r>
      <w:r w:rsidRPr="00D1163A">
        <w:rPr>
          <w:rFonts w:ascii="Lato" w:hAnsi="Lato" w:cs="Malgun Gothic"/>
          <w:szCs w:val="24"/>
        </w:rPr>
        <w:t>ł</w:t>
      </w:r>
      <w:r w:rsidRPr="00D1163A">
        <w:rPr>
          <w:rFonts w:ascii="Lato" w:hAnsi="Lato" w:cs="Calibri"/>
          <w:szCs w:val="24"/>
        </w:rPr>
        <w:t>ą</w:t>
      </w:r>
      <w:r w:rsidRPr="00D1163A">
        <w:rPr>
          <w:rFonts w:ascii="Lato" w:hAnsi="Lato"/>
          <w:szCs w:val="24"/>
        </w:rPr>
        <w:t>cze</w:t>
      </w:r>
      <w:r w:rsidRPr="00D1163A">
        <w:rPr>
          <w:rFonts w:ascii="Lato" w:hAnsi="Lato" w:cs="Calibri"/>
          <w:szCs w:val="24"/>
        </w:rPr>
        <w:t>ń</w:t>
      </w:r>
      <w:r w:rsidRPr="00D1163A">
        <w:rPr>
          <w:rFonts w:ascii="Lato" w:hAnsi="Lato"/>
          <w:szCs w:val="24"/>
        </w:rPr>
        <w:t xml:space="preserve"> mi</w:t>
      </w:r>
      <w:r w:rsidRPr="00D1163A">
        <w:rPr>
          <w:rFonts w:ascii="Lato" w:hAnsi="Lato" w:cs="Calibri"/>
          <w:szCs w:val="24"/>
        </w:rPr>
        <w:t>ę</w:t>
      </w:r>
      <w:r w:rsidRPr="00D1163A">
        <w:rPr>
          <w:rFonts w:ascii="Lato" w:hAnsi="Lato"/>
          <w:szCs w:val="24"/>
        </w:rPr>
        <w:t>dzysystemowych do poziomu ich zdolno</w:t>
      </w:r>
      <w:r w:rsidRPr="00D1163A">
        <w:rPr>
          <w:rFonts w:ascii="Lato" w:hAnsi="Lato" w:cs="Calibri"/>
          <w:szCs w:val="24"/>
        </w:rPr>
        <w:t>ś</w:t>
      </w:r>
      <w:r w:rsidRPr="00D1163A">
        <w:rPr>
          <w:rFonts w:ascii="Lato" w:hAnsi="Lato"/>
          <w:szCs w:val="24"/>
        </w:rPr>
        <w:t>ci technicznych.</w:t>
      </w:r>
      <w:r w:rsidR="002223E5">
        <w:rPr>
          <w:rFonts w:ascii="Lato" w:hAnsi="Lato"/>
          <w:szCs w:val="24"/>
        </w:rPr>
        <w:t xml:space="preserve"> </w:t>
      </w:r>
      <w:r w:rsidRPr="00D1163A">
        <w:rPr>
          <w:rFonts w:ascii="Lato" w:hAnsi="Lato"/>
          <w:szCs w:val="24"/>
        </w:rPr>
        <w:t xml:space="preserve">Analizy rozpływów gazu ziemnego zostały przeprowadzone </w:t>
      </w:r>
      <w:r w:rsidR="00ED3E12" w:rsidRPr="00D1163A">
        <w:rPr>
          <w:rFonts w:ascii="Lato" w:hAnsi="Lato"/>
          <w:szCs w:val="24"/>
        </w:rPr>
        <w:t>zarówno dla scenariuszy zakłóceń w dostawach gazu ziemnego na punktach wejścia do systemu przesyłowego</w:t>
      </w:r>
      <w:r w:rsidR="002223E5">
        <w:rPr>
          <w:rFonts w:ascii="Lato" w:hAnsi="Lato"/>
          <w:szCs w:val="24"/>
        </w:rPr>
        <w:t>,</w:t>
      </w:r>
      <w:r w:rsidR="00ED3E12" w:rsidRPr="00D1163A">
        <w:rPr>
          <w:rFonts w:ascii="Lato" w:hAnsi="Lato"/>
          <w:szCs w:val="24"/>
        </w:rPr>
        <w:t xml:space="preserve"> jak</w:t>
      </w:r>
      <w:r w:rsidR="00416956" w:rsidRPr="00D1163A">
        <w:rPr>
          <w:rFonts w:ascii="Lato" w:hAnsi="Lato"/>
          <w:szCs w:val="24"/>
        </w:rPr>
        <w:t xml:space="preserve"> i dla scenariuszy awarii głównych obiektów infrastruktury.</w:t>
      </w:r>
      <w:r w:rsidR="00ED3E12" w:rsidRPr="00D1163A">
        <w:rPr>
          <w:rFonts w:ascii="Lato" w:hAnsi="Lato"/>
          <w:szCs w:val="24"/>
        </w:rPr>
        <w:t xml:space="preserve"> </w:t>
      </w:r>
      <w:r w:rsidR="00296B2B" w:rsidRPr="00D1163A">
        <w:rPr>
          <w:rFonts w:ascii="Lato" w:eastAsia="Malgun Gothic" w:hAnsi="Lato"/>
          <w:szCs w:val="24"/>
        </w:rPr>
        <w:t>Szczegółowe w</w:t>
      </w:r>
      <w:r w:rsidRPr="00D1163A">
        <w:rPr>
          <w:rFonts w:ascii="Lato" w:eastAsia="Malgun Gothic" w:hAnsi="Lato"/>
          <w:szCs w:val="24"/>
        </w:rPr>
        <w:t xml:space="preserve">yniki analiz </w:t>
      </w:r>
      <w:r w:rsidR="00F456C5" w:rsidRPr="00D1163A">
        <w:rPr>
          <w:rFonts w:ascii="Lato" w:eastAsia="Malgun Gothic" w:hAnsi="Lato"/>
          <w:szCs w:val="24"/>
        </w:rPr>
        <w:t xml:space="preserve">zostały </w:t>
      </w:r>
      <w:r w:rsidR="006E320C" w:rsidRPr="00D1163A">
        <w:rPr>
          <w:rFonts w:ascii="Lato" w:eastAsia="Malgun Gothic" w:hAnsi="Lato"/>
          <w:szCs w:val="24"/>
        </w:rPr>
        <w:t xml:space="preserve">określone w </w:t>
      </w:r>
      <w:r w:rsidR="009719EA" w:rsidRPr="002223E5">
        <w:rPr>
          <w:rFonts w:ascii="Lato" w:eastAsia="Malgun Gothic" w:hAnsi="Lato"/>
          <w:i/>
          <w:iCs/>
          <w:szCs w:val="24"/>
        </w:rPr>
        <w:t>Ocenie ryzyka</w:t>
      </w:r>
      <w:r w:rsidR="009719EA" w:rsidRPr="00D1163A">
        <w:rPr>
          <w:rFonts w:ascii="Lato" w:eastAsia="Malgun Gothic" w:hAnsi="Lato"/>
          <w:szCs w:val="24"/>
        </w:rPr>
        <w:t xml:space="preserve"> </w:t>
      </w:r>
      <w:r w:rsidR="009719EA" w:rsidRPr="002223E5">
        <w:rPr>
          <w:rFonts w:ascii="Lato" w:eastAsia="Malgun Gothic" w:hAnsi="Lato"/>
          <w:i/>
          <w:iCs/>
          <w:szCs w:val="24"/>
        </w:rPr>
        <w:t>związanego z bezpieczeństwem dostaw gazu ziemnego</w:t>
      </w:r>
      <w:r w:rsidR="000E780A" w:rsidRPr="002223E5">
        <w:rPr>
          <w:rFonts w:ascii="Lato" w:eastAsia="Malgun Gothic" w:hAnsi="Lato"/>
          <w:i/>
          <w:iCs/>
          <w:szCs w:val="24"/>
        </w:rPr>
        <w:t xml:space="preserve"> do Polski</w:t>
      </w:r>
      <w:r w:rsidR="000E780A">
        <w:rPr>
          <w:rFonts w:ascii="Lato" w:eastAsia="Malgun Gothic" w:hAnsi="Lato"/>
          <w:szCs w:val="24"/>
        </w:rPr>
        <w:t>.</w:t>
      </w:r>
      <w:r w:rsidR="009719EA" w:rsidRPr="00D1163A">
        <w:rPr>
          <w:rFonts w:ascii="Lato" w:eastAsia="Malgun Gothic" w:hAnsi="Lato"/>
          <w:szCs w:val="24"/>
        </w:rPr>
        <w:t xml:space="preserve"> </w:t>
      </w:r>
    </w:p>
    <w:p w14:paraId="17486620" w14:textId="05A430C0" w:rsidR="00B03DBA" w:rsidRPr="002223E5" w:rsidRDefault="000E780A" w:rsidP="002223E5">
      <w:pPr>
        <w:spacing w:line="276" w:lineRule="auto"/>
        <w:ind w:firstLine="709"/>
        <w:contextualSpacing/>
        <w:rPr>
          <w:rFonts w:ascii="Lato" w:hAnsi="Lato"/>
          <w:szCs w:val="24"/>
        </w:rPr>
      </w:pPr>
      <w:r w:rsidRPr="002223E5">
        <w:rPr>
          <w:rFonts w:ascii="Lato" w:hAnsi="Lato"/>
        </w:rPr>
        <w:t>Po zakończeniu</w:t>
      </w:r>
      <w:r>
        <w:rPr>
          <w:rFonts w:ascii="Lato" w:eastAsia="Malgun Gothic" w:hAnsi="Lato"/>
          <w:szCs w:val="24"/>
        </w:rPr>
        <w:t xml:space="preserve"> inwestycji w ramach programu Batic Pipe </w:t>
      </w:r>
      <w:r w:rsidRPr="000E780A">
        <w:rPr>
          <w:rFonts w:ascii="Lato" w:eastAsia="Malgun Gothic" w:hAnsi="Lato"/>
          <w:szCs w:val="24"/>
        </w:rPr>
        <w:t>(</w:t>
      </w:r>
      <w:r w:rsidR="00F46D86">
        <w:rPr>
          <w:rFonts w:ascii="Lato" w:eastAsia="Malgun Gothic" w:hAnsi="Lato"/>
          <w:szCs w:val="24"/>
        </w:rPr>
        <w:t xml:space="preserve">październik </w:t>
      </w:r>
      <w:r w:rsidRPr="000E780A">
        <w:rPr>
          <w:rFonts w:ascii="Lato" w:eastAsia="Malgun Gothic" w:hAnsi="Lato"/>
          <w:szCs w:val="24"/>
        </w:rPr>
        <w:t>2022</w:t>
      </w:r>
      <w:r w:rsidR="00F46D86">
        <w:rPr>
          <w:rFonts w:ascii="Lato" w:eastAsia="Malgun Gothic" w:hAnsi="Lato"/>
          <w:szCs w:val="24"/>
        </w:rPr>
        <w:t xml:space="preserve"> r.</w:t>
      </w:r>
      <w:r w:rsidRPr="000E780A">
        <w:rPr>
          <w:rFonts w:ascii="Lato" w:eastAsia="Malgun Gothic" w:hAnsi="Lato"/>
          <w:szCs w:val="24"/>
        </w:rPr>
        <w:t>) polski system przesyłowy stał się całkowicie odporny na zakłócenie dostaw gazu przez punkty wejścia na granicy wschodniej</w:t>
      </w:r>
      <w:r w:rsidR="00F46D86">
        <w:rPr>
          <w:rFonts w:ascii="Lato" w:eastAsia="Malgun Gothic" w:hAnsi="Lato"/>
          <w:szCs w:val="24"/>
        </w:rPr>
        <w:t>.</w:t>
      </w:r>
      <w:r>
        <w:rPr>
          <w:rFonts w:ascii="Lato" w:eastAsia="Malgun Gothic" w:hAnsi="Lato"/>
          <w:szCs w:val="24"/>
        </w:rPr>
        <w:t xml:space="preserve"> </w:t>
      </w:r>
    </w:p>
    <w:p w14:paraId="33D76811" w14:textId="233BBACE" w:rsidR="00660392" w:rsidRPr="00C758B1" w:rsidRDefault="00E92BEB" w:rsidP="00983C18">
      <w:pPr>
        <w:spacing w:line="276" w:lineRule="auto"/>
        <w:jc w:val="left"/>
        <w:rPr>
          <w:rFonts w:ascii="Lato" w:eastAsiaTheme="majorEastAsia" w:hAnsi="Lato" w:cstheme="majorBidi"/>
          <w:b/>
          <w:sz w:val="32"/>
          <w:szCs w:val="32"/>
        </w:rPr>
      </w:pPr>
      <w:r>
        <w:rPr>
          <w:rFonts w:ascii="Lato" w:eastAsia="Malgun Gothic" w:hAnsi="Lato"/>
          <w:szCs w:val="24"/>
        </w:rPr>
        <w:br w:type="page"/>
      </w:r>
      <w:bookmarkStart w:id="142" w:name="_Toc12953910"/>
    </w:p>
    <w:p w14:paraId="5FE08D1B" w14:textId="739EF2D9" w:rsidR="00B03DBA" w:rsidRPr="004D6A74" w:rsidRDefault="00C7771E" w:rsidP="002223E5">
      <w:pPr>
        <w:pStyle w:val="Rozdzia1"/>
        <w:rPr>
          <w:rFonts w:ascii="Lato" w:hAnsi="Lato"/>
          <w:sz w:val="28"/>
          <w:szCs w:val="28"/>
        </w:rPr>
      </w:pPr>
      <w:bookmarkStart w:id="143" w:name="_Toc19782943"/>
      <w:bookmarkStart w:id="144" w:name="_Toc142469568"/>
      <w:r w:rsidRPr="004D6A74">
        <w:rPr>
          <w:rFonts w:ascii="Lato" w:hAnsi="Lato"/>
          <w:sz w:val="28"/>
          <w:szCs w:val="28"/>
        </w:rPr>
        <w:lastRenderedPageBreak/>
        <w:t>Standard w zakresie infrastruktury</w:t>
      </w:r>
      <w:bookmarkEnd w:id="142"/>
      <w:bookmarkEnd w:id="143"/>
      <w:bookmarkEnd w:id="144"/>
      <w:r w:rsidRPr="004D6A74">
        <w:rPr>
          <w:rFonts w:ascii="Lato" w:hAnsi="Lato"/>
          <w:sz w:val="28"/>
          <w:szCs w:val="28"/>
        </w:rPr>
        <w:t xml:space="preserve"> </w:t>
      </w:r>
    </w:p>
    <w:p w14:paraId="449232E1" w14:textId="124D959C" w:rsidR="00B03DBA" w:rsidRPr="00D1163A" w:rsidRDefault="00C7771E" w:rsidP="002223E5">
      <w:pPr>
        <w:spacing w:line="276" w:lineRule="auto"/>
        <w:contextualSpacing/>
        <w:rPr>
          <w:rFonts w:ascii="Lato" w:hAnsi="Lato"/>
        </w:rPr>
      </w:pPr>
      <w:r w:rsidRPr="00C758B1">
        <w:tab/>
      </w:r>
      <w:r w:rsidR="00D34078">
        <w:rPr>
          <w:rFonts w:ascii="Lato" w:hAnsi="Lato"/>
        </w:rPr>
        <w:t>W</w:t>
      </w:r>
      <w:r w:rsidRPr="00D1163A">
        <w:rPr>
          <w:rFonts w:ascii="Lato" w:hAnsi="Lato"/>
        </w:rPr>
        <w:t>skaźnik N-1 opisuje zdolno</w:t>
      </w:r>
      <w:r w:rsidRPr="00D1163A">
        <w:rPr>
          <w:rFonts w:ascii="Lato" w:hAnsi="Lato" w:cs="Calibri"/>
        </w:rPr>
        <w:t>ść</w:t>
      </w:r>
      <w:r w:rsidRPr="00D1163A">
        <w:rPr>
          <w:rFonts w:ascii="Lato" w:hAnsi="Lato"/>
        </w:rPr>
        <w:t xml:space="preserve"> techniczn</w:t>
      </w:r>
      <w:r w:rsidRPr="00D1163A">
        <w:rPr>
          <w:rFonts w:ascii="Lato" w:hAnsi="Lato" w:cs="Calibri"/>
        </w:rPr>
        <w:t>ą</w:t>
      </w:r>
      <w:r w:rsidRPr="00D1163A">
        <w:rPr>
          <w:rFonts w:ascii="Lato" w:hAnsi="Lato"/>
        </w:rPr>
        <w:t xml:space="preserve"> infrastruktury gazowej do zaspokojenia ca</w:t>
      </w:r>
      <w:r w:rsidRPr="00D1163A">
        <w:rPr>
          <w:rFonts w:ascii="Lato" w:hAnsi="Lato" w:cs="Malgun Gothic"/>
        </w:rPr>
        <w:t>ł</w:t>
      </w:r>
      <w:r w:rsidRPr="00D1163A">
        <w:rPr>
          <w:rFonts w:ascii="Lato" w:hAnsi="Lato"/>
        </w:rPr>
        <w:t>kowitego zapotrzebowania na gaz ziemny</w:t>
      </w:r>
      <w:r w:rsidR="6B337897" w:rsidRPr="00D1163A">
        <w:rPr>
          <w:rFonts w:ascii="Lato" w:hAnsi="Lato"/>
        </w:rPr>
        <w:t>,</w:t>
      </w:r>
      <w:r w:rsidRPr="00D1163A">
        <w:rPr>
          <w:rFonts w:ascii="Lato" w:hAnsi="Lato"/>
        </w:rPr>
        <w:t xml:space="preserve"> na obszarze analizowanym w przypadku zakłóce</w:t>
      </w:r>
      <w:r w:rsidRPr="00D1163A">
        <w:rPr>
          <w:rFonts w:ascii="Lato" w:hAnsi="Lato" w:cs="Calibri"/>
        </w:rPr>
        <w:t>ń</w:t>
      </w:r>
      <w:r w:rsidR="00A02065">
        <w:rPr>
          <w:rFonts w:ascii="Lato" w:hAnsi="Lato"/>
        </w:rPr>
        <w:t xml:space="preserve"> w </w:t>
      </w:r>
      <w:r w:rsidRPr="00D1163A">
        <w:rPr>
          <w:rFonts w:ascii="Lato" w:hAnsi="Lato"/>
        </w:rPr>
        <w:t>funkcjonowaniu pojedynczej najwi</w:t>
      </w:r>
      <w:r w:rsidRPr="00D1163A">
        <w:rPr>
          <w:rFonts w:ascii="Lato" w:hAnsi="Lato" w:cs="Calibri"/>
        </w:rPr>
        <w:t>ę</w:t>
      </w:r>
      <w:r w:rsidRPr="00D1163A">
        <w:rPr>
          <w:rFonts w:ascii="Lato" w:hAnsi="Lato"/>
        </w:rPr>
        <w:t>kszej infrastruktury gazowej w</w:t>
      </w:r>
      <w:r w:rsidR="00B70265">
        <w:rPr>
          <w:rFonts w:ascii="Lato" w:hAnsi="Lato"/>
        </w:rPr>
        <w:t xml:space="preserve"> </w:t>
      </w:r>
      <w:r w:rsidRPr="00D1163A">
        <w:rPr>
          <w:rFonts w:ascii="Lato" w:hAnsi="Lato"/>
        </w:rPr>
        <w:t>dniu nadzwyczajnie wysokiego zapotrzebowania,</w:t>
      </w:r>
      <w:r w:rsidR="00A02065">
        <w:rPr>
          <w:rFonts w:ascii="Lato" w:hAnsi="Lato"/>
        </w:rPr>
        <w:t xml:space="preserve"> </w:t>
      </w:r>
      <w:r w:rsidRPr="00D1163A">
        <w:rPr>
          <w:rFonts w:ascii="Lato" w:hAnsi="Lato"/>
        </w:rPr>
        <w:t>wyst</w:t>
      </w:r>
      <w:r w:rsidRPr="00D1163A">
        <w:rPr>
          <w:rFonts w:ascii="Lato" w:hAnsi="Lato" w:cs="Calibri"/>
        </w:rPr>
        <w:t>ę</w:t>
      </w:r>
      <w:r w:rsidRPr="00D1163A">
        <w:rPr>
          <w:rFonts w:ascii="Lato" w:hAnsi="Lato"/>
        </w:rPr>
        <w:t>puj</w:t>
      </w:r>
      <w:r w:rsidRPr="00D1163A">
        <w:rPr>
          <w:rFonts w:ascii="Lato" w:hAnsi="Lato" w:cs="Calibri"/>
        </w:rPr>
        <w:t>ą</w:t>
      </w:r>
      <w:r w:rsidRPr="00D1163A">
        <w:rPr>
          <w:rFonts w:ascii="Lato" w:hAnsi="Lato"/>
        </w:rPr>
        <w:t>cym statystycznie raz na 20 lat.</w:t>
      </w:r>
    </w:p>
    <w:p w14:paraId="37B6B50F" w14:textId="77777777" w:rsidR="00B03DBA" w:rsidRPr="00D1163A" w:rsidRDefault="00C7771E" w:rsidP="002223E5">
      <w:pPr>
        <w:spacing w:line="276" w:lineRule="auto"/>
        <w:contextualSpacing/>
        <w:rPr>
          <w:rFonts w:ascii="Lato" w:hAnsi="Lato"/>
        </w:rPr>
      </w:pPr>
      <w:r w:rsidRPr="00D1163A">
        <w:rPr>
          <w:rFonts w:ascii="Lato" w:hAnsi="Lato"/>
        </w:rPr>
        <w:tab/>
        <w:t>Infrastruktura gazowa obejmuje sie</w:t>
      </w:r>
      <w:r w:rsidRPr="00D1163A">
        <w:rPr>
          <w:rFonts w:ascii="Lato" w:hAnsi="Lato" w:cs="Calibri"/>
        </w:rPr>
        <w:t>ć</w:t>
      </w:r>
      <w:r w:rsidRPr="00D1163A">
        <w:rPr>
          <w:rFonts w:ascii="Lato" w:hAnsi="Lato"/>
        </w:rPr>
        <w:t xml:space="preserve"> przesy</w:t>
      </w:r>
      <w:r w:rsidRPr="00D1163A">
        <w:rPr>
          <w:rFonts w:ascii="Lato" w:hAnsi="Lato" w:cs="Malgun Gothic"/>
        </w:rPr>
        <w:t>ł</w:t>
      </w:r>
      <w:r w:rsidRPr="00D1163A">
        <w:rPr>
          <w:rFonts w:ascii="Lato" w:hAnsi="Lato"/>
        </w:rPr>
        <w:t>ow</w:t>
      </w:r>
      <w:r w:rsidRPr="00D1163A">
        <w:rPr>
          <w:rFonts w:ascii="Lato" w:hAnsi="Lato" w:cs="Calibri"/>
        </w:rPr>
        <w:t>ą</w:t>
      </w:r>
      <w:r w:rsidRPr="00D1163A">
        <w:rPr>
          <w:rFonts w:ascii="Lato" w:hAnsi="Lato"/>
        </w:rPr>
        <w:t xml:space="preserve"> gazu ziemnego, w tym poł</w:t>
      </w:r>
      <w:r w:rsidRPr="00D1163A">
        <w:rPr>
          <w:rFonts w:ascii="Lato" w:hAnsi="Lato" w:cs="Calibri"/>
        </w:rPr>
        <w:t>ą</w:t>
      </w:r>
      <w:r w:rsidRPr="00D1163A">
        <w:rPr>
          <w:rFonts w:ascii="Lato" w:hAnsi="Lato"/>
        </w:rPr>
        <w:t>czenia wzajemne, jak r</w:t>
      </w:r>
      <w:r w:rsidRPr="00D1163A">
        <w:rPr>
          <w:rFonts w:ascii="Lato" w:hAnsi="Lato" w:cs="Malgun Gothic"/>
        </w:rPr>
        <w:t>ó</w:t>
      </w:r>
      <w:r w:rsidRPr="00D1163A">
        <w:rPr>
          <w:rFonts w:ascii="Lato" w:hAnsi="Lato"/>
        </w:rPr>
        <w:t>wnie</w:t>
      </w:r>
      <w:r w:rsidRPr="00D1163A">
        <w:rPr>
          <w:rFonts w:ascii="Lato" w:hAnsi="Lato" w:cs="Calibri"/>
        </w:rPr>
        <w:t>ż</w:t>
      </w:r>
      <w:r w:rsidRPr="00D1163A">
        <w:rPr>
          <w:rFonts w:ascii="Lato" w:hAnsi="Lato"/>
        </w:rPr>
        <w:t xml:space="preserve"> instalacje wykorzystywane do wydobycia gazu ziemnego, instalacje LNG i magazynowe połączone z systemem przesy</w:t>
      </w:r>
      <w:r w:rsidRPr="00D1163A">
        <w:rPr>
          <w:rFonts w:ascii="Lato" w:hAnsi="Lato" w:cs="Malgun Gothic"/>
        </w:rPr>
        <w:t>ł</w:t>
      </w:r>
      <w:r w:rsidRPr="00D1163A">
        <w:rPr>
          <w:rFonts w:ascii="Lato" w:hAnsi="Lato"/>
        </w:rPr>
        <w:t>owym na terenie analizowanego obszaru.</w:t>
      </w:r>
    </w:p>
    <w:p w14:paraId="774CD9B0" w14:textId="77777777" w:rsidR="00B03DBA" w:rsidRDefault="00C7771E" w:rsidP="00983C18">
      <w:pPr>
        <w:spacing w:line="276" w:lineRule="auto"/>
        <w:contextualSpacing/>
        <w:rPr>
          <w:rFonts w:ascii="Lato" w:hAnsi="Lato"/>
        </w:rPr>
      </w:pPr>
      <w:r w:rsidRPr="00D1163A">
        <w:rPr>
          <w:rFonts w:ascii="Lato" w:hAnsi="Lato"/>
        </w:rPr>
        <w:tab/>
        <w:t>Zdolno</w:t>
      </w:r>
      <w:r w:rsidRPr="00D1163A">
        <w:rPr>
          <w:rFonts w:ascii="Lato" w:hAnsi="Lato" w:cs="Calibri"/>
        </w:rPr>
        <w:t>ść</w:t>
      </w:r>
      <w:r w:rsidRPr="00D1163A">
        <w:rPr>
          <w:rFonts w:ascii="Lato" w:hAnsi="Lato"/>
        </w:rPr>
        <w:t xml:space="preserve"> techniczna ca</w:t>
      </w:r>
      <w:r w:rsidRPr="00D1163A">
        <w:rPr>
          <w:rFonts w:ascii="Lato" w:hAnsi="Lato" w:cs="Malgun Gothic"/>
        </w:rPr>
        <w:t>ł</w:t>
      </w:r>
      <w:r w:rsidRPr="00D1163A">
        <w:rPr>
          <w:rFonts w:ascii="Lato" w:hAnsi="Lato"/>
        </w:rPr>
        <w:t>ej pozosta</w:t>
      </w:r>
      <w:r w:rsidRPr="00D1163A">
        <w:rPr>
          <w:rFonts w:ascii="Lato" w:hAnsi="Lato" w:cs="Malgun Gothic"/>
        </w:rPr>
        <w:t>ł</w:t>
      </w:r>
      <w:r w:rsidRPr="00D1163A">
        <w:rPr>
          <w:rFonts w:ascii="Lato" w:hAnsi="Lato"/>
        </w:rPr>
        <w:t>ej dost</w:t>
      </w:r>
      <w:r w:rsidRPr="00D1163A">
        <w:rPr>
          <w:rFonts w:ascii="Lato" w:hAnsi="Lato" w:cs="Calibri"/>
        </w:rPr>
        <w:t>ę</w:t>
      </w:r>
      <w:r w:rsidRPr="00D1163A">
        <w:rPr>
          <w:rFonts w:ascii="Lato" w:hAnsi="Lato"/>
        </w:rPr>
        <w:t>pnej infrastruktury gazowej w przypadku zakłóce</w:t>
      </w:r>
      <w:r w:rsidRPr="00D1163A">
        <w:rPr>
          <w:rFonts w:ascii="Lato" w:hAnsi="Lato" w:cs="Calibri"/>
        </w:rPr>
        <w:t>ń</w:t>
      </w:r>
      <w:r w:rsidRPr="00D1163A">
        <w:rPr>
          <w:rFonts w:ascii="Lato" w:hAnsi="Lato"/>
        </w:rPr>
        <w:t xml:space="preserve"> w funkcjonowaniu pojedynczej najwi</w:t>
      </w:r>
      <w:r w:rsidRPr="00D1163A">
        <w:rPr>
          <w:rFonts w:ascii="Lato" w:hAnsi="Lato" w:cs="Calibri"/>
        </w:rPr>
        <w:t>ę</w:t>
      </w:r>
      <w:r w:rsidRPr="00D1163A">
        <w:rPr>
          <w:rFonts w:ascii="Lato" w:hAnsi="Lato"/>
        </w:rPr>
        <w:t>kszej infrastruktury gazowej powinna by</w:t>
      </w:r>
      <w:r w:rsidRPr="00D1163A">
        <w:rPr>
          <w:rFonts w:ascii="Lato" w:hAnsi="Lato" w:cs="Calibri"/>
        </w:rPr>
        <w:t>ć</w:t>
      </w:r>
      <w:r w:rsidRPr="00D1163A">
        <w:rPr>
          <w:rFonts w:ascii="Lato" w:hAnsi="Lato"/>
        </w:rPr>
        <w:t xml:space="preserve"> co najmniej r</w:t>
      </w:r>
      <w:r w:rsidRPr="00D1163A">
        <w:rPr>
          <w:rFonts w:ascii="Lato" w:hAnsi="Lato" w:cs="Malgun Gothic"/>
        </w:rPr>
        <w:t>ó</w:t>
      </w:r>
      <w:r w:rsidRPr="00D1163A">
        <w:rPr>
          <w:rFonts w:ascii="Lato" w:hAnsi="Lato"/>
        </w:rPr>
        <w:t>wna sumie ca</w:t>
      </w:r>
      <w:r w:rsidRPr="00D1163A">
        <w:rPr>
          <w:rFonts w:ascii="Lato" w:hAnsi="Lato" w:cs="Malgun Gothic"/>
        </w:rPr>
        <w:t>ł</w:t>
      </w:r>
      <w:r w:rsidRPr="00D1163A">
        <w:rPr>
          <w:rFonts w:ascii="Lato" w:hAnsi="Lato"/>
        </w:rPr>
        <w:t>kowitego dziennego zapotrzebowania na gaz na obszarze analizowanym w dniu nadzwyczajnie wysokiego zapotrzebowania na gaz, wyst</w:t>
      </w:r>
      <w:r w:rsidRPr="00D1163A">
        <w:rPr>
          <w:rFonts w:ascii="Lato" w:hAnsi="Lato" w:cs="Calibri"/>
        </w:rPr>
        <w:t>ę</w:t>
      </w:r>
      <w:r w:rsidRPr="00D1163A">
        <w:rPr>
          <w:rFonts w:ascii="Lato" w:hAnsi="Lato"/>
        </w:rPr>
        <w:t>puj</w:t>
      </w:r>
      <w:r w:rsidRPr="00D1163A">
        <w:rPr>
          <w:rFonts w:ascii="Lato" w:hAnsi="Lato" w:cs="Calibri"/>
        </w:rPr>
        <w:t>ą</w:t>
      </w:r>
      <w:r w:rsidRPr="00D1163A">
        <w:rPr>
          <w:rFonts w:ascii="Lato" w:hAnsi="Lato"/>
        </w:rPr>
        <w:t xml:space="preserve">cym statystycznie raz na 20 lat. </w:t>
      </w:r>
    </w:p>
    <w:p w14:paraId="31DF9033" w14:textId="77777777" w:rsidR="00F46D86" w:rsidRPr="00D1163A" w:rsidRDefault="00F46D86" w:rsidP="002223E5">
      <w:pPr>
        <w:spacing w:line="276" w:lineRule="auto"/>
        <w:contextualSpacing/>
        <w:rPr>
          <w:rFonts w:ascii="Lato" w:hAnsi="Lato"/>
        </w:rPr>
      </w:pPr>
    </w:p>
    <w:p w14:paraId="5A481B97" w14:textId="77777777" w:rsidR="00B03DBA" w:rsidRPr="00D1163A" w:rsidRDefault="00C7771E" w:rsidP="002223E5">
      <w:pPr>
        <w:spacing w:line="276" w:lineRule="auto"/>
        <w:rPr>
          <w:rFonts w:ascii="Lato" w:hAnsi="Lato"/>
        </w:rPr>
      </w:pPr>
      <w:r w:rsidRPr="00D1163A">
        <w:rPr>
          <w:rFonts w:ascii="Lato" w:hAnsi="Lato"/>
        </w:rPr>
        <w:t>Wzór N-1 przedstawia si</w:t>
      </w:r>
      <w:r w:rsidRPr="00D1163A">
        <w:rPr>
          <w:rFonts w:ascii="Lato" w:hAnsi="Lato" w:cs="Calibri"/>
        </w:rPr>
        <w:t>ę</w:t>
      </w:r>
      <w:r w:rsidRPr="00D1163A">
        <w:rPr>
          <w:rFonts w:ascii="Lato" w:hAnsi="Lato"/>
        </w:rPr>
        <w:t xml:space="preserve"> nast</w:t>
      </w:r>
      <w:r w:rsidRPr="00D1163A">
        <w:rPr>
          <w:rFonts w:ascii="Lato" w:hAnsi="Lato" w:cs="Calibri"/>
        </w:rPr>
        <w:t>ę</w:t>
      </w:r>
      <w:r w:rsidRPr="00D1163A">
        <w:rPr>
          <w:rFonts w:ascii="Lato" w:hAnsi="Lato"/>
        </w:rPr>
        <w:t>puj</w:t>
      </w:r>
      <w:r w:rsidRPr="00D1163A">
        <w:rPr>
          <w:rFonts w:ascii="Lato" w:hAnsi="Lato" w:cs="Calibri"/>
        </w:rPr>
        <w:t>ą</w:t>
      </w:r>
      <w:r w:rsidRPr="00D1163A">
        <w:rPr>
          <w:rFonts w:ascii="Lato" w:hAnsi="Lato"/>
        </w:rPr>
        <w:t>co:</w:t>
      </w:r>
    </w:p>
    <w:p w14:paraId="7DD88D29" w14:textId="77777777" w:rsidR="00B03DBA" w:rsidRPr="00C758B1" w:rsidRDefault="00C7771E" w:rsidP="002223E5">
      <w:pPr>
        <w:spacing w:after="0" w:line="276" w:lineRule="auto"/>
        <w:jc w:val="center"/>
        <w:rPr>
          <w:rFonts w:ascii="Lato" w:eastAsia="Malgun Gothic" w:hAnsi="Lato"/>
        </w:rPr>
      </w:pPr>
      <w:r w:rsidRPr="00C758B1">
        <w:rPr>
          <w:rFonts w:ascii="Lato" w:eastAsia="Malgun Gothic" w:hAnsi="Lato"/>
          <w:noProof/>
          <w:vertAlign w:val="subscript"/>
          <w:lang w:eastAsia="pl-PL"/>
        </w:rPr>
        <w:drawing>
          <wp:inline distT="0" distB="0" distL="0" distR="0" wp14:anchorId="4249B977" wp14:editId="3C9E8BFF">
            <wp:extent cx="5711792" cy="619125"/>
            <wp:effectExtent l="0" t="0" r="0" b="0"/>
            <wp:docPr id="1476" name="Obraz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754831" cy="623790"/>
                    </a:xfrm>
                    <a:prstGeom prst="rect">
                      <a:avLst/>
                    </a:prstGeom>
                    <a:noFill/>
                    <a:ln>
                      <a:noFill/>
                    </a:ln>
                  </pic:spPr>
                </pic:pic>
              </a:graphicData>
            </a:graphic>
          </wp:inline>
        </w:drawing>
      </w:r>
    </w:p>
    <w:p w14:paraId="77AC63F0" w14:textId="77777777" w:rsidR="00B03DBA" w:rsidRPr="00C758B1" w:rsidRDefault="00C7771E" w:rsidP="002223E5">
      <w:pPr>
        <w:spacing w:after="0" w:line="276" w:lineRule="auto"/>
        <w:rPr>
          <w:rFonts w:ascii="Lato" w:eastAsia="Malgun Gothic" w:hAnsi="Lato"/>
        </w:rPr>
      </w:pPr>
      <w:r w:rsidRPr="00C758B1">
        <w:rPr>
          <w:rFonts w:ascii="Lato" w:eastAsia="Malgun Gothic" w:hAnsi="Lato"/>
        </w:rPr>
        <w:t>gdzie:</w:t>
      </w:r>
    </w:p>
    <w:p w14:paraId="2B82ECBE" w14:textId="3D22204B" w:rsidR="00B03DBA" w:rsidRPr="00C758B1" w:rsidRDefault="00C7771E" w:rsidP="00983C18">
      <w:pPr>
        <w:spacing w:after="0" w:line="276" w:lineRule="auto"/>
        <w:ind w:left="993" w:hanging="993"/>
        <w:rPr>
          <w:rFonts w:ascii="Lato" w:eastAsia="Malgun Gothic" w:hAnsi="Lato"/>
          <w:szCs w:val="24"/>
        </w:rPr>
      </w:pPr>
      <w:r w:rsidRPr="00C758B1">
        <w:rPr>
          <w:rFonts w:ascii="Lato" w:eastAsia="Malgun Gothic" w:hAnsi="Lato"/>
          <w:b/>
          <w:szCs w:val="24"/>
        </w:rPr>
        <w:t>„D</w:t>
      </w:r>
      <w:r w:rsidRPr="00C758B1">
        <w:rPr>
          <w:rFonts w:ascii="Lato" w:eastAsia="Malgun Gothic" w:hAnsi="Lato"/>
          <w:b/>
          <w:szCs w:val="24"/>
          <w:vertAlign w:val="subscript"/>
        </w:rPr>
        <w:t>max</w:t>
      </w:r>
      <w:r w:rsidRPr="00C758B1">
        <w:rPr>
          <w:rFonts w:ascii="Lato" w:eastAsia="Malgun Gothic" w:hAnsi="Lato"/>
          <w:b/>
          <w:szCs w:val="24"/>
        </w:rPr>
        <w:t>”-</w:t>
      </w:r>
      <w:r w:rsidRPr="00C758B1">
        <w:rPr>
          <w:rFonts w:ascii="Lato" w:eastAsia="Malgun Gothic" w:hAnsi="Lato"/>
          <w:szCs w:val="24"/>
        </w:rPr>
        <w:tab/>
        <w:t xml:space="preserve">całkowite dzienne zapotrzebowanie na gaz </w:t>
      </w:r>
      <w:r w:rsidR="004D6A74">
        <w:rPr>
          <w:rFonts w:ascii="Lato" w:eastAsia="Malgun Gothic" w:hAnsi="Lato"/>
          <w:szCs w:val="24"/>
        </w:rPr>
        <w:t xml:space="preserve">ziemny </w:t>
      </w:r>
      <w:r w:rsidRPr="00C758B1">
        <w:rPr>
          <w:rFonts w:ascii="Lato" w:eastAsia="Malgun Gothic" w:hAnsi="Lato"/>
          <w:szCs w:val="24"/>
        </w:rPr>
        <w:t>na obszarze analizowanym w dniu nadzwyczajnie wysokiego zapotrzebowania na gaz, wyst</w:t>
      </w:r>
      <w:r w:rsidRPr="00C758B1">
        <w:rPr>
          <w:rFonts w:ascii="Lato" w:eastAsia="Malgun Gothic" w:hAnsi="Lato" w:cs="Calibri"/>
          <w:szCs w:val="24"/>
        </w:rPr>
        <w:t>ę</w:t>
      </w:r>
      <w:r w:rsidRPr="00C758B1">
        <w:rPr>
          <w:rFonts w:ascii="Lato" w:eastAsia="Malgun Gothic" w:hAnsi="Lato"/>
          <w:szCs w:val="24"/>
        </w:rPr>
        <w:t>puj</w:t>
      </w:r>
      <w:r w:rsidRPr="00C758B1">
        <w:rPr>
          <w:rFonts w:ascii="Lato" w:eastAsia="Malgun Gothic" w:hAnsi="Lato" w:cs="Calibri"/>
          <w:szCs w:val="24"/>
        </w:rPr>
        <w:t>ą</w:t>
      </w:r>
      <w:r w:rsidRPr="00C758B1">
        <w:rPr>
          <w:rFonts w:ascii="Lato" w:eastAsia="Malgun Gothic" w:hAnsi="Lato"/>
          <w:szCs w:val="24"/>
        </w:rPr>
        <w:t xml:space="preserve">cym statystycznie raz na 20 lat. </w:t>
      </w:r>
    </w:p>
    <w:p w14:paraId="58C106EB" w14:textId="77777777" w:rsidR="00B03DBA" w:rsidRPr="00C758B1" w:rsidRDefault="00C7771E" w:rsidP="000A5326">
      <w:pPr>
        <w:pStyle w:val="Tekstzwyky"/>
        <w:spacing w:before="120"/>
        <w:rPr>
          <w:rFonts w:ascii="Lato" w:hAnsi="Lato"/>
        </w:rPr>
      </w:pPr>
      <w:r w:rsidRPr="00C758B1">
        <w:rPr>
          <w:rFonts w:ascii="Lato" w:hAnsi="Lato"/>
        </w:rPr>
        <w:t>Definicje po stronie poda</w:t>
      </w:r>
      <w:r w:rsidRPr="00C758B1">
        <w:rPr>
          <w:rFonts w:ascii="Lato" w:hAnsi="Lato" w:cs="Calibri"/>
        </w:rPr>
        <w:t>ż</w:t>
      </w:r>
      <w:r w:rsidRPr="00C758B1">
        <w:rPr>
          <w:rFonts w:ascii="Lato" w:hAnsi="Lato"/>
        </w:rPr>
        <w:t>owej:</w:t>
      </w:r>
    </w:p>
    <w:p w14:paraId="003353AB" w14:textId="5FBF0D35" w:rsidR="00B03DBA" w:rsidRPr="00C758B1" w:rsidRDefault="00C7771E" w:rsidP="000A5326">
      <w:pPr>
        <w:spacing w:before="120" w:after="0" w:line="276" w:lineRule="auto"/>
        <w:ind w:left="992" w:hanging="992"/>
        <w:rPr>
          <w:rFonts w:ascii="Lato" w:eastAsia="Malgun Gothic" w:hAnsi="Lato"/>
          <w:szCs w:val="24"/>
        </w:rPr>
      </w:pPr>
      <w:r w:rsidRPr="00C758B1">
        <w:rPr>
          <w:rFonts w:ascii="Lato" w:eastAsia="Malgun Gothic" w:hAnsi="Lato"/>
          <w:b/>
          <w:szCs w:val="24"/>
        </w:rPr>
        <w:t>„EP</w:t>
      </w:r>
      <w:r w:rsidRPr="00C758B1">
        <w:rPr>
          <w:rFonts w:ascii="Lato" w:eastAsia="Malgun Gothic" w:hAnsi="Lato"/>
          <w:b/>
          <w:szCs w:val="24"/>
          <w:vertAlign w:val="subscript"/>
        </w:rPr>
        <w:t>m</w:t>
      </w:r>
      <w:r w:rsidRPr="00C758B1">
        <w:rPr>
          <w:rFonts w:ascii="Lato" w:eastAsia="Malgun Gothic" w:hAnsi="Lato"/>
          <w:b/>
          <w:szCs w:val="24"/>
        </w:rPr>
        <w:t>”-</w:t>
      </w:r>
      <w:r w:rsidRPr="00C758B1">
        <w:rPr>
          <w:rFonts w:ascii="Lato" w:eastAsia="Malgun Gothic" w:hAnsi="Lato"/>
          <w:szCs w:val="24"/>
        </w:rPr>
        <w:tab/>
        <w:t>zdolno</w:t>
      </w:r>
      <w:r w:rsidRPr="00C758B1">
        <w:rPr>
          <w:rFonts w:ascii="Lato" w:eastAsia="Malgun Gothic" w:hAnsi="Lato" w:cs="Calibri"/>
          <w:szCs w:val="24"/>
        </w:rPr>
        <w:t>ść</w:t>
      </w:r>
      <w:r w:rsidRPr="00C758B1">
        <w:rPr>
          <w:rFonts w:ascii="Lato" w:eastAsia="Malgun Gothic" w:hAnsi="Lato"/>
          <w:szCs w:val="24"/>
        </w:rPr>
        <w:t xml:space="preserve"> techniczna punkt</w:t>
      </w:r>
      <w:r w:rsidRPr="00C758B1">
        <w:rPr>
          <w:rFonts w:ascii="Lato" w:eastAsia="Malgun Gothic" w:hAnsi="Lato" w:cs="Malgun Gothic"/>
          <w:szCs w:val="24"/>
        </w:rPr>
        <w:t>ó</w:t>
      </w:r>
      <w:r w:rsidRPr="00C758B1">
        <w:rPr>
          <w:rFonts w:ascii="Lato" w:eastAsia="Malgun Gothic" w:hAnsi="Lato"/>
          <w:szCs w:val="24"/>
        </w:rPr>
        <w:t>w wej</w:t>
      </w:r>
      <w:r w:rsidRPr="00C758B1">
        <w:rPr>
          <w:rFonts w:ascii="Lato" w:eastAsia="Malgun Gothic" w:hAnsi="Lato" w:cs="Calibri"/>
          <w:szCs w:val="24"/>
        </w:rPr>
        <w:t>ś</w:t>
      </w:r>
      <w:r w:rsidRPr="00C758B1">
        <w:rPr>
          <w:rFonts w:ascii="Lato" w:eastAsia="Malgun Gothic" w:hAnsi="Lato"/>
          <w:szCs w:val="24"/>
        </w:rPr>
        <w:t>cia poza instalacjami produkcyjnymi, LNG i</w:t>
      </w:r>
      <w:r w:rsidRPr="00C758B1">
        <w:rPr>
          <w:rFonts w:ascii="Lato" w:eastAsia="Malgun Gothic" w:hAnsi="Lato" w:cs="Malgun Gothic"/>
          <w:szCs w:val="24"/>
        </w:rPr>
        <w:t> </w:t>
      </w:r>
      <w:r w:rsidRPr="00C758B1">
        <w:rPr>
          <w:rFonts w:ascii="Lato" w:eastAsia="Malgun Gothic" w:hAnsi="Lato"/>
          <w:szCs w:val="24"/>
        </w:rPr>
        <w:t>magazynowymi, kt</w:t>
      </w:r>
      <w:r w:rsidRPr="00C758B1">
        <w:rPr>
          <w:rFonts w:ascii="Lato" w:eastAsia="Malgun Gothic" w:hAnsi="Lato" w:cs="Malgun Gothic"/>
          <w:szCs w:val="24"/>
        </w:rPr>
        <w:t>ó</w:t>
      </w:r>
      <w:r w:rsidRPr="00C758B1">
        <w:rPr>
          <w:rFonts w:ascii="Lato" w:eastAsia="Malgun Gothic" w:hAnsi="Lato"/>
          <w:szCs w:val="24"/>
        </w:rPr>
        <w:t>rych dotycz</w:t>
      </w:r>
      <w:r w:rsidRPr="00C758B1">
        <w:rPr>
          <w:rFonts w:ascii="Lato" w:eastAsia="Malgun Gothic" w:hAnsi="Lato" w:cs="Calibri"/>
          <w:szCs w:val="24"/>
        </w:rPr>
        <w:t>ą</w:t>
      </w:r>
      <w:r w:rsidRPr="00C758B1">
        <w:rPr>
          <w:rFonts w:ascii="Lato" w:eastAsia="Malgun Gothic" w:hAnsi="Lato"/>
          <w:szCs w:val="24"/>
        </w:rPr>
        <w:t xml:space="preserve"> parametry P</w:t>
      </w:r>
      <w:r w:rsidRPr="00C758B1">
        <w:rPr>
          <w:rFonts w:ascii="Lato" w:eastAsia="Malgun Gothic" w:hAnsi="Lato"/>
          <w:szCs w:val="24"/>
          <w:vertAlign w:val="subscript"/>
        </w:rPr>
        <w:t>m</w:t>
      </w:r>
      <w:r w:rsidRPr="00C758B1">
        <w:rPr>
          <w:rFonts w:ascii="Lato" w:eastAsia="Malgun Gothic" w:hAnsi="Lato"/>
          <w:szCs w:val="24"/>
        </w:rPr>
        <w:t>, S</w:t>
      </w:r>
      <w:r w:rsidRPr="00C758B1">
        <w:rPr>
          <w:rFonts w:ascii="Lato" w:eastAsia="Malgun Gothic" w:hAnsi="Lato"/>
          <w:szCs w:val="24"/>
          <w:vertAlign w:val="subscript"/>
        </w:rPr>
        <w:t>m</w:t>
      </w:r>
      <w:r w:rsidRPr="00C758B1">
        <w:rPr>
          <w:rFonts w:ascii="Lato" w:eastAsia="Malgun Gothic" w:hAnsi="Lato"/>
          <w:szCs w:val="24"/>
        </w:rPr>
        <w:t xml:space="preserve"> i LNG</w:t>
      </w:r>
      <w:r w:rsidRPr="00C758B1">
        <w:rPr>
          <w:rFonts w:ascii="Lato" w:eastAsia="Malgun Gothic" w:hAnsi="Lato"/>
          <w:szCs w:val="24"/>
          <w:vertAlign w:val="subscript"/>
        </w:rPr>
        <w:t>m</w:t>
      </w:r>
      <w:r w:rsidRPr="00C758B1">
        <w:rPr>
          <w:rFonts w:ascii="Lato" w:eastAsia="Malgun Gothic" w:hAnsi="Lato"/>
          <w:szCs w:val="24"/>
        </w:rPr>
        <w:t>, oznacza sum</w:t>
      </w:r>
      <w:r w:rsidRPr="00C758B1">
        <w:rPr>
          <w:rFonts w:ascii="Lato" w:eastAsia="Malgun Gothic" w:hAnsi="Lato" w:cs="Calibri"/>
          <w:szCs w:val="24"/>
        </w:rPr>
        <w:t>ę</w:t>
      </w:r>
      <w:r w:rsidRPr="00C758B1">
        <w:rPr>
          <w:rFonts w:ascii="Lato" w:eastAsia="Malgun Gothic" w:hAnsi="Lato"/>
          <w:szCs w:val="24"/>
        </w:rPr>
        <w:t xml:space="preserve"> warto</w:t>
      </w:r>
      <w:r w:rsidRPr="00C758B1">
        <w:rPr>
          <w:rFonts w:ascii="Lato" w:eastAsia="Malgun Gothic" w:hAnsi="Lato" w:cs="Calibri"/>
          <w:szCs w:val="24"/>
        </w:rPr>
        <w:t>ś</w:t>
      </w:r>
      <w:r w:rsidRPr="00C758B1">
        <w:rPr>
          <w:rFonts w:ascii="Lato" w:eastAsia="Malgun Gothic" w:hAnsi="Lato"/>
          <w:szCs w:val="24"/>
        </w:rPr>
        <w:t>ci zdolno</w:t>
      </w:r>
      <w:r w:rsidRPr="00C758B1">
        <w:rPr>
          <w:rFonts w:ascii="Lato" w:eastAsia="Malgun Gothic" w:hAnsi="Lato" w:cs="Calibri"/>
          <w:szCs w:val="24"/>
        </w:rPr>
        <w:t>ś</w:t>
      </w:r>
      <w:r w:rsidRPr="00C758B1">
        <w:rPr>
          <w:rFonts w:ascii="Lato" w:eastAsia="Malgun Gothic" w:hAnsi="Lato"/>
          <w:szCs w:val="24"/>
        </w:rPr>
        <w:t>ci technicznej wszystkich granicznych punkt</w:t>
      </w:r>
      <w:r w:rsidRPr="00C758B1">
        <w:rPr>
          <w:rFonts w:ascii="Lato" w:eastAsia="Malgun Gothic" w:hAnsi="Lato" w:cs="Malgun Gothic"/>
          <w:szCs w:val="24"/>
        </w:rPr>
        <w:t>ó</w:t>
      </w:r>
      <w:r w:rsidRPr="00C758B1">
        <w:rPr>
          <w:rFonts w:ascii="Lato" w:eastAsia="Malgun Gothic" w:hAnsi="Lato"/>
          <w:szCs w:val="24"/>
        </w:rPr>
        <w:t>w wej</w:t>
      </w:r>
      <w:r w:rsidRPr="00C758B1">
        <w:rPr>
          <w:rFonts w:ascii="Lato" w:eastAsia="Malgun Gothic" w:hAnsi="Lato" w:cs="Calibri"/>
          <w:szCs w:val="24"/>
        </w:rPr>
        <w:t>ś</w:t>
      </w:r>
      <w:r w:rsidRPr="00C758B1">
        <w:rPr>
          <w:rFonts w:ascii="Lato" w:eastAsia="Malgun Gothic" w:hAnsi="Lato"/>
          <w:szCs w:val="24"/>
        </w:rPr>
        <w:t xml:space="preserve">cia zdolnych do zaopatrzenia w gaz </w:t>
      </w:r>
      <w:r w:rsidR="00F46D86">
        <w:rPr>
          <w:rFonts w:ascii="Lato" w:eastAsia="Malgun Gothic" w:hAnsi="Lato"/>
          <w:szCs w:val="24"/>
        </w:rPr>
        <w:t xml:space="preserve">ziemny </w:t>
      </w:r>
      <w:r w:rsidRPr="00C758B1">
        <w:rPr>
          <w:rFonts w:ascii="Lato" w:eastAsia="Malgun Gothic" w:hAnsi="Lato"/>
          <w:szCs w:val="24"/>
        </w:rPr>
        <w:t>obszaru analizowanego;</w:t>
      </w:r>
    </w:p>
    <w:p w14:paraId="4C1D88FC" w14:textId="77777777" w:rsidR="00B03DBA" w:rsidRPr="00C758B1" w:rsidRDefault="00C7771E" w:rsidP="000A5326">
      <w:pPr>
        <w:spacing w:before="120" w:after="0" w:line="276" w:lineRule="auto"/>
        <w:ind w:left="992" w:hanging="992"/>
        <w:rPr>
          <w:rFonts w:ascii="Lato" w:eastAsia="Malgun Gothic" w:hAnsi="Lato"/>
          <w:szCs w:val="24"/>
        </w:rPr>
      </w:pPr>
      <w:r w:rsidRPr="00C758B1">
        <w:rPr>
          <w:rFonts w:ascii="Lato" w:eastAsia="Malgun Gothic" w:hAnsi="Lato"/>
          <w:b/>
          <w:szCs w:val="24"/>
        </w:rPr>
        <w:t>„P</w:t>
      </w:r>
      <w:r w:rsidRPr="00C758B1">
        <w:rPr>
          <w:rFonts w:ascii="Lato" w:eastAsia="Malgun Gothic" w:hAnsi="Lato"/>
          <w:b/>
          <w:szCs w:val="24"/>
          <w:vertAlign w:val="subscript"/>
        </w:rPr>
        <w:t>m</w:t>
      </w:r>
      <w:r w:rsidRPr="00C758B1">
        <w:rPr>
          <w:rFonts w:ascii="Lato" w:eastAsia="Malgun Gothic" w:hAnsi="Lato"/>
          <w:b/>
          <w:szCs w:val="24"/>
        </w:rPr>
        <w:t>”-</w:t>
      </w:r>
      <w:r w:rsidRPr="00C758B1">
        <w:rPr>
          <w:rFonts w:ascii="Lato" w:eastAsia="Malgun Gothic" w:hAnsi="Lato"/>
          <w:szCs w:val="24"/>
        </w:rPr>
        <w:t xml:space="preserve"> </w:t>
      </w:r>
      <w:r w:rsidRPr="00C758B1">
        <w:rPr>
          <w:rFonts w:ascii="Lato" w:eastAsia="Malgun Gothic" w:hAnsi="Lato"/>
          <w:szCs w:val="24"/>
        </w:rPr>
        <w:tab/>
        <w:t>maksymalna techniczna zdolno</w:t>
      </w:r>
      <w:r w:rsidRPr="00C758B1">
        <w:rPr>
          <w:rFonts w:ascii="Lato" w:eastAsia="Malgun Gothic" w:hAnsi="Lato" w:cs="Calibri"/>
          <w:szCs w:val="24"/>
        </w:rPr>
        <w:t>ść</w:t>
      </w:r>
      <w:r w:rsidRPr="00C758B1">
        <w:rPr>
          <w:rFonts w:ascii="Lato" w:eastAsia="Malgun Gothic" w:hAnsi="Lato"/>
          <w:szCs w:val="24"/>
        </w:rPr>
        <w:t xml:space="preserve"> produkcyjna oznacza sum</w:t>
      </w:r>
      <w:r w:rsidRPr="00C758B1">
        <w:rPr>
          <w:rFonts w:ascii="Lato" w:eastAsia="Malgun Gothic" w:hAnsi="Lato" w:cs="Calibri"/>
          <w:szCs w:val="24"/>
        </w:rPr>
        <w:t>ę</w:t>
      </w:r>
      <w:r w:rsidRPr="00C758B1">
        <w:rPr>
          <w:rFonts w:ascii="Lato" w:eastAsia="Malgun Gothic" w:hAnsi="Lato"/>
          <w:szCs w:val="24"/>
        </w:rPr>
        <w:t xml:space="preserve"> maksymalnych warto</w:t>
      </w:r>
      <w:r w:rsidRPr="00C758B1">
        <w:rPr>
          <w:rFonts w:ascii="Lato" w:eastAsia="Malgun Gothic" w:hAnsi="Lato" w:cs="Calibri"/>
          <w:szCs w:val="24"/>
        </w:rPr>
        <w:t>ś</w:t>
      </w:r>
      <w:r w:rsidRPr="00C758B1">
        <w:rPr>
          <w:rFonts w:ascii="Lato" w:eastAsia="Malgun Gothic" w:hAnsi="Lato"/>
          <w:szCs w:val="24"/>
        </w:rPr>
        <w:t>ci technicznej dziennej zdolno</w:t>
      </w:r>
      <w:r w:rsidRPr="00C758B1">
        <w:rPr>
          <w:rFonts w:ascii="Lato" w:eastAsia="Malgun Gothic" w:hAnsi="Lato" w:cs="Calibri"/>
          <w:szCs w:val="24"/>
        </w:rPr>
        <w:t>ś</w:t>
      </w:r>
      <w:r w:rsidRPr="00C758B1">
        <w:rPr>
          <w:rFonts w:ascii="Lato" w:eastAsia="Malgun Gothic" w:hAnsi="Lato"/>
          <w:szCs w:val="24"/>
        </w:rPr>
        <w:t>ci produkcyjnej wszystkich instalacji produkcyjnych, kt</w:t>
      </w:r>
      <w:r w:rsidRPr="00C758B1">
        <w:rPr>
          <w:rFonts w:ascii="Lato" w:eastAsia="Malgun Gothic" w:hAnsi="Lato" w:cs="Malgun Gothic"/>
          <w:szCs w:val="24"/>
        </w:rPr>
        <w:t>ó</w:t>
      </w:r>
      <w:r w:rsidRPr="00C758B1">
        <w:rPr>
          <w:rFonts w:ascii="Lato" w:eastAsia="Malgun Gothic" w:hAnsi="Lato"/>
          <w:szCs w:val="24"/>
        </w:rPr>
        <w:t>r</w:t>
      </w:r>
      <w:r w:rsidRPr="00C758B1">
        <w:rPr>
          <w:rFonts w:ascii="Lato" w:eastAsia="Malgun Gothic" w:hAnsi="Lato" w:cs="Calibri"/>
          <w:szCs w:val="24"/>
        </w:rPr>
        <w:t>ą</w:t>
      </w:r>
      <w:r w:rsidRPr="00C758B1">
        <w:rPr>
          <w:rFonts w:ascii="Lato" w:eastAsia="Malgun Gothic" w:hAnsi="Lato"/>
          <w:szCs w:val="24"/>
        </w:rPr>
        <w:t xml:space="preserve"> mo</w:t>
      </w:r>
      <w:r w:rsidRPr="00C758B1">
        <w:rPr>
          <w:rFonts w:ascii="Lato" w:eastAsia="Malgun Gothic" w:hAnsi="Lato" w:cs="Calibri"/>
          <w:szCs w:val="24"/>
        </w:rPr>
        <w:t>ż</w:t>
      </w:r>
      <w:r w:rsidRPr="00C758B1">
        <w:rPr>
          <w:rFonts w:ascii="Lato" w:eastAsia="Malgun Gothic" w:hAnsi="Lato"/>
          <w:szCs w:val="24"/>
        </w:rPr>
        <w:t>na dostarczy</w:t>
      </w:r>
      <w:r w:rsidRPr="00C758B1">
        <w:rPr>
          <w:rFonts w:ascii="Lato" w:eastAsia="Malgun Gothic" w:hAnsi="Lato" w:cs="Calibri"/>
          <w:szCs w:val="24"/>
        </w:rPr>
        <w:t>ć</w:t>
      </w:r>
      <w:r w:rsidRPr="00C758B1">
        <w:rPr>
          <w:rFonts w:ascii="Lato" w:eastAsia="Malgun Gothic" w:hAnsi="Lato"/>
          <w:szCs w:val="24"/>
        </w:rPr>
        <w:t xml:space="preserve"> do punkt</w:t>
      </w:r>
      <w:r w:rsidRPr="00C758B1">
        <w:rPr>
          <w:rFonts w:ascii="Lato" w:eastAsia="Malgun Gothic" w:hAnsi="Lato" w:cs="Malgun Gothic"/>
          <w:szCs w:val="24"/>
        </w:rPr>
        <w:t>ó</w:t>
      </w:r>
      <w:r w:rsidRPr="00C758B1">
        <w:rPr>
          <w:rFonts w:ascii="Lato" w:eastAsia="Malgun Gothic" w:hAnsi="Lato"/>
          <w:szCs w:val="24"/>
        </w:rPr>
        <w:t>w wej</w:t>
      </w:r>
      <w:r w:rsidRPr="00C758B1">
        <w:rPr>
          <w:rFonts w:ascii="Lato" w:eastAsia="Malgun Gothic" w:hAnsi="Lato" w:cs="Calibri"/>
          <w:szCs w:val="24"/>
        </w:rPr>
        <w:t>ś</w:t>
      </w:r>
      <w:r w:rsidRPr="00C758B1">
        <w:rPr>
          <w:rFonts w:ascii="Lato" w:eastAsia="Malgun Gothic" w:hAnsi="Lato"/>
          <w:szCs w:val="24"/>
        </w:rPr>
        <w:t>cia na obszarze analizowanym;</w:t>
      </w:r>
    </w:p>
    <w:p w14:paraId="241CF86D" w14:textId="77777777" w:rsidR="00B03DBA" w:rsidRPr="00C758B1" w:rsidRDefault="00C7771E" w:rsidP="000A5326">
      <w:pPr>
        <w:spacing w:before="120" w:after="0" w:line="276" w:lineRule="auto"/>
        <w:ind w:left="992" w:hanging="992"/>
        <w:rPr>
          <w:rFonts w:ascii="Lato" w:eastAsia="Malgun Gothic" w:hAnsi="Lato"/>
          <w:szCs w:val="24"/>
        </w:rPr>
      </w:pPr>
      <w:r w:rsidRPr="00C758B1">
        <w:rPr>
          <w:rFonts w:ascii="Lato" w:eastAsia="Malgun Gothic" w:hAnsi="Lato"/>
          <w:b/>
          <w:szCs w:val="24"/>
        </w:rPr>
        <w:t>„S</w:t>
      </w:r>
      <w:r w:rsidRPr="00C758B1">
        <w:rPr>
          <w:rFonts w:ascii="Lato" w:eastAsia="Malgun Gothic" w:hAnsi="Lato"/>
          <w:b/>
          <w:szCs w:val="24"/>
          <w:vertAlign w:val="subscript"/>
        </w:rPr>
        <w:t>m</w:t>
      </w:r>
      <w:r w:rsidRPr="00C758B1">
        <w:rPr>
          <w:rFonts w:ascii="Lato" w:eastAsia="Malgun Gothic" w:hAnsi="Lato"/>
          <w:b/>
          <w:szCs w:val="24"/>
        </w:rPr>
        <w:t>”-</w:t>
      </w:r>
      <w:r w:rsidRPr="00C758B1">
        <w:rPr>
          <w:rFonts w:ascii="Lato" w:eastAsia="Malgun Gothic" w:hAnsi="Lato"/>
          <w:szCs w:val="24"/>
        </w:rPr>
        <w:tab/>
        <w:t>maksymalna techniczna zdolno</w:t>
      </w:r>
      <w:r w:rsidRPr="00C758B1">
        <w:rPr>
          <w:rFonts w:ascii="Lato" w:eastAsia="Malgun Gothic" w:hAnsi="Lato" w:cs="Calibri"/>
          <w:szCs w:val="24"/>
        </w:rPr>
        <w:t>ść</w:t>
      </w:r>
      <w:r w:rsidRPr="00C758B1">
        <w:rPr>
          <w:rFonts w:ascii="Lato" w:eastAsia="Malgun Gothic" w:hAnsi="Lato"/>
          <w:szCs w:val="24"/>
        </w:rPr>
        <w:t xml:space="preserve"> odbioru z instalacji magazynowych oznacza sum</w:t>
      </w:r>
      <w:r w:rsidRPr="00C758B1">
        <w:rPr>
          <w:rFonts w:ascii="Lato" w:eastAsia="Malgun Gothic" w:hAnsi="Lato" w:cs="Calibri"/>
          <w:szCs w:val="24"/>
        </w:rPr>
        <w:t>ę</w:t>
      </w:r>
      <w:r w:rsidRPr="00C758B1">
        <w:rPr>
          <w:rFonts w:ascii="Lato" w:eastAsia="Malgun Gothic" w:hAnsi="Lato"/>
          <w:szCs w:val="24"/>
        </w:rPr>
        <w:t xml:space="preserve"> warto</w:t>
      </w:r>
      <w:r w:rsidRPr="00C758B1">
        <w:rPr>
          <w:rFonts w:ascii="Lato" w:eastAsia="Malgun Gothic" w:hAnsi="Lato" w:cs="Calibri"/>
          <w:szCs w:val="24"/>
        </w:rPr>
        <w:t>ś</w:t>
      </w:r>
      <w:r w:rsidRPr="00C758B1">
        <w:rPr>
          <w:rFonts w:ascii="Lato" w:eastAsia="Malgun Gothic" w:hAnsi="Lato"/>
          <w:szCs w:val="24"/>
        </w:rPr>
        <w:t>ci maksymalnej technicznej dziennej zdolno</w:t>
      </w:r>
      <w:r w:rsidRPr="00C758B1">
        <w:rPr>
          <w:rFonts w:ascii="Lato" w:eastAsia="Malgun Gothic" w:hAnsi="Lato" w:cs="Calibri"/>
          <w:szCs w:val="24"/>
        </w:rPr>
        <w:t>ś</w:t>
      </w:r>
      <w:r w:rsidRPr="00C758B1">
        <w:rPr>
          <w:rFonts w:ascii="Lato" w:eastAsia="Malgun Gothic" w:hAnsi="Lato"/>
          <w:szCs w:val="24"/>
        </w:rPr>
        <w:t>ci odbioru ze</w:t>
      </w:r>
      <w:r w:rsidRPr="00C758B1">
        <w:rPr>
          <w:rFonts w:ascii="Lato" w:eastAsia="Malgun Gothic" w:hAnsi="Lato" w:cs="Malgun Gothic"/>
          <w:szCs w:val="24"/>
        </w:rPr>
        <w:t> </w:t>
      </w:r>
      <w:r w:rsidRPr="00C758B1">
        <w:rPr>
          <w:rFonts w:ascii="Lato" w:eastAsia="Malgun Gothic" w:hAnsi="Lato"/>
          <w:szCs w:val="24"/>
        </w:rPr>
        <w:t>wszystkich instalacji magazynowych, kt</w:t>
      </w:r>
      <w:r w:rsidRPr="00C758B1">
        <w:rPr>
          <w:rFonts w:ascii="Lato" w:eastAsia="Malgun Gothic" w:hAnsi="Lato" w:cs="Malgun Gothic"/>
          <w:szCs w:val="24"/>
        </w:rPr>
        <w:t>ó</w:t>
      </w:r>
      <w:r w:rsidRPr="00C758B1">
        <w:rPr>
          <w:rFonts w:ascii="Lato" w:eastAsia="Malgun Gothic" w:hAnsi="Lato"/>
          <w:szCs w:val="24"/>
        </w:rPr>
        <w:t>ra mo</w:t>
      </w:r>
      <w:r w:rsidRPr="00C758B1">
        <w:rPr>
          <w:rFonts w:ascii="Lato" w:eastAsia="Malgun Gothic" w:hAnsi="Lato" w:cs="Calibri"/>
          <w:szCs w:val="24"/>
        </w:rPr>
        <w:t>ż</w:t>
      </w:r>
      <w:r w:rsidRPr="00C758B1">
        <w:rPr>
          <w:rFonts w:ascii="Lato" w:eastAsia="Malgun Gothic" w:hAnsi="Lato"/>
          <w:szCs w:val="24"/>
        </w:rPr>
        <w:t>e by</w:t>
      </w:r>
      <w:r w:rsidRPr="00C758B1">
        <w:rPr>
          <w:rFonts w:ascii="Lato" w:eastAsia="Malgun Gothic" w:hAnsi="Lato" w:cs="Calibri"/>
          <w:szCs w:val="24"/>
        </w:rPr>
        <w:t>ć</w:t>
      </w:r>
      <w:r w:rsidRPr="00C758B1">
        <w:rPr>
          <w:rFonts w:ascii="Lato" w:eastAsia="Malgun Gothic" w:hAnsi="Lato"/>
          <w:szCs w:val="24"/>
        </w:rPr>
        <w:t xml:space="preserve"> dostarczona do punktów wej</w:t>
      </w:r>
      <w:r w:rsidRPr="00C758B1">
        <w:rPr>
          <w:rFonts w:ascii="Lato" w:eastAsia="Malgun Gothic" w:hAnsi="Lato" w:cs="Calibri"/>
          <w:szCs w:val="24"/>
        </w:rPr>
        <w:t>ś</w:t>
      </w:r>
      <w:r w:rsidRPr="00C758B1">
        <w:rPr>
          <w:rFonts w:ascii="Lato" w:eastAsia="Malgun Gothic" w:hAnsi="Lato"/>
          <w:szCs w:val="24"/>
        </w:rPr>
        <w:t>cia na</w:t>
      </w:r>
      <w:r w:rsidRPr="00C758B1">
        <w:rPr>
          <w:rFonts w:ascii="Lato" w:eastAsia="Malgun Gothic" w:hAnsi="Lato" w:cs="Malgun Gothic"/>
          <w:szCs w:val="24"/>
        </w:rPr>
        <w:t> </w:t>
      </w:r>
      <w:r w:rsidRPr="00C758B1">
        <w:rPr>
          <w:rFonts w:ascii="Lato" w:eastAsia="Malgun Gothic" w:hAnsi="Lato"/>
          <w:szCs w:val="24"/>
        </w:rPr>
        <w:t>obszarze analizowanym, z uwzgl</w:t>
      </w:r>
      <w:r w:rsidRPr="00C758B1">
        <w:rPr>
          <w:rFonts w:ascii="Lato" w:eastAsia="Malgun Gothic" w:hAnsi="Lato" w:cs="Calibri"/>
          <w:szCs w:val="24"/>
        </w:rPr>
        <w:t>ę</w:t>
      </w:r>
      <w:r w:rsidRPr="00C758B1">
        <w:rPr>
          <w:rFonts w:ascii="Lato" w:eastAsia="Malgun Gothic" w:hAnsi="Lato"/>
          <w:szCs w:val="24"/>
        </w:rPr>
        <w:t>dnieniem ich poszczeg</w:t>
      </w:r>
      <w:r w:rsidRPr="00C758B1">
        <w:rPr>
          <w:rFonts w:ascii="Lato" w:eastAsia="Malgun Gothic" w:hAnsi="Lato" w:cs="Malgun Gothic"/>
          <w:szCs w:val="24"/>
        </w:rPr>
        <w:t>ó</w:t>
      </w:r>
      <w:r w:rsidRPr="00C758B1">
        <w:rPr>
          <w:rFonts w:ascii="Lato" w:eastAsia="Malgun Gothic" w:hAnsi="Lato"/>
          <w:szCs w:val="24"/>
        </w:rPr>
        <w:t>lnych w</w:t>
      </w:r>
      <w:r w:rsidRPr="00C758B1">
        <w:rPr>
          <w:rFonts w:ascii="Lato" w:eastAsia="Malgun Gothic" w:hAnsi="Lato" w:cs="Malgun Gothic"/>
          <w:szCs w:val="24"/>
        </w:rPr>
        <w:t>ł</w:t>
      </w:r>
      <w:r w:rsidRPr="00C758B1">
        <w:rPr>
          <w:rFonts w:ascii="Lato" w:eastAsia="Malgun Gothic" w:hAnsi="Lato"/>
          <w:szCs w:val="24"/>
        </w:rPr>
        <w:t>a</w:t>
      </w:r>
      <w:r w:rsidRPr="00C758B1">
        <w:rPr>
          <w:rFonts w:ascii="Lato" w:eastAsia="Malgun Gothic" w:hAnsi="Lato" w:cs="Calibri"/>
          <w:szCs w:val="24"/>
        </w:rPr>
        <w:t>ś</w:t>
      </w:r>
      <w:r w:rsidRPr="00C758B1">
        <w:rPr>
          <w:rFonts w:ascii="Lato" w:eastAsia="Malgun Gothic" w:hAnsi="Lato"/>
          <w:szCs w:val="24"/>
        </w:rPr>
        <w:t>ciwo</w:t>
      </w:r>
      <w:r w:rsidRPr="00C758B1">
        <w:rPr>
          <w:rFonts w:ascii="Lato" w:eastAsia="Malgun Gothic" w:hAnsi="Lato" w:cs="Calibri"/>
          <w:szCs w:val="24"/>
        </w:rPr>
        <w:t>ś</w:t>
      </w:r>
      <w:r w:rsidRPr="00C758B1">
        <w:rPr>
          <w:rFonts w:ascii="Lato" w:eastAsia="Malgun Gothic" w:hAnsi="Lato"/>
          <w:szCs w:val="24"/>
        </w:rPr>
        <w:t>ci fizycznych;</w:t>
      </w:r>
    </w:p>
    <w:p w14:paraId="06733D66" w14:textId="77777777" w:rsidR="00B03DBA" w:rsidRPr="00C758B1" w:rsidRDefault="00C7771E" w:rsidP="000A5326">
      <w:pPr>
        <w:spacing w:before="120" w:after="0" w:line="276" w:lineRule="auto"/>
        <w:ind w:left="992" w:hanging="992"/>
        <w:rPr>
          <w:rFonts w:ascii="Lato" w:eastAsia="Malgun Gothic" w:hAnsi="Lato"/>
          <w:szCs w:val="24"/>
        </w:rPr>
      </w:pPr>
      <w:r w:rsidRPr="00C758B1">
        <w:rPr>
          <w:rFonts w:ascii="Lato" w:eastAsia="Malgun Gothic" w:hAnsi="Lato"/>
          <w:b/>
          <w:szCs w:val="24"/>
        </w:rPr>
        <w:lastRenderedPageBreak/>
        <w:t>„LNG</w:t>
      </w:r>
      <w:r w:rsidRPr="00C758B1">
        <w:rPr>
          <w:rFonts w:ascii="Lato" w:eastAsia="Malgun Gothic" w:hAnsi="Lato"/>
          <w:b/>
          <w:szCs w:val="24"/>
          <w:vertAlign w:val="subscript"/>
        </w:rPr>
        <w:t>m</w:t>
      </w:r>
      <w:r w:rsidRPr="00C758B1">
        <w:rPr>
          <w:rFonts w:ascii="Lato" w:eastAsia="Malgun Gothic" w:hAnsi="Lato"/>
          <w:b/>
          <w:szCs w:val="24"/>
        </w:rPr>
        <w:t>”-</w:t>
      </w:r>
      <w:r w:rsidRPr="00C758B1">
        <w:rPr>
          <w:rFonts w:ascii="Lato" w:eastAsia="Malgun Gothic" w:hAnsi="Lato"/>
          <w:b/>
          <w:szCs w:val="24"/>
        </w:rPr>
        <w:tab/>
      </w:r>
      <w:r w:rsidRPr="00C758B1">
        <w:rPr>
          <w:rFonts w:ascii="Lato" w:eastAsia="Malgun Gothic" w:hAnsi="Lato"/>
          <w:szCs w:val="24"/>
        </w:rPr>
        <w:t>maksymalna techniczna zdolno</w:t>
      </w:r>
      <w:r w:rsidRPr="00C758B1">
        <w:rPr>
          <w:rFonts w:ascii="Lato" w:eastAsia="Malgun Gothic" w:hAnsi="Lato" w:cs="Calibri"/>
          <w:szCs w:val="24"/>
        </w:rPr>
        <w:t>ść</w:t>
      </w:r>
      <w:r w:rsidRPr="00C758B1">
        <w:rPr>
          <w:rFonts w:ascii="Lato" w:eastAsia="Malgun Gothic" w:hAnsi="Lato"/>
          <w:szCs w:val="24"/>
        </w:rPr>
        <w:t xml:space="preserve"> obioru z instalacji LNG oznacza sum</w:t>
      </w:r>
      <w:r w:rsidRPr="00C758B1">
        <w:rPr>
          <w:rFonts w:ascii="Lato" w:eastAsia="Malgun Gothic" w:hAnsi="Lato" w:cs="Calibri"/>
          <w:szCs w:val="24"/>
        </w:rPr>
        <w:t>ę</w:t>
      </w:r>
      <w:r w:rsidRPr="00C758B1">
        <w:rPr>
          <w:rFonts w:ascii="Lato" w:eastAsia="Malgun Gothic" w:hAnsi="Lato"/>
          <w:szCs w:val="24"/>
        </w:rPr>
        <w:t xml:space="preserve"> warto</w:t>
      </w:r>
      <w:r w:rsidRPr="00C758B1">
        <w:rPr>
          <w:rFonts w:ascii="Lato" w:eastAsia="Malgun Gothic" w:hAnsi="Lato" w:cs="Calibri"/>
          <w:szCs w:val="24"/>
        </w:rPr>
        <w:t>ś</w:t>
      </w:r>
      <w:r w:rsidRPr="00C758B1">
        <w:rPr>
          <w:rFonts w:ascii="Lato" w:eastAsia="Malgun Gothic" w:hAnsi="Lato"/>
          <w:szCs w:val="24"/>
        </w:rPr>
        <w:t>ci maksymalnej technicznej dziennej zdolno</w:t>
      </w:r>
      <w:r w:rsidRPr="00C758B1">
        <w:rPr>
          <w:rFonts w:ascii="Lato" w:eastAsia="Malgun Gothic" w:hAnsi="Lato" w:cs="Calibri"/>
          <w:szCs w:val="24"/>
        </w:rPr>
        <w:t>ś</w:t>
      </w:r>
      <w:r w:rsidRPr="00C758B1">
        <w:rPr>
          <w:rFonts w:ascii="Lato" w:eastAsia="Malgun Gothic" w:hAnsi="Lato"/>
          <w:szCs w:val="24"/>
        </w:rPr>
        <w:t>ci wysy</w:t>
      </w:r>
      <w:r w:rsidRPr="00C758B1">
        <w:rPr>
          <w:rFonts w:ascii="Lato" w:eastAsia="Malgun Gothic" w:hAnsi="Lato" w:cs="Malgun Gothic"/>
          <w:szCs w:val="24"/>
        </w:rPr>
        <w:t>ł</w:t>
      </w:r>
      <w:r w:rsidRPr="00C758B1">
        <w:rPr>
          <w:rFonts w:ascii="Lato" w:eastAsia="Malgun Gothic" w:hAnsi="Lato"/>
          <w:szCs w:val="24"/>
        </w:rPr>
        <w:t>kowej wszystkich instalacji LNG na obszarze analizowanym, z uwzgl</w:t>
      </w:r>
      <w:r w:rsidRPr="00C758B1">
        <w:rPr>
          <w:rFonts w:ascii="Lato" w:eastAsia="Malgun Gothic" w:hAnsi="Lato" w:cs="Calibri"/>
          <w:szCs w:val="24"/>
        </w:rPr>
        <w:t>ę</w:t>
      </w:r>
      <w:r w:rsidRPr="00C758B1">
        <w:rPr>
          <w:rFonts w:ascii="Lato" w:eastAsia="Malgun Gothic" w:hAnsi="Lato"/>
          <w:szCs w:val="24"/>
        </w:rPr>
        <w:t>dnieniem element</w:t>
      </w:r>
      <w:r w:rsidRPr="00C758B1">
        <w:rPr>
          <w:rFonts w:ascii="Lato" w:eastAsia="Malgun Gothic" w:hAnsi="Lato" w:cs="Malgun Gothic"/>
          <w:szCs w:val="24"/>
        </w:rPr>
        <w:t>ó</w:t>
      </w:r>
      <w:r w:rsidRPr="00C758B1">
        <w:rPr>
          <w:rFonts w:ascii="Lato" w:eastAsia="Malgun Gothic" w:hAnsi="Lato"/>
          <w:szCs w:val="24"/>
        </w:rPr>
        <w:t>w krytycznych, takich jak roz</w:t>
      </w:r>
      <w:r w:rsidRPr="00C758B1">
        <w:rPr>
          <w:rFonts w:ascii="Lato" w:eastAsia="Malgun Gothic" w:hAnsi="Lato" w:cs="Malgun Gothic"/>
          <w:szCs w:val="24"/>
        </w:rPr>
        <w:t>ł</w:t>
      </w:r>
      <w:r w:rsidRPr="00C758B1">
        <w:rPr>
          <w:rFonts w:ascii="Lato" w:eastAsia="Malgun Gothic" w:hAnsi="Lato"/>
          <w:szCs w:val="24"/>
        </w:rPr>
        <w:t>adunek, us</w:t>
      </w:r>
      <w:r w:rsidRPr="00C758B1">
        <w:rPr>
          <w:rFonts w:ascii="Lato" w:eastAsia="Malgun Gothic" w:hAnsi="Lato" w:cs="Malgun Gothic"/>
          <w:szCs w:val="24"/>
        </w:rPr>
        <w:t>ł</w:t>
      </w:r>
      <w:r w:rsidRPr="00C758B1">
        <w:rPr>
          <w:rFonts w:ascii="Lato" w:eastAsia="Malgun Gothic" w:hAnsi="Lato"/>
          <w:szCs w:val="24"/>
        </w:rPr>
        <w:t>ugi pomocnicze, tymczasowe magazynowanie i regazyfikacja LNG oraz techniczna zdolno</w:t>
      </w:r>
      <w:r w:rsidRPr="00C758B1">
        <w:rPr>
          <w:rFonts w:ascii="Lato" w:eastAsia="Malgun Gothic" w:hAnsi="Lato" w:cs="Calibri"/>
          <w:szCs w:val="24"/>
        </w:rPr>
        <w:t>ść</w:t>
      </w:r>
      <w:r w:rsidRPr="00C758B1">
        <w:rPr>
          <w:rFonts w:ascii="Lato" w:eastAsia="Malgun Gothic" w:hAnsi="Lato"/>
          <w:szCs w:val="24"/>
        </w:rPr>
        <w:t xml:space="preserve"> wysy</w:t>
      </w:r>
      <w:r w:rsidRPr="00C758B1">
        <w:rPr>
          <w:rFonts w:ascii="Lato" w:eastAsia="Malgun Gothic" w:hAnsi="Lato" w:cs="Malgun Gothic"/>
          <w:szCs w:val="24"/>
        </w:rPr>
        <w:t>ł</w:t>
      </w:r>
      <w:r w:rsidRPr="00C758B1">
        <w:rPr>
          <w:rFonts w:ascii="Lato" w:eastAsia="Malgun Gothic" w:hAnsi="Lato"/>
          <w:szCs w:val="24"/>
        </w:rPr>
        <w:t>kowa do systemu;</w:t>
      </w:r>
    </w:p>
    <w:p w14:paraId="0E0736B1" w14:textId="0788D674" w:rsidR="00B03DBA" w:rsidRPr="00C758B1" w:rsidRDefault="00C7771E" w:rsidP="000A5326">
      <w:pPr>
        <w:spacing w:before="120" w:after="0" w:line="276" w:lineRule="auto"/>
        <w:ind w:left="992" w:hanging="992"/>
        <w:rPr>
          <w:rFonts w:ascii="Lato" w:eastAsia="Malgun Gothic" w:hAnsi="Lato"/>
          <w:szCs w:val="24"/>
        </w:rPr>
      </w:pPr>
      <w:r w:rsidRPr="00C758B1">
        <w:rPr>
          <w:rFonts w:ascii="Lato" w:eastAsia="Malgun Gothic" w:hAnsi="Lato"/>
          <w:b/>
          <w:szCs w:val="24"/>
        </w:rPr>
        <w:t>„I</w:t>
      </w:r>
      <w:r w:rsidRPr="00C758B1">
        <w:rPr>
          <w:rFonts w:ascii="Lato" w:eastAsia="Malgun Gothic" w:hAnsi="Lato"/>
          <w:b/>
          <w:szCs w:val="24"/>
          <w:vertAlign w:val="subscript"/>
        </w:rPr>
        <w:t>m</w:t>
      </w:r>
      <w:r w:rsidRPr="00C758B1">
        <w:rPr>
          <w:rFonts w:ascii="Lato" w:eastAsia="Malgun Gothic" w:hAnsi="Lato"/>
          <w:b/>
          <w:szCs w:val="24"/>
        </w:rPr>
        <w:t>”-</w:t>
      </w:r>
      <w:r w:rsidRPr="00C758B1">
        <w:rPr>
          <w:rFonts w:ascii="Lato" w:eastAsia="Malgun Gothic" w:hAnsi="Lato"/>
          <w:szCs w:val="24"/>
        </w:rPr>
        <w:tab/>
        <w:t>zdolno</w:t>
      </w:r>
      <w:r w:rsidRPr="00C758B1">
        <w:rPr>
          <w:rFonts w:ascii="Lato" w:eastAsia="Malgun Gothic" w:hAnsi="Lato" w:cs="Calibri"/>
          <w:szCs w:val="24"/>
        </w:rPr>
        <w:t>ść</w:t>
      </w:r>
      <w:r w:rsidRPr="00C758B1">
        <w:rPr>
          <w:rFonts w:ascii="Lato" w:eastAsia="Malgun Gothic" w:hAnsi="Lato"/>
          <w:szCs w:val="24"/>
        </w:rPr>
        <w:t xml:space="preserve"> techniczna pojedynczej najwi</w:t>
      </w:r>
      <w:r w:rsidRPr="00C758B1">
        <w:rPr>
          <w:rFonts w:ascii="Lato" w:eastAsia="Malgun Gothic" w:hAnsi="Lato" w:cs="Calibri"/>
          <w:szCs w:val="24"/>
        </w:rPr>
        <w:t>ę</w:t>
      </w:r>
      <w:r w:rsidRPr="00C758B1">
        <w:rPr>
          <w:rFonts w:ascii="Lato" w:eastAsia="Malgun Gothic" w:hAnsi="Lato"/>
          <w:szCs w:val="24"/>
        </w:rPr>
        <w:t>kszej infrastruktury gazow</w:t>
      </w:r>
      <w:r w:rsidR="00F46D86">
        <w:rPr>
          <w:rFonts w:ascii="Lato" w:eastAsia="Malgun Gothic" w:hAnsi="Lato"/>
          <w:szCs w:val="24"/>
        </w:rPr>
        <w:t>ej</w:t>
      </w:r>
      <w:r w:rsidRPr="00C758B1">
        <w:rPr>
          <w:rFonts w:ascii="Lato" w:eastAsia="Malgun Gothic" w:hAnsi="Lato"/>
          <w:szCs w:val="24"/>
        </w:rPr>
        <w:t xml:space="preserve"> maj</w:t>
      </w:r>
      <w:r w:rsidRPr="00C758B1">
        <w:rPr>
          <w:rFonts w:ascii="Lato" w:eastAsia="Malgun Gothic" w:hAnsi="Lato" w:cs="Calibri"/>
          <w:szCs w:val="24"/>
        </w:rPr>
        <w:t>ą</w:t>
      </w:r>
      <w:r w:rsidRPr="00C758B1">
        <w:rPr>
          <w:rFonts w:ascii="Lato" w:eastAsia="Malgun Gothic" w:hAnsi="Lato"/>
          <w:szCs w:val="24"/>
        </w:rPr>
        <w:t>cej najwi</w:t>
      </w:r>
      <w:r w:rsidRPr="00C758B1">
        <w:rPr>
          <w:rFonts w:ascii="Lato" w:eastAsia="Malgun Gothic" w:hAnsi="Lato" w:cs="Calibri"/>
          <w:szCs w:val="24"/>
        </w:rPr>
        <w:t>ę</w:t>
      </w:r>
      <w:r w:rsidRPr="00C758B1">
        <w:rPr>
          <w:rFonts w:ascii="Lato" w:eastAsia="Malgun Gothic" w:hAnsi="Lato"/>
          <w:szCs w:val="24"/>
        </w:rPr>
        <w:t>ksz</w:t>
      </w:r>
      <w:r w:rsidRPr="00C758B1">
        <w:rPr>
          <w:rFonts w:ascii="Lato" w:eastAsia="Malgun Gothic" w:hAnsi="Lato" w:cs="Calibri"/>
          <w:szCs w:val="24"/>
        </w:rPr>
        <w:t>ą</w:t>
      </w:r>
      <w:r w:rsidRPr="00C758B1">
        <w:rPr>
          <w:rFonts w:ascii="Lato" w:eastAsia="Malgun Gothic" w:hAnsi="Lato"/>
          <w:szCs w:val="24"/>
        </w:rPr>
        <w:t xml:space="preserve"> zdolno</w:t>
      </w:r>
      <w:r w:rsidRPr="00C758B1">
        <w:rPr>
          <w:rFonts w:ascii="Lato" w:eastAsia="Malgun Gothic" w:hAnsi="Lato" w:cs="Calibri"/>
          <w:szCs w:val="24"/>
        </w:rPr>
        <w:t>ść</w:t>
      </w:r>
      <w:r w:rsidRPr="00C758B1">
        <w:rPr>
          <w:rFonts w:ascii="Lato" w:eastAsia="Malgun Gothic" w:hAnsi="Lato"/>
          <w:szCs w:val="24"/>
        </w:rPr>
        <w:t xml:space="preserve"> zaopatrzenia obszaru analizowanego w gaz</w:t>
      </w:r>
      <w:r w:rsidR="00F46D86">
        <w:rPr>
          <w:rFonts w:ascii="Lato" w:eastAsia="Malgun Gothic" w:hAnsi="Lato"/>
          <w:szCs w:val="24"/>
        </w:rPr>
        <w:t xml:space="preserve"> ziemny</w:t>
      </w:r>
      <w:r w:rsidRPr="00C758B1">
        <w:rPr>
          <w:rFonts w:ascii="Lato" w:eastAsia="Malgun Gothic" w:hAnsi="Lato"/>
          <w:szCs w:val="24"/>
        </w:rPr>
        <w:t>.</w:t>
      </w:r>
    </w:p>
    <w:p w14:paraId="2ADEAAE8" w14:textId="77777777" w:rsidR="00B03DBA" w:rsidRPr="00C758B1" w:rsidRDefault="00C7771E" w:rsidP="000A5326">
      <w:pPr>
        <w:pStyle w:val="Rozdzia2"/>
        <w:rPr>
          <w:rFonts w:ascii="Lato" w:hAnsi="Lato"/>
        </w:rPr>
      </w:pPr>
      <w:bookmarkStart w:id="145" w:name="_Toc140488301"/>
      <w:bookmarkStart w:id="146" w:name="_Toc140580293"/>
      <w:bookmarkStart w:id="147" w:name="_Toc140488302"/>
      <w:bookmarkStart w:id="148" w:name="_Toc140580294"/>
      <w:bookmarkStart w:id="149" w:name="_Toc140488303"/>
      <w:bookmarkStart w:id="150" w:name="_Toc140580295"/>
      <w:bookmarkStart w:id="151" w:name="_Toc140488304"/>
      <w:bookmarkStart w:id="152" w:name="_Toc140580296"/>
      <w:bookmarkStart w:id="153" w:name="_Toc140488305"/>
      <w:bookmarkStart w:id="154" w:name="_Toc140580297"/>
      <w:bookmarkStart w:id="155" w:name="_Toc140488360"/>
      <w:bookmarkStart w:id="156" w:name="_Toc140580352"/>
      <w:bookmarkStart w:id="157" w:name="_Toc140488361"/>
      <w:bookmarkStart w:id="158" w:name="_Toc140580353"/>
      <w:bookmarkStart w:id="159" w:name="_Toc140488362"/>
      <w:bookmarkStart w:id="160" w:name="_Toc140580354"/>
      <w:bookmarkStart w:id="161" w:name="_Toc140488363"/>
      <w:bookmarkStart w:id="162" w:name="_Toc140580355"/>
      <w:bookmarkStart w:id="163" w:name="_Toc140488364"/>
      <w:bookmarkStart w:id="164" w:name="_Toc140580356"/>
      <w:bookmarkStart w:id="165" w:name="_Toc140488365"/>
      <w:bookmarkStart w:id="166" w:name="_Toc140580357"/>
      <w:bookmarkStart w:id="167" w:name="_Toc140488499"/>
      <w:bookmarkStart w:id="168" w:name="_Toc140580491"/>
      <w:bookmarkStart w:id="169" w:name="_Toc140488500"/>
      <w:bookmarkStart w:id="170" w:name="_Toc140580492"/>
      <w:bookmarkStart w:id="171" w:name="_Toc140488501"/>
      <w:bookmarkStart w:id="172" w:name="_Toc140580493"/>
      <w:bookmarkStart w:id="173" w:name="_Toc140488502"/>
      <w:bookmarkStart w:id="174" w:name="_Toc140580494"/>
      <w:bookmarkStart w:id="175" w:name="_Toc140488503"/>
      <w:bookmarkStart w:id="176" w:name="_Toc140580495"/>
      <w:bookmarkStart w:id="177" w:name="_Toc140488586"/>
      <w:bookmarkStart w:id="178" w:name="_Toc140580578"/>
      <w:bookmarkStart w:id="179" w:name="_Toc140488587"/>
      <w:bookmarkStart w:id="180" w:name="_Toc140580579"/>
      <w:bookmarkStart w:id="181" w:name="_Toc140488588"/>
      <w:bookmarkStart w:id="182" w:name="_Toc140580580"/>
      <w:bookmarkStart w:id="183" w:name="_Toc140488642"/>
      <w:bookmarkStart w:id="184" w:name="_Toc140580634"/>
      <w:bookmarkStart w:id="185" w:name="_Toc140488643"/>
      <w:bookmarkStart w:id="186" w:name="_Toc140580635"/>
      <w:bookmarkStart w:id="187" w:name="_Toc140488644"/>
      <w:bookmarkStart w:id="188" w:name="_Toc140580636"/>
      <w:bookmarkStart w:id="189" w:name="_Toc140488645"/>
      <w:bookmarkStart w:id="190" w:name="_Toc140580637"/>
      <w:bookmarkStart w:id="191" w:name="_Toc140488646"/>
      <w:bookmarkStart w:id="192" w:name="_Toc140580638"/>
      <w:bookmarkStart w:id="193" w:name="_Toc140488663"/>
      <w:bookmarkStart w:id="194" w:name="_Toc140580655"/>
      <w:bookmarkStart w:id="195" w:name="_Toc140488664"/>
      <w:bookmarkStart w:id="196" w:name="_Toc140580656"/>
      <w:bookmarkStart w:id="197" w:name="_Toc140488665"/>
      <w:bookmarkStart w:id="198" w:name="_Toc140580657"/>
      <w:bookmarkStart w:id="199" w:name="_Toc140488666"/>
      <w:bookmarkStart w:id="200" w:name="_Toc140580658"/>
      <w:bookmarkStart w:id="201" w:name="_Toc140488667"/>
      <w:bookmarkStart w:id="202" w:name="_Toc140580659"/>
      <w:bookmarkStart w:id="203" w:name="_Toc140488668"/>
      <w:bookmarkStart w:id="204" w:name="_Toc140580660"/>
      <w:bookmarkStart w:id="205" w:name="_Toc140488679"/>
      <w:bookmarkStart w:id="206" w:name="_Toc140580671"/>
      <w:bookmarkStart w:id="207" w:name="_Toc140488800"/>
      <w:bookmarkStart w:id="208" w:name="_Toc140580792"/>
      <w:bookmarkStart w:id="209" w:name="_Toc140488801"/>
      <w:bookmarkStart w:id="210" w:name="_Toc140580793"/>
      <w:bookmarkStart w:id="211" w:name="_Toc140488802"/>
      <w:bookmarkStart w:id="212" w:name="_Toc140580794"/>
      <w:bookmarkStart w:id="213" w:name="_Toc140488812"/>
      <w:bookmarkStart w:id="214" w:name="_Toc140580804"/>
      <w:bookmarkStart w:id="215" w:name="_Toc140488934"/>
      <w:bookmarkStart w:id="216" w:name="_Toc140580926"/>
      <w:bookmarkStart w:id="217" w:name="_Toc140488935"/>
      <w:bookmarkStart w:id="218" w:name="_Toc140580927"/>
      <w:bookmarkStart w:id="219" w:name="_Toc140488936"/>
      <w:bookmarkStart w:id="220" w:name="_Toc140580928"/>
      <w:bookmarkStart w:id="221" w:name="_Toc140488958"/>
      <w:bookmarkStart w:id="222" w:name="_Toc140580950"/>
      <w:bookmarkStart w:id="223" w:name="_Toc12953914"/>
      <w:bookmarkStart w:id="224" w:name="_Toc19782947"/>
      <w:bookmarkStart w:id="225" w:name="_Toc142469569"/>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r w:rsidRPr="00C758B1">
        <w:rPr>
          <w:rFonts w:ascii="Lato" w:hAnsi="Lato"/>
        </w:rPr>
        <w:t>Wskaźnik N-1 na szczeblu krajowym</w:t>
      </w:r>
      <w:bookmarkEnd w:id="223"/>
      <w:bookmarkEnd w:id="224"/>
      <w:bookmarkEnd w:id="225"/>
    </w:p>
    <w:p w14:paraId="3B4F466C" w14:textId="77777777" w:rsidR="00B03DBA" w:rsidRPr="00C758B1" w:rsidRDefault="00C7771E" w:rsidP="000A5326">
      <w:pPr>
        <w:pStyle w:val="Rozdzia3"/>
        <w:rPr>
          <w:rFonts w:ascii="Lato" w:hAnsi="Lato"/>
        </w:rPr>
      </w:pPr>
      <w:bookmarkStart w:id="226" w:name="_Toc12953915"/>
      <w:bookmarkStart w:id="227" w:name="_Toc19782948"/>
      <w:bookmarkStart w:id="228" w:name="_Toc142469570"/>
      <w:r w:rsidRPr="00C758B1">
        <w:rPr>
          <w:rFonts w:ascii="Lato" w:hAnsi="Lato"/>
        </w:rPr>
        <w:t>Wska</w:t>
      </w:r>
      <w:r w:rsidRPr="00C758B1">
        <w:rPr>
          <w:rFonts w:ascii="Lato" w:hAnsi="Lato" w:cs="Calibri"/>
        </w:rPr>
        <w:t>ź</w:t>
      </w:r>
      <w:r w:rsidRPr="00C758B1">
        <w:rPr>
          <w:rFonts w:ascii="Lato" w:hAnsi="Lato"/>
        </w:rPr>
        <w:t>nik N-1 dla systemu gazu ziemnego wysokometanowego</w:t>
      </w:r>
      <w:bookmarkEnd w:id="226"/>
      <w:bookmarkEnd w:id="227"/>
      <w:bookmarkEnd w:id="228"/>
    </w:p>
    <w:p w14:paraId="6B4D634A" w14:textId="00522F1F" w:rsidR="00B03DBA" w:rsidRPr="008830DE" w:rsidRDefault="00C7771E" w:rsidP="008830DE">
      <w:pPr>
        <w:autoSpaceDE w:val="0"/>
        <w:autoSpaceDN w:val="0"/>
        <w:adjustRightInd w:val="0"/>
        <w:spacing w:after="60" w:line="276" w:lineRule="auto"/>
        <w:rPr>
          <w:rFonts w:ascii="Lato" w:eastAsia="Malgun Gothic" w:hAnsi="Lato"/>
          <w:szCs w:val="24"/>
        </w:rPr>
      </w:pPr>
      <w:r w:rsidRPr="00C758B1">
        <w:rPr>
          <w:rFonts w:ascii="Lato" w:hAnsi="Lato"/>
        </w:rPr>
        <w:tab/>
      </w:r>
      <w:r w:rsidR="008830DE" w:rsidRPr="008830DE">
        <w:rPr>
          <w:rFonts w:ascii="Lato" w:eastAsia="Malgun Gothic" w:hAnsi="Lato"/>
          <w:szCs w:val="24"/>
        </w:rPr>
        <w:t xml:space="preserve">Z punktu widzenia polskiego systemu przesyłowego, obiektem stanowiącym największą pojedynczą infrastrukturę gazową jest wejście do systemu z kierunku Baltic Pipe (w ujęciu technicznym awaria może dotyczyć zarówno gazociągu podmorskiego, terminalu odbiorczego po stronie </w:t>
      </w:r>
      <w:r w:rsidR="008830DE">
        <w:rPr>
          <w:rFonts w:ascii="Lato" w:eastAsia="Malgun Gothic" w:hAnsi="Lato"/>
          <w:szCs w:val="24"/>
        </w:rPr>
        <w:t>polskiej</w:t>
      </w:r>
      <w:r w:rsidR="008830DE" w:rsidRPr="008830DE">
        <w:rPr>
          <w:rFonts w:ascii="Lato" w:eastAsia="Malgun Gothic" w:hAnsi="Lato"/>
          <w:szCs w:val="24"/>
        </w:rPr>
        <w:t xml:space="preserve"> w Konarzewie, jak i gazociągów, które rozprowadzają gaz ziemny w kierunku węzłów Płoty oraz Reszki).</w:t>
      </w:r>
      <w:r w:rsidR="008830DE">
        <w:rPr>
          <w:rFonts w:ascii="Lato" w:eastAsia="Malgun Gothic" w:hAnsi="Lato"/>
          <w:szCs w:val="24"/>
        </w:rPr>
        <w:t xml:space="preserve"> </w:t>
      </w:r>
      <w:r w:rsidRPr="00D1163A">
        <w:rPr>
          <w:rFonts w:ascii="Lato" w:hAnsi="Lato"/>
        </w:rPr>
        <w:t>Poni</w:t>
      </w:r>
      <w:r w:rsidRPr="00D1163A">
        <w:rPr>
          <w:rFonts w:ascii="Lato" w:hAnsi="Lato" w:cs="Calibri"/>
        </w:rPr>
        <w:t>ż</w:t>
      </w:r>
      <w:r w:rsidRPr="00D1163A">
        <w:rPr>
          <w:rFonts w:ascii="Lato" w:hAnsi="Lato"/>
        </w:rPr>
        <w:t>ej zaprezentowano wyliczenia wska</w:t>
      </w:r>
      <w:r w:rsidRPr="00D1163A">
        <w:rPr>
          <w:rFonts w:ascii="Lato" w:hAnsi="Lato" w:cs="Calibri"/>
        </w:rPr>
        <w:t>ź</w:t>
      </w:r>
      <w:r w:rsidRPr="00D1163A">
        <w:rPr>
          <w:rFonts w:ascii="Lato" w:hAnsi="Lato"/>
        </w:rPr>
        <w:t>nika N-1 na szczeblu krajowym</w:t>
      </w:r>
      <w:r w:rsidR="00185C3C">
        <w:rPr>
          <w:rFonts w:ascii="Lato" w:hAnsi="Lato"/>
        </w:rPr>
        <w:t>.</w:t>
      </w:r>
      <w:r w:rsidRPr="00D1163A">
        <w:rPr>
          <w:rFonts w:ascii="Lato" w:hAnsi="Lato"/>
        </w:rPr>
        <w:t xml:space="preserve"> Dane dotycz</w:t>
      </w:r>
      <w:r w:rsidRPr="00D1163A">
        <w:rPr>
          <w:rFonts w:ascii="Lato" w:hAnsi="Lato" w:cs="Calibri"/>
        </w:rPr>
        <w:t>ą</w:t>
      </w:r>
      <w:r w:rsidRPr="00D1163A">
        <w:rPr>
          <w:rFonts w:ascii="Lato" w:hAnsi="Lato"/>
        </w:rPr>
        <w:t>ce zdolno</w:t>
      </w:r>
      <w:r w:rsidRPr="00D1163A">
        <w:rPr>
          <w:rFonts w:ascii="Lato" w:hAnsi="Lato" w:cs="Calibri"/>
        </w:rPr>
        <w:t>ś</w:t>
      </w:r>
      <w:r w:rsidRPr="00D1163A">
        <w:rPr>
          <w:rFonts w:ascii="Lato" w:hAnsi="Lato"/>
        </w:rPr>
        <w:t xml:space="preserve">ci odbioru z instalacji magazynowych przy całkowitym </w:t>
      </w:r>
      <w:r w:rsidR="00185C3C">
        <w:rPr>
          <w:rFonts w:ascii="Lato" w:hAnsi="Lato"/>
        </w:rPr>
        <w:t xml:space="preserve">ich </w:t>
      </w:r>
      <w:r w:rsidRPr="00D1163A">
        <w:rPr>
          <w:rFonts w:ascii="Lato" w:hAnsi="Lato"/>
        </w:rPr>
        <w:t>napełnieniu oraz przy napełnieniu na poziomie zapasów obowi</w:t>
      </w:r>
      <w:r w:rsidRPr="00D1163A">
        <w:rPr>
          <w:rFonts w:ascii="Lato" w:hAnsi="Lato" w:cs="Calibri"/>
        </w:rPr>
        <w:t>ą</w:t>
      </w:r>
      <w:r w:rsidRPr="00D1163A">
        <w:rPr>
          <w:rFonts w:ascii="Lato" w:hAnsi="Lato"/>
        </w:rPr>
        <w:t>zkowych pochodz</w:t>
      </w:r>
      <w:r w:rsidRPr="00D1163A">
        <w:rPr>
          <w:rFonts w:ascii="Lato" w:hAnsi="Lato" w:cs="Calibri"/>
        </w:rPr>
        <w:t>ą</w:t>
      </w:r>
      <w:r w:rsidRPr="00D1163A">
        <w:rPr>
          <w:rFonts w:ascii="Lato" w:hAnsi="Lato"/>
        </w:rPr>
        <w:t xml:space="preserve"> z informacji pozyskanych od OSM.</w:t>
      </w:r>
    </w:p>
    <w:p w14:paraId="12E707B8" w14:textId="6A86E44D" w:rsidR="00B03DBA" w:rsidRPr="004D6A74" w:rsidRDefault="00C7771E" w:rsidP="000A5326">
      <w:pPr>
        <w:pStyle w:val="Tabela"/>
        <w:spacing w:before="120" w:after="120"/>
        <w:rPr>
          <w:rFonts w:ascii="Lato" w:hAnsi="Lato"/>
        </w:rPr>
      </w:pPr>
      <w:r w:rsidRPr="004D6A74">
        <w:rPr>
          <w:rFonts w:ascii="Lato" w:hAnsi="Lato"/>
        </w:rPr>
        <w:t xml:space="preserve">Tabela </w:t>
      </w:r>
      <w:r w:rsidR="002C139B">
        <w:rPr>
          <w:rFonts w:ascii="Lato" w:hAnsi="Lato"/>
        </w:rPr>
        <w:t>5</w:t>
      </w:r>
      <w:r w:rsidRPr="004D6A74">
        <w:rPr>
          <w:rFonts w:ascii="Lato" w:hAnsi="Lato"/>
        </w:rPr>
        <w:t>. Wskaźnik N-1 dla systemu gazu ziemnego wysokometanowego</w:t>
      </w:r>
    </w:p>
    <w:tbl>
      <w:tblPr>
        <w:tblW w:w="8665" w:type="dxa"/>
        <w:jc w:val="center"/>
        <w:tblLayout w:type="fixed"/>
        <w:tblCellMar>
          <w:left w:w="70" w:type="dxa"/>
          <w:right w:w="70" w:type="dxa"/>
        </w:tblCellMar>
        <w:tblLook w:val="00A0" w:firstRow="1" w:lastRow="0" w:firstColumn="1" w:lastColumn="0" w:noHBand="0" w:noVBand="0"/>
      </w:tblPr>
      <w:tblGrid>
        <w:gridCol w:w="2400"/>
        <w:gridCol w:w="2410"/>
        <w:gridCol w:w="3193"/>
        <w:gridCol w:w="662"/>
      </w:tblGrid>
      <w:tr w:rsidR="00AE5E42" w:rsidRPr="00C758B1" w14:paraId="0179AFA6" w14:textId="77777777">
        <w:trPr>
          <w:trHeight w:val="107"/>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vAlign w:val="center"/>
          </w:tcPr>
          <w:p w14:paraId="00CBEFBF" w14:textId="77777777" w:rsidR="00AE5E42" w:rsidRPr="004D6A74" w:rsidRDefault="00AE5E42" w:rsidP="00983C18">
            <w:pPr>
              <w:spacing w:line="276" w:lineRule="auto"/>
              <w:jc w:val="center"/>
              <w:rPr>
                <w:rFonts w:ascii="Lato" w:eastAsia="Malgun Gothic" w:hAnsi="Lato"/>
                <w:sz w:val="20"/>
                <w:szCs w:val="20"/>
              </w:rPr>
            </w:pPr>
            <w:r w:rsidRPr="004D6A74">
              <w:rPr>
                <w:rFonts w:ascii="Lato" w:eastAsia="Malgun Gothic" w:hAnsi="Lato"/>
                <w:sz w:val="20"/>
                <w:szCs w:val="20"/>
              </w:rPr>
              <w:t>Współczynnik</w:t>
            </w:r>
          </w:p>
        </w:tc>
        <w:tc>
          <w:tcPr>
            <w:tcW w:w="2410" w:type="dxa"/>
            <w:tcBorders>
              <w:top w:val="single" w:sz="8" w:space="0" w:color="auto"/>
              <w:left w:val="single" w:sz="8" w:space="0" w:color="auto"/>
              <w:bottom w:val="single" w:sz="8" w:space="0" w:color="auto"/>
              <w:right w:val="single" w:sz="4" w:space="0" w:color="auto"/>
            </w:tcBorders>
            <w:shd w:val="clear" w:color="auto" w:fill="D9D9D9"/>
            <w:vAlign w:val="center"/>
          </w:tcPr>
          <w:p w14:paraId="2AB91515" w14:textId="77777777" w:rsidR="00AE5E42" w:rsidRPr="004D6A74" w:rsidRDefault="00AE5E42" w:rsidP="000A5326">
            <w:pPr>
              <w:spacing w:after="0" w:line="276" w:lineRule="auto"/>
              <w:jc w:val="center"/>
              <w:rPr>
                <w:rFonts w:ascii="Lato" w:eastAsia="Malgun Gothic" w:hAnsi="Lato"/>
                <w:sz w:val="20"/>
                <w:szCs w:val="20"/>
              </w:rPr>
            </w:pPr>
            <w:r w:rsidRPr="004D6A74">
              <w:rPr>
                <w:rFonts w:ascii="Lato" w:eastAsia="Malgun Gothic" w:hAnsi="Lato"/>
                <w:b/>
                <w:bCs/>
                <w:sz w:val="20"/>
                <w:szCs w:val="20"/>
              </w:rPr>
              <w:t>Zdolno</w:t>
            </w:r>
            <w:r w:rsidRPr="004D6A74">
              <w:rPr>
                <w:rFonts w:ascii="Lato" w:eastAsia="Malgun Gothic" w:hAnsi="Lato" w:cs="Calibri"/>
                <w:b/>
                <w:bCs/>
                <w:sz w:val="20"/>
                <w:szCs w:val="20"/>
              </w:rPr>
              <w:t>ś</w:t>
            </w:r>
            <w:r w:rsidRPr="004D6A74">
              <w:rPr>
                <w:rFonts w:ascii="Lato" w:eastAsia="Malgun Gothic" w:hAnsi="Lato"/>
                <w:b/>
                <w:bCs/>
                <w:sz w:val="20"/>
                <w:szCs w:val="20"/>
              </w:rPr>
              <w:t>ci techniczne (PMG – 100%)</w:t>
            </w:r>
          </w:p>
        </w:tc>
        <w:tc>
          <w:tcPr>
            <w:tcW w:w="3193" w:type="dxa"/>
            <w:tcBorders>
              <w:top w:val="single" w:sz="4" w:space="0" w:color="auto"/>
              <w:left w:val="single" w:sz="4" w:space="0" w:color="auto"/>
              <w:bottom w:val="single" w:sz="4" w:space="0" w:color="auto"/>
              <w:right w:val="single" w:sz="4" w:space="0" w:color="auto"/>
            </w:tcBorders>
            <w:shd w:val="clear" w:color="auto" w:fill="D9D9D9"/>
            <w:vAlign w:val="center"/>
          </w:tcPr>
          <w:p w14:paraId="196A7DEE" w14:textId="77777777" w:rsidR="00AE5E42" w:rsidRPr="004D6A74" w:rsidRDefault="00AE5E42" w:rsidP="000A5326">
            <w:pPr>
              <w:spacing w:after="0" w:line="276" w:lineRule="auto"/>
              <w:jc w:val="center"/>
              <w:rPr>
                <w:rFonts w:ascii="Lato" w:eastAsia="Malgun Gothic" w:hAnsi="Lato"/>
                <w:b/>
                <w:bCs/>
                <w:sz w:val="20"/>
                <w:szCs w:val="20"/>
              </w:rPr>
            </w:pPr>
            <w:r w:rsidRPr="004D6A74">
              <w:rPr>
                <w:rFonts w:ascii="Lato" w:eastAsia="Malgun Gothic" w:hAnsi="Lato"/>
                <w:b/>
                <w:bCs/>
                <w:sz w:val="20"/>
                <w:szCs w:val="20"/>
              </w:rPr>
              <w:t>Zdolno</w:t>
            </w:r>
            <w:r w:rsidRPr="004D6A74">
              <w:rPr>
                <w:rFonts w:ascii="Lato" w:eastAsia="Malgun Gothic" w:hAnsi="Lato" w:cs="Calibri"/>
                <w:b/>
                <w:bCs/>
                <w:sz w:val="20"/>
                <w:szCs w:val="20"/>
              </w:rPr>
              <w:t>ś</w:t>
            </w:r>
            <w:r w:rsidRPr="004D6A74">
              <w:rPr>
                <w:rFonts w:ascii="Lato" w:eastAsia="Malgun Gothic" w:hAnsi="Lato"/>
                <w:b/>
                <w:bCs/>
                <w:sz w:val="20"/>
                <w:szCs w:val="20"/>
              </w:rPr>
              <w:t xml:space="preserve">ci techniczne (PMG </w:t>
            </w:r>
            <w:r w:rsidRPr="004D6A74">
              <w:rPr>
                <w:rFonts w:ascii="Lato" w:eastAsia="Malgun Gothic" w:hAnsi="Lato" w:cs="Malgun Gothic"/>
                <w:b/>
                <w:bCs/>
                <w:sz w:val="20"/>
                <w:szCs w:val="20"/>
              </w:rPr>
              <w:t>–</w:t>
            </w:r>
            <w:r w:rsidRPr="004D6A74">
              <w:rPr>
                <w:rFonts w:ascii="Lato" w:eastAsia="Malgun Gothic" w:hAnsi="Lato"/>
                <w:b/>
                <w:bCs/>
                <w:sz w:val="20"/>
                <w:szCs w:val="20"/>
              </w:rPr>
              <w:t xml:space="preserve"> poziom zapas</w:t>
            </w:r>
            <w:r w:rsidRPr="004D6A74">
              <w:rPr>
                <w:rFonts w:ascii="Lato" w:eastAsia="Malgun Gothic" w:hAnsi="Lato" w:cs="Malgun Gothic"/>
                <w:b/>
                <w:bCs/>
                <w:sz w:val="20"/>
                <w:szCs w:val="20"/>
              </w:rPr>
              <w:t>ó</w:t>
            </w:r>
            <w:r w:rsidRPr="004D6A74">
              <w:rPr>
                <w:rFonts w:ascii="Lato" w:eastAsia="Malgun Gothic" w:hAnsi="Lato"/>
                <w:b/>
                <w:bCs/>
                <w:sz w:val="20"/>
                <w:szCs w:val="20"/>
              </w:rPr>
              <w:t>w obowi</w:t>
            </w:r>
            <w:r w:rsidRPr="004D6A74">
              <w:rPr>
                <w:rFonts w:ascii="Lato" w:eastAsia="Malgun Gothic" w:hAnsi="Lato" w:cs="Calibri"/>
                <w:b/>
                <w:bCs/>
                <w:sz w:val="20"/>
                <w:szCs w:val="20"/>
              </w:rPr>
              <w:t>ą</w:t>
            </w:r>
            <w:r w:rsidRPr="004D6A74">
              <w:rPr>
                <w:rFonts w:ascii="Lato" w:eastAsia="Malgun Gothic" w:hAnsi="Lato"/>
                <w:b/>
                <w:bCs/>
                <w:sz w:val="20"/>
                <w:szCs w:val="20"/>
              </w:rPr>
              <w:t>zkowych 2022/2023)</w:t>
            </w:r>
          </w:p>
        </w:tc>
        <w:tc>
          <w:tcPr>
            <w:tcW w:w="662" w:type="dxa"/>
            <w:tcBorders>
              <w:left w:val="single" w:sz="4" w:space="0" w:color="auto"/>
            </w:tcBorders>
            <w:vAlign w:val="center"/>
          </w:tcPr>
          <w:p w14:paraId="256DD463" w14:textId="77777777" w:rsidR="00AE5E42" w:rsidRPr="00C758B1" w:rsidRDefault="00AE5E42" w:rsidP="00983C18">
            <w:pPr>
              <w:spacing w:line="276" w:lineRule="auto"/>
              <w:jc w:val="center"/>
              <w:rPr>
                <w:rFonts w:ascii="Lato" w:eastAsia="Malgun Gothic" w:hAnsi="Lato"/>
                <w:sz w:val="20"/>
                <w:szCs w:val="20"/>
              </w:rPr>
            </w:pPr>
          </w:p>
        </w:tc>
      </w:tr>
      <w:tr w:rsidR="00AE5E42" w:rsidRPr="00C758B1" w14:paraId="0EA2870D" w14:textId="77777777">
        <w:trPr>
          <w:gridAfter w:val="1"/>
          <w:wAfter w:w="662" w:type="dxa"/>
          <w:trHeight w:val="107"/>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vAlign w:val="center"/>
          </w:tcPr>
          <w:p w14:paraId="34542EB0" w14:textId="77777777" w:rsidR="00AE5E42" w:rsidRPr="004D6A74" w:rsidRDefault="00AE5E42" w:rsidP="00983C18">
            <w:pPr>
              <w:spacing w:line="276" w:lineRule="auto"/>
              <w:jc w:val="center"/>
              <w:rPr>
                <w:rFonts w:ascii="Lato" w:eastAsia="Malgun Gothic" w:hAnsi="Lato"/>
                <w:sz w:val="20"/>
                <w:szCs w:val="20"/>
              </w:rPr>
            </w:pPr>
            <w:r w:rsidRPr="004D6A74">
              <w:rPr>
                <w:rFonts w:ascii="Lato" w:eastAsia="Malgun Gothic" w:hAnsi="Lato"/>
                <w:sz w:val="20"/>
                <w:szCs w:val="20"/>
              </w:rPr>
              <w:t>EP</w:t>
            </w:r>
            <w:r w:rsidRPr="004D6A74">
              <w:rPr>
                <w:rFonts w:ascii="Lato" w:eastAsia="Malgun Gothic" w:hAnsi="Lato"/>
                <w:sz w:val="20"/>
                <w:szCs w:val="20"/>
                <w:vertAlign w:val="subscript"/>
              </w:rPr>
              <w:t>m</w:t>
            </w:r>
          </w:p>
        </w:tc>
        <w:tc>
          <w:tcPr>
            <w:tcW w:w="2410" w:type="dxa"/>
            <w:tcBorders>
              <w:top w:val="single" w:sz="8" w:space="0" w:color="auto"/>
              <w:left w:val="single" w:sz="8" w:space="0" w:color="auto"/>
              <w:bottom w:val="single" w:sz="8" w:space="0" w:color="auto"/>
              <w:right w:val="single" w:sz="8" w:space="0" w:color="auto"/>
            </w:tcBorders>
            <w:vAlign w:val="center"/>
          </w:tcPr>
          <w:p w14:paraId="1C8FDAB0" w14:textId="77777777" w:rsidR="00AE5E42" w:rsidRPr="004D6A74" w:rsidRDefault="00AE5E42" w:rsidP="00983C18">
            <w:pPr>
              <w:spacing w:line="276" w:lineRule="auto"/>
              <w:jc w:val="center"/>
              <w:rPr>
                <w:rFonts w:ascii="Lato" w:eastAsia="Malgun Gothic" w:hAnsi="Lato"/>
                <w:sz w:val="20"/>
                <w:szCs w:val="20"/>
              </w:rPr>
            </w:pPr>
            <w:r w:rsidRPr="004D6A74">
              <w:rPr>
                <w:rFonts w:ascii="Lato" w:eastAsia="Malgun Gothic" w:hAnsi="Lato"/>
                <w:sz w:val="20"/>
                <w:szCs w:val="20"/>
              </w:rPr>
              <w:t>92,1</w:t>
            </w:r>
          </w:p>
        </w:tc>
        <w:tc>
          <w:tcPr>
            <w:tcW w:w="3193" w:type="dxa"/>
            <w:tcBorders>
              <w:top w:val="single" w:sz="4" w:space="0" w:color="auto"/>
              <w:left w:val="single" w:sz="8" w:space="0" w:color="auto"/>
              <w:bottom w:val="single" w:sz="8" w:space="0" w:color="auto"/>
              <w:right w:val="single" w:sz="8" w:space="0" w:color="auto"/>
            </w:tcBorders>
            <w:vAlign w:val="center"/>
          </w:tcPr>
          <w:p w14:paraId="55C556DF" w14:textId="77777777" w:rsidR="00AE5E42" w:rsidRPr="004D6A74" w:rsidRDefault="00AE5E42" w:rsidP="00983C18">
            <w:pPr>
              <w:spacing w:line="276" w:lineRule="auto"/>
              <w:jc w:val="center"/>
              <w:rPr>
                <w:rFonts w:ascii="Lato" w:eastAsia="Malgun Gothic" w:hAnsi="Lato"/>
                <w:sz w:val="20"/>
                <w:szCs w:val="20"/>
              </w:rPr>
            </w:pPr>
            <w:r w:rsidRPr="004D6A74">
              <w:rPr>
                <w:rFonts w:ascii="Lato" w:eastAsia="Malgun Gothic" w:hAnsi="Lato"/>
                <w:sz w:val="20"/>
                <w:szCs w:val="20"/>
              </w:rPr>
              <w:t>92,1</w:t>
            </w:r>
          </w:p>
        </w:tc>
      </w:tr>
      <w:tr w:rsidR="00AE5E42" w:rsidRPr="00C758B1" w14:paraId="2115F557" w14:textId="77777777">
        <w:trPr>
          <w:gridAfter w:val="1"/>
          <w:wAfter w:w="662" w:type="dxa"/>
          <w:trHeight w:val="107"/>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vAlign w:val="center"/>
          </w:tcPr>
          <w:p w14:paraId="0C23AFA1" w14:textId="77777777" w:rsidR="00AE5E42" w:rsidRPr="004D6A74" w:rsidRDefault="00AE5E42" w:rsidP="00983C18">
            <w:pPr>
              <w:spacing w:line="276" w:lineRule="auto"/>
              <w:jc w:val="center"/>
              <w:rPr>
                <w:rFonts w:ascii="Lato" w:eastAsia="Malgun Gothic" w:hAnsi="Lato"/>
                <w:sz w:val="20"/>
                <w:szCs w:val="20"/>
              </w:rPr>
            </w:pPr>
            <w:r w:rsidRPr="004D6A74">
              <w:rPr>
                <w:rFonts w:ascii="Lato" w:eastAsia="Malgun Gothic" w:hAnsi="Lato"/>
                <w:sz w:val="20"/>
                <w:szCs w:val="20"/>
              </w:rPr>
              <w:t>S</w:t>
            </w:r>
            <w:r w:rsidRPr="004D6A74">
              <w:rPr>
                <w:rFonts w:ascii="Lato" w:eastAsia="Malgun Gothic" w:hAnsi="Lato"/>
                <w:sz w:val="20"/>
                <w:szCs w:val="20"/>
                <w:vertAlign w:val="subscript"/>
              </w:rPr>
              <w:t>m</w:t>
            </w:r>
          </w:p>
        </w:tc>
        <w:tc>
          <w:tcPr>
            <w:tcW w:w="2410" w:type="dxa"/>
            <w:tcBorders>
              <w:top w:val="single" w:sz="8" w:space="0" w:color="auto"/>
              <w:left w:val="single" w:sz="8" w:space="0" w:color="auto"/>
              <w:bottom w:val="single" w:sz="8" w:space="0" w:color="auto"/>
              <w:right w:val="single" w:sz="8" w:space="0" w:color="auto"/>
            </w:tcBorders>
            <w:vAlign w:val="center"/>
          </w:tcPr>
          <w:p w14:paraId="501565EA" w14:textId="77777777" w:rsidR="00AE5E42" w:rsidRPr="004D6A74" w:rsidRDefault="00AE5E42" w:rsidP="00983C18">
            <w:pPr>
              <w:spacing w:line="276" w:lineRule="auto"/>
              <w:jc w:val="center"/>
              <w:rPr>
                <w:rFonts w:ascii="Lato" w:eastAsia="Malgun Gothic" w:hAnsi="Lato"/>
                <w:sz w:val="20"/>
                <w:szCs w:val="20"/>
              </w:rPr>
            </w:pPr>
            <w:r w:rsidRPr="004D6A74">
              <w:rPr>
                <w:rFonts w:ascii="Lato" w:eastAsia="Malgun Gothic" w:hAnsi="Lato"/>
                <w:sz w:val="20"/>
                <w:szCs w:val="20"/>
              </w:rPr>
              <w:t>53,5</w:t>
            </w:r>
          </w:p>
        </w:tc>
        <w:tc>
          <w:tcPr>
            <w:tcW w:w="3193" w:type="dxa"/>
            <w:tcBorders>
              <w:top w:val="single" w:sz="8" w:space="0" w:color="auto"/>
              <w:left w:val="single" w:sz="8" w:space="0" w:color="auto"/>
              <w:bottom w:val="single" w:sz="8" w:space="0" w:color="auto"/>
              <w:right w:val="single" w:sz="8" w:space="0" w:color="auto"/>
            </w:tcBorders>
            <w:vAlign w:val="center"/>
          </w:tcPr>
          <w:p w14:paraId="5FF3A536" w14:textId="77777777" w:rsidR="00AE5E42" w:rsidRPr="004D6A74" w:rsidRDefault="00AE5E42" w:rsidP="00983C18">
            <w:pPr>
              <w:spacing w:line="276" w:lineRule="auto"/>
              <w:jc w:val="center"/>
              <w:rPr>
                <w:rFonts w:ascii="Lato" w:eastAsia="Malgun Gothic" w:hAnsi="Lato"/>
                <w:sz w:val="20"/>
                <w:szCs w:val="20"/>
              </w:rPr>
            </w:pPr>
            <w:r w:rsidRPr="004D6A74">
              <w:rPr>
                <w:rFonts w:ascii="Lato" w:eastAsia="Malgun Gothic" w:hAnsi="Lato"/>
                <w:sz w:val="20"/>
                <w:szCs w:val="20"/>
              </w:rPr>
              <w:t>44,9</w:t>
            </w:r>
          </w:p>
        </w:tc>
      </w:tr>
      <w:tr w:rsidR="00AE5E42" w:rsidRPr="00C758B1" w14:paraId="78C34433" w14:textId="77777777">
        <w:trPr>
          <w:gridAfter w:val="1"/>
          <w:wAfter w:w="662" w:type="dxa"/>
          <w:trHeight w:val="56"/>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vAlign w:val="center"/>
          </w:tcPr>
          <w:p w14:paraId="6271D395" w14:textId="77777777" w:rsidR="00AE5E42" w:rsidRPr="004D6A74" w:rsidRDefault="00AE5E42" w:rsidP="00983C18">
            <w:pPr>
              <w:spacing w:line="276" w:lineRule="auto"/>
              <w:jc w:val="center"/>
              <w:rPr>
                <w:rFonts w:ascii="Lato" w:eastAsia="Malgun Gothic" w:hAnsi="Lato"/>
                <w:sz w:val="20"/>
                <w:szCs w:val="20"/>
              </w:rPr>
            </w:pPr>
            <w:r w:rsidRPr="004D6A74">
              <w:rPr>
                <w:rFonts w:ascii="Lato" w:eastAsia="Malgun Gothic" w:hAnsi="Lato"/>
                <w:sz w:val="20"/>
                <w:szCs w:val="20"/>
              </w:rPr>
              <w:t>P</w:t>
            </w:r>
            <w:r w:rsidRPr="004D6A74">
              <w:rPr>
                <w:rFonts w:ascii="Lato" w:eastAsia="Malgun Gothic" w:hAnsi="Lato"/>
                <w:sz w:val="20"/>
                <w:szCs w:val="20"/>
                <w:vertAlign w:val="subscript"/>
              </w:rPr>
              <w:t>m</w:t>
            </w:r>
          </w:p>
        </w:tc>
        <w:tc>
          <w:tcPr>
            <w:tcW w:w="2410" w:type="dxa"/>
            <w:tcBorders>
              <w:top w:val="single" w:sz="8" w:space="0" w:color="auto"/>
              <w:left w:val="single" w:sz="8" w:space="0" w:color="auto"/>
              <w:bottom w:val="single" w:sz="8" w:space="0" w:color="auto"/>
              <w:right w:val="single" w:sz="8" w:space="0" w:color="auto"/>
            </w:tcBorders>
            <w:vAlign w:val="center"/>
          </w:tcPr>
          <w:p w14:paraId="43CEF82F" w14:textId="77777777" w:rsidR="00AE5E42" w:rsidRPr="004D6A74" w:rsidRDefault="00AE5E42" w:rsidP="00983C18">
            <w:pPr>
              <w:spacing w:line="276" w:lineRule="auto"/>
              <w:jc w:val="center"/>
              <w:rPr>
                <w:rFonts w:ascii="Lato" w:eastAsia="Malgun Gothic" w:hAnsi="Lato"/>
                <w:sz w:val="20"/>
                <w:szCs w:val="20"/>
              </w:rPr>
            </w:pPr>
            <w:r w:rsidRPr="004D6A74">
              <w:rPr>
                <w:rFonts w:ascii="Lato" w:eastAsia="Malgun Gothic" w:hAnsi="Lato"/>
                <w:sz w:val="20"/>
                <w:szCs w:val="20"/>
              </w:rPr>
              <w:t>5,9</w:t>
            </w:r>
          </w:p>
        </w:tc>
        <w:tc>
          <w:tcPr>
            <w:tcW w:w="3193" w:type="dxa"/>
            <w:tcBorders>
              <w:top w:val="single" w:sz="8" w:space="0" w:color="auto"/>
              <w:left w:val="single" w:sz="8" w:space="0" w:color="auto"/>
              <w:bottom w:val="single" w:sz="8" w:space="0" w:color="auto"/>
              <w:right w:val="single" w:sz="8" w:space="0" w:color="auto"/>
            </w:tcBorders>
            <w:vAlign w:val="center"/>
          </w:tcPr>
          <w:p w14:paraId="761402FB" w14:textId="77777777" w:rsidR="00AE5E42" w:rsidRPr="004D6A74" w:rsidRDefault="00AE5E42" w:rsidP="00983C18">
            <w:pPr>
              <w:spacing w:line="276" w:lineRule="auto"/>
              <w:jc w:val="center"/>
              <w:rPr>
                <w:rFonts w:ascii="Lato" w:eastAsia="Malgun Gothic" w:hAnsi="Lato"/>
                <w:sz w:val="20"/>
                <w:szCs w:val="20"/>
              </w:rPr>
            </w:pPr>
            <w:r w:rsidRPr="004D6A74">
              <w:rPr>
                <w:rFonts w:ascii="Lato" w:eastAsia="Malgun Gothic" w:hAnsi="Lato"/>
                <w:sz w:val="20"/>
                <w:szCs w:val="20"/>
              </w:rPr>
              <w:t>5,9</w:t>
            </w:r>
          </w:p>
        </w:tc>
      </w:tr>
      <w:tr w:rsidR="00AE5E42" w:rsidRPr="00C758B1" w14:paraId="0695B707" w14:textId="77777777">
        <w:trPr>
          <w:gridAfter w:val="1"/>
          <w:wAfter w:w="662" w:type="dxa"/>
          <w:trHeight w:val="107"/>
          <w:jc w:val="center"/>
        </w:trPr>
        <w:tc>
          <w:tcPr>
            <w:tcW w:w="2400" w:type="dxa"/>
            <w:tcBorders>
              <w:top w:val="nil"/>
              <w:left w:val="single" w:sz="8" w:space="0" w:color="auto"/>
              <w:bottom w:val="single" w:sz="8" w:space="0" w:color="auto"/>
              <w:right w:val="single" w:sz="8" w:space="0" w:color="auto"/>
            </w:tcBorders>
            <w:shd w:val="clear" w:color="auto" w:fill="D9D9D9"/>
            <w:vAlign w:val="center"/>
          </w:tcPr>
          <w:p w14:paraId="761C63D1" w14:textId="77777777" w:rsidR="00AE5E42" w:rsidRPr="004D6A74" w:rsidRDefault="00AE5E42" w:rsidP="00983C18">
            <w:pPr>
              <w:spacing w:line="276" w:lineRule="auto"/>
              <w:jc w:val="center"/>
              <w:rPr>
                <w:rFonts w:ascii="Lato" w:eastAsia="Malgun Gothic" w:hAnsi="Lato"/>
                <w:sz w:val="20"/>
                <w:szCs w:val="20"/>
              </w:rPr>
            </w:pPr>
            <w:r w:rsidRPr="004D6A74">
              <w:rPr>
                <w:rFonts w:ascii="Lato" w:eastAsia="Malgun Gothic" w:hAnsi="Lato"/>
                <w:sz w:val="20"/>
                <w:szCs w:val="20"/>
              </w:rPr>
              <w:t>LNG</w:t>
            </w:r>
            <w:r w:rsidRPr="004D6A74">
              <w:rPr>
                <w:rFonts w:ascii="Lato" w:eastAsia="Malgun Gothic" w:hAnsi="Lato"/>
                <w:sz w:val="20"/>
                <w:szCs w:val="20"/>
                <w:vertAlign w:val="subscript"/>
              </w:rPr>
              <w:t>m</w:t>
            </w:r>
          </w:p>
        </w:tc>
        <w:tc>
          <w:tcPr>
            <w:tcW w:w="2410" w:type="dxa"/>
            <w:tcBorders>
              <w:top w:val="nil"/>
              <w:left w:val="single" w:sz="8" w:space="0" w:color="auto"/>
              <w:bottom w:val="single" w:sz="8" w:space="0" w:color="auto"/>
              <w:right w:val="single" w:sz="8" w:space="0" w:color="auto"/>
            </w:tcBorders>
            <w:vAlign w:val="center"/>
          </w:tcPr>
          <w:p w14:paraId="3A2E3C8A" w14:textId="77777777" w:rsidR="00AE5E42" w:rsidRPr="004D6A74" w:rsidRDefault="00AE5E42" w:rsidP="00983C18">
            <w:pPr>
              <w:spacing w:line="276" w:lineRule="auto"/>
              <w:jc w:val="center"/>
              <w:rPr>
                <w:rFonts w:ascii="Lato" w:eastAsia="Malgun Gothic" w:hAnsi="Lato"/>
                <w:sz w:val="20"/>
                <w:szCs w:val="20"/>
              </w:rPr>
            </w:pPr>
            <w:r w:rsidRPr="004D6A74">
              <w:rPr>
                <w:rFonts w:ascii="Lato" w:eastAsia="Malgun Gothic" w:hAnsi="Lato"/>
                <w:sz w:val="20"/>
                <w:szCs w:val="20"/>
              </w:rPr>
              <w:t>19,7</w:t>
            </w:r>
          </w:p>
        </w:tc>
        <w:tc>
          <w:tcPr>
            <w:tcW w:w="3193" w:type="dxa"/>
            <w:tcBorders>
              <w:top w:val="nil"/>
              <w:left w:val="single" w:sz="8" w:space="0" w:color="auto"/>
              <w:bottom w:val="single" w:sz="8" w:space="0" w:color="auto"/>
              <w:right w:val="single" w:sz="8" w:space="0" w:color="auto"/>
            </w:tcBorders>
            <w:vAlign w:val="center"/>
          </w:tcPr>
          <w:p w14:paraId="1AD55E77" w14:textId="77777777" w:rsidR="00AE5E42" w:rsidRPr="004D6A74" w:rsidRDefault="00AE5E42" w:rsidP="00983C18">
            <w:pPr>
              <w:spacing w:line="276" w:lineRule="auto"/>
              <w:jc w:val="center"/>
              <w:rPr>
                <w:rFonts w:ascii="Lato" w:eastAsia="Malgun Gothic" w:hAnsi="Lato"/>
                <w:sz w:val="20"/>
                <w:szCs w:val="20"/>
              </w:rPr>
            </w:pPr>
            <w:r w:rsidRPr="004D6A74">
              <w:rPr>
                <w:rFonts w:ascii="Lato" w:eastAsia="Malgun Gothic" w:hAnsi="Lato"/>
                <w:sz w:val="20"/>
                <w:szCs w:val="20"/>
              </w:rPr>
              <w:t>19,7</w:t>
            </w:r>
          </w:p>
        </w:tc>
      </w:tr>
      <w:tr w:rsidR="00AE5E42" w:rsidRPr="00C758B1" w14:paraId="42B0256D" w14:textId="77777777">
        <w:trPr>
          <w:gridAfter w:val="1"/>
          <w:wAfter w:w="662" w:type="dxa"/>
          <w:trHeight w:val="107"/>
          <w:jc w:val="center"/>
        </w:trPr>
        <w:tc>
          <w:tcPr>
            <w:tcW w:w="2400" w:type="dxa"/>
            <w:tcBorders>
              <w:top w:val="nil"/>
              <w:left w:val="single" w:sz="8" w:space="0" w:color="auto"/>
              <w:bottom w:val="single" w:sz="8" w:space="0" w:color="auto"/>
              <w:right w:val="single" w:sz="8" w:space="0" w:color="auto"/>
            </w:tcBorders>
            <w:shd w:val="clear" w:color="auto" w:fill="D9D9D9"/>
            <w:vAlign w:val="center"/>
          </w:tcPr>
          <w:p w14:paraId="389B3912" w14:textId="77777777" w:rsidR="00AE5E42" w:rsidRPr="004D6A74" w:rsidRDefault="00AE5E42" w:rsidP="00983C18">
            <w:pPr>
              <w:spacing w:line="276" w:lineRule="auto"/>
              <w:jc w:val="center"/>
              <w:rPr>
                <w:rFonts w:ascii="Lato" w:eastAsia="Malgun Gothic" w:hAnsi="Lato"/>
                <w:sz w:val="20"/>
                <w:szCs w:val="20"/>
              </w:rPr>
            </w:pPr>
            <w:r w:rsidRPr="004D6A74">
              <w:rPr>
                <w:rFonts w:ascii="Lato" w:eastAsia="Malgun Gothic" w:hAnsi="Lato"/>
                <w:sz w:val="20"/>
                <w:szCs w:val="20"/>
              </w:rPr>
              <w:t>I</w:t>
            </w:r>
            <w:r w:rsidRPr="004D6A74">
              <w:rPr>
                <w:rFonts w:ascii="Lato" w:eastAsia="Malgun Gothic" w:hAnsi="Lato"/>
                <w:sz w:val="20"/>
                <w:szCs w:val="20"/>
                <w:vertAlign w:val="subscript"/>
              </w:rPr>
              <w:t xml:space="preserve">m – </w:t>
            </w:r>
            <w:r w:rsidRPr="004D6A74">
              <w:rPr>
                <w:rFonts w:ascii="Lato" w:eastAsia="Malgun Gothic" w:hAnsi="Lato"/>
                <w:sz w:val="20"/>
                <w:szCs w:val="20"/>
              </w:rPr>
              <w:t xml:space="preserve">FAXE (Baltic Pipe) </w:t>
            </w:r>
          </w:p>
        </w:tc>
        <w:tc>
          <w:tcPr>
            <w:tcW w:w="2410" w:type="dxa"/>
            <w:tcBorders>
              <w:top w:val="nil"/>
              <w:left w:val="single" w:sz="8" w:space="0" w:color="auto"/>
              <w:bottom w:val="single" w:sz="8" w:space="0" w:color="auto"/>
              <w:right w:val="single" w:sz="8" w:space="0" w:color="auto"/>
            </w:tcBorders>
            <w:vAlign w:val="center"/>
          </w:tcPr>
          <w:p w14:paraId="35E943DA" w14:textId="77777777" w:rsidR="00AE5E42" w:rsidRPr="004D6A74" w:rsidRDefault="00AE5E42" w:rsidP="00983C18">
            <w:pPr>
              <w:spacing w:line="276" w:lineRule="auto"/>
              <w:jc w:val="center"/>
              <w:rPr>
                <w:rFonts w:ascii="Lato" w:eastAsia="Malgun Gothic" w:hAnsi="Lato"/>
                <w:sz w:val="20"/>
                <w:szCs w:val="20"/>
              </w:rPr>
            </w:pPr>
            <w:r w:rsidRPr="004D6A74">
              <w:rPr>
                <w:rFonts w:ascii="Lato" w:eastAsia="Malgun Gothic" w:hAnsi="Lato"/>
                <w:sz w:val="20"/>
                <w:szCs w:val="20"/>
              </w:rPr>
              <w:t>27,4</w:t>
            </w:r>
          </w:p>
        </w:tc>
        <w:tc>
          <w:tcPr>
            <w:tcW w:w="3193" w:type="dxa"/>
            <w:tcBorders>
              <w:top w:val="nil"/>
              <w:left w:val="single" w:sz="8" w:space="0" w:color="auto"/>
              <w:bottom w:val="single" w:sz="8" w:space="0" w:color="auto"/>
              <w:right w:val="single" w:sz="8" w:space="0" w:color="auto"/>
            </w:tcBorders>
            <w:vAlign w:val="center"/>
          </w:tcPr>
          <w:p w14:paraId="50DCD3A4" w14:textId="77777777" w:rsidR="00AE5E42" w:rsidRPr="004D6A74" w:rsidRDefault="00AE5E42" w:rsidP="00983C18">
            <w:pPr>
              <w:spacing w:line="276" w:lineRule="auto"/>
              <w:jc w:val="center"/>
              <w:rPr>
                <w:rFonts w:ascii="Lato" w:eastAsia="Malgun Gothic" w:hAnsi="Lato"/>
                <w:sz w:val="20"/>
                <w:szCs w:val="20"/>
              </w:rPr>
            </w:pPr>
            <w:r w:rsidRPr="004D6A74">
              <w:rPr>
                <w:rFonts w:ascii="Lato" w:eastAsia="Malgun Gothic" w:hAnsi="Lato"/>
                <w:sz w:val="20"/>
                <w:szCs w:val="20"/>
              </w:rPr>
              <w:t>27,4</w:t>
            </w:r>
          </w:p>
        </w:tc>
      </w:tr>
      <w:tr w:rsidR="00AE5E42" w:rsidRPr="00C758B1" w14:paraId="15CAFFD1" w14:textId="77777777">
        <w:trPr>
          <w:gridAfter w:val="1"/>
          <w:wAfter w:w="662" w:type="dxa"/>
          <w:trHeight w:val="107"/>
          <w:jc w:val="center"/>
        </w:trPr>
        <w:tc>
          <w:tcPr>
            <w:tcW w:w="2400" w:type="dxa"/>
            <w:tcBorders>
              <w:top w:val="nil"/>
              <w:left w:val="single" w:sz="8" w:space="0" w:color="auto"/>
              <w:bottom w:val="single" w:sz="8" w:space="0" w:color="auto"/>
              <w:right w:val="single" w:sz="8" w:space="0" w:color="auto"/>
            </w:tcBorders>
            <w:shd w:val="clear" w:color="auto" w:fill="D9D9D9"/>
            <w:vAlign w:val="center"/>
          </w:tcPr>
          <w:p w14:paraId="7A98A12F" w14:textId="77777777" w:rsidR="00AE5E42" w:rsidRPr="004D6A74" w:rsidRDefault="00AE5E42" w:rsidP="00983C18">
            <w:pPr>
              <w:spacing w:line="276" w:lineRule="auto"/>
              <w:jc w:val="center"/>
              <w:rPr>
                <w:rFonts w:ascii="Lato" w:eastAsia="Malgun Gothic" w:hAnsi="Lato"/>
                <w:sz w:val="20"/>
                <w:szCs w:val="20"/>
              </w:rPr>
            </w:pPr>
            <w:r w:rsidRPr="004D6A74">
              <w:rPr>
                <w:rFonts w:ascii="Lato" w:eastAsia="Malgun Gothic" w:hAnsi="Lato"/>
                <w:sz w:val="20"/>
                <w:szCs w:val="20"/>
              </w:rPr>
              <w:t>D</w:t>
            </w:r>
            <w:r w:rsidRPr="004D6A74">
              <w:rPr>
                <w:rFonts w:ascii="Lato" w:eastAsia="Malgun Gothic" w:hAnsi="Lato"/>
                <w:sz w:val="20"/>
                <w:szCs w:val="20"/>
                <w:vertAlign w:val="subscript"/>
              </w:rPr>
              <w:t>max</w:t>
            </w:r>
          </w:p>
        </w:tc>
        <w:tc>
          <w:tcPr>
            <w:tcW w:w="2410" w:type="dxa"/>
            <w:tcBorders>
              <w:top w:val="nil"/>
              <w:left w:val="single" w:sz="8" w:space="0" w:color="auto"/>
              <w:bottom w:val="single" w:sz="8" w:space="0" w:color="auto"/>
              <w:right w:val="single" w:sz="8" w:space="0" w:color="auto"/>
            </w:tcBorders>
            <w:vAlign w:val="center"/>
          </w:tcPr>
          <w:p w14:paraId="4C6C7911" w14:textId="77777777" w:rsidR="00AE5E42" w:rsidRPr="004D6A74" w:rsidRDefault="00AE5E42" w:rsidP="00983C18">
            <w:pPr>
              <w:spacing w:line="276" w:lineRule="auto"/>
              <w:jc w:val="center"/>
              <w:rPr>
                <w:rFonts w:ascii="Lato" w:eastAsia="Malgun Gothic" w:hAnsi="Lato"/>
                <w:sz w:val="20"/>
                <w:szCs w:val="20"/>
              </w:rPr>
            </w:pPr>
            <w:r w:rsidRPr="004D6A74">
              <w:rPr>
                <w:rFonts w:ascii="Lato" w:eastAsia="Malgun Gothic" w:hAnsi="Lato"/>
                <w:sz w:val="20"/>
                <w:szCs w:val="20"/>
              </w:rPr>
              <w:t>100,3</w:t>
            </w:r>
          </w:p>
        </w:tc>
        <w:tc>
          <w:tcPr>
            <w:tcW w:w="3193" w:type="dxa"/>
            <w:tcBorders>
              <w:top w:val="nil"/>
              <w:left w:val="single" w:sz="8" w:space="0" w:color="auto"/>
              <w:bottom w:val="single" w:sz="8" w:space="0" w:color="auto"/>
              <w:right w:val="single" w:sz="8" w:space="0" w:color="auto"/>
            </w:tcBorders>
            <w:vAlign w:val="center"/>
          </w:tcPr>
          <w:p w14:paraId="786D57B7" w14:textId="77777777" w:rsidR="00AE5E42" w:rsidRPr="004D6A74" w:rsidRDefault="00AE5E42" w:rsidP="00983C18">
            <w:pPr>
              <w:spacing w:line="276" w:lineRule="auto"/>
              <w:jc w:val="center"/>
              <w:rPr>
                <w:rFonts w:ascii="Lato" w:eastAsia="Malgun Gothic" w:hAnsi="Lato"/>
                <w:sz w:val="20"/>
                <w:szCs w:val="20"/>
              </w:rPr>
            </w:pPr>
            <w:r w:rsidRPr="004D6A74">
              <w:rPr>
                <w:rFonts w:ascii="Lato" w:eastAsia="Malgun Gothic" w:hAnsi="Lato"/>
                <w:sz w:val="20"/>
                <w:szCs w:val="20"/>
              </w:rPr>
              <w:t>100,3</w:t>
            </w:r>
          </w:p>
        </w:tc>
      </w:tr>
      <w:tr w:rsidR="00AE5E42" w:rsidRPr="00C758B1" w14:paraId="1F2D483B" w14:textId="77777777">
        <w:trPr>
          <w:gridAfter w:val="1"/>
          <w:wAfter w:w="662" w:type="dxa"/>
          <w:trHeight w:val="107"/>
          <w:jc w:val="center"/>
        </w:trPr>
        <w:tc>
          <w:tcPr>
            <w:tcW w:w="2400" w:type="dxa"/>
            <w:tcBorders>
              <w:top w:val="nil"/>
              <w:left w:val="single" w:sz="8" w:space="0" w:color="auto"/>
              <w:bottom w:val="single" w:sz="8" w:space="0" w:color="auto"/>
              <w:right w:val="single" w:sz="8" w:space="0" w:color="auto"/>
            </w:tcBorders>
            <w:shd w:val="clear" w:color="auto" w:fill="D9D9D9"/>
            <w:vAlign w:val="center"/>
          </w:tcPr>
          <w:p w14:paraId="27C4C3FA" w14:textId="77777777" w:rsidR="00AE5E42" w:rsidRPr="004D6A74" w:rsidRDefault="00AE5E42" w:rsidP="00983C18">
            <w:pPr>
              <w:spacing w:line="276" w:lineRule="auto"/>
              <w:jc w:val="center"/>
              <w:rPr>
                <w:rFonts w:ascii="Lato" w:eastAsia="Malgun Gothic" w:hAnsi="Lato"/>
                <w:sz w:val="20"/>
                <w:szCs w:val="20"/>
              </w:rPr>
            </w:pPr>
            <w:r w:rsidRPr="004D6A74">
              <w:rPr>
                <w:rFonts w:ascii="Lato" w:eastAsia="Malgun Gothic" w:hAnsi="Lato"/>
                <w:sz w:val="20"/>
                <w:szCs w:val="20"/>
              </w:rPr>
              <w:t>N-1</w:t>
            </w:r>
          </w:p>
        </w:tc>
        <w:tc>
          <w:tcPr>
            <w:tcW w:w="2410" w:type="dxa"/>
            <w:tcBorders>
              <w:top w:val="nil"/>
              <w:left w:val="single" w:sz="8" w:space="0" w:color="auto"/>
              <w:bottom w:val="single" w:sz="8" w:space="0" w:color="auto"/>
              <w:right w:val="single" w:sz="8" w:space="0" w:color="auto"/>
            </w:tcBorders>
            <w:shd w:val="clear" w:color="auto" w:fill="D9D9D9"/>
            <w:vAlign w:val="center"/>
          </w:tcPr>
          <w:p w14:paraId="429F1980" w14:textId="77777777" w:rsidR="00AE5E42" w:rsidRPr="004D6A74" w:rsidRDefault="00AE5E42" w:rsidP="00983C18">
            <w:pPr>
              <w:spacing w:line="276" w:lineRule="auto"/>
              <w:jc w:val="center"/>
              <w:rPr>
                <w:rFonts w:ascii="Lato" w:eastAsia="Malgun Gothic" w:hAnsi="Lato"/>
                <w:sz w:val="20"/>
                <w:szCs w:val="20"/>
              </w:rPr>
            </w:pPr>
            <w:r w:rsidRPr="004D6A74">
              <w:rPr>
                <w:rFonts w:ascii="Lato" w:eastAsia="Malgun Gothic" w:hAnsi="Lato"/>
                <w:sz w:val="20"/>
                <w:szCs w:val="20"/>
              </w:rPr>
              <w:t>143,4%</w:t>
            </w:r>
          </w:p>
        </w:tc>
        <w:tc>
          <w:tcPr>
            <w:tcW w:w="3193" w:type="dxa"/>
            <w:tcBorders>
              <w:top w:val="nil"/>
              <w:left w:val="single" w:sz="8" w:space="0" w:color="auto"/>
              <w:bottom w:val="single" w:sz="8" w:space="0" w:color="auto"/>
              <w:right w:val="single" w:sz="8" w:space="0" w:color="auto"/>
            </w:tcBorders>
            <w:shd w:val="clear" w:color="auto" w:fill="D9D9D9"/>
            <w:vAlign w:val="center"/>
          </w:tcPr>
          <w:p w14:paraId="6CA20882" w14:textId="77777777" w:rsidR="00AE5E42" w:rsidRPr="004D6A74" w:rsidRDefault="00AE5E42" w:rsidP="00983C18">
            <w:pPr>
              <w:spacing w:line="276" w:lineRule="auto"/>
              <w:jc w:val="center"/>
              <w:rPr>
                <w:rFonts w:ascii="Lato" w:eastAsia="Malgun Gothic" w:hAnsi="Lato"/>
                <w:sz w:val="20"/>
                <w:szCs w:val="20"/>
              </w:rPr>
            </w:pPr>
            <w:r w:rsidRPr="004D6A74">
              <w:rPr>
                <w:rFonts w:ascii="Lato" w:eastAsia="Malgun Gothic" w:hAnsi="Lato"/>
                <w:sz w:val="20"/>
                <w:szCs w:val="20"/>
              </w:rPr>
              <w:t>134,8%</w:t>
            </w:r>
          </w:p>
        </w:tc>
      </w:tr>
    </w:tbl>
    <w:p w14:paraId="5A4A7CD5" w14:textId="53F14034" w:rsidR="00185C3C" w:rsidRPr="000A5326" w:rsidRDefault="00C7771E" w:rsidP="00CE63C5">
      <w:pPr>
        <w:spacing w:before="120" w:line="276" w:lineRule="auto"/>
        <w:rPr>
          <w:rFonts w:ascii="Lato" w:hAnsi="Lato"/>
          <w:i/>
          <w:sz w:val="22"/>
        </w:rPr>
      </w:pPr>
      <w:r w:rsidRPr="000A5326">
        <w:rPr>
          <w:rFonts w:ascii="Lato" w:hAnsi="Lato"/>
          <w:i/>
          <w:sz w:val="20"/>
          <w:szCs w:val="20"/>
        </w:rPr>
        <w:t>Źródło: Ocena ryzyka związanego z bezpieczeństwem dostaw gazu ziemnego do Polski</w:t>
      </w:r>
    </w:p>
    <w:p w14:paraId="78253B4F" w14:textId="379E0ED0" w:rsidR="00B03DBA" w:rsidRPr="00C758B1" w:rsidRDefault="00C7771E" w:rsidP="000A5326">
      <w:pPr>
        <w:pStyle w:val="Rozdzia3"/>
        <w:rPr>
          <w:rFonts w:ascii="Lato" w:hAnsi="Lato"/>
        </w:rPr>
      </w:pPr>
      <w:bookmarkStart w:id="229" w:name="_Toc18063886"/>
      <w:bookmarkStart w:id="230" w:name="_Toc18063887"/>
      <w:bookmarkStart w:id="231" w:name="_Toc384214643"/>
      <w:bookmarkStart w:id="232" w:name="_Toc461695433"/>
      <w:bookmarkStart w:id="233" w:name="_Toc463507868"/>
      <w:bookmarkStart w:id="234" w:name="_Toc11757039"/>
      <w:bookmarkStart w:id="235" w:name="_Toc12953916"/>
      <w:bookmarkStart w:id="236" w:name="_Toc19782949"/>
      <w:bookmarkStart w:id="237" w:name="_Toc142469571"/>
      <w:bookmarkEnd w:id="229"/>
      <w:bookmarkEnd w:id="230"/>
      <w:r w:rsidRPr="00C758B1">
        <w:rPr>
          <w:rFonts w:ascii="Lato" w:hAnsi="Lato"/>
        </w:rPr>
        <w:lastRenderedPageBreak/>
        <w:t>Wska</w:t>
      </w:r>
      <w:r w:rsidRPr="00C758B1">
        <w:rPr>
          <w:rFonts w:ascii="Lato" w:hAnsi="Lato" w:cs="Calibri"/>
        </w:rPr>
        <w:t>ź</w:t>
      </w:r>
      <w:r w:rsidRPr="00C758B1">
        <w:rPr>
          <w:rFonts w:ascii="Lato" w:hAnsi="Lato"/>
        </w:rPr>
        <w:t>nik N-1 dla systemu gazu zaazotowanego</w:t>
      </w:r>
      <w:bookmarkEnd w:id="231"/>
      <w:bookmarkEnd w:id="232"/>
      <w:bookmarkEnd w:id="233"/>
      <w:bookmarkEnd w:id="234"/>
      <w:bookmarkEnd w:id="235"/>
      <w:bookmarkEnd w:id="236"/>
      <w:bookmarkEnd w:id="237"/>
    </w:p>
    <w:p w14:paraId="65CA1D33" w14:textId="759A7549" w:rsidR="00AE5E42" w:rsidRPr="00D1163A" w:rsidRDefault="00C7771E" w:rsidP="008830DE">
      <w:pPr>
        <w:pStyle w:val="Rozdzia4"/>
        <w:spacing w:after="120"/>
        <w:rPr>
          <w:rFonts w:ascii="Lato" w:hAnsi="Lato"/>
        </w:rPr>
      </w:pPr>
      <w:r w:rsidRPr="00C758B1">
        <w:rPr>
          <w:rFonts w:ascii="Lato" w:hAnsi="Lato"/>
        </w:rPr>
        <w:t>System gazu ziemnego Lw</w:t>
      </w:r>
    </w:p>
    <w:p w14:paraId="77C9976C" w14:textId="7F64DAE1" w:rsidR="00B03DBA" w:rsidRPr="000A5326" w:rsidRDefault="00AE5E42" w:rsidP="000A5326">
      <w:pPr>
        <w:spacing w:before="240" w:line="276" w:lineRule="auto"/>
        <w:ind w:firstLine="567"/>
        <w:rPr>
          <w:rFonts w:ascii="Lato" w:eastAsia="Malgun Gothic" w:hAnsi="Lato"/>
        </w:rPr>
      </w:pPr>
      <w:r w:rsidRPr="6F8BE874">
        <w:rPr>
          <w:rFonts w:ascii="Lato" w:eastAsia="Malgun Gothic" w:hAnsi="Lato"/>
        </w:rPr>
        <w:t>Do obliczania technicznych zdolno</w:t>
      </w:r>
      <w:r w:rsidRPr="6F8BE874">
        <w:rPr>
          <w:rFonts w:ascii="Lato" w:eastAsia="Malgun Gothic" w:hAnsi="Lato" w:cs="Calibri"/>
        </w:rPr>
        <w:t>ś</w:t>
      </w:r>
      <w:r w:rsidRPr="6F8BE874">
        <w:rPr>
          <w:rFonts w:ascii="Lato" w:eastAsia="Malgun Gothic" w:hAnsi="Lato"/>
        </w:rPr>
        <w:t>ci infrastruktury do zaspokojenia zapotrzebowania na gaz ziemny zaazotowany Lw za największy e</w:t>
      </w:r>
      <w:r w:rsidRPr="6F8BE874">
        <w:rPr>
          <w:rFonts w:ascii="Lato" w:hAnsi="Lato" w:cs="Helv"/>
          <w:color w:val="000000" w:themeColor="text1"/>
        </w:rPr>
        <w:t>lement infrastruktury</w:t>
      </w:r>
      <w:r w:rsidR="008830DE" w:rsidRPr="6F8BE874">
        <w:rPr>
          <w:rFonts w:ascii="Lato" w:hAnsi="Lato" w:cs="Helv"/>
          <w:color w:val="000000" w:themeColor="text1"/>
        </w:rPr>
        <w:t>,</w:t>
      </w:r>
      <w:r w:rsidRPr="6F8BE874">
        <w:rPr>
          <w:rFonts w:ascii="Lato" w:hAnsi="Lato" w:cs="Helv"/>
          <w:color w:val="000000" w:themeColor="text1"/>
        </w:rPr>
        <w:t xml:space="preserve"> </w:t>
      </w:r>
      <w:r w:rsidRPr="6F8BE874">
        <w:rPr>
          <w:rFonts w:ascii="Lato" w:hAnsi="Lato"/>
          <w:color w:val="000000" w:themeColor="text1"/>
        </w:rPr>
        <w:t>posiadający największą zdolność zaopatrzenia obszaru analizowanego w gaz ziemny zaazotowany</w:t>
      </w:r>
      <w:r w:rsidR="008830DE" w:rsidRPr="6F8BE874">
        <w:rPr>
          <w:rFonts w:ascii="Lato" w:hAnsi="Lato"/>
          <w:color w:val="000000" w:themeColor="text1"/>
        </w:rPr>
        <w:t>,</w:t>
      </w:r>
      <w:r w:rsidRPr="6F8BE874">
        <w:rPr>
          <w:rFonts w:ascii="Lato" w:hAnsi="Lato"/>
          <w:color w:val="000000" w:themeColor="text1"/>
        </w:rPr>
        <w:t xml:space="preserve"> przyjęto złoże </w:t>
      </w:r>
      <w:r w:rsidRPr="6F8BE874">
        <w:rPr>
          <w:rFonts w:ascii="Lato" w:hAnsi="Lato"/>
        </w:rPr>
        <w:t>Kościan–Brońsko o zdolnościach wydobywczych na poziomie 3,1 mln m</w:t>
      </w:r>
      <w:r w:rsidRPr="6F8BE874">
        <w:rPr>
          <w:rFonts w:ascii="Lato" w:hAnsi="Lato"/>
          <w:vertAlign w:val="superscript"/>
        </w:rPr>
        <w:t>3</w:t>
      </w:r>
      <w:r w:rsidRPr="6F8BE874">
        <w:rPr>
          <w:rFonts w:ascii="Lato" w:hAnsi="Lato"/>
        </w:rPr>
        <w:t>/dobę (27,2 GWh/dobę)</w:t>
      </w:r>
      <w:r w:rsidR="008830DE" w:rsidRPr="6F8BE874">
        <w:rPr>
          <w:rFonts w:ascii="Lato" w:hAnsi="Lato"/>
        </w:rPr>
        <w:t>.</w:t>
      </w:r>
      <w:r w:rsidRPr="6F8BE874">
        <w:rPr>
          <w:rFonts w:ascii="Lato" w:hAnsi="Lato"/>
        </w:rPr>
        <w:t xml:space="preserve"> </w:t>
      </w:r>
      <w:r w:rsidR="008830DE" w:rsidRPr="6F8BE874">
        <w:rPr>
          <w:rFonts w:ascii="Lato" w:hAnsi="Lato"/>
        </w:rPr>
        <w:t>Jako</w:t>
      </w:r>
      <w:r w:rsidRPr="6F8BE874">
        <w:rPr>
          <w:rFonts w:ascii="Lato" w:eastAsia="Malgun Gothic" w:hAnsi="Lato"/>
        </w:rPr>
        <w:t xml:space="preserve"> sum</w:t>
      </w:r>
      <w:r w:rsidRPr="6F8BE874">
        <w:rPr>
          <w:rFonts w:ascii="Lato" w:eastAsia="Malgun Gothic" w:hAnsi="Lato" w:cs="Calibri"/>
        </w:rPr>
        <w:t>ę</w:t>
      </w:r>
      <w:r w:rsidRPr="6F8BE874">
        <w:rPr>
          <w:rFonts w:ascii="Lato" w:eastAsia="Malgun Gothic" w:hAnsi="Lato"/>
        </w:rPr>
        <w:t xml:space="preserve"> punkt</w:t>
      </w:r>
      <w:r w:rsidRPr="6F8BE874">
        <w:rPr>
          <w:rFonts w:ascii="Lato" w:eastAsia="Malgun Gothic" w:hAnsi="Lato" w:cs="Malgun Gothic"/>
        </w:rPr>
        <w:t>ó</w:t>
      </w:r>
      <w:r w:rsidRPr="6F8BE874">
        <w:rPr>
          <w:rFonts w:ascii="Lato" w:eastAsia="Malgun Gothic" w:hAnsi="Lato"/>
        </w:rPr>
        <w:t>w wej</w:t>
      </w:r>
      <w:r w:rsidRPr="6F8BE874">
        <w:rPr>
          <w:rFonts w:ascii="Lato" w:eastAsia="Malgun Gothic" w:hAnsi="Lato" w:cs="Calibri"/>
        </w:rPr>
        <w:t>ś</w:t>
      </w:r>
      <w:r w:rsidRPr="6F8BE874">
        <w:rPr>
          <w:rFonts w:ascii="Lato" w:eastAsia="Malgun Gothic" w:hAnsi="Lato"/>
        </w:rPr>
        <w:t>cia do systemu przyj</w:t>
      </w:r>
      <w:r w:rsidRPr="6F8BE874">
        <w:rPr>
          <w:rFonts w:ascii="Lato" w:eastAsia="Malgun Gothic" w:hAnsi="Lato" w:cs="Calibri"/>
        </w:rPr>
        <w:t>ę</w:t>
      </w:r>
      <w:r w:rsidRPr="6F8BE874">
        <w:rPr>
          <w:rFonts w:ascii="Lato" w:eastAsia="Malgun Gothic" w:hAnsi="Lato"/>
        </w:rPr>
        <w:t>to maksymalne zdolno</w:t>
      </w:r>
      <w:r w:rsidRPr="6F8BE874">
        <w:rPr>
          <w:rFonts w:ascii="Lato" w:eastAsia="Malgun Gothic" w:hAnsi="Lato" w:cs="Calibri"/>
        </w:rPr>
        <w:t>ś</w:t>
      </w:r>
      <w:r w:rsidRPr="6F8BE874">
        <w:rPr>
          <w:rFonts w:ascii="Lato" w:eastAsia="Malgun Gothic" w:hAnsi="Lato"/>
        </w:rPr>
        <w:t>ci dostaw gazu ziemnego Lw, które wynosz</w:t>
      </w:r>
      <w:r w:rsidRPr="6F8BE874">
        <w:rPr>
          <w:rFonts w:ascii="Lato" w:eastAsia="Malgun Gothic" w:hAnsi="Lato" w:cs="Calibri"/>
        </w:rPr>
        <w:t>ą</w:t>
      </w:r>
      <w:r w:rsidRPr="6F8BE874">
        <w:rPr>
          <w:rFonts w:ascii="Lato" w:eastAsia="Malgun Gothic" w:hAnsi="Lato"/>
        </w:rPr>
        <w:t xml:space="preserve"> ok. 7,8 mln m</w:t>
      </w:r>
      <w:r w:rsidRPr="6F8BE874">
        <w:rPr>
          <w:rFonts w:ascii="Lato" w:eastAsia="Malgun Gothic" w:hAnsi="Lato"/>
          <w:vertAlign w:val="superscript"/>
        </w:rPr>
        <w:t>3</w:t>
      </w:r>
      <w:r w:rsidRPr="6F8BE874">
        <w:rPr>
          <w:rFonts w:ascii="Lato" w:eastAsia="Malgun Gothic" w:hAnsi="Lato"/>
        </w:rPr>
        <w:t>/d</w:t>
      </w:r>
      <w:r w:rsidR="00185C3C" w:rsidRPr="6F8BE874">
        <w:rPr>
          <w:rFonts w:ascii="Lato" w:eastAsia="Malgun Gothic" w:hAnsi="Lato"/>
        </w:rPr>
        <w:t>obę</w:t>
      </w:r>
      <w:r w:rsidRPr="6F8BE874">
        <w:rPr>
          <w:rFonts w:ascii="Lato" w:eastAsia="Malgun Gothic" w:hAnsi="Lato"/>
        </w:rPr>
        <w:t xml:space="preserve"> (85,6 GWh/d</w:t>
      </w:r>
      <w:r w:rsidR="00185C3C" w:rsidRPr="6F8BE874">
        <w:rPr>
          <w:rFonts w:ascii="Lato" w:eastAsia="Malgun Gothic" w:hAnsi="Lato"/>
        </w:rPr>
        <w:t>obę</w:t>
      </w:r>
      <w:r w:rsidRPr="6F8BE874">
        <w:rPr>
          <w:rFonts w:ascii="Lato" w:eastAsia="Malgun Gothic" w:hAnsi="Lato"/>
        </w:rPr>
        <w:t>). Jako zdolno</w:t>
      </w:r>
      <w:r w:rsidRPr="6F8BE874">
        <w:rPr>
          <w:rFonts w:ascii="Lato" w:eastAsia="Malgun Gothic" w:hAnsi="Lato" w:cs="Calibri"/>
        </w:rPr>
        <w:t>ść</w:t>
      </w:r>
      <w:r w:rsidRPr="6F8BE874">
        <w:rPr>
          <w:rFonts w:ascii="Lato" w:eastAsia="Malgun Gothic" w:hAnsi="Lato"/>
        </w:rPr>
        <w:t xml:space="preserve"> magazynow</w:t>
      </w:r>
      <w:r w:rsidRPr="6F8BE874">
        <w:rPr>
          <w:rFonts w:ascii="Lato" w:eastAsia="Malgun Gothic" w:hAnsi="Lato" w:cs="Calibri"/>
        </w:rPr>
        <w:t>ą</w:t>
      </w:r>
      <w:r w:rsidRPr="6F8BE874">
        <w:rPr>
          <w:rFonts w:ascii="Lato" w:eastAsia="Malgun Gothic" w:hAnsi="Lato"/>
        </w:rPr>
        <w:t xml:space="preserve"> przyj</w:t>
      </w:r>
      <w:r w:rsidRPr="6F8BE874">
        <w:rPr>
          <w:rFonts w:ascii="Lato" w:eastAsia="Malgun Gothic" w:hAnsi="Lato" w:cs="Calibri"/>
        </w:rPr>
        <w:t>ę</w:t>
      </w:r>
      <w:r w:rsidRPr="6F8BE874">
        <w:rPr>
          <w:rFonts w:ascii="Lato" w:eastAsia="Malgun Gothic" w:hAnsi="Lato"/>
        </w:rPr>
        <w:t>to mo</w:t>
      </w:r>
      <w:r w:rsidRPr="6F8BE874">
        <w:rPr>
          <w:rFonts w:ascii="Lato" w:eastAsia="Malgun Gothic" w:hAnsi="Lato" w:cs="Calibri"/>
        </w:rPr>
        <w:t>ż</w:t>
      </w:r>
      <w:r w:rsidRPr="6F8BE874">
        <w:rPr>
          <w:rFonts w:ascii="Lato" w:eastAsia="Malgun Gothic" w:hAnsi="Lato"/>
        </w:rPr>
        <w:t>liwo</w:t>
      </w:r>
      <w:r w:rsidRPr="6F8BE874">
        <w:rPr>
          <w:rFonts w:ascii="Lato" w:eastAsia="Malgun Gothic" w:hAnsi="Lato" w:cs="Calibri"/>
        </w:rPr>
        <w:t>ś</w:t>
      </w:r>
      <w:r w:rsidRPr="6F8BE874">
        <w:rPr>
          <w:rFonts w:ascii="Lato" w:eastAsia="Malgun Gothic" w:hAnsi="Lato"/>
        </w:rPr>
        <w:t>ci techniczne odbioru gazu ziemnego z PMG Bonikowo, które wynosz</w:t>
      </w:r>
      <w:r w:rsidRPr="6F8BE874">
        <w:rPr>
          <w:rFonts w:ascii="Lato" w:eastAsia="Malgun Gothic" w:hAnsi="Lato" w:cs="Calibri"/>
        </w:rPr>
        <w:t>ą</w:t>
      </w:r>
      <w:r w:rsidRPr="6F8BE874">
        <w:rPr>
          <w:rFonts w:ascii="Lato" w:eastAsia="Malgun Gothic" w:hAnsi="Lato"/>
        </w:rPr>
        <w:t xml:space="preserve"> 2,4 mln m</w:t>
      </w:r>
      <w:r w:rsidRPr="6F8BE874">
        <w:rPr>
          <w:rFonts w:ascii="Lato" w:eastAsia="Malgun Gothic" w:hAnsi="Lato"/>
          <w:vertAlign w:val="superscript"/>
        </w:rPr>
        <w:t>3</w:t>
      </w:r>
      <w:r w:rsidRPr="6F8BE874">
        <w:rPr>
          <w:rFonts w:ascii="Lato" w:eastAsia="Malgun Gothic" w:hAnsi="Lato"/>
        </w:rPr>
        <w:t>/dob</w:t>
      </w:r>
      <w:r w:rsidRPr="6F8BE874">
        <w:rPr>
          <w:rFonts w:ascii="Lato" w:eastAsia="Malgun Gothic" w:hAnsi="Lato" w:cs="Calibri"/>
        </w:rPr>
        <w:t>ę</w:t>
      </w:r>
      <w:r w:rsidRPr="6F8BE874">
        <w:rPr>
          <w:rFonts w:ascii="Lato" w:eastAsia="Malgun Gothic" w:hAnsi="Lato"/>
        </w:rPr>
        <w:t xml:space="preserve"> (26,3 GWh/dob</w:t>
      </w:r>
      <w:r w:rsidRPr="6F8BE874">
        <w:rPr>
          <w:rFonts w:ascii="Lato" w:eastAsia="Malgun Gothic" w:hAnsi="Lato" w:cs="Calibri"/>
        </w:rPr>
        <w:t>ę</w:t>
      </w:r>
      <w:r w:rsidRPr="6F8BE874">
        <w:rPr>
          <w:rFonts w:ascii="Lato" w:eastAsia="Malgun Gothic" w:hAnsi="Lato"/>
        </w:rPr>
        <w:t>). Jako szczytowe zapotrzebowanie przyj</w:t>
      </w:r>
      <w:r w:rsidRPr="6F8BE874">
        <w:rPr>
          <w:rFonts w:ascii="Lato" w:eastAsia="Malgun Gothic" w:hAnsi="Lato" w:cs="Calibri"/>
        </w:rPr>
        <w:t>ę</w:t>
      </w:r>
      <w:r w:rsidRPr="6F8BE874">
        <w:rPr>
          <w:rFonts w:ascii="Lato" w:eastAsia="Malgun Gothic" w:hAnsi="Lato"/>
        </w:rPr>
        <w:t>to 5,0 mln m</w:t>
      </w:r>
      <w:r w:rsidRPr="6F8BE874">
        <w:rPr>
          <w:rFonts w:ascii="Lato" w:eastAsia="Malgun Gothic" w:hAnsi="Lato"/>
          <w:vertAlign w:val="superscript"/>
        </w:rPr>
        <w:t>3</w:t>
      </w:r>
      <w:r w:rsidRPr="6F8BE874">
        <w:rPr>
          <w:rFonts w:ascii="Lato" w:eastAsia="Malgun Gothic" w:hAnsi="Lato"/>
        </w:rPr>
        <w:t>/dob</w:t>
      </w:r>
      <w:r w:rsidRPr="6F8BE874">
        <w:rPr>
          <w:rFonts w:ascii="Lato" w:eastAsia="Malgun Gothic" w:hAnsi="Lato" w:cs="Calibri"/>
        </w:rPr>
        <w:t>ę</w:t>
      </w:r>
      <w:r w:rsidRPr="6F8BE874">
        <w:rPr>
          <w:rFonts w:ascii="Lato" w:eastAsia="Malgun Gothic" w:hAnsi="Lato"/>
        </w:rPr>
        <w:t xml:space="preserve"> (54,9 GWh/dob</w:t>
      </w:r>
      <w:r w:rsidRPr="6F8BE874">
        <w:rPr>
          <w:rFonts w:ascii="Lato" w:eastAsia="Malgun Gothic" w:hAnsi="Lato" w:cs="Calibri"/>
        </w:rPr>
        <w:t>ę</w:t>
      </w:r>
      <w:r w:rsidRPr="6F8BE874">
        <w:rPr>
          <w:rFonts w:ascii="Lato" w:eastAsia="Malgun Gothic" w:hAnsi="Lato"/>
        </w:rPr>
        <w:t>), które wyst</w:t>
      </w:r>
      <w:r w:rsidRPr="6F8BE874">
        <w:rPr>
          <w:rFonts w:ascii="Lato" w:eastAsia="Malgun Gothic" w:hAnsi="Lato" w:cs="Calibri"/>
        </w:rPr>
        <w:t>ą</w:t>
      </w:r>
      <w:r w:rsidRPr="6F8BE874">
        <w:rPr>
          <w:rFonts w:ascii="Lato" w:eastAsia="Malgun Gothic" w:hAnsi="Lato"/>
        </w:rPr>
        <w:t>pi</w:t>
      </w:r>
      <w:r w:rsidRPr="6F8BE874">
        <w:rPr>
          <w:rFonts w:ascii="Lato" w:eastAsia="Malgun Gothic" w:hAnsi="Lato" w:cs="Malgun Gothic"/>
        </w:rPr>
        <w:t>ł</w:t>
      </w:r>
      <w:r w:rsidRPr="6F8BE874">
        <w:rPr>
          <w:rFonts w:ascii="Lato" w:eastAsia="Malgun Gothic" w:hAnsi="Lato"/>
        </w:rPr>
        <w:t>o w dniu 7 lutego 2012 r.</w:t>
      </w:r>
    </w:p>
    <w:p w14:paraId="0BC30D5D" w14:textId="664F97F7" w:rsidR="00B03DBA" w:rsidRPr="004D6A74" w:rsidRDefault="00C7771E" w:rsidP="000A5326">
      <w:pPr>
        <w:pStyle w:val="Tabela"/>
        <w:spacing w:before="120" w:after="120"/>
        <w:rPr>
          <w:rFonts w:ascii="Lato" w:hAnsi="Lato"/>
        </w:rPr>
      </w:pPr>
      <w:r w:rsidRPr="004D6A74">
        <w:rPr>
          <w:rFonts w:ascii="Lato" w:hAnsi="Lato"/>
        </w:rPr>
        <w:t xml:space="preserve">Tabela </w:t>
      </w:r>
      <w:r w:rsidR="002C139B">
        <w:rPr>
          <w:rFonts w:ascii="Lato" w:hAnsi="Lato"/>
        </w:rPr>
        <w:t>6</w:t>
      </w:r>
      <w:r w:rsidRPr="004D6A74">
        <w:rPr>
          <w:rFonts w:ascii="Lato" w:hAnsi="Lato"/>
        </w:rPr>
        <w:t>. Wskaźnik N-1 dla systemu gazu ziemnego Lw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9"/>
        <w:gridCol w:w="1824"/>
      </w:tblGrid>
      <w:tr w:rsidR="00AE5E42" w:rsidRPr="00C758B1" w14:paraId="08DCB323" w14:textId="77777777" w:rsidTr="000A5326">
        <w:trPr>
          <w:jc w:val="center"/>
        </w:trPr>
        <w:tc>
          <w:tcPr>
            <w:tcW w:w="0" w:type="auto"/>
            <w:shd w:val="clear" w:color="auto" w:fill="D9D9D9"/>
            <w:vAlign w:val="center"/>
          </w:tcPr>
          <w:p w14:paraId="3D76316E" w14:textId="77777777" w:rsidR="00AE5E42" w:rsidRPr="00C758B1" w:rsidRDefault="00AE5E42" w:rsidP="00983C18">
            <w:pPr>
              <w:spacing w:line="276" w:lineRule="auto"/>
              <w:jc w:val="center"/>
              <w:rPr>
                <w:rFonts w:ascii="Lato" w:eastAsia="Malgun Gothic" w:hAnsi="Lato"/>
                <w:sz w:val="20"/>
                <w:szCs w:val="20"/>
              </w:rPr>
            </w:pPr>
            <w:r w:rsidRPr="00C758B1">
              <w:rPr>
                <w:rFonts w:ascii="Lato" w:eastAsia="Malgun Gothic" w:hAnsi="Lato"/>
                <w:sz w:val="20"/>
                <w:szCs w:val="20"/>
              </w:rPr>
              <w:t>Współczynnik</w:t>
            </w:r>
          </w:p>
        </w:tc>
        <w:tc>
          <w:tcPr>
            <w:tcW w:w="1824" w:type="dxa"/>
            <w:shd w:val="clear" w:color="auto" w:fill="D9D9D9"/>
            <w:vAlign w:val="center"/>
          </w:tcPr>
          <w:p w14:paraId="7A5314EF" w14:textId="77777777" w:rsidR="00AE5E42" w:rsidRPr="00C758B1" w:rsidRDefault="00AE5E42" w:rsidP="000A5326">
            <w:pPr>
              <w:spacing w:after="0" w:line="276" w:lineRule="auto"/>
              <w:jc w:val="center"/>
              <w:rPr>
                <w:rFonts w:ascii="Lato" w:eastAsia="Malgun Gothic" w:hAnsi="Lato"/>
                <w:sz w:val="20"/>
                <w:szCs w:val="20"/>
              </w:rPr>
            </w:pPr>
            <w:r w:rsidRPr="00C758B1">
              <w:rPr>
                <w:rFonts w:ascii="Lato" w:eastAsia="Malgun Gothic" w:hAnsi="Lato"/>
                <w:sz w:val="20"/>
                <w:szCs w:val="20"/>
              </w:rPr>
              <w:t>Warto</w:t>
            </w:r>
            <w:r w:rsidRPr="00C758B1">
              <w:rPr>
                <w:rFonts w:ascii="Lato" w:eastAsia="Malgun Gothic" w:hAnsi="Lato" w:cs="Calibri"/>
                <w:sz w:val="20"/>
                <w:szCs w:val="20"/>
              </w:rPr>
              <w:t>ść</w:t>
            </w:r>
            <w:r w:rsidRPr="00C758B1">
              <w:rPr>
                <w:rFonts w:ascii="Lato" w:eastAsia="Malgun Gothic" w:hAnsi="Lato"/>
                <w:sz w:val="20"/>
                <w:szCs w:val="20"/>
              </w:rPr>
              <w:t xml:space="preserve"> </w:t>
            </w:r>
          </w:p>
          <w:p w14:paraId="60571C11" w14:textId="77777777" w:rsidR="00AE5E42" w:rsidRPr="00C758B1" w:rsidRDefault="00AE5E42" w:rsidP="000A5326">
            <w:pPr>
              <w:spacing w:after="0" w:line="276" w:lineRule="auto"/>
              <w:jc w:val="center"/>
              <w:rPr>
                <w:rFonts w:ascii="Lato" w:eastAsia="Malgun Gothic" w:hAnsi="Lato"/>
                <w:sz w:val="20"/>
                <w:szCs w:val="20"/>
              </w:rPr>
            </w:pPr>
            <w:r w:rsidRPr="00C758B1">
              <w:rPr>
                <w:rFonts w:ascii="Lato" w:eastAsia="Malgun Gothic" w:hAnsi="Lato"/>
                <w:sz w:val="20"/>
                <w:szCs w:val="20"/>
              </w:rPr>
              <w:t>mln m</w:t>
            </w:r>
            <w:r w:rsidRPr="00C758B1">
              <w:rPr>
                <w:rFonts w:ascii="Lato" w:eastAsia="Malgun Gothic" w:hAnsi="Lato"/>
                <w:sz w:val="20"/>
                <w:szCs w:val="20"/>
                <w:vertAlign w:val="superscript"/>
              </w:rPr>
              <w:t>3</w:t>
            </w:r>
            <w:r w:rsidRPr="00C758B1">
              <w:rPr>
                <w:rFonts w:ascii="Lato" w:eastAsia="Malgun Gothic" w:hAnsi="Lato"/>
                <w:sz w:val="20"/>
                <w:szCs w:val="20"/>
              </w:rPr>
              <w:t>/dob</w:t>
            </w:r>
            <w:r w:rsidRPr="00C758B1">
              <w:rPr>
                <w:rFonts w:ascii="Lato" w:eastAsia="Malgun Gothic" w:hAnsi="Lato" w:cs="Calibri"/>
                <w:sz w:val="20"/>
                <w:szCs w:val="20"/>
              </w:rPr>
              <w:t>ę</w:t>
            </w:r>
          </w:p>
        </w:tc>
      </w:tr>
      <w:tr w:rsidR="00AE5E42" w:rsidRPr="00C758B1" w14:paraId="0F9DAF4E" w14:textId="77777777" w:rsidTr="000A5326">
        <w:trPr>
          <w:jc w:val="center"/>
        </w:trPr>
        <w:tc>
          <w:tcPr>
            <w:tcW w:w="0" w:type="auto"/>
            <w:vAlign w:val="center"/>
          </w:tcPr>
          <w:p w14:paraId="15D0FBF7" w14:textId="77777777" w:rsidR="00AE5E42" w:rsidRPr="00C758B1" w:rsidRDefault="00AE5E42" w:rsidP="00983C18">
            <w:pPr>
              <w:spacing w:line="276" w:lineRule="auto"/>
              <w:jc w:val="center"/>
              <w:rPr>
                <w:rFonts w:ascii="Lato" w:eastAsia="Malgun Gothic" w:hAnsi="Lato"/>
                <w:sz w:val="20"/>
                <w:szCs w:val="20"/>
              </w:rPr>
            </w:pPr>
            <w:r w:rsidRPr="00C758B1">
              <w:rPr>
                <w:rFonts w:ascii="Lato" w:eastAsia="Malgun Gothic" w:hAnsi="Lato"/>
                <w:sz w:val="20"/>
                <w:szCs w:val="20"/>
              </w:rPr>
              <w:t>EP</w:t>
            </w:r>
            <w:r w:rsidRPr="00C758B1">
              <w:rPr>
                <w:rFonts w:ascii="Lato" w:eastAsia="Malgun Gothic" w:hAnsi="Lato"/>
                <w:sz w:val="20"/>
                <w:szCs w:val="20"/>
                <w:vertAlign w:val="subscript"/>
              </w:rPr>
              <w:t>m</w:t>
            </w:r>
          </w:p>
        </w:tc>
        <w:tc>
          <w:tcPr>
            <w:tcW w:w="1824" w:type="dxa"/>
            <w:vAlign w:val="center"/>
          </w:tcPr>
          <w:p w14:paraId="0D5EF9B1" w14:textId="77777777" w:rsidR="00AE5E42" w:rsidRPr="00C758B1" w:rsidRDefault="00AE5E42" w:rsidP="00983C18">
            <w:pPr>
              <w:spacing w:line="276" w:lineRule="auto"/>
              <w:jc w:val="center"/>
              <w:rPr>
                <w:rFonts w:ascii="Lato" w:eastAsia="Malgun Gothic" w:hAnsi="Lato"/>
                <w:sz w:val="20"/>
                <w:szCs w:val="20"/>
              </w:rPr>
            </w:pPr>
            <w:r w:rsidRPr="00C758B1">
              <w:rPr>
                <w:rFonts w:ascii="Lato" w:eastAsia="Malgun Gothic" w:hAnsi="Lato"/>
                <w:sz w:val="20"/>
                <w:szCs w:val="20"/>
              </w:rPr>
              <w:t>0</w:t>
            </w:r>
          </w:p>
        </w:tc>
      </w:tr>
      <w:tr w:rsidR="00AE5E42" w:rsidRPr="00C758B1" w14:paraId="4DE84EE8" w14:textId="77777777" w:rsidTr="000A5326">
        <w:trPr>
          <w:jc w:val="center"/>
        </w:trPr>
        <w:tc>
          <w:tcPr>
            <w:tcW w:w="0" w:type="auto"/>
            <w:vAlign w:val="center"/>
          </w:tcPr>
          <w:p w14:paraId="2F5AF910" w14:textId="77777777" w:rsidR="00AE5E42" w:rsidRPr="00C758B1" w:rsidRDefault="00AE5E42" w:rsidP="00983C18">
            <w:pPr>
              <w:spacing w:line="276" w:lineRule="auto"/>
              <w:jc w:val="center"/>
              <w:rPr>
                <w:rFonts w:ascii="Lato" w:eastAsia="Malgun Gothic" w:hAnsi="Lato"/>
                <w:sz w:val="20"/>
                <w:szCs w:val="20"/>
              </w:rPr>
            </w:pPr>
            <w:r w:rsidRPr="00C758B1">
              <w:rPr>
                <w:rFonts w:ascii="Lato" w:eastAsia="Malgun Gothic" w:hAnsi="Lato"/>
                <w:sz w:val="20"/>
                <w:szCs w:val="20"/>
              </w:rPr>
              <w:t>S</w:t>
            </w:r>
            <w:r w:rsidRPr="00C758B1">
              <w:rPr>
                <w:rFonts w:ascii="Lato" w:eastAsia="Malgun Gothic" w:hAnsi="Lato"/>
                <w:sz w:val="20"/>
                <w:szCs w:val="20"/>
                <w:vertAlign w:val="subscript"/>
              </w:rPr>
              <w:t>m</w:t>
            </w:r>
          </w:p>
        </w:tc>
        <w:tc>
          <w:tcPr>
            <w:tcW w:w="1824" w:type="dxa"/>
            <w:vAlign w:val="center"/>
          </w:tcPr>
          <w:p w14:paraId="5011975B" w14:textId="77777777" w:rsidR="00AE5E42" w:rsidRPr="00C758B1" w:rsidRDefault="00AE5E42" w:rsidP="00983C18">
            <w:pPr>
              <w:spacing w:line="276" w:lineRule="auto"/>
              <w:jc w:val="center"/>
              <w:rPr>
                <w:rFonts w:ascii="Lato" w:eastAsia="Malgun Gothic" w:hAnsi="Lato"/>
                <w:sz w:val="20"/>
                <w:szCs w:val="20"/>
              </w:rPr>
            </w:pPr>
            <w:r w:rsidRPr="00C758B1">
              <w:rPr>
                <w:rFonts w:ascii="Lato" w:eastAsia="Malgun Gothic" w:hAnsi="Lato"/>
                <w:sz w:val="20"/>
                <w:szCs w:val="20"/>
              </w:rPr>
              <w:t>2,4</w:t>
            </w:r>
          </w:p>
        </w:tc>
      </w:tr>
      <w:tr w:rsidR="00AE5E42" w:rsidRPr="00C758B1" w14:paraId="0F2F0AC3" w14:textId="77777777" w:rsidTr="000A5326">
        <w:trPr>
          <w:jc w:val="center"/>
        </w:trPr>
        <w:tc>
          <w:tcPr>
            <w:tcW w:w="0" w:type="auto"/>
            <w:vAlign w:val="center"/>
          </w:tcPr>
          <w:p w14:paraId="6427F3BE" w14:textId="77777777" w:rsidR="00AE5E42" w:rsidRPr="00C758B1" w:rsidRDefault="00AE5E42" w:rsidP="00983C18">
            <w:pPr>
              <w:spacing w:line="276" w:lineRule="auto"/>
              <w:jc w:val="center"/>
              <w:rPr>
                <w:rFonts w:ascii="Lato" w:eastAsia="Malgun Gothic" w:hAnsi="Lato"/>
                <w:sz w:val="20"/>
                <w:szCs w:val="20"/>
              </w:rPr>
            </w:pPr>
            <w:r w:rsidRPr="00C758B1">
              <w:rPr>
                <w:rFonts w:ascii="Lato" w:eastAsia="Malgun Gothic" w:hAnsi="Lato"/>
                <w:sz w:val="20"/>
                <w:szCs w:val="20"/>
              </w:rPr>
              <w:t>P</w:t>
            </w:r>
            <w:r w:rsidRPr="00C758B1">
              <w:rPr>
                <w:rFonts w:ascii="Lato" w:eastAsia="Malgun Gothic" w:hAnsi="Lato"/>
                <w:sz w:val="20"/>
                <w:szCs w:val="20"/>
                <w:vertAlign w:val="subscript"/>
              </w:rPr>
              <w:t>m</w:t>
            </w:r>
          </w:p>
        </w:tc>
        <w:tc>
          <w:tcPr>
            <w:tcW w:w="1824" w:type="dxa"/>
            <w:vAlign w:val="center"/>
          </w:tcPr>
          <w:p w14:paraId="6BBEBB94" w14:textId="77777777" w:rsidR="00AE5E42" w:rsidRPr="00C758B1" w:rsidRDefault="00AE5E42" w:rsidP="00983C18">
            <w:pPr>
              <w:spacing w:line="276" w:lineRule="auto"/>
              <w:jc w:val="center"/>
              <w:rPr>
                <w:rFonts w:ascii="Lato" w:eastAsia="Malgun Gothic" w:hAnsi="Lato"/>
                <w:sz w:val="20"/>
                <w:szCs w:val="20"/>
              </w:rPr>
            </w:pPr>
            <w:r w:rsidRPr="00C758B1">
              <w:rPr>
                <w:rFonts w:ascii="Lato" w:eastAsia="Malgun Gothic" w:hAnsi="Lato"/>
                <w:sz w:val="20"/>
                <w:szCs w:val="20"/>
              </w:rPr>
              <w:t>7,8</w:t>
            </w:r>
          </w:p>
        </w:tc>
      </w:tr>
      <w:tr w:rsidR="00AE5E42" w:rsidRPr="00C758B1" w14:paraId="4FB26B2C" w14:textId="77777777" w:rsidTr="000A5326">
        <w:trPr>
          <w:jc w:val="center"/>
        </w:trPr>
        <w:tc>
          <w:tcPr>
            <w:tcW w:w="0" w:type="auto"/>
            <w:vAlign w:val="center"/>
          </w:tcPr>
          <w:p w14:paraId="1ABCA732" w14:textId="77777777" w:rsidR="00AE5E42" w:rsidRPr="00C758B1" w:rsidRDefault="00AE5E42" w:rsidP="00983C18">
            <w:pPr>
              <w:spacing w:line="276" w:lineRule="auto"/>
              <w:jc w:val="center"/>
              <w:rPr>
                <w:rFonts w:ascii="Lato" w:eastAsia="Malgun Gothic" w:hAnsi="Lato"/>
                <w:sz w:val="20"/>
                <w:szCs w:val="20"/>
              </w:rPr>
            </w:pPr>
            <w:r w:rsidRPr="00C758B1">
              <w:rPr>
                <w:rFonts w:ascii="Lato" w:eastAsia="Malgun Gothic" w:hAnsi="Lato"/>
                <w:sz w:val="20"/>
                <w:szCs w:val="20"/>
              </w:rPr>
              <w:t>LNG</w:t>
            </w:r>
            <w:r w:rsidRPr="00C758B1">
              <w:rPr>
                <w:rFonts w:ascii="Lato" w:eastAsia="Malgun Gothic" w:hAnsi="Lato"/>
                <w:sz w:val="20"/>
                <w:szCs w:val="20"/>
                <w:vertAlign w:val="subscript"/>
              </w:rPr>
              <w:t>m</w:t>
            </w:r>
          </w:p>
        </w:tc>
        <w:tc>
          <w:tcPr>
            <w:tcW w:w="1824" w:type="dxa"/>
            <w:vAlign w:val="center"/>
          </w:tcPr>
          <w:p w14:paraId="5266E029" w14:textId="77777777" w:rsidR="00AE5E42" w:rsidRPr="00C758B1" w:rsidRDefault="00AE5E42" w:rsidP="00983C18">
            <w:pPr>
              <w:spacing w:line="276" w:lineRule="auto"/>
              <w:jc w:val="center"/>
              <w:rPr>
                <w:rFonts w:ascii="Lato" w:eastAsia="Malgun Gothic" w:hAnsi="Lato"/>
                <w:sz w:val="20"/>
                <w:szCs w:val="20"/>
              </w:rPr>
            </w:pPr>
            <w:r w:rsidRPr="00C758B1">
              <w:rPr>
                <w:rFonts w:ascii="Lato" w:eastAsia="Malgun Gothic" w:hAnsi="Lato"/>
                <w:sz w:val="20"/>
                <w:szCs w:val="20"/>
              </w:rPr>
              <w:t>0</w:t>
            </w:r>
          </w:p>
        </w:tc>
      </w:tr>
      <w:tr w:rsidR="00AE5E42" w:rsidRPr="00C758B1" w14:paraId="471BF6EE" w14:textId="77777777" w:rsidTr="000A5326">
        <w:trPr>
          <w:jc w:val="center"/>
        </w:trPr>
        <w:tc>
          <w:tcPr>
            <w:tcW w:w="0" w:type="auto"/>
            <w:vAlign w:val="center"/>
          </w:tcPr>
          <w:p w14:paraId="0AC64E81" w14:textId="77777777" w:rsidR="00AE5E42" w:rsidRPr="00C758B1" w:rsidRDefault="00AE5E42" w:rsidP="00983C18">
            <w:pPr>
              <w:spacing w:line="276" w:lineRule="auto"/>
              <w:jc w:val="center"/>
              <w:rPr>
                <w:rFonts w:ascii="Lato" w:eastAsia="Malgun Gothic" w:hAnsi="Lato"/>
                <w:sz w:val="20"/>
                <w:szCs w:val="20"/>
              </w:rPr>
            </w:pPr>
            <w:r w:rsidRPr="00C758B1">
              <w:rPr>
                <w:rFonts w:ascii="Lato" w:eastAsia="Malgun Gothic" w:hAnsi="Lato"/>
                <w:sz w:val="20"/>
                <w:szCs w:val="20"/>
              </w:rPr>
              <w:t>I</w:t>
            </w:r>
            <w:r w:rsidRPr="00C758B1">
              <w:rPr>
                <w:rFonts w:ascii="Lato" w:eastAsia="Malgun Gothic" w:hAnsi="Lato"/>
                <w:sz w:val="20"/>
                <w:szCs w:val="20"/>
                <w:vertAlign w:val="subscript"/>
              </w:rPr>
              <w:t>m</w:t>
            </w:r>
          </w:p>
        </w:tc>
        <w:tc>
          <w:tcPr>
            <w:tcW w:w="1824" w:type="dxa"/>
            <w:vAlign w:val="center"/>
          </w:tcPr>
          <w:p w14:paraId="74BE6455" w14:textId="77777777" w:rsidR="00AE5E42" w:rsidRPr="00C758B1" w:rsidRDefault="00AE5E42" w:rsidP="00983C18">
            <w:pPr>
              <w:spacing w:line="276" w:lineRule="auto"/>
              <w:jc w:val="center"/>
              <w:rPr>
                <w:rFonts w:ascii="Lato" w:eastAsia="Malgun Gothic" w:hAnsi="Lato"/>
                <w:sz w:val="20"/>
                <w:szCs w:val="20"/>
              </w:rPr>
            </w:pPr>
            <w:r w:rsidRPr="00C758B1">
              <w:rPr>
                <w:rFonts w:ascii="Lato" w:eastAsia="Malgun Gothic" w:hAnsi="Lato"/>
                <w:sz w:val="20"/>
                <w:szCs w:val="20"/>
              </w:rPr>
              <w:t>3,5</w:t>
            </w:r>
          </w:p>
        </w:tc>
      </w:tr>
      <w:tr w:rsidR="00AE5E42" w:rsidRPr="00C758B1" w14:paraId="14E47607" w14:textId="77777777" w:rsidTr="000A5326">
        <w:trPr>
          <w:jc w:val="center"/>
        </w:trPr>
        <w:tc>
          <w:tcPr>
            <w:tcW w:w="0" w:type="auto"/>
            <w:tcBorders>
              <w:bottom w:val="double" w:sz="4" w:space="0" w:color="auto"/>
            </w:tcBorders>
            <w:vAlign w:val="center"/>
          </w:tcPr>
          <w:p w14:paraId="16DCF197" w14:textId="77777777" w:rsidR="00AE5E42" w:rsidRPr="00C758B1" w:rsidRDefault="00AE5E42" w:rsidP="00983C18">
            <w:pPr>
              <w:spacing w:line="276" w:lineRule="auto"/>
              <w:jc w:val="center"/>
              <w:rPr>
                <w:rFonts w:ascii="Lato" w:eastAsia="Malgun Gothic" w:hAnsi="Lato"/>
                <w:sz w:val="20"/>
                <w:szCs w:val="20"/>
              </w:rPr>
            </w:pPr>
            <w:r w:rsidRPr="00C758B1">
              <w:rPr>
                <w:rFonts w:ascii="Lato" w:eastAsia="Malgun Gothic" w:hAnsi="Lato"/>
                <w:sz w:val="20"/>
                <w:szCs w:val="20"/>
              </w:rPr>
              <w:t>D</w:t>
            </w:r>
            <w:r w:rsidRPr="00C758B1">
              <w:rPr>
                <w:rFonts w:ascii="Lato" w:eastAsia="Malgun Gothic" w:hAnsi="Lato"/>
                <w:sz w:val="20"/>
                <w:szCs w:val="20"/>
                <w:vertAlign w:val="subscript"/>
              </w:rPr>
              <w:t>max</w:t>
            </w:r>
          </w:p>
        </w:tc>
        <w:tc>
          <w:tcPr>
            <w:tcW w:w="1824" w:type="dxa"/>
            <w:tcBorders>
              <w:bottom w:val="double" w:sz="4" w:space="0" w:color="auto"/>
            </w:tcBorders>
            <w:vAlign w:val="center"/>
          </w:tcPr>
          <w:p w14:paraId="352CDB43" w14:textId="77777777" w:rsidR="00AE5E42" w:rsidRPr="00C758B1" w:rsidRDefault="00AE5E42" w:rsidP="00983C18">
            <w:pPr>
              <w:spacing w:line="276" w:lineRule="auto"/>
              <w:jc w:val="center"/>
              <w:rPr>
                <w:rFonts w:ascii="Lato" w:eastAsia="Malgun Gothic" w:hAnsi="Lato"/>
                <w:sz w:val="20"/>
                <w:szCs w:val="20"/>
              </w:rPr>
            </w:pPr>
            <w:r w:rsidRPr="00C758B1">
              <w:rPr>
                <w:rFonts w:ascii="Lato" w:eastAsia="Malgun Gothic" w:hAnsi="Lato"/>
                <w:sz w:val="20"/>
                <w:szCs w:val="20"/>
              </w:rPr>
              <w:t>5,0</w:t>
            </w:r>
          </w:p>
        </w:tc>
      </w:tr>
      <w:tr w:rsidR="00AE5E42" w:rsidRPr="00C758B1" w14:paraId="4CDD5334" w14:textId="77777777" w:rsidTr="000A5326">
        <w:trPr>
          <w:jc w:val="center"/>
        </w:trPr>
        <w:tc>
          <w:tcPr>
            <w:tcW w:w="0" w:type="auto"/>
            <w:tcBorders>
              <w:top w:val="double" w:sz="4" w:space="0" w:color="auto"/>
              <w:left w:val="double" w:sz="4" w:space="0" w:color="auto"/>
              <w:bottom w:val="double" w:sz="4" w:space="0" w:color="auto"/>
              <w:right w:val="double" w:sz="4" w:space="0" w:color="auto"/>
            </w:tcBorders>
            <w:shd w:val="clear" w:color="auto" w:fill="D9D9D9"/>
            <w:vAlign w:val="center"/>
          </w:tcPr>
          <w:p w14:paraId="1B90B879" w14:textId="77777777" w:rsidR="00AE5E42" w:rsidRPr="00C758B1" w:rsidRDefault="00AE5E42" w:rsidP="00983C18">
            <w:pPr>
              <w:spacing w:line="276" w:lineRule="auto"/>
              <w:jc w:val="center"/>
              <w:rPr>
                <w:rFonts w:ascii="Lato" w:eastAsia="Malgun Gothic" w:hAnsi="Lato"/>
                <w:sz w:val="20"/>
                <w:szCs w:val="20"/>
              </w:rPr>
            </w:pPr>
            <w:r w:rsidRPr="00C758B1">
              <w:rPr>
                <w:rFonts w:ascii="Lato" w:eastAsia="Malgun Gothic" w:hAnsi="Lato"/>
                <w:sz w:val="20"/>
                <w:szCs w:val="20"/>
              </w:rPr>
              <w:t>N-1</w:t>
            </w:r>
          </w:p>
        </w:tc>
        <w:tc>
          <w:tcPr>
            <w:tcW w:w="1824" w:type="dxa"/>
            <w:tcBorders>
              <w:top w:val="double" w:sz="4" w:space="0" w:color="auto"/>
              <w:left w:val="double" w:sz="4" w:space="0" w:color="auto"/>
              <w:bottom w:val="double" w:sz="4" w:space="0" w:color="auto"/>
              <w:right w:val="double" w:sz="4" w:space="0" w:color="auto"/>
            </w:tcBorders>
            <w:shd w:val="clear" w:color="auto" w:fill="D9D9D9"/>
            <w:vAlign w:val="center"/>
          </w:tcPr>
          <w:p w14:paraId="1A01A9D7" w14:textId="77777777" w:rsidR="00AE5E42" w:rsidRPr="00C758B1" w:rsidRDefault="00AE5E42" w:rsidP="00983C18">
            <w:pPr>
              <w:spacing w:line="276" w:lineRule="auto"/>
              <w:jc w:val="center"/>
              <w:rPr>
                <w:rFonts w:ascii="Lato" w:eastAsia="Malgun Gothic" w:hAnsi="Lato"/>
                <w:sz w:val="20"/>
                <w:szCs w:val="20"/>
              </w:rPr>
            </w:pPr>
            <w:r w:rsidRPr="00C758B1">
              <w:rPr>
                <w:rFonts w:ascii="Lato" w:eastAsia="Malgun Gothic" w:hAnsi="Lato"/>
                <w:sz w:val="20"/>
                <w:szCs w:val="20"/>
              </w:rPr>
              <w:t>134%</w:t>
            </w:r>
          </w:p>
        </w:tc>
      </w:tr>
    </w:tbl>
    <w:p w14:paraId="3ED32989" w14:textId="77777777" w:rsidR="00B03DBA" w:rsidRPr="00C758B1" w:rsidRDefault="00C7771E" w:rsidP="000A5326">
      <w:pPr>
        <w:pStyle w:val="Rozdzia3"/>
        <w:rPr>
          <w:rFonts w:ascii="Lato" w:hAnsi="Lato"/>
        </w:rPr>
      </w:pPr>
      <w:bookmarkStart w:id="238" w:name="_Toc142469572"/>
      <w:r w:rsidRPr="00C758B1">
        <w:rPr>
          <w:rFonts w:ascii="Lato" w:hAnsi="Lato"/>
        </w:rPr>
        <w:t>System gazu ziemnego Ls</w:t>
      </w:r>
      <w:bookmarkEnd w:id="238"/>
    </w:p>
    <w:p w14:paraId="765334FB" w14:textId="4CB0BF0A" w:rsidR="00086AFF" w:rsidRPr="004D7EBB" w:rsidRDefault="00C7771E" w:rsidP="004D7EBB">
      <w:pPr>
        <w:spacing w:line="276" w:lineRule="auto"/>
        <w:rPr>
          <w:rFonts w:ascii="Lato" w:hAnsi="Lato"/>
        </w:rPr>
      </w:pPr>
      <w:r w:rsidRPr="00D1163A">
        <w:rPr>
          <w:rFonts w:ascii="Lato" w:hAnsi="Lato"/>
        </w:rPr>
        <w:tab/>
      </w:r>
      <w:r w:rsidR="00AE5E42" w:rsidRPr="00D1163A">
        <w:rPr>
          <w:rFonts w:ascii="Lato" w:hAnsi="Lato"/>
        </w:rPr>
        <w:t>Do obliczania technicznych zdolności infrastruktury do zaspokojenia zapotrzebowania na gaz ziemny zaazotowany Ls za największy element infrastruktury</w:t>
      </w:r>
      <w:r w:rsidR="008830DE">
        <w:rPr>
          <w:rFonts w:ascii="Lato" w:hAnsi="Lato"/>
        </w:rPr>
        <w:t>,</w:t>
      </w:r>
      <w:r w:rsidR="00AE5E42" w:rsidRPr="00D1163A">
        <w:rPr>
          <w:rFonts w:ascii="Lato" w:hAnsi="Lato"/>
        </w:rPr>
        <w:t xml:space="preserve"> posiadający największą zdolność zaopatrzenia obszaru analizowanego w gaz ziemny zaazotowany</w:t>
      </w:r>
      <w:r w:rsidR="008830DE">
        <w:rPr>
          <w:rFonts w:ascii="Lato" w:hAnsi="Lato"/>
        </w:rPr>
        <w:t>,</w:t>
      </w:r>
      <w:r w:rsidR="00AE5E42" w:rsidRPr="00D1163A">
        <w:rPr>
          <w:rFonts w:ascii="Lato" w:hAnsi="Lato"/>
        </w:rPr>
        <w:t xml:space="preserve"> przyjęto MG Gorzysław o zdolnościach technicznych na poziomie 0,48 mln m</w:t>
      </w:r>
      <w:r w:rsidR="00AE5E42" w:rsidRPr="000A5326">
        <w:rPr>
          <w:rFonts w:ascii="Lato" w:hAnsi="Lato"/>
          <w:vertAlign w:val="superscript"/>
        </w:rPr>
        <w:t>3</w:t>
      </w:r>
      <w:r w:rsidR="00AE5E42" w:rsidRPr="00D1163A">
        <w:rPr>
          <w:rFonts w:ascii="Lato" w:hAnsi="Lato"/>
        </w:rPr>
        <w:t>/dobę (5,3 GWh/dobę). Przyjęto, że zapotrzebowanie odbiorców przyłączonych do systemu gazu ziemnego Ls utrzymuje się na stałym poziomie. Maksymalny pobór przyjęto na poziomie 0,84 mln m</w:t>
      </w:r>
      <w:r w:rsidR="00AE5E42" w:rsidRPr="000A5326">
        <w:rPr>
          <w:rFonts w:ascii="Lato" w:hAnsi="Lato"/>
          <w:vertAlign w:val="superscript"/>
        </w:rPr>
        <w:t>3</w:t>
      </w:r>
      <w:r w:rsidR="00AE5E42" w:rsidRPr="00D1163A">
        <w:rPr>
          <w:rFonts w:ascii="Lato" w:hAnsi="Lato"/>
        </w:rPr>
        <w:t>/dobę (6,7 GWh/dobę). Przyjęto, że zdolność punktów wejścia jest równa zdolności wydobywczej. Zdolność magazynowa równa jest zdolności odbioru gazu z PMG Daszewo.</w:t>
      </w:r>
    </w:p>
    <w:p w14:paraId="3C332F67" w14:textId="0B7A8529" w:rsidR="00B03DBA" w:rsidRPr="000A5326" w:rsidRDefault="00C7771E" w:rsidP="000A5326">
      <w:pPr>
        <w:pStyle w:val="Tabela"/>
        <w:spacing w:before="120" w:after="120"/>
        <w:rPr>
          <w:rFonts w:ascii="Lato" w:hAnsi="Lato"/>
          <w:sz w:val="22"/>
          <w:szCs w:val="22"/>
        </w:rPr>
      </w:pPr>
      <w:r w:rsidRPr="000A5326">
        <w:rPr>
          <w:rFonts w:ascii="Lato" w:hAnsi="Lato"/>
          <w:sz w:val="22"/>
          <w:szCs w:val="22"/>
        </w:rPr>
        <w:t xml:space="preserve">Tabela </w:t>
      </w:r>
      <w:r w:rsidR="002C139B">
        <w:rPr>
          <w:rFonts w:ascii="Lato" w:hAnsi="Lato"/>
          <w:sz w:val="22"/>
          <w:szCs w:val="22"/>
        </w:rPr>
        <w:t>7</w:t>
      </w:r>
      <w:r w:rsidRPr="000A5326">
        <w:rPr>
          <w:rFonts w:ascii="Lato" w:hAnsi="Lato"/>
          <w:sz w:val="22"/>
          <w:szCs w:val="22"/>
        </w:rPr>
        <w:t>. Wskaźnik N-1 dla systemu gazu ziemnego 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9"/>
        <w:gridCol w:w="1824"/>
      </w:tblGrid>
      <w:tr w:rsidR="00AE5E42" w:rsidRPr="00C758B1" w14:paraId="464C31C6" w14:textId="77777777" w:rsidTr="000A5326">
        <w:trPr>
          <w:jc w:val="center"/>
        </w:trPr>
        <w:tc>
          <w:tcPr>
            <w:tcW w:w="0" w:type="auto"/>
            <w:shd w:val="clear" w:color="auto" w:fill="D9D9D9"/>
            <w:vAlign w:val="center"/>
          </w:tcPr>
          <w:p w14:paraId="08D2E9BF" w14:textId="77777777" w:rsidR="00AE5E42" w:rsidRPr="00C758B1" w:rsidRDefault="00AE5E42" w:rsidP="00983C18">
            <w:pPr>
              <w:spacing w:line="276" w:lineRule="auto"/>
              <w:jc w:val="center"/>
              <w:rPr>
                <w:rFonts w:ascii="Lato" w:eastAsia="Malgun Gothic" w:hAnsi="Lato"/>
                <w:sz w:val="20"/>
                <w:szCs w:val="20"/>
              </w:rPr>
            </w:pPr>
            <w:r w:rsidRPr="00C758B1">
              <w:rPr>
                <w:rFonts w:ascii="Lato" w:eastAsia="Malgun Gothic" w:hAnsi="Lato"/>
                <w:sz w:val="20"/>
                <w:szCs w:val="20"/>
              </w:rPr>
              <w:t>Współczynnik</w:t>
            </w:r>
          </w:p>
        </w:tc>
        <w:tc>
          <w:tcPr>
            <w:tcW w:w="1824" w:type="dxa"/>
            <w:shd w:val="clear" w:color="auto" w:fill="D9D9D9"/>
            <w:vAlign w:val="center"/>
          </w:tcPr>
          <w:p w14:paraId="1E5E0341" w14:textId="77777777" w:rsidR="00AE5E42" w:rsidRPr="00C758B1" w:rsidRDefault="00AE5E42" w:rsidP="000A5326">
            <w:pPr>
              <w:spacing w:after="0" w:line="276" w:lineRule="auto"/>
              <w:jc w:val="center"/>
              <w:rPr>
                <w:rFonts w:ascii="Lato" w:eastAsia="Malgun Gothic" w:hAnsi="Lato"/>
                <w:sz w:val="20"/>
                <w:szCs w:val="20"/>
              </w:rPr>
            </w:pPr>
            <w:r w:rsidRPr="00C758B1">
              <w:rPr>
                <w:rFonts w:ascii="Lato" w:eastAsia="Malgun Gothic" w:hAnsi="Lato"/>
                <w:sz w:val="20"/>
                <w:szCs w:val="20"/>
              </w:rPr>
              <w:t>Warto</w:t>
            </w:r>
            <w:r w:rsidRPr="00C758B1">
              <w:rPr>
                <w:rFonts w:ascii="Lato" w:eastAsia="Malgun Gothic" w:hAnsi="Lato" w:cs="Calibri"/>
                <w:sz w:val="20"/>
                <w:szCs w:val="20"/>
              </w:rPr>
              <w:t>ść</w:t>
            </w:r>
            <w:r w:rsidRPr="00C758B1">
              <w:rPr>
                <w:rFonts w:ascii="Lato" w:eastAsia="Malgun Gothic" w:hAnsi="Lato"/>
                <w:sz w:val="20"/>
                <w:szCs w:val="20"/>
              </w:rPr>
              <w:t xml:space="preserve"> </w:t>
            </w:r>
          </w:p>
          <w:p w14:paraId="17AF974D" w14:textId="77777777" w:rsidR="00AE5E42" w:rsidRPr="00C758B1" w:rsidRDefault="00AE5E42" w:rsidP="000A5326">
            <w:pPr>
              <w:spacing w:after="0" w:line="276" w:lineRule="auto"/>
              <w:jc w:val="center"/>
              <w:rPr>
                <w:rFonts w:ascii="Lato" w:eastAsia="Malgun Gothic" w:hAnsi="Lato"/>
                <w:sz w:val="20"/>
                <w:szCs w:val="20"/>
              </w:rPr>
            </w:pPr>
            <w:r w:rsidRPr="00C758B1">
              <w:rPr>
                <w:rFonts w:ascii="Lato" w:eastAsia="Malgun Gothic" w:hAnsi="Lato"/>
                <w:sz w:val="20"/>
                <w:szCs w:val="20"/>
              </w:rPr>
              <w:t>mln m</w:t>
            </w:r>
            <w:r w:rsidRPr="00C758B1">
              <w:rPr>
                <w:rFonts w:ascii="Lato" w:eastAsia="Malgun Gothic" w:hAnsi="Lato"/>
                <w:sz w:val="20"/>
                <w:szCs w:val="20"/>
                <w:vertAlign w:val="superscript"/>
              </w:rPr>
              <w:t>3</w:t>
            </w:r>
            <w:r w:rsidRPr="00C758B1">
              <w:rPr>
                <w:rFonts w:ascii="Lato" w:eastAsia="Malgun Gothic" w:hAnsi="Lato"/>
                <w:sz w:val="20"/>
                <w:szCs w:val="20"/>
              </w:rPr>
              <w:t>/dob</w:t>
            </w:r>
            <w:r w:rsidRPr="00C758B1">
              <w:rPr>
                <w:rFonts w:ascii="Lato" w:eastAsia="Malgun Gothic" w:hAnsi="Lato" w:cs="Calibri"/>
                <w:sz w:val="20"/>
                <w:szCs w:val="20"/>
              </w:rPr>
              <w:t>ę</w:t>
            </w:r>
          </w:p>
        </w:tc>
      </w:tr>
      <w:tr w:rsidR="00AE5E42" w:rsidRPr="00C758B1" w14:paraId="0E4E7276" w14:textId="77777777" w:rsidTr="000A5326">
        <w:trPr>
          <w:jc w:val="center"/>
        </w:trPr>
        <w:tc>
          <w:tcPr>
            <w:tcW w:w="0" w:type="auto"/>
            <w:vAlign w:val="center"/>
          </w:tcPr>
          <w:p w14:paraId="741E59BC" w14:textId="77777777" w:rsidR="00AE5E42" w:rsidRPr="00C758B1" w:rsidRDefault="00AE5E42" w:rsidP="00983C18">
            <w:pPr>
              <w:spacing w:line="276" w:lineRule="auto"/>
              <w:jc w:val="center"/>
              <w:rPr>
                <w:rFonts w:ascii="Lato" w:eastAsia="Malgun Gothic" w:hAnsi="Lato"/>
                <w:sz w:val="20"/>
                <w:szCs w:val="20"/>
              </w:rPr>
            </w:pPr>
            <w:r w:rsidRPr="00C758B1">
              <w:rPr>
                <w:rFonts w:ascii="Lato" w:eastAsia="Malgun Gothic" w:hAnsi="Lato"/>
                <w:sz w:val="20"/>
                <w:szCs w:val="20"/>
              </w:rPr>
              <w:lastRenderedPageBreak/>
              <w:t>EP</w:t>
            </w:r>
            <w:r w:rsidRPr="00C758B1">
              <w:rPr>
                <w:rFonts w:ascii="Lato" w:eastAsia="Malgun Gothic" w:hAnsi="Lato"/>
                <w:sz w:val="20"/>
                <w:szCs w:val="20"/>
                <w:vertAlign w:val="subscript"/>
              </w:rPr>
              <w:t>m</w:t>
            </w:r>
          </w:p>
        </w:tc>
        <w:tc>
          <w:tcPr>
            <w:tcW w:w="1824" w:type="dxa"/>
            <w:vAlign w:val="center"/>
          </w:tcPr>
          <w:p w14:paraId="4B657536" w14:textId="77777777" w:rsidR="00AE5E42" w:rsidRPr="00C758B1" w:rsidRDefault="00AE5E42" w:rsidP="00983C18">
            <w:pPr>
              <w:spacing w:line="276" w:lineRule="auto"/>
              <w:jc w:val="center"/>
              <w:rPr>
                <w:rFonts w:ascii="Lato" w:eastAsia="Malgun Gothic" w:hAnsi="Lato"/>
                <w:sz w:val="20"/>
                <w:szCs w:val="20"/>
              </w:rPr>
            </w:pPr>
            <w:r w:rsidRPr="00C758B1">
              <w:rPr>
                <w:rFonts w:ascii="Lato" w:eastAsia="Malgun Gothic" w:hAnsi="Lato"/>
                <w:sz w:val="20"/>
                <w:szCs w:val="20"/>
              </w:rPr>
              <w:t>0</w:t>
            </w:r>
          </w:p>
        </w:tc>
      </w:tr>
      <w:tr w:rsidR="00AE5E42" w:rsidRPr="00C758B1" w14:paraId="398FDFF6" w14:textId="77777777" w:rsidTr="000A5326">
        <w:trPr>
          <w:jc w:val="center"/>
        </w:trPr>
        <w:tc>
          <w:tcPr>
            <w:tcW w:w="0" w:type="auto"/>
            <w:vAlign w:val="center"/>
          </w:tcPr>
          <w:p w14:paraId="7289C42C" w14:textId="77777777" w:rsidR="00AE5E42" w:rsidRPr="00C758B1" w:rsidRDefault="00AE5E42" w:rsidP="00983C18">
            <w:pPr>
              <w:spacing w:line="276" w:lineRule="auto"/>
              <w:jc w:val="center"/>
              <w:rPr>
                <w:rFonts w:ascii="Lato" w:eastAsia="Malgun Gothic" w:hAnsi="Lato"/>
                <w:sz w:val="20"/>
                <w:szCs w:val="20"/>
              </w:rPr>
            </w:pPr>
            <w:r w:rsidRPr="00C758B1">
              <w:rPr>
                <w:rFonts w:ascii="Lato" w:eastAsia="Malgun Gothic" w:hAnsi="Lato"/>
                <w:sz w:val="20"/>
                <w:szCs w:val="20"/>
              </w:rPr>
              <w:t>S</w:t>
            </w:r>
            <w:r w:rsidRPr="00C758B1">
              <w:rPr>
                <w:rFonts w:ascii="Lato" w:eastAsia="Malgun Gothic" w:hAnsi="Lato"/>
                <w:sz w:val="20"/>
                <w:szCs w:val="20"/>
                <w:vertAlign w:val="subscript"/>
              </w:rPr>
              <w:t>m</w:t>
            </w:r>
          </w:p>
        </w:tc>
        <w:tc>
          <w:tcPr>
            <w:tcW w:w="1824" w:type="dxa"/>
            <w:vAlign w:val="center"/>
          </w:tcPr>
          <w:p w14:paraId="2A37CBBD" w14:textId="77777777" w:rsidR="00AE5E42" w:rsidRPr="00C758B1" w:rsidRDefault="00AE5E42" w:rsidP="00983C18">
            <w:pPr>
              <w:spacing w:line="276" w:lineRule="auto"/>
              <w:jc w:val="center"/>
              <w:rPr>
                <w:rFonts w:ascii="Lato" w:eastAsia="Malgun Gothic" w:hAnsi="Lato"/>
                <w:sz w:val="20"/>
                <w:szCs w:val="20"/>
              </w:rPr>
            </w:pPr>
            <w:r w:rsidRPr="00C758B1">
              <w:rPr>
                <w:rFonts w:ascii="Lato" w:eastAsia="Malgun Gothic" w:hAnsi="Lato"/>
                <w:sz w:val="20"/>
                <w:szCs w:val="20"/>
              </w:rPr>
              <w:t>0,48</w:t>
            </w:r>
          </w:p>
        </w:tc>
      </w:tr>
      <w:tr w:rsidR="00AE5E42" w:rsidRPr="00C758B1" w14:paraId="049095E1" w14:textId="77777777" w:rsidTr="000A5326">
        <w:trPr>
          <w:jc w:val="center"/>
        </w:trPr>
        <w:tc>
          <w:tcPr>
            <w:tcW w:w="0" w:type="auto"/>
            <w:vAlign w:val="center"/>
          </w:tcPr>
          <w:p w14:paraId="5F8FB316" w14:textId="77777777" w:rsidR="00AE5E42" w:rsidRPr="00C758B1" w:rsidRDefault="00AE5E42" w:rsidP="00983C18">
            <w:pPr>
              <w:spacing w:line="276" w:lineRule="auto"/>
              <w:jc w:val="center"/>
              <w:rPr>
                <w:rFonts w:ascii="Lato" w:eastAsia="Malgun Gothic" w:hAnsi="Lato"/>
                <w:sz w:val="20"/>
                <w:szCs w:val="20"/>
              </w:rPr>
            </w:pPr>
            <w:r w:rsidRPr="00C758B1">
              <w:rPr>
                <w:rFonts w:ascii="Lato" w:eastAsia="Malgun Gothic" w:hAnsi="Lato"/>
                <w:sz w:val="20"/>
                <w:szCs w:val="20"/>
              </w:rPr>
              <w:t>P</w:t>
            </w:r>
            <w:r w:rsidRPr="00C758B1">
              <w:rPr>
                <w:rFonts w:ascii="Lato" w:eastAsia="Malgun Gothic" w:hAnsi="Lato"/>
                <w:sz w:val="20"/>
                <w:szCs w:val="20"/>
                <w:vertAlign w:val="subscript"/>
              </w:rPr>
              <w:t>m</w:t>
            </w:r>
          </w:p>
        </w:tc>
        <w:tc>
          <w:tcPr>
            <w:tcW w:w="1824" w:type="dxa"/>
            <w:vAlign w:val="center"/>
          </w:tcPr>
          <w:p w14:paraId="26D64137" w14:textId="77777777" w:rsidR="00AE5E42" w:rsidRPr="00C758B1" w:rsidRDefault="00AE5E42" w:rsidP="00983C18">
            <w:pPr>
              <w:spacing w:line="276" w:lineRule="auto"/>
              <w:jc w:val="center"/>
              <w:rPr>
                <w:rFonts w:ascii="Lato" w:eastAsia="Malgun Gothic" w:hAnsi="Lato"/>
                <w:sz w:val="20"/>
                <w:szCs w:val="20"/>
              </w:rPr>
            </w:pPr>
            <w:r w:rsidRPr="00C758B1">
              <w:rPr>
                <w:rFonts w:ascii="Lato" w:eastAsia="Malgun Gothic" w:hAnsi="Lato"/>
                <w:sz w:val="20"/>
                <w:szCs w:val="20"/>
              </w:rPr>
              <w:t>1,09</w:t>
            </w:r>
          </w:p>
        </w:tc>
      </w:tr>
      <w:tr w:rsidR="00AE5E42" w:rsidRPr="00C758B1" w14:paraId="093D6FF6" w14:textId="77777777" w:rsidTr="000A5326">
        <w:trPr>
          <w:jc w:val="center"/>
        </w:trPr>
        <w:tc>
          <w:tcPr>
            <w:tcW w:w="0" w:type="auto"/>
            <w:vAlign w:val="center"/>
          </w:tcPr>
          <w:p w14:paraId="39D28360" w14:textId="77777777" w:rsidR="00AE5E42" w:rsidRPr="00C758B1" w:rsidRDefault="00AE5E42" w:rsidP="00983C18">
            <w:pPr>
              <w:spacing w:line="276" w:lineRule="auto"/>
              <w:jc w:val="center"/>
              <w:rPr>
                <w:rFonts w:ascii="Lato" w:eastAsia="Malgun Gothic" w:hAnsi="Lato"/>
                <w:sz w:val="20"/>
                <w:szCs w:val="20"/>
              </w:rPr>
            </w:pPr>
            <w:r w:rsidRPr="00C758B1">
              <w:rPr>
                <w:rFonts w:ascii="Lato" w:eastAsia="Malgun Gothic" w:hAnsi="Lato"/>
                <w:sz w:val="20"/>
                <w:szCs w:val="20"/>
              </w:rPr>
              <w:t>LNG</w:t>
            </w:r>
            <w:r w:rsidRPr="00C758B1">
              <w:rPr>
                <w:rFonts w:ascii="Lato" w:eastAsia="Malgun Gothic" w:hAnsi="Lato"/>
                <w:sz w:val="20"/>
                <w:szCs w:val="20"/>
                <w:vertAlign w:val="subscript"/>
              </w:rPr>
              <w:t>m</w:t>
            </w:r>
          </w:p>
        </w:tc>
        <w:tc>
          <w:tcPr>
            <w:tcW w:w="1824" w:type="dxa"/>
            <w:vAlign w:val="center"/>
          </w:tcPr>
          <w:p w14:paraId="5C06BAE9" w14:textId="77777777" w:rsidR="00AE5E42" w:rsidRPr="00C758B1" w:rsidRDefault="00AE5E42" w:rsidP="00983C18">
            <w:pPr>
              <w:spacing w:line="276" w:lineRule="auto"/>
              <w:jc w:val="center"/>
              <w:rPr>
                <w:rFonts w:ascii="Lato" w:eastAsia="Malgun Gothic" w:hAnsi="Lato"/>
                <w:sz w:val="20"/>
                <w:szCs w:val="20"/>
              </w:rPr>
            </w:pPr>
            <w:r w:rsidRPr="00C758B1">
              <w:rPr>
                <w:rFonts w:ascii="Lato" w:eastAsia="Malgun Gothic" w:hAnsi="Lato"/>
                <w:sz w:val="20"/>
                <w:szCs w:val="20"/>
              </w:rPr>
              <w:t>0</w:t>
            </w:r>
          </w:p>
        </w:tc>
      </w:tr>
      <w:tr w:rsidR="00AE5E42" w:rsidRPr="00C758B1" w14:paraId="697F50F6" w14:textId="77777777" w:rsidTr="000A5326">
        <w:trPr>
          <w:jc w:val="center"/>
        </w:trPr>
        <w:tc>
          <w:tcPr>
            <w:tcW w:w="0" w:type="auto"/>
            <w:vAlign w:val="center"/>
          </w:tcPr>
          <w:p w14:paraId="14FCF8C0" w14:textId="77777777" w:rsidR="00AE5E42" w:rsidRPr="00C758B1" w:rsidRDefault="00AE5E42" w:rsidP="00983C18">
            <w:pPr>
              <w:spacing w:line="276" w:lineRule="auto"/>
              <w:jc w:val="center"/>
              <w:rPr>
                <w:rFonts w:ascii="Lato" w:eastAsia="Malgun Gothic" w:hAnsi="Lato"/>
                <w:sz w:val="20"/>
                <w:szCs w:val="20"/>
              </w:rPr>
            </w:pPr>
            <w:r w:rsidRPr="00C758B1">
              <w:rPr>
                <w:rFonts w:ascii="Lato" w:eastAsia="Malgun Gothic" w:hAnsi="Lato"/>
                <w:sz w:val="20"/>
                <w:szCs w:val="20"/>
              </w:rPr>
              <w:t>I</w:t>
            </w:r>
            <w:r w:rsidRPr="00C758B1">
              <w:rPr>
                <w:rFonts w:ascii="Lato" w:eastAsia="Malgun Gothic" w:hAnsi="Lato"/>
                <w:sz w:val="20"/>
                <w:szCs w:val="20"/>
                <w:vertAlign w:val="subscript"/>
              </w:rPr>
              <w:t>m</w:t>
            </w:r>
          </w:p>
        </w:tc>
        <w:tc>
          <w:tcPr>
            <w:tcW w:w="1824" w:type="dxa"/>
            <w:vAlign w:val="center"/>
          </w:tcPr>
          <w:p w14:paraId="47DFA30F" w14:textId="77777777" w:rsidR="00AE5E42" w:rsidRPr="00C758B1" w:rsidRDefault="00AE5E42" w:rsidP="00983C18">
            <w:pPr>
              <w:spacing w:line="276" w:lineRule="auto"/>
              <w:jc w:val="center"/>
              <w:rPr>
                <w:rFonts w:ascii="Lato" w:eastAsia="Malgun Gothic" w:hAnsi="Lato"/>
                <w:sz w:val="20"/>
                <w:szCs w:val="20"/>
              </w:rPr>
            </w:pPr>
            <w:r w:rsidRPr="00C758B1">
              <w:rPr>
                <w:rFonts w:ascii="Lato" w:eastAsia="Malgun Gothic" w:hAnsi="Lato"/>
                <w:sz w:val="20"/>
                <w:szCs w:val="20"/>
              </w:rPr>
              <w:t>0,48</w:t>
            </w:r>
          </w:p>
        </w:tc>
      </w:tr>
      <w:tr w:rsidR="00AE5E42" w:rsidRPr="00C758B1" w14:paraId="1F106EDF" w14:textId="77777777" w:rsidTr="000A5326">
        <w:trPr>
          <w:jc w:val="center"/>
        </w:trPr>
        <w:tc>
          <w:tcPr>
            <w:tcW w:w="0" w:type="auto"/>
            <w:tcBorders>
              <w:bottom w:val="double" w:sz="4" w:space="0" w:color="auto"/>
            </w:tcBorders>
            <w:vAlign w:val="center"/>
          </w:tcPr>
          <w:p w14:paraId="5451D764" w14:textId="77777777" w:rsidR="00AE5E42" w:rsidRPr="00C758B1" w:rsidRDefault="00AE5E42" w:rsidP="00983C18">
            <w:pPr>
              <w:spacing w:line="276" w:lineRule="auto"/>
              <w:jc w:val="center"/>
              <w:rPr>
                <w:rFonts w:ascii="Lato" w:eastAsia="Malgun Gothic" w:hAnsi="Lato"/>
                <w:sz w:val="20"/>
                <w:szCs w:val="20"/>
              </w:rPr>
            </w:pPr>
            <w:r w:rsidRPr="00C758B1">
              <w:rPr>
                <w:rFonts w:ascii="Lato" w:eastAsia="Malgun Gothic" w:hAnsi="Lato"/>
                <w:sz w:val="20"/>
                <w:szCs w:val="20"/>
              </w:rPr>
              <w:t>D</w:t>
            </w:r>
            <w:r w:rsidRPr="00C758B1">
              <w:rPr>
                <w:rFonts w:ascii="Lato" w:eastAsia="Malgun Gothic" w:hAnsi="Lato"/>
                <w:sz w:val="20"/>
                <w:szCs w:val="20"/>
                <w:vertAlign w:val="subscript"/>
              </w:rPr>
              <w:t>max</w:t>
            </w:r>
          </w:p>
        </w:tc>
        <w:tc>
          <w:tcPr>
            <w:tcW w:w="1824" w:type="dxa"/>
            <w:tcBorders>
              <w:bottom w:val="double" w:sz="4" w:space="0" w:color="auto"/>
            </w:tcBorders>
            <w:vAlign w:val="center"/>
          </w:tcPr>
          <w:p w14:paraId="62C0F1FD" w14:textId="77777777" w:rsidR="00AE5E42" w:rsidRPr="00C758B1" w:rsidRDefault="00AE5E42" w:rsidP="00983C18">
            <w:pPr>
              <w:spacing w:line="276" w:lineRule="auto"/>
              <w:jc w:val="center"/>
              <w:rPr>
                <w:rFonts w:ascii="Lato" w:eastAsia="Malgun Gothic" w:hAnsi="Lato"/>
                <w:sz w:val="20"/>
                <w:szCs w:val="20"/>
              </w:rPr>
            </w:pPr>
            <w:r w:rsidRPr="00C758B1">
              <w:rPr>
                <w:rFonts w:ascii="Lato" w:eastAsia="Malgun Gothic" w:hAnsi="Lato"/>
                <w:sz w:val="20"/>
                <w:szCs w:val="20"/>
              </w:rPr>
              <w:t>0,77</w:t>
            </w:r>
          </w:p>
        </w:tc>
      </w:tr>
      <w:tr w:rsidR="00AE5E42" w:rsidRPr="00C758B1" w14:paraId="6CAAC0DC" w14:textId="77777777" w:rsidTr="000A5326">
        <w:trPr>
          <w:jc w:val="center"/>
        </w:trPr>
        <w:tc>
          <w:tcPr>
            <w:tcW w:w="0" w:type="auto"/>
            <w:tcBorders>
              <w:top w:val="double" w:sz="4" w:space="0" w:color="auto"/>
              <w:left w:val="double" w:sz="4" w:space="0" w:color="auto"/>
              <w:bottom w:val="double" w:sz="4" w:space="0" w:color="auto"/>
              <w:right w:val="double" w:sz="4" w:space="0" w:color="auto"/>
            </w:tcBorders>
            <w:shd w:val="clear" w:color="auto" w:fill="D9D9D9"/>
            <w:vAlign w:val="center"/>
          </w:tcPr>
          <w:p w14:paraId="547A336F" w14:textId="77777777" w:rsidR="00AE5E42" w:rsidRPr="00C758B1" w:rsidRDefault="00AE5E42" w:rsidP="00983C18">
            <w:pPr>
              <w:spacing w:line="276" w:lineRule="auto"/>
              <w:jc w:val="center"/>
              <w:rPr>
                <w:rFonts w:ascii="Lato" w:eastAsia="Malgun Gothic" w:hAnsi="Lato"/>
                <w:sz w:val="20"/>
                <w:szCs w:val="20"/>
              </w:rPr>
            </w:pPr>
            <w:r w:rsidRPr="00C758B1">
              <w:rPr>
                <w:rFonts w:ascii="Lato" w:eastAsia="Malgun Gothic" w:hAnsi="Lato"/>
                <w:sz w:val="20"/>
                <w:szCs w:val="20"/>
              </w:rPr>
              <w:t>N-1</w:t>
            </w:r>
          </w:p>
        </w:tc>
        <w:tc>
          <w:tcPr>
            <w:tcW w:w="1824" w:type="dxa"/>
            <w:tcBorders>
              <w:top w:val="double" w:sz="4" w:space="0" w:color="auto"/>
              <w:left w:val="double" w:sz="4" w:space="0" w:color="auto"/>
              <w:bottom w:val="double" w:sz="4" w:space="0" w:color="auto"/>
              <w:right w:val="double" w:sz="4" w:space="0" w:color="auto"/>
            </w:tcBorders>
            <w:shd w:val="clear" w:color="auto" w:fill="D9D9D9"/>
            <w:vAlign w:val="center"/>
          </w:tcPr>
          <w:p w14:paraId="6F13FBAB" w14:textId="77777777" w:rsidR="00AE5E42" w:rsidRPr="00C758B1" w:rsidRDefault="00AE5E42" w:rsidP="00983C18">
            <w:pPr>
              <w:spacing w:line="276" w:lineRule="auto"/>
              <w:jc w:val="center"/>
              <w:rPr>
                <w:rFonts w:ascii="Lato" w:eastAsia="Malgun Gothic" w:hAnsi="Lato"/>
                <w:sz w:val="20"/>
                <w:szCs w:val="20"/>
              </w:rPr>
            </w:pPr>
            <w:r w:rsidRPr="00C758B1">
              <w:rPr>
                <w:rFonts w:ascii="Lato" w:eastAsia="Malgun Gothic" w:hAnsi="Lato"/>
                <w:sz w:val="20"/>
                <w:szCs w:val="20"/>
              </w:rPr>
              <w:t>141,6%</w:t>
            </w:r>
          </w:p>
        </w:tc>
      </w:tr>
    </w:tbl>
    <w:p w14:paraId="54FAF3A7" w14:textId="59B863D8" w:rsidR="00B03DBA" w:rsidRPr="00C758B1" w:rsidRDefault="00C7771E" w:rsidP="008830DE">
      <w:pPr>
        <w:pStyle w:val="Rozdzia2"/>
        <w:spacing w:after="120"/>
        <w:rPr>
          <w:rFonts w:ascii="Lato" w:hAnsi="Lato"/>
        </w:rPr>
      </w:pPr>
      <w:bookmarkStart w:id="239" w:name="_Toc140488988"/>
      <w:bookmarkStart w:id="240" w:name="_Toc140580980"/>
      <w:bookmarkStart w:id="241" w:name="_Toc12953917"/>
      <w:bookmarkStart w:id="242" w:name="_Toc19782950"/>
      <w:bookmarkStart w:id="243" w:name="_Toc142469573"/>
      <w:bookmarkEnd w:id="239"/>
      <w:bookmarkEnd w:id="240"/>
      <w:r w:rsidRPr="00C758B1">
        <w:rPr>
          <w:rFonts w:ascii="Lato" w:hAnsi="Lato"/>
        </w:rPr>
        <w:t>Zdolność przepływu w obu kierunkach</w:t>
      </w:r>
      <w:bookmarkEnd w:id="241"/>
      <w:bookmarkEnd w:id="242"/>
      <w:bookmarkEnd w:id="243"/>
    </w:p>
    <w:p w14:paraId="3A623CDD" w14:textId="3E71881A" w:rsidR="00B03DBA" w:rsidRPr="00D1163A" w:rsidRDefault="00C7771E" w:rsidP="008830DE">
      <w:pPr>
        <w:spacing w:after="60" w:line="276" w:lineRule="auto"/>
        <w:rPr>
          <w:rFonts w:ascii="Lato" w:hAnsi="Lato"/>
          <w:szCs w:val="24"/>
        </w:rPr>
      </w:pPr>
      <w:r w:rsidRPr="00C758B1">
        <w:tab/>
      </w:r>
      <w:r w:rsidRPr="00D1163A">
        <w:rPr>
          <w:rFonts w:ascii="Lato" w:hAnsi="Lato"/>
          <w:szCs w:val="24"/>
        </w:rPr>
        <w:t>Zgodnie z art. 5 ust. 4 rozporz</w:t>
      </w:r>
      <w:r w:rsidRPr="00D1163A">
        <w:rPr>
          <w:rFonts w:ascii="Lato" w:hAnsi="Lato" w:cs="Calibri"/>
          <w:szCs w:val="24"/>
        </w:rPr>
        <w:t>ą</w:t>
      </w:r>
      <w:r w:rsidRPr="00D1163A">
        <w:rPr>
          <w:rFonts w:ascii="Lato" w:hAnsi="Lato"/>
          <w:szCs w:val="24"/>
        </w:rPr>
        <w:t>dzenia 2017/1938</w:t>
      </w:r>
      <w:r w:rsidR="00D5155A">
        <w:rPr>
          <w:rFonts w:ascii="Lato" w:hAnsi="Lato" w:cs="Malgun Gothic"/>
          <w:szCs w:val="24"/>
        </w:rPr>
        <w:t xml:space="preserve"> </w:t>
      </w:r>
      <w:r w:rsidRPr="00D5155A">
        <w:rPr>
          <w:rFonts w:ascii="Lato" w:hAnsi="Lato"/>
          <w:i/>
          <w:iCs/>
          <w:szCs w:val="24"/>
        </w:rPr>
        <w:t>operatorzy system</w:t>
      </w:r>
      <w:r w:rsidRPr="00D5155A">
        <w:rPr>
          <w:rFonts w:ascii="Lato" w:hAnsi="Lato" w:cs="Malgun Gothic"/>
          <w:i/>
          <w:iCs/>
          <w:szCs w:val="24"/>
        </w:rPr>
        <w:t>ó</w:t>
      </w:r>
      <w:r w:rsidRPr="00D5155A">
        <w:rPr>
          <w:rFonts w:ascii="Lato" w:hAnsi="Lato"/>
          <w:i/>
          <w:iCs/>
          <w:szCs w:val="24"/>
        </w:rPr>
        <w:t>w przesy</w:t>
      </w:r>
      <w:r w:rsidRPr="00D5155A">
        <w:rPr>
          <w:rFonts w:ascii="Lato" w:hAnsi="Lato" w:cs="Malgun Gothic"/>
          <w:i/>
          <w:iCs/>
          <w:szCs w:val="24"/>
        </w:rPr>
        <w:t>ł</w:t>
      </w:r>
      <w:r w:rsidRPr="00D5155A">
        <w:rPr>
          <w:rFonts w:ascii="Lato" w:hAnsi="Lato"/>
          <w:i/>
          <w:iCs/>
          <w:szCs w:val="24"/>
        </w:rPr>
        <w:t>owych udost</w:t>
      </w:r>
      <w:r w:rsidRPr="00D5155A">
        <w:rPr>
          <w:rFonts w:ascii="Lato" w:hAnsi="Lato" w:cs="Calibri"/>
          <w:i/>
          <w:iCs/>
          <w:szCs w:val="24"/>
        </w:rPr>
        <w:t>ę</w:t>
      </w:r>
      <w:r w:rsidRPr="00D5155A">
        <w:rPr>
          <w:rFonts w:ascii="Lato" w:hAnsi="Lato"/>
          <w:i/>
          <w:iCs/>
          <w:szCs w:val="24"/>
        </w:rPr>
        <w:t>pni</w:t>
      </w:r>
      <w:r w:rsidRPr="00D5155A">
        <w:rPr>
          <w:rFonts w:ascii="Lato" w:hAnsi="Lato" w:cs="Calibri"/>
          <w:i/>
          <w:iCs/>
          <w:szCs w:val="24"/>
        </w:rPr>
        <w:t>ą</w:t>
      </w:r>
      <w:r w:rsidRPr="00D5155A">
        <w:rPr>
          <w:rFonts w:ascii="Lato" w:hAnsi="Lato"/>
          <w:i/>
          <w:iCs/>
          <w:szCs w:val="24"/>
        </w:rPr>
        <w:t xml:space="preserve"> sta</w:t>
      </w:r>
      <w:r w:rsidRPr="00D5155A">
        <w:rPr>
          <w:rFonts w:ascii="Lato" w:hAnsi="Lato" w:cs="Malgun Gothic"/>
          <w:i/>
          <w:iCs/>
          <w:szCs w:val="24"/>
        </w:rPr>
        <w:t>ł</w:t>
      </w:r>
      <w:r w:rsidRPr="00D5155A">
        <w:rPr>
          <w:rFonts w:ascii="Lato" w:hAnsi="Lato" w:cs="Calibri"/>
          <w:i/>
          <w:iCs/>
          <w:szCs w:val="24"/>
        </w:rPr>
        <w:t>ą</w:t>
      </w:r>
      <w:r w:rsidRPr="00D5155A">
        <w:rPr>
          <w:rFonts w:ascii="Lato" w:hAnsi="Lato"/>
          <w:i/>
          <w:iCs/>
          <w:szCs w:val="24"/>
        </w:rPr>
        <w:t xml:space="preserve"> fizyczn</w:t>
      </w:r>
      <w:r w:rsidRPr="00D5155A">
        <w:rPr>
          <w:rFonts w:ascii="Lato" w:hAnsi="Lato" w:cs="Calibri"/>
          <w:i/>
          <w:iCs/>
          <w:szCs w:val="24"/>
        </w:rPr>
        <w:t>ą</w:t>
      </w:r>
      <w:r w:rsidRPr="00D5155A">
        <w:rPr>
          <w:rFonts w:ascii="Lato" w:hAnsi="Lato"/>
          <w:i/>
          <w:iCs/>
          <w:szCs w:val="24"/>
        </w:rPr>
        <w:t xml:space="preserve"> zdolno</w:t>
      </w:r>
      <w:r w:rsidRPr="00D5155A">
        <w:rPr>
          <w:rFonts w:ascii="Lato" w:hAnsi="Lato" w:cs="Calibri"/>
          <w:i/>
          <w:iCs/>
          <w:szCs w:val="24"/>
        </w:rPr>
        <w:t>ść</w:t>
      </w:r>
      <w:r w:rsidRPr="00D5155A">
        <w:rPr>
          <w:rFonts w:ascii="Lato" w:hAnsi="Lato"/>
          <w:i/>
          <w:iCs/>
          <w:szCs w:val="24"/>
        </w:rPr>
        <w:t xml:space="preserve"> przesy</w:t>
      </w:r>
      <w:r w:rsidRPr="00D5155A">
        <w:rPr>
          <w:rFonts w:ascii="Lato" w:hAnsi="Lato" w:cs="Malgun Gothic"/>
          <w:i/>
          <w:iCs/>
          <w:szCs w:val="24"/>
        </w:rPr>
        <w:t>ł</w:t>
      </w:r>
      <w:r w:rsidRPr="00D5155A">
        <w:rPr>
          <w:rFonts w:ascii="Lato" w:hAnsi="Lato"/>
          <w:i/>
          <w:iCs/>
          <w:szCs w:val="24"/>
        </w:rPr>
        <w:t>u w obu kierunkach (zwan</w:t>
      </w:r>
      <w:r w:rsidRPr="00D5155A">
        <w:rPr>
          <w:rFonts w:ascii="Lato" w:hAnsi="Lato" w:cs="Calibri"/>
          <w:i/>
          <w:iCs/>
          <w:szCs w:val="24"/>
        </w:rPr>
        <w:t>ą</w:t>
      </w:r>
      <w:r w:rsidRPr="00D5155A">
        <w:rPr>
          <w:rFonts w:ascii="Lato" w:hAnsi="Lato"/>
          <w:i/>
          <w:iCs/>
          <w:szCs w:val="24"/>
        </w:rPr>
        <w:t xml:space="preserve"> dalej </w:t>
      </w:r>
      <w:r w:rsidRPr="00D5155A">
        <w:rPr>
          <w:rFonts w:ascii="Lato" w:hAnsi="Lato" w:cs="Malgun Gothic"/>
          <w:i/>
          <w:iCs/>
          <w:szCs w:val="24"/>
        </w:rPr>
        <w:t>„</w:t>
      </w:r>
      <w:r w:rsidRPr="00D5155A">
        <w:rPr>
          <w:rFonts w:ascii="Lato" w:hAnsi="Lato"/>
          <w:i/>
          <w:iCs/>
          <w:szCs w:val="24"/>
        </w:rPr>
        <w:t>zdolno</w:t>
      </w:r>
      <w:r w:rsidRPr="00D5155A">
        <w:rPr>
          <w:rFonts w:ascii="Lato" w:hAnsi="Lato" w:cs="Calibri"/>
          <w:i/>
          <w:iCs/>
          <w:szCs w:val="24"/>
        </w:rPr>
        <w:t>ś</w:t>
      </w:r>
      <w:r w:rsidRPr="00D5155A">
        <w:rPr>
          <w:rFonts w:ascii="Lato" w:hAnsi="Lato"/>
          <w:i/>
          <w:iCs/>
          <w:szCs w:val="24"/>
        </w:rPr>
        <w:t>ci</w:t>
      </w:r>
      <w:r w:rsidRPr="00D5155A">
        <w:rPr>
          <w:rFonts w:ascii="Lato" w:hAnsi="Lato" w:cs="Calibri"/>
          <w:i/>
          <w:iCs/>
          <w:szCs w:val="24"/>
        </w:rPr>
        <w:t>ą</w:t>
      </w:r>
      <w:r w:rsidRPr="00D5155A">
        <w:rPr>
          <w:rFonts w:ascii="Lato" w:hAnsi="Lato"/>
          <w:i/>
          <w:iCs/>
          <w:szCs w:val="24"/>
        </w:rPr>
        <w:t xml:space="preserve"> przep</w:t>
      </w:r>
      <w:r w:rsidRPr="00D5155A">
        <w:rPr>
          <w:rFonts w:ascii="Lato" w:hAnsi="Lato" w:cs="Malgun Gothic"/>
          <w:i/>
          <w:iCs/>
          <w:szCs w:val="24"/>
        </w:rPr>
        <w:t>ł</w:t>
      </w:r>
      <w:r w:rsidRPr="00D5155A">
        <w:rPr>
          <w:rFonts w:ascii="Lato" w:hAnsi="Lato"/>
          <w:i/>
          <w:iCs/>
          <w:szCs w:val="24"/>
        </w:rPr>
        <w:t>ywu w obu kierunkach</w:t>
      </w:r>
      <w:r w:rsidRPr="00D5155A">
        <w:rPr>
          <w:rFonts w:ascii="Lato" w:hAnsi="Lato" w:cs="Malgun Gothic"/>
          <w:i/>
          <w:iCs/>
          <w:szCs w:val="24"/>
        </w:rPr>
        <w:t>”</w:t>
      </w:r>
      <w:r w:rsidRPr="00D5155A">
        <w:rPr>
          <w:rFonts w:ascii="Lato" w:hAnsi="Lato"/>
          <w:i/>
          <w:iCs/>
          <w:szCs w:val="24"/>
        </w:rPr>
        <w:t xml:space="preserve"> na wszystkich po</w:t>
      </w:r>
      <w:r w:rsidRPr="00D5155A">
        <w:rPr>
          <w:rFonts w:ascii="Lato" w:hAnsi="Lato" w:cs="Malgun Gothic"/>
          <w:i/>
          <w:iCs/>
          <w:szCs w:val="24"/>
        </w:rPr>
        <w:t>ł</w:t>
      </w:r>
      <w:r w:rsidRPr="00D5155A">
        <w:rPr>
          <w:rFonts w:ascii="Lato" w:hAnsi="Lato" w:cs="Calibri"/>
          <w:i/>
          <w:iCs/>
          <w:szCs w:val="24"/>
        </w:rPr>
        <w:t>ą</w:t>
      </w:r>
      <w:r w:rsidRPr="00D5155A">
        <w:rPr>
          <w:rFonts w:ascii="Lato" w:hAnsi="Lato"/>
          <w:i/>
          <w:iCs/>
          <w:szCs w:val="24"/>
        </w:rPr>
        <w:t>czeniach mi</w:t>
      </w:r>
      <w:r w:rsidRPr="00D5155A">
        <w:rPr>
          <w:rFonts w:ascii="Lato" w:hAnsi="Lato" w:cs="Calibri"/>
          <w:i/>
          <w:iCs/>
          <w:szCs w:val="24"/>
        </w:rPr>
        <w:t>ę</w:t>
      </w:r>
      <w:r w:rsidRPr="00D5155A">
        <w:rPr>
          <w:rFonts w:ascii="Lato" w:hAnsi="Lato"/>
          <w:i/>
          <w:iCs/>
          <w:szCs w:val="24"/>
        </w:rPr>
        <w:t>dzysystemowych mi</w:t>
      </w:r>
      <w:r w:rsidRPr="00D5155A">
        <w:rPr>
          <w:rFonts w:ascii="Lato" w:hAnsi="Lato" w:cs="Calibri"/>
          <w:i/>
          <w:iCs/>
          <w:szCs w:val="24"/>
        </w:rPr>
        <w:t>ę</w:t>
      </w:r>
      <w:r w:rsidRPr="00D5155A">
        <w:rPr>
          <w:rFonts w:ascii="Lato" w:hAnsi="Lato"/>
          <w:i/>
          <w:iCs/>
          <w:szCs w:val="24"/>
        </w:rPr>
        <w:t>dzy pa</w:t>
      </w:r>
      <w:r w:rsidRPr="00D5155A">
        <w:rPr>
          <w:rFonts w:ascii="Lato" w:hAnsi="Lato" w:cs="Calibri"/>
          <w:i/>
          <w:iCs/>
          <w:szCs w:val="24"/>
        </w:rPr>
        <w:t>ń</w:t>
      </w:r>
      <w:r w:rsidRPr="00D5155A">
        <w:rPr>
          <w:rFonts w:ascii="Lato" w:hAnsi="Lato"/>
          <w:i/>
          <w:iCs/>
          <w:szCs w:val="24"/>
        </w:rPr>
        <w:t>stwami członkowskimi</w:t>
      </w:r>
      <w:r w:rsidRPr="00D1163A">
        <w:rPr>
          <w:rFonts w:ascii="Lato" w:hAnsi="Lato"/>
          <w:szCs w:val="24"/>
        </w:rPr>
        <w:t>.</w:t>
      </w:r>
    </w:p>
    <w:p w14:paraId="65C5B30A" w14:textId="650C85FC" w:rsidR="00B03DBA" w:rsidRPr="00D1163A" w:rsidRDefault="00C7771E" w:rsidP="008830DE">
      <w:pPr>
        <w:spacing w:after="60" w:line="276" w:lineRule="auto"/>
        <w:rPr>
          <w:rFonts w:ascii="Lato" w:hAnsi="Lato"/>
          <w:szCs w:val="24"/>
        </w:rPr>
      </w:pPr>
      <w:r w:rsidRPr="00D1163A">
        <w:rPr>
          <w:rFonts w:ascii="Lato" w:hAnsi="Lato"/>
          <w:szCs w:val="24"/>
        </w:rPr>
        <w:tab/>
        <w:t>Stworzenie mo</w:t>
      </w:r>
      <w:r w:rsidRPr="00D1163A">
        <w:rPr>
          <w:rFonts w:ascii="Lato" w:hAnsi="Lato" w:cs="Calibri"/>
          <w:szCs w:val="24"/>
        </w:rPr>
        <w:t>ż</w:t>
      </w:r>
      <w:r w:rsidRPr="00D1163A">
        <w:rPr>
          <w:rFonts w:ascii="Lato" w:hAnsi="Lato"/>
          <w:szCs w:val="24"/>
        </w:rPr>
        <w:t>liwo</w:t>
      </w:r>
      <w:r w:rsidRPr="00D1163A">
        <w:rPr>
          <w:rFonts w:ascii="Lato" w:hAnsi="Lato" w:cs="Calibri"/>
          <w:szCs w:val="24"/>
        </w:rPr>
        <w:t>ś</w:t>
      </w:r>
      <w:r w:rsidRPr="00D1163A">
        <w:rPr>
          <w:rFonts w:ascii="Lato" w:hAnsi="Lato"/>
          <w:szCs w:val="24"/>
        </w:rPr>
        <w:t>ci dwukierunkowych przep</w:t>
      </w:r>
      <w:r w:rsidRPr="00D1163A">
        <w:rPr>
          <w:rFonts w:ascii="Lato" w:hAnsi="Lato" w:cs="Malgun Gothic"/>
          <w:szCs w:val="24"/>
        </w:rPr>
        <w:t>ł</w:t>
      </w:r>
      <w:r w:rsidRPr="00D1163A">
        <w:rPr>
          <w:rFonts w:ascii="Lato" w:hAnsi="Lato"/>
          <w:szCs w:val="24"/>
        </w:rPr>
        <w:t>yw</w:t>
      </w:r>
      <w:r w:rsidRPr="00D1163A">
        <w:rPr>
          <w:rFonts w:ascii="Lato" w:hAnsi="Lato" w:cs="Malgun Gothic"/>
          <w:szCs w:val="24"/>
        </w:rPr>
        <w:t>ó</w:t>
      </w:r>
      <w:r w:rsidRPr="00D1163A">
        <w:rPr>
          <w:rFonts w:ascii="Lato" w:hAnsi="Lato"/>
          <w:szCs w:val="24"/>
        </w:rPr>
        <w:t>w gazu ziemnego stanowi jeden z</w:t>
      </w:r>
      <w:r w:rsidR="00245AD3">
        <w:rPr>
          <w:rFonts w:ascii="Lato" w:hAnsi="Lato"/>
          <w:szCs w:val="24"/>
        </w:rPr>
        <w:t xml:space="preserve"> </w:t>
      </w:r>
      <w:r w:rsidRPr="00D1163A">
        <w:rPr>
          <w:rFonts w:ascii="Lato" w:hAnsi="Lato"/>
          <w:szCs w:val="24"/>
        </w:rPr>
        <w:t>czynnik</w:t>
      </w:r>
      <w:r w:rsidRPr="00D1163A">
        <w:rPr>
          <w:rFonts w:ascii="Lato" w:hAnsi="Lato" w:cs="Malgun Gothic"/>
          <w:szCs w:val="24"/>
        </w:rPr>
        <w:t>ó</w:t>
      </w:r>
      <w:r w:rsidRPr="00D1163A">
        <w:rPr>
          <w:rFonts w:ascii="Lato" w:hAnsi="Lato"/>
          <w:szCs w:val="24"/>
        </w:rPr>
        <w:t>w wp</w:t>
      </w:r>
      <w:r w:rsidRPr="00D1163A">
        <w:rPr>
          <w:rFonts w:ascii="Lato" w:hAnsi="Lato" w:cs="Malgun Gothic"/>
          <w:szCs w:val="24"/>
        </w:rPr>
        <w:t>ł</w:t>
      </w:r>
      <w:r w:rsidRPr="00D1163A">
        <w:rPr>
          <w:rFonts w:ascii="Lato" w:hAnsi="Lato"/>
          <w:szCs w:val="24"/>
        </w:rPr>
        <w:t>ywaj</w:t>
      </w:r>
      <w:r w:rsidRPr="00D1163A">
        <w:rPr>
          <w:rFonts w:ascii="Lato" w:hAnsi="Lato" w:cs="Calibri"/>
          <w:szCs w:val="24"/>
        </w:rPr>
        <w:t>ą</w:t>
      </w:r>
      <w:r w:rsidRPr="00D1163A">
        <w:rPr>
          <w:rFonts w:ascii="Lato" w:hAnsi="Lato"/>
          <w:szCs w:val="24"/>
        </w:rPr>
        <w:t>cych na zapewnienie bezpiecze</w:t>
      </w:r>
      <w:r w:rsidRPr="00D1163A">
        <w:rPr>
          <w:rFonts w:ascii="Lato" w:hAnsi="Lato" w:cs="Calibri"/>
          <w:szCs w:val="24"/>
        </w:rPr>
        <w:t>ń</w:t>
      </w:r>
      <w:r w:rsidRPr="00D1163A">
        <w:rPr>
          <w:rFonts w:ascii="Lato" w:hAnsi="Lato"/>
          <w:szCs w:val="24"/>
        </w:rPr>
        <w:t>stwa dostaw gazu ziemnego oraz mo</w:t>
      </w:r>
      <w:r w:rsidRPr="00D1163A">
        <w:rPr>
          <w:rFonts w:ascii="Lato" w:hAnsi="Lato" w:cs="Calibri"/>
          <w:szCs w:val="24"/>
        </w:rPr>
        <w:t>ż</w:t>
      </w:r>
      <w:r w:rsidRPr="00D1163A">
        <w:rPr>
          <w:rFonts w:ascii="Lato" w:hAnsi="Lato"/>
          <w:szCs w:val="24"/>
        </w:rPr>
        <w:t>liwo</w:t>
      </w:r>
      <w:r w:rsidRPr="00D1163A">
        <w:rPr>
          <w:rFonts w:ascii="Lato" w:hAnsi="Lato" w:cs="Calibri"/>
          <w:szCs w:val="24"/>
        </w:rPr>
        <w:t>ść</w:t>
      </w:r>
      <w:r w:rsidRPr="00D1163A">
        <w:rPr>
          <w:rFonts w:ascii="Lato" w:hAnsi="Lato"/>
          <w:szCs w:val="24"/>
        </w:rPr>
        <w:t xml:space="preserve"> podj</w:t>
      </w:r>
      <w:r w:rsidRPr="00D1163A">
        <w:rPr>
          <w:rFonts w:ascii="Lato" w:hAnsi="Lato" w:cs="Calibri"/>
          <w:szCs w:val="24"/>
        </w:rPr>
        <w:t>ę</w:t>
      </w:r>
      <w:r w:rsidRPr="00D1163A">
        <w:rPr>
          <w:rFonts w:ascii="Lato" w:hAnsi="Lato"/>
          <w:szCs w:val="24"/>
        </w:rPr>
        <w:t>cia wsp</w:t>
      </w:r>
      <w:r w:rsidRPr="00D1163A">
        <w:rPr>
          <w:rFonts w:ascii="Lato" w:hAnsi="Lato" w:cs="Malgun Gothic"/>
          <w:szCs w:val="24"/>
        </w:rPr>
        <w:t>ół</w:t>
      </w:r>
      <w:r w:rsidRPr="00D1163A">
        <w:rPr>
          <w:rFonts w:ascii="Lato" w:hAnsi="Lato"/>
          <w:szCs w:val="24"/>
        </w:rPr>
        <w:t>pracy regionalnej w ramach mechanizmu solidarno</w:t>
      </w:r>
      <w:r w:rsidRPr="00D1163A">
        <w:rPr>
          <w:rFonts w:ascii="Lato" w:hAnsi="Lato" w:cs="Calibri"/>
          <w:szCs w:val="24"/>
        </w:rPr>
        <w:t>ś</w:t>
      </w:r>
      <w:r w:rsidRPr="00D1163A">
        <w:rPr>
          <w:rFonts w:ascii="Lato" w:hAnsi="Lato"/>
          <w:szCs w:val="24"/>
        </w:rPr>
        <w:t>ci w przypadku wyst</w:t>
      </w:r>
      <w:r w:rsidRPr="00D1163A">
        <w:rPr>
          <w:rFonts w:ascii="Lato" w:hAnsi="Lato" w:cs="Calibri"/>
          <w:szCs w:val="24"/>
        </w:rPr>
        <w:t>ą</w:t>
      </w:r>
      <w:r w:rsidRPr="00D1163A">
        <w:rPr>
          <w:rFonts w:ascii="Lato" w:hAnsi="Lato"/>
          <w:szCs w:val="24"/>
        </w:rPr>
        <w:t>pienia sytuacji kryzysowych. Decyzja o wdro</w:t>
      </w:r>
      <w:r w:rsidRPr="00D1163A">
        <w:rPr>
          <w:rFonts w:ascii="Lato" w:hAnsi="Lato" w:cs="Calibri"/>
          <w:szCs w:val="24"/>
        </w:rPr>
        <w:t>ż</w:t>
      </w:r>
      <w:r w:rsidRPr="00D1163A">
        <w:rPr>
          <w:rFonts w:ascii="Lato" w:hAnsi="Lato"/>
          <w:szCs w:val="24"/>
        </w:rPr>
        <w:t>eniu zdolno</w:t>
      </w:r>
      <w:r w:rsidRPr="00D1163A">
        <w:rPr>
          <w:rFonts w:ascii="Lato" w:hAnsi="Lato" w:cs="Calibri"/>
          <w:szCs w:val="24"/>
        </w:rPr>
        <w:t>ś</w:t>
      </w:r>
      <w:r w:rsidRPr="00D1163A">
        <w:rPr>
          <w:rFonts w:ascii="Lato" w:hAnsi="Lato"/>
          <w:szCs w:val="24"/>
        </w:rPr>
        <w:t>ci przep</w:t>
      </w:r>
      <w:r w:rsidRPr="00D1163A">
        <w:rPr>
          <w:rFonts w:ascii="Lato" w:hAnsi="Lato" w:cs="Malgun Gothic"/>
          <w:szCs w:val="24"/>
        </w:rPr>
        <w:t>ł</w:t>
      </w:r>
      <w:r w:rsidRPr="00D1163A">
        <w:rPr>
          <w:rFonts w:ascii="Lato" w:hAnsi="Lato"/>
          <w:szCs w:val="24"/>
        </w:rPr>
        <w:t>ywu gazu ziemnego w obu kierunkach w danym punkcie po</w:t>
      </w:r>
      <w:r w:rsidRPr="00D1163A">
        <w:rPr>
          <w:rFonts w:ascii="Lato" w:hAnsi="Lato" w:cs="Malgun Gothic"/>
          <w:szCs w:val="24"/>
        </w:rPr>
        <w:t>ł</w:t>
      </w:r>
      <w:r w:rsidRPr="00D1163A">
        <w:rPr>
          <w:rFonts w:ascii="Lato" w:hAnsi="Lato" w:cs="Calibri"/>
          <w:szCs w:val="24"/>
        </w:rPr>
        <w:t>ą</w:t>
      </w:r>
      <w:r w:rsidRPr="00D1163A">
        <w:rPr>
          <w:rFonts w:ascii="Lato" w:hAnsi="Lato"/>
          <w:szCs w:val="24"/>
        </w:rPr>
        <w:t>czenia mi</w:t>
      </w:r>
      <w:r w:rsidRPr="00D1163A">
        <w:rPr>
          <w:rFonts w:ascii="Lato" w:hAnsi="Lato" w:cs="Calibri"/>
          <w:szCs w:val="24"/>
        </w:rPr>
        <w:t>ę</w:t>
      </w:r>
      <w:r w:rsidRPr="00D1163A">
        <w:rPr>
          <w:rFonts w:ascii="Lato" w:hAnsi="Lato"/>
          <w:szCs w:val="24"/>
        </w:rPr>
        <w:t>dzysystemowego powinna opiera</w:t>
      </w:r>
      <w:r w:rsidRPr="00D1163A">
        <w:rPr>
          <w:rFonts w:ascii="Lato" w:hAnsi="Lato" w:cs="Calibri"/>
          <w:szCs w:val="24"/>
        </w:rPr>
        <w:t>ć</w:t>
      </w:r>
      <w:r w:rsidRPr="00D1163A">
        <w:rPr>
          <w:rFonts w:ascii="Lato" w:hAnsi="Lato"/>
          <w:szCs w:val="24"/>
        </w:rPr>
        <w:t xml:space="preserve"> si</w:t>
      </w:r>
      <w:r w:rsidRPr="00D1163A">
        <w:rPr>
          <w:rFonts w:ascii="Lato" w:hAnsi="Lato" w:cs="Calibri"/>
          <w:szCs w:val="24"/>
        </w:rPr>
        <w:t>ę</w:t>
      </w:r>
      <w:r w:rsidRPr="00D1163A">
        <w:rPr>
          <w:rFonts w:ascii="Lato" w:hAnsi="Lato"/>
          <w:szCs w:val="24"/>
        </w:rPr>
        <w:t xml:space="preserve"> na ocenie sytuacji rynkowej, w szczeg</w:t>
      </w:r>
      <w:r w:rsidRPr="00D1163A">
        <w:rPr>
          <w:rFonts w:ascii="Lato" w:hAnsi="Lato" w:cs="Malgun Gothic"/>
          <w:szCs w:val="24"/>
        </w:rPr>
        <w:t>ó</w:t>
      </w:r>
      <w:r w:rsidRPr="00D1163A">
        <w:rPr>
          <w:rFonts w:ascii="Lato" w:hAnsi="Lato"/>
          <w:szCs w:val="24"/>
        </w:rPr>
        <w:t>lno</w:t>
      </w:r>
      <w:r w:rsidRPr="00D1163A">
        <w:rPr>
          <w:rFonts w:ascii="Lato" w:hAnsi="Lato" w:cs="Calibri"/>
          <w:szCs w:val="24"/>
        </w:rPr>
        <w:t>ś</w:t>
      </w:r>
      <w:r w:rsidRPr="00D1163A">
        <w:rPr>
          <w:rFonts w:ascii="Lato" w:hAnsi="Lato"/>
          <w:szCs w:val="24"/>
        </w:rPr>
        <w:t>ci zapotrzebowania, prognoz popytu i poda</w:t>
      </w:r>
      <w:r w:rsidRPr="00D1163A">
        <w:rPr>
          <w:rFonts w:ascii="Lato" w:hAnsi="Lato" w:cs="Calibri"/>
          <w:szCs w:val="24"/>
        </w:rPr>
        <w:t>ż</w:t>
      </w:r>
      <w:r w:rsidRPr="00D1163A">
        <w:rPr>
          <w:rFonts w:ascii="Lato" w:hAnsi="Lato"/>
          <w:szCs w:val="24"/>
        </w:rPr>
        <w:t>y na gaz ziemny oraz warunk</w:t>
      </w:r>
      <w:r w:rsidRPr="00D1163A">
        <w:rPr>
          <w:rFonts w:ascii="Lato" w:hAnsi="Lato" w:cs="Malgun Gothic"/>
          <w:szCs w:val="24"/>
        </w:rPr>
        <w:t>ó</w:t>
      </w:r>
      <w:r w:rsidRPr="00D1163A">
        <w:rPr>
          <w:rFonts w:ascii="Lato" w:hAnsi="Lato"/>
          <w:szCs w:val="24"/>
        </w:rPr>
        <w:t>w technicznych, analizach ekonomicznych realizacji przedsi</w:t>
      </w:r>
      <w:r w:rsidRPr="00D1163A">
        <w:rPr>
          <w:rFonts w:ascii="Lato" w:hAnsi="Lato" w:cs="Calibri"/>
          <w:szCs w:val="24"/>
        </w:rPr>
        <w:t>ę</w:t>
      </w:r>
      <w:r w:rsidRPr="00D1163A">
        <w:rPr>
          <w:rFonts w:ascii="Lato" w:hAnsi="Lato"/>
          <w:szCs w:val="24"/>
        </w:rPr>
        <w:t>wzi</w:t>
      </w:r>
      <w:r w:rsidRPr="00D1163A">
        <w:rPr>
          <w:rFonts w:ascii="Lato" w:hAnsi="Lato" w:cs="Calibri"/>
          <w:szCs w:val="24"/>
        </w:rPr>
        <w:t>ę</w:t>
      </w:r>
      <w:r w:rsidRPr="00D1163A">
        <w:rPr>
          <w:rFonts w:ascii="Lato" w:hAnsi="Lato"/>
          <w:szCs w:val="24"/>
        </w:rPr>
        <w:t>cia</w:t>
      </w:r>
      <w:r w:rsidR="00185C3C">
        <w:rPr>
          <w:rFonts w:ascii="Lato" w:hAnsi="Lato"/>
          <w:szCs w:val="24"/>
        </w:rPr>
        <w:t>,</w:t>
      </w:r>
      <w:r w:rsidRPr="00D1163A">
        <w:rPr>
          <w:rFonts w:ascii="Lato" w:hAnsi="Lato"/>
          <w:szCs w:val="24"/>
        </w:rPr>
        <w:t xml:space="preserve"> jak r</w:t>
      </w:r>
      <w:r w:rsidRPr="00D1163A">
        <w:rPr>
          <w:rFonts w:ascii="Lato" w:hAnsi="Lato" w:cs="Malgun Gothic"/>
          <w:szCs w:val="24"/>
        </w:rPr>
        <w:t>ó</w:t>
      </w:r>
      <w:r w:rsidRPr="00D1163A">
        <w:rPr>
          <w:rFonts w:ascii="Lato" w:hAnsi="Lato"/>
          <w:szCs w:val="24"/>
        </w:rPr>
        <w:t>wnie</w:t>
      </w:r>
      <w:r w:rsidRPr="00D1163A">
        <w:rPr>
          <w:rFonts w:ascii="Lato" w:hAnsi="Lato" w:cs="Calibri"/>
          <w:szCs w:val="24"/>
        </w:rPr>
        <w:t>ż</w:t>
      </w:r>
      <w:r w:rsidRPr="00D1163A">
        <w:rPr>
          <w:rFonts w:ascii="Lato" w:hAnsi="Lato"/>
          <w:szCs w:val="24"/>
        </w:rPr>
        <w:t xml:space="preserve"> wyp</w:t>
      </w:r>
      <w:r w:rsidRPr="00D1163A">
        <w:rPr>
          <w:rFonts w:ascii="Lato" w:hAnsi="Lato" w:cs="Malgun Gothic"/>
          <w:szCs w:val="24"/>
        </w:rPr>
        <w:t>ł</w:t>
      </w:r>
      <w:r w:rsidRPr="00D1163A">
        <w:rPr>
          <w:rFonts w:ascii="Lato" w:hAnsi="Lato"/>
          <w:szCs w:val="24"/>
        </w:rPr>
        <w:t>ywu na bezpiecze</w:t>
      </w:r>
      <w:r w:rsidRPr="00D1163A">
        <w:rPr>
          <w:rFonts w:ascii="Lato" w:hAnsi="Lato" w:cs="Calibri"/>
          <w:szCs w:val="24"/>
        </w:rPr>
        <w:t>ń</w:t>
      </w:r>
      <w:r w:rsidRPr="00D1163A">
        <w:rPr>
          <w:rFonts w:ascii="Lato" w:hAnsi="Lato"/>
          <w:szCs w:val="24"/>
        </w:rPr>
        <w:t xml:space="preserve">stwo dostaw. </w:t>
      </w:r>
    </w:p>
    <w:p w14:paraId="6C726EC8" w14:textId="506A76C8" w:rsidR="00B03DBA" w:rsidRPr="00D1163A" w:rsidRDefault="00C7771E" w:rsidP="008830DE">
      <w:pPr>
        <w:spacing w:after="60" w:line="276" w:lineRule="auto"/>
        <w:rPr>
          <w:rFonts w:ascii="Lato" w:hAnsi="Lato"/>
          <w:szCs w:val="24"/>
        </w:rPr>
      </w:pPr>
      <w:r w:rsidRPr="00D1163A">
        <w:rPr>
          <w:rFonts w:ascii="Lato" w:hAnsi="Lato"/>
          <w:szCs w:val="24"/>
        </w:rPr>
        <w:tab/>
        <w:t>Obowi</w:t>
      </w:r>
      <w:r w:rsidRPr="00D1163A">
        <w:rPr>
          <w:rFonts w:ascii="Lato" w:hAnsi="Lato" w:cs="Calibri"/>
          <w:szCs w:val="24"/>
        </w:rPr>
        <w:t>ą</w:t>
      </w:r>
      <w:r w:rsidRPr="00D1163A">
        <w:rPr>
          <w:rFonts w:ascii="Lato" w:hAnsi="Lato"/>
          <w:szCs w:val="24"/>
        </w:rPr>
        <w:t>zek zapewnienia mo</w:t>
      </w:r>
      <w:r w:rsidRPr="00D1163A">
        <w:rPr>
          <w:rFonts w:ascii="Lato" w:hAnsi="Lato" w:cs="Calibri"/>
          <w:szCs w:val="24"/>
        </w:rPr>
        <w:t>ż</w:t>
      </w:r>
      <w:r w:rsidRPr="00D1163A">
        <w:rPr>
          <w:rFonts w:ascii="Lato" w:hAnsi="Lato"/>
          <w:szCs w:val="24"/>
        </w:rPr>
        <w:t>liwo</w:t>
      </w:r>
      <w:r w:rsidRPr="00D1163A">
        <w:rPr>
          <w:rFonts w:ascii="Lato" w:hAnsi="Lato" w:cs="Calibri"/>
          <w:szCs w:val="24"/>
        </w:rPr>
        <w:t>ś</w:t>
      </w:r>
      <w:r w:rsidRPr="00D1163A">
        <w:rPr>
          <w:rFonts w:ascii="Lato" w:hAnsi="Lato"/>
          <w:szCs w:val="24"/>
        </w:rPr>
        <w:t>ci dwukierunkowego przep</w:t>
      </w:r>
      <w:r w:rsidRPr="00D1163A">
        <w:rPr>
          <w:rFonts w:ascii="Lato" w:hAnsi="Lato" w:cs="Malgun Gothic"/>
          <w:szCs w:val="24"/>
        </w:rPr>
        <w:t>ł</w:t>
      </w:r>
      <w:r w:rsidRPr="00D1163A">
        <w:rPr>
          <w:rFonts w:ascii="Lato" w:hAnsi="Lato"/>
          <w:szCs w:val="24"/>
        </w:rPr>
        <w:t>ywu gazu ziemnego w</w:t>
      </w:r>
      <w:r w:rsidR="00245AD3">
        <w:rPr>
          <w:rFonts w:ascii="Lato" w:hAnsi="Lato"/>
          <w:szCs w:val="24"/>
        </w:rPr>
        <w:t xml:space="preserve"> </w:t>
      </w:r>
      <w:r w:rsidRPr="00D1163A">
        <w:rPr>
          <w:rFonts w:ascii="Lato" w:hAnsi="Lato"/>
          <w:szCs w:val="24"/>
        </w:rPr>
        <w:t>odniesieniu do poł</w:t>
      </w:r>
      <w:r w:rsidRPr="00D1163A">
        <w:rPr>
          <w:rFonts w:ascii="Lato" w:hAnsi="Lato" w:cs="Calibri"/>
          <w:szCs w:val="24"/>
        </w:rPr>
        <w:t>ą</w:t>
      </w:r>
      <w:r w:rsidRPr="00D1163A">
        <w:rPr>
          <w:rFonts w:ascii="Lato" w:hAnsi="Lato"/>
          <w:szCs w:val="24"/>
        </w:rPr>
        <w:t>cze</w:t>
      </w:r>
      <w:r w:rsidRPr="00D1163A">
        <w:rPr>
          <w:rFonts w:ascii="Lato" w:hAnsi="Lato" w:cs="Calibri"/>
          <w:szCs w:val="24"/>
        </w:rPr>
        <w:t>ń</w:t>
      </w:r>
      <w:r w:rsidRPr="00D1163A">
        <w:rPr>
          <w:rFonts w:ascii="Lato" w:hAnsi="Lato"/>
          <w:szCs w:val="24"/>
        </w:rPr>
        <w:t xml:space="preserve"> polskiego systemu gazowego z systemami s</w:t>
      </w:r>
      <w:r w:rsidRPr="00D1163A">
        <w:rPr>
          <w:rFonts w:ascii="Lato" w:hAnsi="Lato" w:cs="Calibri"/>
          <w:szCs w:val="24"/>
        </w:rPr>
        <w:t>ą</w:t>
      </w:r>
      <w:r w:rsidRPr="00D1163A">
        <w:rPr>
          <w:rFonts w:ascii="Lato" w:hAnsi="Lato"/>
          <w:szCs w:val="24"/>
        </w:rPr>
        <w:t>siednimi zosta</w:t>
      </w:r>
      <w:r w:rsidRPr="00D1163A">
        <w:rPr>
          <w:rFonts w:ascii="Lato" w:hAnsi="Lato" w:cs="Malgun Gothic"/>
          <w:szCs w:val="24"/>
        </w:rPr>
        <w:t>ł</w:t>
      </w:r>
      <w:r w:rsidRPr="00D1163A">
        <w:rPr>
          <w:rFonts w:ascii="Lato" w:hAnsi="Lato"/>
          <w:szCs w:val="24"/>
        </w:rPr>
        <w:t xml:space="preserve"> w pe</w:t>
      </w:r>
      <w:r w:rsidRPr="00D1163A">
        <w:rPr>
          <w:rFonts w:ascii="Lato" w:hAnsi="Lato" w:cs="Malgun Gothic"/>
          <w:szCs w:val="24"/>
        </w:rPr>
        <w:t>ł</w:t>
      </w:r>
      <w:r w:rsidRPr="00D1163A">
        <w:rPr>
          <w:rFonts w:ascii="Lato" w:hAnsi="Lato"/>
          <w:szCs w:val="24"/>
        </w:rPr>
        <w:t>ni zrealizowany zgodnie z wymogami rozporz</w:t>
      </w:r>
      <w:r w:rsidRPr="00D1163A">
        <w:rPr>
          <w:rFonts w:ascii="Lato" w:hAnsi="Lato" w:cs="Calibri"/>
          <w:szCs w:val="24"/>
        </w:rPr>
        <w:t>ą</w:t>
      </w:r>
      <w:r w:rsidRPr="00D1163A">
        <w:rPr>
          <w:rFonts w:ascii="Lato" w:hAnsi="Lato"/>
          <w:szCs w:val="24"/>
        </w:rPr>
        <w:t>dzenia 2017/1938, a wcze</w:t>
      </w:r>
      <w:r w:rsidRPr="00D1163A">
        <w:rPr>
          <w:rFonts w:ascii="Lato" w:hAnsi="Lato" w:cs="Calibri"/>
          <w:szCs w:val="24"/>
        </w:rPr>
        <w:t>ś</w:t>
      </w:r>
      <w:r w:rsidRPr="00D1163A">
        <w:rPr>
          <w:rFonts w:ascii="Lato" w:hAnsi="Lato"/>
          <w:szCs w:val="24"/>
        </w:rPr>
        <w:t>niej rozporz</w:t>
      </w:r>
      <w:r w:rsidRPr="00D1163A">
        <w:rPr>
          <w:rFonts w:ascii="Lato" w:hAnsi="Lato" w:cs="Calibri"/>
          <w:szCs w:val="24"/>
        </w:rPr>
        <w:t>ą</w:t>
      </w:r>
      <w:r w:rsidRPr="00D1163A">
        <w:rPr>
          <w:rFonts w:ascii="Lato" w:hAnsi="Lato"/>
          <w:szCs w:val="24"/>
        </w:rPr>
        <w:t>dzenia 994/2010.</w:t>
      </w:r>
    </w:p>
    <w:p w14:paraId="7D10DAED" w14:textId="77777777" w:rsidR="00B03DBA" w:rsidRPr="00D1163A" w:rsidRDefault="00C7771E" w:rsidP="00983C18">
      <w:pPr>
        <w:spacing w:after="0" w:line="276" w:lineRule="auto"/>
        <w:rPr>
          <w:rFonts w:ascii="Lato" w:hAnsi="Lato"/>
          <w:szCs w:val="24"/>
        </w:rPr>
      </w:pPr>
      <w:r w:rsidRPr="00D1163A">
        <w:rPr>
          <w:rFonts w:ascii="Lato" w:hAnsi="Lato"/>
          <w:szCs w:val="24"/>
        </w:rPr>
        <w:t>Mo</w:t>
      </w:r>
      <w:r w:rsidRPr="00D1163A">
        <w:rPr>
          <w:rFonts w:ascii="Lato" w:hAnsi="Lato" w:cs="Calibri"/>
          <w:szCs w:val="24"/>
        </w:rPr>
        <w:t>ż</w:t>
      </w:r>
      <w:r w:rsidRPr="00D1163A">
        <w:rPr>
          <w:rFonts w:ascii="Lato" w:hAnsi="Lato"/>
          <w:szCs w:val="24"/>
        </w:rPr>
        <w:t>liwo</w:t>
      </w:r>
      <w:r w:rsidRPr="00D1163A">
        <w:rPr>
          <w:rFonts w:ascii="Lato" w:hAnsi="Lato" w:cs="Calibri"/>
          <w:szCs w:val="24"/>
        </w:rPr>
        <w:t>ść</w:t>
      </w:r>
      <w:r w:rsidRPr="00D1163A">
        <w:rPr>
          <w:rFonts w:ascii="Lato" w:hAnsi="Lato"/>
          <w:szCs w:val="24"/>
        </w:rPr>
        <w:t xml:space="preserve"> przep</w:t>
      </w:r>
      <w:r w:rsidRPr="00D1163A">
        <w:rPr>
          <w:rFonts w:ascii="Lato" w:hAnsi="Lato" w:cs="Malgun Gothic"/>
          <w:szCs w:val="24"/>
        </w:rPr>
        <w:t>ł</w:t>
      </w:r>
      <w:r w:rsidRPr="00D1163A">
        <w:rPr>
          <w:rFonts w:ascii="Lato" w:hAnsi="Lato"/>
          <w:szCs w:val="24"/>
        </w:rPr>
        <w:t>ywu gazu ziemnego w obu kierunkach (rewers fizyczny) istnieje:</w:t>
      </w:r>
    </w:p>
    <w:p w14:paraId="47387727" w14:textId="77777777" w:rsidR="00245AD3" w:rsidRPr="00D5155A" w:rsidRDefault="00245AD3">
      <w:pPr>
        <w:pStyle w:val="Akapitzlist"/>
        <w:numPr>
          <w:ilvl w:val="0"/>
          <w:numId w:val="17"/>
        </w:numPr>
        <w:spacing w:line="276" w:lineRule="auto"/>
        <w:rPr>
          <w:rFonts w:ascii="Lato" w:hAnsi="Lato"/>
          <w:szCs w:val="24"/>
        </w:rPr>
      </w:pPr>
      <w:r w:rsidRPr="00D5155A">
        <w:rPr>
          <w:rFonts w:ascii="Lato" w:hAnsi="Lato"/>
          <w:szCs w:val="24"/>
        </w:rPr>
        <w:t>w punkcie FAXE (Baltic Pipe) – zdolności przesyłowe na zasadach ciągłych w kierunku Polski wynoszą 1 140 tys. m</w:t>
      </w:r>
      <w:r w:rsidRPr="00D5155A">
        <w:rPr>
          <w:rFonts w:ascii="Lato" w:hAnsi="Lato"/>
          <w:szCs w:val="24"/>
          <w:vertAlign w:val="superscript"/>
        </w:rPr>
        <w:t>3</w:t>
      </w:r>
      <w:r w:rsidRPr="00D5155A">
        <w:rPr>
          <w:rFonts w:ascii="Lato" w:hAnsi="Lato"/>
          <w:szCs w:val="24"/>
        </w:rPr>
        <w:t>/h (13,4 GWh/h), zaś w kierunku Danii 342 tys. m</w:t>
      </w:r>
      <w:r w:rsidRPr="00D5155A">
        <w:rPr>
          <w:rFonts w:ascii="Lato" w:hAnsi="Lato"/>
          <w:szCs w:val="24"/>
          <w:vertAlign w:val="superscript"/>
        </w:rPr>
        <w:t>3</w:t>
      </w:r>
      <w:r w:rsidRPr="00D5155A">
        <w:rPr>
          <w:rFonts w:ascii="Lato" w:hAnsi="Lato"/>
          <w:szCs w:val="24"/>
        </w:rPr>
        <w:t>/h (3,9 GWh/h);</w:t>
      </w:r>
    </w:p>
    <w:p w14:paraId="5C400129" w14:textId="436578B9" w:rsidR="00245AD3" w:rsidRPr="00D5155A" w:rsidRDefault="00245AD3">
      <w:pPr>
        <w:pStyle w:val="Akapitzlist"/>
        <w:numPr>
          <w:ilvl w:val="0"/>
          <w:numId w:val="17"/>
        </w:numPr>
        <w:spacing w:line="276" w:lineRule="auto"/>
        <w:rPr>
          <w:rFonts w:ascii="Lato" w:hAnsi="Lato"/>
          <w:szCs w:val="24"/>
        </w:rPr>
      </w:pPr>
      <w:r w:rsidRPr="00D5155A">
        <w:rPr>
          <w:rFonts w:ascii="Lato" w:hAnsi="Lato"/>
          <w:szCs w:val="24"/>
        </w:rPr>
        <w:t>na polskim odcinku gazoci</w:t>
      </w:r>
      <w:r w:rsidRPr="00D5155A">
        <w:rPr>
          <w:rFonts w:ascii="Lato" w:hAnsi="Lato" w:cs="Calibri"/>
          <w:szCs w:val="24"/>
        </w:rPr>
        <w:t>ą</w:t>
      </w:r>
      <w:r w:rsidRPr="00D5155A">
        <w:rPr>
          <w:rFonts w:ascii="Lato" w:hAnsi="Lato"/>
          <w:szCs w:val="24"/>
        </w:rPr>
        <w:t>gu jamalskiego w punkcie Mallnow –</w:t>
      </w:r>
      <w:r w:rsidR="00185C3C">
        <w:rPr>
          <w:rFonts w:ascii="Lato" w:hAnsi="Lato"/>
          <w:szCs w:val="24"/>
        </w:rPr>
        <w:t xml:space="preserve"> </w:t>
      </w:r>
      <w:r w:rsidRPr="00D5155A">
        <w:rPr>
          <w:rFonts w:ascii="Lato" w:hAnsi="Lato"/>
          <w:szCs w:val="24"/>
        </w:rPr>
        <w:t>zdolno</w:t>
      </w:r>
      <w:r w:rsidRPr="00D5155A">
        <w:rPr>
          <w:rFonts w:ascii="Lato" w:hAnsi="Lato" w:cs="Calibri"/>
          <w:szCs w:val="24"/>
        </w:rPr>
        <w:t>ś</w:t>
      </w:r>
      <w:r w:rsidRPr="00D5155A">
        <w:rPr>
          <w:rFonts w:ascii="Lato" w:hAnsi="Lato"/>
          <w:szCs w:val="24"/>
        </w:rPr>
        <w:t>ci przesyłowe na zasadach ci</w:t>
      </w:r>
      <w:r w:rsidRPr="00D5155A">
        <w:rPr>
          <w:rFonts w:ascii="Lato" w:hAnsi="Lato" w:cs="Calibri"/>
          <w:szCs w:val="24"/>
        </w:rPr>
        <w:t>ą</w:t>
      </w:r>
      <w:r w:rsidRPr="00D5155A">
        <w:rPr>
          <w:rFonts w:ascii="Lato" w:hAnsi="Lato"/>
          <w:szCs w:val="24"/>
        </w:rPr>
        <w:t>g</w:t>
      </w:r>
      <w:r w:rsidRPr="00D5155A">
        <w:rPr>
          <w:rFonts w:ascii="Lato" w:hAnsi="Lato" w:cs="Malgun Gothic"/>
          <w:szCs w:val="24"/>
        </w:rPr>
        <w:t>ł</w:t>
      </w:r>
      <w:r w:rsidRPr="00D5155A">
        <w:rPr>
          <w:rFonts w:ascii="Lato" w:hAnsi="Lato"/>
          <w:szCs w:val="24"/>
        </w:rPr>
        <w:t>ych w punkcie Mallnow w kierunku Polski od stycznia 2023 r. wyn</w:t>
      </w:r>
      <w:r w:rsidRPr="00D5155A">
        <w:rPr>
          <w:rFonts w:ascii="Lato" w:hAnsi="Lato" w:cs="Calibri"/>
          <w:szCs w:val="24"/>
        </w:rPr>
        <w:t>oszą</w:t>
      </w:r>
      <w:r w:rsidRPr="00D5155A">
        <w:rPr>
          <w:rFonts w:ascii="Lato" w:hAnsi="Lato"/>
          <w:szCs w:val="24"/>
        </w:rPr>
        <w:t xml:space="preserve"> 1 044 tys. m</w:t>
      </w:r>
      <w:r w:rsidRPr="00D5155A">
        <w:rPr>
          <w:rFonts w:ascii="Lato" w:hAnsi="Lato"/>
          <w:szCs w:val="24"/>
          <w:vertAlign w:val="superscript"/>
        </w:rPr>
        <w:t>3</w:t>
      </w:r>
      <w:r w:rsidRPr="00D5155A">
        <w:rPr>
          <w:rFonts w:ascii="Lato" w:hAnsi="Lato"/>
          <w:szCs w:val="24"/>
        </w:rPr>
        <w:t>/h (11,6 GWh/h);</w:t>
      </w:r>
    </w:p>
    <w:p w14:paraId="1E79749D" w14:textId="4F893A4E" w:rsidR="00245AD3" w:rsidRPr="00D5155A" w:rsidRDefault="00245AD3">
      <w:pPr>
        <w:pStyle w:val="Akapitzlist"/>
        <w:numPr>
          <w:ilvl w:val="0"/>
          <w:numId w:val="17"/>
        </w:numPr>
        <w:spacing w:line="276" w:lineRule="auto"/>
        <w:rPr>
          <w:rFonts w:ascii="Lato" w:hAnsi="Lato"/>
          <w:szCs w:val="24"/>
        </w:rPr>
      </w:pPr>
      <w:r w:rsidRPr="00D5155A">
        <w:rPr>
          <w:rFonts w:ascii="Lato" w:hAnsi="Lato"/>
          <w:szCs w:val="24"/>
        </w:rPr>
        <w:t>w punkcie GCP GAZ-SYSTEM/ONTRAS, tj.</w:t>
      </w:r>
      <w:r w:rsidR="003D7F62">
        <w:rPr>
          <w:rFonts w:ascii="Lato" w:hAnsi="Lato"/>
          <w:szCs w:val="24"/>
        </w:rPr>
        <w:t xml:space="preserve"> w punktach</w:t>
      </w:r>
      <w:r w:rsidRPr="00D5155A">
        <w:rPr>
          <w:rFonts w:ascii="Lato" w:hAnsi="Lato"/>
          <w:szCs w:val="24"/>
        </w:rPr>
        <w:t xml:space="preserve"> na poł</w:t>
      </w:r>
      <w:r w:rsidRPr="00D5155A">
        <w:rPr>
          <w:rFonts w:ascii="Lato" w:hAnsi="Lato" w:cs="Calibri"/>
          <w:szCs w:val="24"/>
        </w:rPr>
        <w:t>ą</w:t>
      </w:r>
      <w:r w:rsidRPr="00D5155A">
        <w:rPr>
          <w:rFonts w:ascii="Lato" w:hAnsi="Lato"/>
          <w:szCs w:val="24"/>
        </w:rPr>
        <w:t>czeniu system</w:t>
      </w:r>
      <w:r w:rsidRPr="00D5155A">
        <w:rPr>
          <w:rFonts w:ascii="Lato" w:hAnsi="Lato" w:cs="Malgun Gothic"/>
          <w:szCs w:val="24"/>
        </w:rPr>
        <w:t>ó</w:t>
      </w:r>
      <w:r w:rsidRPr="00D5155A">
        <w:rPr>
          <w:rFonts w:ascii="Lato" w:hAnsi="Lato"/>
          <w:szCs w:val="24"/>
        </w:rPr>
        <w:t>w polskiego i niemieckiego (Gubin, Las</w:t>
      </w:r>
      <w:r w:rsidRPr="00D5155A">
        <w:rPr>
          <w:rFonts w:ascii="Lato" w:hAnsi="Lato" w:cs="Malgun Gothic"/>
          <w:szCs w:val="24"/>
        </w:rPr>
        <w:t>ó</w:t>
      </w:r>
      <w:r w:rsidRPr="00D5155A">
        <w:rPr>
          <w:rFonts w:ascii="Lato" w:hAnsi="Lato"/>
          <w:szCs w:val="24"/>
        </w:rPr>
        <w:t>w oraz Kamminke i Las</w:t>
      </w:r>
      <w:r w:rsidRPr="00D5155A">
        <w:rPr>
          <w:rFonts w:ascii="Lato" w:hAnsi="Lato" w:cs="Malgun Gothic"/>
          <w:szCs w:val="24"/>
        </w:rPr>
        <w:t>ó</w:t>
      </w:r>
      <w:r w:rsidRPr="00D5155A">
        <w:rPr>
          <w:rFonts w:ascii="Lato" w:hAnsi="Lato"/>
          <w:szCs w:val="24"/>
        </w:rPr>
        <w:t>w Rewers), przesył do Polski w ilościach 182 tys. m</w:t>
      </w:r>
      <w:r w:rsidRPr="00D5155A">
        <w:rPr>
          <w:rFonts w:ascii="Lato" w:hAnsi="Lato"/>
          <w:szCs w:val="24"/>
          <w:vertAlign w:val="superscript"/>
        </w:rPr>
        <w:t>3</w:t>
      </w:r>
      <w:r w:rsidRPr="00D5155A">
        <w:rPr>
          <w:rFonts w:ascii="Lato" w:hAnsi="Lato"/>
          <w:szCs w:val="24"/>
        </w:rPr>
        <w:t xml:space="preserve">/h (2,1 GWh/h), po stronie polskiej </w:t>
      </w:r>
      <w:r w:rsidRPr="00D5155A">
        <w:rPr>
          <w:rFonts w:ascii="Lato" w:hAnsi="Lato" w:cs="Malgun Gothic"/>
          <w:szCs w:val="24"/>
        </w:rPr>
        <w:t>–</w:t>
      </w:r>
      <w:r w:rsidRPr="00D5155A">
        <w:rPr>
          <w:rFonts w:ascii="Lato" w:hAnsi="Lato"/>
          <w:szCs w:val="24"/>
        </w:rPr>
        <w:t xml:space="preserve"> możliwe jest przesy</w:t>
      </w:r>
      <w:r w:rsidRPr="00D5155A">
        <w:rPr>
          <w:rFonts w:ascii="Lato" w:hAnsi="Lato" w:cs="Malgun Gothic"/>
          <w:szCs w:val="24"/>
        </w:rPr>
        <w:t>ł</w:t>
      </w:r>
      <w:r w:rsidRPr="00D5155A">
        <w:rPr>
          <w:rFonts w:ascii="Lato" w:hAnsi="Lato"/>
          <w:szCs w:val="24"/>
        </w:rPr>
        <w:t>anie gazu ziemnego na zasadach ci</w:t>
      </w:r>
      <w:r w:rsidRPr="00D5155A">
        <w:rPr>
          <w:rFonts w:ascii="Lato" w:hAnsi="Lato" w:cs="Calibri"/>
          <w:szCs w:val="24"/>
        </w:rPr>
        <w:t>ą</w:t>
      </w:r>
      <w:r w:rsidRPr="00D5155A">
        <w:rPr>
          <w:rFonts w:ascii="Lato" w:hAnsi="Lato"/>
          <w:szCs w:val="24"/>
        </w:rPr>
        <w:t>g</w:t>
      </w:r>
      <w:r w:rsidRPr="00D5155A">
        <w:rPr>
          <w:rFonts w:ascii="Lato" w:hAnsi="Lato" w:cs="Malgun Gothic"/>
          <w:szCs w:val="24"/>
        </w:rPr>
        <w:t>ł</w:t>
      </w:r>
      <w:r w:rsidRPr="00D5155A">
        <w:rPr>
          <w:rFonts w:ascii="Lato" w:hAnsi="Lato"/>
          <w:szCs w:val="24"/>
        </w:rPr>
        <w:t>ych w kierunku Niemiec w ilo</w:t>
      </w:r>
      <w:r w:rsidRPr="00D5155A">
        <w:rPr>
          <w:rFonts w:ascii="Lato" w:hAnsi="Lato" w:cs="Calibri"/>
          <w:szCs w:val="24"/>
        </w:rPr>
        <w:t>ś</w:t>
      </w:r>
      <w:r w:rsidRPr="00D5155A">
        <w:rPr>
          <w:rFonts w:ascii="Lato" w:hAnsi="Lato"/>
          <w:szCs w:val="24"/>
        </w:rPr>
        <w:t>ci do 100 tys. m</w:t>
      </w:r>
      <w:r w:rsidRPr="00D5155A">
        <w:rPr>
          <w:rFonts w:ascii="Lato" w:hAnsi="Lato"/>
          <w:szCs w:val="24"/>
          <w:vertAlign w:val="superscript"/>
        </w:rPr>
        <w:t>3</w:t>
      </w:r>
      <w:r w:rsidRPr="00D5155A">
        <w:rPr>
          <w:rFonts w:ascii="Lato" w:hAnsi="Lato"/>
          <w:szCs w:val="24"/>
        </w:rPr>
        <w:t>/h (1,1 GWh/h);</w:t>
      </w:r>
    </w:p>
    <w:p w14:paraId="347B6209" w14:textId="77777777" w:rsidR="00245AD3" w:rsidRPr="00D5155A" w:rsidRDefault="00245AD3">
      <w:pPr>
        <w:pStyle w:val="Akapitzlist"/>
        <w:numPr>
          <w:ilvl w:val="0"/>
          <w:numId w:val="17"/>
        </w:numPr>
        <w:spacing w:line="276" w:lineRule="auto"/>
        <w:rPr>
          <w:rFonts w:ascii="Lato" w:hAnsi="Lato"/>
          <w:szCs w:val="24"/>
        </w:rPr>
      </w:pPr>
      <w:r w:rsidRPr="00D5155A">
        <w:rPr>
          <w:rFonts w:ascii="Lato" w:hAnsi="Lato"/>
          <w:szCs w:val="24"/>
        </w:rPr>
        <w:lastRenderedPageBreak/>
        <w:t>w punkcie Vyrava (połączenie systemów przesyłowych Polski i Słowacji) – zdolności przesyłowe na zasadach ciągłych w kierunku Polski wynoszą 650 tys. m</w:t>
      </w:r>
      <w:r w:rsidRPr="00D5155A">
        <w:rPr>
          <w:rFonts w:ascii="Lato" w:hAnsi="Lato"/>
          <w:szCs w:val="24"/>
          <w:vertAlign w:val="superscript"/>
        </w:rPr>
        <w:t>3</w:t>
      </w:r>
      <w:r w:rsidRPr="00D5155A">
        <w:rPr>
          <w:rFonts w:ascii="Lato" w:hAnsi="Lato"/>
          <w:szCs w:val="24"/>
        </w:rPr>
        <w:t>/h (7,2 GWh/h), zaś w kierunku Słowacji 540 tys. m</w:t>
      </w:r>
      <w:r w:rsidRPr="00D5155A">
        <w:rPr>
          <w:rFonts w:ascii="Lato" w:hAnsi="Lato"/>
          <w:szCs w:val="24"/>
          <w:vertAlign w:val="superscript"/>
        </w:rPr>
        <w:t>3</w:t>
      </w:r>
      <w:r w:rsidRPr="00D5155A">
        <w:rPr>
          <w:rFonts w:ascii="Lato" w:hAnsi="Lato"/>
          <w:szCs w:val="24"/>
        </w:rPr>
        <w:t>/h (6,0 GWh/h);</w:t>
      </w:r>
    </w:p>
    <w:p w14:paraId="7C6CB32E" w14:textId="3765BBC2" w:rsidR="00245AD3" w:rsidRPr="00D5155A" w:rsidRDefault="00245AD3">
      <w:pPr>
        <w:pStyle w:val="Akapitzlist"/>
        <w:numPr>
          <w:ilvl w:val="0"/>
          <w:numId w:val="17"/>
        </w:numPr>
        <w:spacing w:line="276" w:lineRule="auto"/>
        <w:rPr>
          <w:rFonts w:ascii="Lato" w:hAnsi="Lato"/>
          <w:szCs w:val="24"/>
        </w:rPr>
      </w:pPr>
      <w:r w:rsidRPr="00D5155A">
        <w:rPr>
          <w:rFonts w:ascii="Lato" w:hAnsi="Lato"/>
          <w:szCs w:val="24"/>
        </w:rPr>
        <w:t xml:space="preserve">w punkcie GCP GAZ-SYSTEM/UA TSO, tj. </w:t>
      </w:r>
      <w:r w:rsidR="003D7F62">
        <w:rPr>
          <w:rFonts w:ascii="Lato" w:hAnsi="Lato"/>
          <w:szCs w:val="24"/>
        </w:rPr>
        <w:t>w punktach</w:t>
      </w:r>
      <w:r w:rsidRPr="00D5155A">
        <w:rPr>
          <w:rFonts w:ascii="Lato" w:hAnsi="Lato"/>
          <w:szCs w:val="24"/>
        </w:rPr>
        <w:t xml:space="preserve"> na połączeniu systemów polskiego i ukraińskiego (Drozdowicze i Hermanowice), które zostały połączone w wirtualny </w:t>
      </w:r>
      <w:r w:rsidR="00A43906">
        <w:rPr>
          <w:rFonts w:ascii="Lato" w:hAnsi="Lato"/>
          <w:szCs w:val="24"/>
        </w:rPr>
        <w:t>GCP</w:t>
      </w:r>
      <w:r w:rsidRPr="00D5155A">
        <w:rPr>
          <w:rFonts w:ascii="Lato" w:hAnsi="Lato"/>
          <w:szCs w:val="24"/>
        </w:rPr>
        <w:t xml:space="preserve"> GAZ-SYSTEM/UA TSO na podstawie porozumienia zawartego w dniu 5 czerwca 2020 r. Zdolności przesyłowe na zasadach ciągłych w kierunku Polski wynoszą 500 tys. m</w:t>
      </w:r>
      <w:r w:rsidRPr="00D5155A">
        <w:rPr>
          <w:rFonts w:ascii="Lato" w:hAnsi="Lato"/>
          <w:szCs w:val="24"/>
          <w:vertAlign w:val="superscript"/>
        </w:rPr>
        <w:t>3</w:t>
      </w:r>
      <w:r w:rsidRPr="00D5155A">
        <w:rPr>
          <w:rFonts w:ascii="Lato" w:hAnsi="Lato"/>
          <w:szCs w:val="24"/>
        </w:rPr>
        <w:t>/h (5,7 GWh/h), zaś w kierunku Ukrainy 167 tys. m3/h (1,8 GWh/h) – (przepustowość przerywana warunkowo ciągła);</w:t>
      </w:r>
    </w:p>
    <w:p w14:paraId="7122E996" w14:textId="77777777" w:rsidR="00245AD3" w:rsidRPr="00D5155A" w:rsidRDefault="00245AD3">
      <w:pPr>
        <w:pStyle w:val="Akapitzlist"/>
        <w:numPr>
          <w:ilvl w:val="0"/>
          <w:numId w:val="17"/>
        </w:numPr>
        <w:spacing w:line="276" w:lineRule="auto"/>
        <w:rPr>
          <w:rFonts w:ascii="Lato" w:hAnsi="Lato"/>
          <w:szCs w:val="24"/>
        </w:rPr>
      </w:pPr>
      <w:r w:rsidRPr="00D5155A">
        <w:rPr>
          <w:rFonts w:ascii="Lato" w:hAnsi="Lato"/>
          <w:szCs w:val="24"/>
        </w:rPr>
        <w:t>w punkcie Santaka (połączenie systemów przesyłowych Polski i Litwy) – zdolności przesyłowe na zasadach ciągłych w kierunku Polski wynoszą 217 tys. m</w:t>
      </w:r>
      <w:r w:rsidRPr="00D5155A">
        <w:rPr>
          <w:rFonts w:ascii="Lato" w:hAnsi="Lato"/>
          <w:szCs w:val="24"/>
          <w:vertAlign w:val="superscript"/>
        </w:rPr>
        <w:t>3</w:t>
      </w:r>
      <w:r w:rsidRPr="00D5155A">
        <w:rPr>
          <w:rFonts w:ascii="Lato" w:hAnsi="Lato"/>
          <w:szCs w:val="24"/>
        </w:rPr>
        <w:t xml:space="preserve">/h (2,4 GWh/h), zaś w kierunku Litwy </w:t>
      </w:r>
      <w:r w:rsidRPr="00D5155A">
        <w:rPr>
          <w:rStyle w:val="normaltextrun"/>
          <w:rFonts w:ascii="Lato" w:hAnsi="Lato"/>
          <w:szCs w:val="24"/>
        </w:rPr>
        <w:t>275 tys m</w:t>
      </w:r>
      <w:r w:rsidRPr="00D5155A">
        <w:rPr>
          <w:rStyle w:val="normaltextrun"/>
          <w:rFonts w:ascii="Lato" w:hAnsi="Lato"/>
          <w:szCs w:val="24"/>
          <w:vertAlign w:val="superscript"/>
        </w:rPr>
        <w:t>3</w:t>
      </w:r>
      <w:r w:rsidRPr="00D5155A">
        <w:rPr>
          <w:rStyle w:val="normaltextrun"/>
          <w:rFonts w:ascii="Lato" w:hAnsi="Lato"/>
          <w:szCs w:val="24"/>
        </w:rPr>
        <w:t>/h (3,0 GWh/h).</w:t>
      </w:r>
    </w:p>
    <w:p w14:paraId="7AFA306F" w14:textId="54D353CE" w:rsidR="00245AD3" w:rsidRPr="00D5155A" w:rsidRDefault="00245AD3" w:rsidP="003D7F62">
      <w:pPr>
        <w:spacing w:after="60" w:line="276" w:lineRule="auto"/>
        <w:ind w:firstLine="709"/>
        <w:rPr>
          <w:rFonts w:ascii="Lato" w:hAnsi="Lato"/>
          <w:szCs w:val="24"/>
        </w:rPr>
      </w:pPr>
      <w:r w:rsidRPr="00D5155A">
        <w:rPr>
          <w:rFonts w:ascii="Lato" w:hAnsi="Lato"/>
          <w:szCs w:val="24"/>
        </w:rPr>
        <w:t>Dla funkcjonującego obecnie połączenia systemów przesyłowych Polski i Czech w rejonie Cieszyna (Stork I) minister właściwy do spraw energii wydał odstępstwo od obowiązku wdrożenia zdolności przepływu w obu kierunkach, po uzgodnieniu z organem właściwym Republiki Cze</w:t>
      </w:r>
      <w:r w:rsidR="003D7F62">
        <w:rPr>
          <w:rFonts w:ascii="Lato" w:hAnsi="Lato"/>
          <w:szCs w:val="24"/>
        </w:rPr>
        <w:t>skiej</w:t>
      </w:r>
      <w:r w:rsidRPr="00D5155A">
        <w:rPr>
          <w:rFonts w:ascii="Lato" w:hAnsi="Lato"/>
          <w:szCs w:val="24"/>
        </w:rPr>
        <w:t>. Rozważany jest także powrót do budowy połączenia międzysystemowego w rejonie Hat (Stork II) w przypadku możliwości pozyskania finansowania zewnętrznego, ponieważ dotychczas procedowane procesy przepustowości przyrostowej nie dawały podstaw do podjęcia decyzji inwestycyjnej na zasadach komercyjnych. W zakresie ewentualnej budowy nowego połączenia Polska-Czechy (Stork II)</w:t>
      </w:r>
      <w:r w:rsidR="003D7F62">
        <w:rPr>
          <w:rFonts w:ascii="Lato" w:hAnsi="Lato"/>
          <w:szCs w:val="24"/>
        </w:rPr>
        <w:t xml:space="preserve">, obecnie </w:t>
      </w:r>
      <w:r w:rsidRPr="00D5155A">
        <w:rPr>
          <w:rFonts w:ascii="Lato" w:hAnsi="Lato"/>
          <w:szCs w:val="24"/>
        </w:rPr>
        <w:t>strony analizują potencjalne warianty oraz parametry ewentualnej budowy.</w:t>
      </w:r>
    </w:p>
    <w:p w14:paraId="220098FB" w14:textId="043284EC" w:rsidR="00290A60" w:rsidRPr="00D5155A" w:rsidRDefault="00245AD3" w:rsidP="003D7F62">
      <w:pPr>
        <w:spacing w:after="60" w:line="276" w:lineRule="auto"/>
        <w:ind w:firstLine="709"/>
        <w:rPr>
          <w:rFonts w:ascii="Lato" w:eastAsia="Malgun Gothic" w:hAnsi="Lato"/>
          <w:szCs w:val="24"/>
        </w:rPr>
      </w:pPr>
      <w:r w:rsidRPr="00245AD3">
        <w:rPr>
          <w:rFonts w:ascii="Lato" w:eastAsia="Malgun Gothic" w:hAnsi="Lato"/>
          <w:szCs w:val="24"/>
        </w:rPr>
        <w:t xml:space="preserve">Dla połączenia systemów przesyłowych Polski i Ukrainy w 2021 r. zgodnie z CAM NC, </w:t>
      </w:r>
      <w:r w:rsidR="00185C3C">
        <w:rPr>
          <w:rFonts w:ascii="Lato" w:eastAsia="Malgun Gothic" w:hAnsi="Lato"/>
          <w:szCs w:val="24"/>
        </w:rPr>
        <w:t xml:space="preserve">OGP </w:t>
      </w:r>
      <w:r w:rsidRPr="00245AD3">
        <w:rPr>
          <w:rFonts w:ascii="Lato" w:eastAsia="Malgun Gothic" w:hAnsi="Lato"/>
          <w:szCs w:val="24"/>
        </w:rPr>
        <w:t xml:space="preserve">GAZ-SYSTEM </w:t>
      </w:r>
      <w:r w:rsidR="00185C3C">
        <w:rPr>
          <w:rFonts w:ascii="Lato" w:eastAsia="Malgun Gothic" w:hAnsi="Lato"/>
          <w:szCs w:val="24"/>
        </w:rPr>
        <w:t xml:space="preserve">S.A. </w:t>
      </w:r>
      <w:r w:rsidRPr="00245AD3">
        <w:rPr>
          <w:rFonts w:ascii="Lato" w:eastAsia="Malgun Gothic" w:hAnsi="Lato"/>
          <w:szCs w:val="24"/>
        </w:rPr>
        <w:t>po raz pierwszy przeprowadził ocenę zapotrzebowania rynku na zdolności przyrostowe pomiędzy polskim system wejścia-wyjścia i ukraińskim systemem wejścia-wyjścia. Na podstawie otrzymanych niewiążących zgłoszeń uzgodniono, że należy zainicjować realizację projektu zdolności przyrostowej. Projekt na granicy Polska-Ukraina będzie realizowany pod warunkiem otrzymania wystarczającego poziomu rezerwacji w wiążącej fazie alokacji, gwarantującego uzyskanie pozytywnego testu ekonomicznego.</w:t>
      </w:r>
      <w:bookmarkStart w:id="244" w:name="_Toc18063890"/>
      <w:bookmarkStart w:id="245" w:name="_Toc12953918"/>
      <w:bookmarkEnd w:id="244"/>
      <w:r w:rsidR="00D5155A">
        <w:rPr>
          <w:rFonts w:ascii="Lato" w:eastAsia="Malgun Gothic" w:hAnsi="Lato"/>
          <w:szCs w:val="24"/>
        </w:rPr>
        <w:br w:type="page"/>
      </w:r>
    </w:p>
    <w:p w14:paraId="1401C7CE" w14:textId="5864F6D2" w:rsidR="00B03DBA" w:rsidRPr="00D5155A" w:rsidRDefault="00C7771E" w:rsidP="00D5155A">
      <w:pPr>
        <w:pStyle w:val="Rozdzia1"/>
        <w:rPr>
          <w:rFonts w:ascii="Lato" w:hAnsi="Lato"/>
          <w:sz w:val="28"/>
          <w:szCs w:val="28"/>
        </w:rPr>
      </w:pPr>
      <w:bookmarkStart w:id="246" w:name="_Toc140489015"/>
      <w:bookmarkStart w:id="247" w:name="_Toc140581007"/>
      <w:bookmarkStart w:id="248" w:name="_Toc140489016"/>
      <w:bookmarkStart w:id="249" w:name="_Toc140581008"/>
      <w:bookmarkStart w:id="250" w:name="_Toc140489017"/>
      <w:bookmarkStart w:id="251" w:name="_Toc140581009"/>
      <w:bookmarkStart w:id="252" w:name="_Toc140489018"/>
      <w:bookmarkStart w:id="253" w:name="_Toc140581010"/>
      <w:bookmarkStart w:id="254" w:name="_Toc140489019"/>
      <w:bookmarkStart w:id="255" w:name="_Toc140581011"/>
      <w:bookmarkStart w:id="256" w:name="_Toc140489020"/>
      <w:bookmarkStart w:id="257" w:name="_Toc140581012"/>
      <w:bookmarkStart w:id="258" w:name="_Toc140489021"/>
      <w:bookmarkStart w:id="259" w:name="_Toc140581013"/>
      <w:bookmarkStart w:id="260" w:name="_Toc140489022"/>
      <w:bookmarkStart w:id="261" w:name="_Toc140581014"/>
      <w:bookmarkStart w:id="262" w:name="_Toc140489023"/>
      <w:bookmarkStart w:id="263" w:name="_Toc140581015"/>
      <w:bookmarkStart w:id="264" w:name="_Toc140489024"/>
      <w:bookmarkStart w:id="265" w:name="_Toc140581016"/>
      <w:bookmarkStart w:id="266" w:name="_Toc19782951"/>
      <w:bookmarkStart w:id="267" w:name="_Toc142469574"/>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r w:rsidRPr="00D5155A">
        <w:rPr>
          <w:rFonts w:ascii="Lato" w:hAnsi="Lato"/>
          <w:sz w:val="28"/>
          <w:szCs w:val="28"/>
        </w:rPr>
        <w:lastRenderedPageBreak/>
        <w:t>Zgodność ze standardem w zakresie dostaw</w:t>
      </w:r>
      <w:bookmarkEnd w:id="245"/>
      <w:bookmarkEnd w:id="266"/>
      <w:bookmarkEnd w:id="267"/>
    </w:p>
    <w:p w14:paraId="235AE3C2" w14:textId="62D7E1F8" w:rsidR="00B03DBA" w:rsidRPr="00D1163A" w:rsidRDefault="00C7771E" w:rsidP="00D5155A">
      <w:pPr>
        <w:spacing w:after="0" w:line="276" w:lineRule="auto"/>
        <w:rPr>
          <w:rFonts w:ascii="Lato" w:hAnsi="Lato"/>
        </w:rPr>
      </w:pPr>
      <w:r w:rsidRPr="00C758B1">
        <w:tab/>
      </w:r>
      <w:r w:rsidRPr="00D1163A">
        <w:rPr>
          <w:rFonts w:ascii="Lato" w:hAnsi="Lato"/>
        </w:rPr>
        <w:t>Zgodnie z art. 2 ust. 5 rozporządzenia 2017/1938 opracowano, a następnie przekazano K</w:t>
      </w:r>
      <w:r w:rsidR="00185C3C">
        <w:rPr>
          <w:rFonts w:ascii="Lato" w:hAnsi="Lato"/>
        </w:rPr>
        <w:t>E</w:t>
      </w:r>
      <w:r w:rsidRPr="00D1163A">
        <w:rPr>
          <w:rFonts w:ascii="Lato" w:hAnsi="Lato"/>
        </w:rPr>
        <w:t xml:space="preserve"> katalog odbiorców chronionych na potrzeby polskiego rynku gazu ziemnego. Definicja odbiorcy chronionego obejmuje: </w:t>
      </w:r>
    </w:p>
    <w:p w14:paraId="70E04C9C" w14:textId="57EEF1B3" w:rsidR="00B03DBA" w:rsidRPr="00D1163A" w:rsidRDefault="00C7771E">
      <w:pPr>
        <w:pStyle w:val="Akapitzlist"/>
        <w:numPr>
          <w:ilvl w:val="0"/>
          <w:numId w:val="12"/>
        </w:numPr>
        <w:spacing w:line="276" w:lineRule="auto"/>
        <w:rPr>
          <w:rFonts w:ascii="Lato" w:hAnsi="Lato"/>
        </w:rPr>
      </w:pPr>
      <w:r w:rsidRPr="00D1163A">
        <w:rPr>
          <w:rFonts w:ascii="Lato" w:hAnsi="Lato"/>
        </w:rPr>
        <w:t>odbiorcę w gospodarstwie domowym, który jest podłączony do sieci dystrybucyjnej gazu;</w:t>
      </w:r>
    </w:p>
    <w:p w14:paraId="67E7F348" w14:textId="602A375E" w:rsidR="00B03DBA" w:rsidRPr="00D1163A" w:rsidRDefault="00C7771E">
      <w:pPr>
        <w:pStyle w:val="Akapitzlist"/>
        <w:numPr>
          <w:ilvl w:val="0"/>
          <w:numId w:val="12"/>
        </w:numPr>
        <w:spacing w:line="276" w:lineRule="auto"/>
        <w:rPr>
          <w:rFonts w:ascii="Lato" w:hAnsi="Lato"/>
        </w:rPr>
      </w:pPr>
      <w:r w:rsidRPr="00D1163A">
        <w:rPr>
          <w:rFonts w:ascii="Lato" w:hAnsi="Lato"/>
        </w:rPr>
        <w:t>małe lub średnie przedsiębiorstwa, pod warunkiem że są one podłączone do sieci dystrybucyjnej gazu ziemnego i posiadają zamówioną moc umowną do 710 kWh/h;</w:t>
      </w:r>
    </w:p>
    <w:p w14:paraId="486CFFAD" w14:textId="02392E46" w:rsidR="00B03DBA" w:rsidRPr="00D1163A" w:rsidRDefault="00C7771E">
      <w:pPr>
        <w:pStyle w:val="Akapitzlist"/>
        <w:numPr>
          <w:ilvl w:val="0"/>
          <w:numId w:val="12"/>
        </w:numPr>
        <w:spacing w:line="276" w:lineRule="auto"/>
        <w:rPr>
          <w:rFonts w:ascii="Lato" w:hAnsi="Lato"/>
        </w:rPr>
      </w:pPr>
      <w:r w:rsidRPr="00D1163A">
        <w:rPr>
          <w:rFonts w:ascii="Lato" w:hAnsi="Lato"/>
        </w:rPr>
        <w:t>podmiot świadczący podstawowe usługi społeczne, pod warunkiem że jest on podłączony do sieci dystrybucyjnej lub przesyłowej gazu;</w:t>
      </w:r>
    </w:p>
    <w:p w14:paraId="1899669E" w14:textId="4F531E94" w:rsidR="00B03DBA" w:rsidRDefault="003D7F62">
      <w:pPr>
        <w:pStyle w:val="Akapitzlist"/>
        <w:numPr>
          <w:ilvl w:val="0"/>
          <w:numId w:val="12"/>
        </w:numPr>
        <w:spacing w:line="276" w:lineRule="auto"/>
        <w:rPr>
          <w:rFonts w:ascii="Lato" w:hAnsi="Lato"/>
        </w:rPr>
      </w:pPr>
      <w:r>
        <w:rPr>
          <w:rFonts w:ascii="Lato" w:hAnsi="Lato"/>
        </w:rPr>
        <w:t>odbiorców gazu ziemnego, w zakresie, w jakim zajmują się wytwarzaniem ciepła dla</w:t>
      </w:r>
      <w:r w:rsidR="00C7771E" w:rsidRPr="00D1163A">
        <w:rPr>
          <w:rFonts w:ascii="Lato" w:hAnsi="Lato"/>
        </w:rPr>
        <w:t xml:space="preserve"> odbiorc</w:t>
      </w:r>
      <w:r>
        <w:rPr>
          <w:rFonts w:ascii="Lato" w:hAnsi="Lato"/>
        </w:rPr>
        <w:t>ów</w:t>
      </w:r>
      <w:r w:rsidR="00C7771E" w:rsidRPr="00D1163A">
        <w:rPr>
          <w:rFonts w:ascii="Lato" w:hAnsi="Lato"/>
        </w:rPr>
        <w:t xml:space="preserve"> będący</w:t>
      </w:r>
      <w:r>
        <w:rPr>
          <w:rFonts w:ascii="Lato" w:hAnsi="Lato"/>
        </w:rPr>
        <w:t>ch</w:t>
      </w:r>
      <w:r w:rsidR="00C7771E" w:rsidRPr="00D1163A">
        <w:rPr>
          <w:rFonts w:ascii="Lato" w:hAnsi="Lato"/>
        </w:rPr>
        <w:t xml:space="preserve"> gospodarstwami domowymi, małym lub średnim przedsiębiorstw</w:t>
      </w:r>
      <w:r>
        <w:rPr>
          <w:rFonts w:ascii="Lato" w:hAnsi="Lato"/>
        </w:rPr>
        <w:t xml:space="preserve">ami </w:t>
      </w:r>
      <w:r w:rsidR="00C7771E" w:rsidRPr="00D1163A">
        <w:rPr>
          <w:rFonts w:ascii="Lato" w:hAnsi="Lato"/>
        </w:rPr>
        <w:t>lub podmiot</w:t>
      </w:r>
      <w:r>
        <w:rPr>
          <w:rFonts w:ascii="Lato" w:hAnsi="Lato"/>
        </w:rPr>
        <w:t>ami</w:t>
      </w:r>
      <w:r w:rsidR="00C7771E" w:rsidRPr="00D1163A">
        <w:rPr>
          <w:rFonts w:ascii="Lato" w:hAnsi="Lato"/>
        </w:rPr>
        <w:t xml:space="preserve"> świadczącym</w:t>
      </w:r>
      <w:r>
        <w:rPr>
          <w:rFonts w:ascii="Lato" w:hAnsi="Lato"/>
        </w:rPr>
        <w:t>i</w:t>
      </w:r>
      <w:r w:rsidR="00C7771E" w:rsidRPr="00D1163A">
        <w:rPr>
          <w:rFonts w:ascii="Lato" w:hAnsi="Lato"/>
        </w:rPr>
        <w:t xml:space="preserve"> podstawowe usługi społeczne, </w:t>
      </w:r>
      <w:r w:rsidR="00932D5F">
        <w:rPr>
          <w:rFonts w:ascii="Lato" w:hAnsi="Lato"/>
        </w:rPr>
        <w:t xml:space="preserve">lub zaopatrywaniem w ciepło tych odbiorców, </w:t>
      </w:r>
      <w:r w:rsidR="00C7771E" w:rsidRPr="00D1163A">
        <w:rPr>
          <w:rFonts w:ascii="Lato" w:hAnsi="Lato"/>
        </w:rPr>
        <w:t xml:space="preserve">pod warunkiem że instalacji </w:t>
      </w:r>
      <w:r w:rsidR="00932D5F">
        <w:rPr>
          <w:rFonts w:ascii="Lato" w:hAnsi="Lato"/>
        </w:rPr>
        <w:t xml:space="preserve">tych odbiorców gazu ziemnego </w:t>
      </w:r>
      <w:r w:rsidR="00C7771E" w:rsidRPr="00D1163A">
        <w:rPr>
          <w:rFonts w:ascii="Lato" w:hAnsi="Lato"/>
        </w:rPr>
        <w:t xml:space="preserve">nie można </w:t>
      </w:r>
      <w:r w:rsidR="00932D5F">
        <w:rPr>
          <w:rFonts w:ascii="Lato" w:hAnsi="Lato"/>
        </w:rPr>
        <w:t xml:space="preserve">zasilać paliwem </w:t>
      </w:r>
      <w:r w:rsidR="00C7771E" w:rsidRPr="00D1163A">
        <w:rPr>
          <w:rFonts w:ascii="Lato" w:hAnsi="Lato"/>
        </w:rPr>
        <w:t>inn</w:t>
      </w:r>
      <w:r w:rsidR="00932D5F">
        <w:rPr>
          <w:rFonts w:ascii="Lato" w:hAnsi="Lato"/>
        </w:rPr>
        <w:t>ym</w:t>
      </w:r>
      <w:r w:rsidR="00C7771E" w:rsidRPr="00D1163A">
        <w:rPr>
          <w:rFonts w:ascii="Lato" w:hAnsi="Lato"/>
        </w:rPr>
        <w:t xml:space="preserve"> niż gaz</w:t>
      </w:r>
      <w:r>
        <w:rPr>
          <w:rFonts w:ascii="Lato" w:hAnsi="Lato"/>
        </w:rPr>
        <w:t xml:space="preserve"> ziemny</w:t>
      </w:r>
      <w:r w:rsidR="00C7771E" w:rsidRPr="00D1163A">
        <w:rPr>
          <w:rFonts w:ascii="Lato" w:hAnsi="Lato"/>
        </w:rPr>
        <w:t>.</w:t>
      </w:r>
    </w:p>
    <w:p w14:paraId="50027BE9" w14:textId="7960C2AE" w:rsidR="00B03DBA" w:rsidRPr="00D1163A" w:rsidRDefault="00D5155A" w:rsidP="00646890">
      <w:pPr>
        <w:spacing w:after="60" w:line="276" w:lineRule="auto"/>
        <w:ind w:firstLine="709"/>
        <w:rPr>
          <w:rFonts w:ascii="Lato" w:hAnsi="Lato"/>
        </w:rPr>
      </w:pPr>
      <w:r>
        <w:rPr>
          <w:rFonts w:ascii="Lato" w:hAnsi="Lato"/>
        </w:rPr>
        <w:t>Należy wskazać,</w:t>
      </w:r>
      <w:r w:rsidR="00C7771E" w:rsidRPr="00D1163A">
        <w:rPr>
          <w:rFonts w:ascii="Lato" w:hAnsi="Lato"/>
        </w:rPr>
        <w:t xml:space="preserve"> że małe i średnie przedsiębiorstwa podłączone do sieci dystrybucyjnej gazu ziemnego, a także podmioty świadczące podstawowe usługi </w:t>
      </w:r>
      <w:r w:rsidR="0037385B">
        <w:rPr>
          <w:rFonts w:ascii="Lato" w:hAnsi="Lato"/>
        </w:rPr>
        <w:t>społeczne</w:t>
      </w:r>
      <w:r w:rsidR="00C7771E" w:rsidRPr="00D1163A">
        <w:rPr>
          <w:rFonts w:ascii="Lato" w:hAnsi="Lato"/>
        </w:rPr>
        <w:t xml:space="preserve"> podłączone do dystrybucyjnej lub przesyłowej sieci gazowej oraz instalacje systemów ciepłowniczych mogą być zaliczone do kategorii odbiorców chronionych, o ile zużycie gazu ziemnego przez ww. grupy konsumentów nie przekracza 20% ostatecznego zużycia tego surowca.</w:t>
      </w:r>
    </w:p>
    <w:p w14:paraId="0DB2281C" w14:textId="57B5722E" w:rsidR="0005315C" w:rsidRDefault="00C7771E" w:rsidP="00646890">
      <w:pPr>
        <w:spacing w:after="60" w:line="276" w:lineRule="auto"/>
        <w:rPr>
          <w:rFonts w:ascii="Lato" w:hAnsi="Lato"/>
        </w:rPr>
      </w:pPr>
      <w:r w:rsidRPr="00D1163A">
        <w:rPr>
          <w:rFonts w:ascii="Lato" w:hAnsi="Lato"/>
        </w:rPr>
        <w:tab/>
        <w:t>Wszystkie przedsiębiorstwa gazowe</w:t>
      </w:r>
      <w:r w:rsidR="00407115">
        <w:rPr>
          <w:rFonts w:ascii="Lato" w:hAnsi="Lato"/>
        </w:rPr>
        <w:t xml:space="preserve">, które sprzedają </w:t>
      </w:r>
      <w:r w:rsidRPr="00D1163A">
        <w:rPr>
          <w:rFonts w:ascii="Lato" w:hAnsi="Lato"/>
        </w:rPr>
        <w:t>gaz ziemn</w:t>
      </w:r>
      <w:r w:rsidR="00407115">
        <w:rPr>
          <w:rFonts w:ascii="Lato" w:hAnsi="Lato"/>
        </w:rPr>
        <w:t>y</w:t>
      </w:r>
      <w:r w:rsidRPr="00D1163A">
        <w:rPr>
          <w:rFonts w:ascii="Lato" w:hAnsi="Lato"/>
        </w:rPr>
        <w:t xml:space="preserve"> odbiorcom chronionym na terytorium R</w:t>
      </w:r>
      <w:r w:rsidR="00185C3C">
        <w:rPr>
          <w:rFonts w:ascii="Lato" w:hAnsi="Lato"/>
        </w:rPr>
        <w:t>P</w:t>
      </w:r>
      <w:r w:rsidRPr="00D1163A">
        <w:rPr>
          <w:rFonts w:ascii="Lato" w:hAnsi="Lato"/>
        </w:rPr>
        <w:t xml:space="preserve">, </w:t>
      </w:r>
      <w:r w:rsidR="00407115">
        <w:rPr>
          <w:rFonts w:ascii="Lato" w:hAnsi="Lato"/>
        </w:rPr>
        <w:t xml:space="preserve">są </w:t>
      </w:r>
      <w:r w:rsidRPr="00D1163A">
        <w:rPr>
          <w:rFonts w:ascii="Lato" w:hAnsi="Lato"/>
        </w:rPr>
        <w:t>obowiązane do podjęcia środków w celu zapewnienia dostaw swoim klientom w przypadkach określonych w art. 6 ust. 1 rozporządzenia 2017/1938. Poniższa tabela przedstawia ilości gazu ziemnego zużywane przez odbiorców chronionych w rozumieniu powyższej definicji w przypadkach wyszczególnionych w art. 8 ust. 1 rozporządzenia 2017/1938.</w:t>
      </w:r>
    </w:p>
    <w:p w14:paraId="26D86C0A" w14:textId="243D967C" w:rsidR="00290A60" w:rsidRPr="00D5155A" w:rsidRDefault="0005315C" w:rsidP="00381EF8">
      <w:pPr>
        <w:spacing w:line="259" w:lineRule="auto"/>
        <w:jc w:val="left"/>
        <w:rPr>
          <w:rFonts w:ascii="Lato" w:hAnsi="Lato"/>
        </w:rPr>
      </w:pPr>
      <w:r>
        <w:rPr>
          <w:rFonts w:ascii="Lato" w:hAnsi="Lato"/>
        </w:rPr>
        <w:br w:type="page"/>
      </w:r>
    </w:p>
    <w:p w14:paraId="2D43EE95" w14:textId="124999B5" w:rsidR="00B03DBA" w:rsidRPr="00D5155A" w:rsidRDefault="00C7771E" w:rsidP="00D5155A">
      <w:pPr>
        <w:pStyle w:val="Tabela"/>
        <w:spacing w:before="120" w:after="120"/>
        <w:rPr>
          <w:rFonts w:ascii="Lato" w:hAnsi="Lato"/>
        </w:rPr>
      </w:pPr>
      <w:r w:rsidRPr="00D5155A">
        <w:rPr>
          <w:rFonts w:ascii="Lato" w:hAnsi="Lato"/>
        </w:rPr>
        <w:lastRenderedPageBreak/>
        <w:t xml:space="preserve">Tabela </w:t>
      </w:r>
      <w:r w:rsidR="002C139B">
        <w:rPr>
          <w:rFonts w:ascii="Lato" w:hAnsi="Lato"/>
        </w:rPr>
        <w:t>8</w:t>
      </w:r>
      <w:r w:rsidRPr="00D5155A">
        <w:rPr>
          <w:rFonts w:ascii="Lato" w:hAnsi="Lato"/>
        </w:rPr>
        <w:t>. Standard w zakresie dostaw do odbiorców chronionych</w:t>
      </w:r>
    </w:p>
    <w:tbl>
      <w:tblPr>
        <w:tblStyle w:val="Zwykatabela11"/>
        <w:tblW w:w="0" w:type="auto"/>
        <w:jc w:val="center"/>
        <w:tblLayout w:type="fixed"/>
        <w:tblLook w:val="04A0" w:firstRow="1" w:lastRow="0" w:firstColumn="1" w:lastColumn="0" w:noHBand="0" w:noVBand="1"/>
      </w:tblPr>
      <w:tblGrid>
        <w:gridCol w:w="1281"/>
        <w:gridCol w:w="2114"/>
        <w:gridCol w:w="2322"/>
        <w:gridCol w:w="1791"/>
      </w:tblGrid>
      <w:tr w:rsidR="00311916" w:rsidRPr="00C758B1" w14:paraId="1352228B" w14:textId="77777777" w:rsidTr="00932D5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81" w:type="dxa"/>
            <w:vMerge w:val="restart"/>
            <w:vAlign w:val="center"/>
          </w:tcPr>
          <w:p w14:paraId="22249F2D" w14:textId="77777777" w:rsidR="00B03DBA" w:rsidRPr="00C758B1" w:rsidRDefault="00C7771E" w:rsidP="00983C18">
            <w:pPr>
              <w:pStyle w:val="Default"/>
              <w:spacing w:line="276" w:lineRule="auto"/>
              <w:ind w:left="-120"/>
              <w:jc w:val="center"/>
              <w:rPr>
                <w:rFonts w:ascii="Lato" w:hAnsi="Lato"/>
                <w:sz w:val="20"/>
                <w:szCs w:val="20"/>
              </w:rPr>
            </w:pPr>
            <w:r w:rsidRPr="00C758B1">
              <w:rPr>
                <w:rFonts w:ascii="Lato" w:hAnsi="Lato"/>
                <w:b w:val="0"/>
                <w:bCs w:val="0"/>
                <w:sz w:val="20"/>
                <w:szCs w:val="20"/>
              </w:rPr>
              <w:t>Rodzaj</w:t>
            </w:r>
          </w:p>
          <w:p w14:paraId="71FB3B0A" w14:textId="77777777" w:rsidR="00B03DBA" w:rsidRPr="00C758B1" w:rsidRDefault="00C7771E" w:rsidP="00983C18">
            <w:pPr>
              <w:spacing w:line="276" w:lineRule="auto"/>
              <w:ind w:left="-120"/>
              <w:jc w:val="center"/>
              <w:rPr>
                <w:rFonts w:ascii="Lato" w:hAnsi="Lato"/>
                <w:sz w:val="20"/>
                <w:szCs w:val="20"/>
              </w:rPr>
            </w:pPr>
            <w:r w:rsidRPr="00C758B1">
              <w:rPr>
                <w:rFonts w:ascii="Lato" w:hAnsi="Lato"/>
                <w:b w:val="0"/>
                <w:bCs w:val="0"/>
                <w:sz w:val="20"/>
                <w:szCs w:val="20"/>
              </w:rPr>
              <w:t>gazu</w:t>
            </w:r>
          </w:p>
        </w:tc>
        <w:tc>
          <w:tcPr>
            <w:tcW w:w="6227" w:type="dxa"/>
            <w:gridSpan w:val="3"/>
            <w:vAlign w:val="center"/>
          </w:tcPr>
          <w:p w14:paraId="4E14E997" w14:textId="77777777" w:rsidR="00B03DBA" w:rsidRPr="00C758B1" w:rsidRDefault="00C7771E" w:rsidP="00983C18">
            <w:pPr>
              <w:spacing w:line="276" w:lineRule="auto"/>
              <w:ind w:left="-120"/>
              <w:jc w:val="center"/>
              <w:cnfStyle w:val="100000000000" w:firstRow="1" w:lastRow="0" w:firstColumn="0" w:lastColumn="0" w:oddVBand="0" w:evenVBand="0" w:oddHBand="0" w:evenHBand="0" w:firstRowFirstColumn="0" w:firstRowLastColumn="0" w:lastRowFirstColumn="0" w:lastRowLastColumn="0"/>
              <w:rPr>
                <w:rFonts w:ascii="Lato" w:hAnsi="Lato"/>
                <w:sz w:val="20"/>
                <w:szCs w:val="20"/>
              </w:rPr>
            </w:pPr>
            <w:r w:rsidRPr="00C758B1">
              <w:rPr>
                <w:rFonts w:ascii="Lato" w:hAnsi="Lato"/>
                <w:b w:val="0"/>
                <w:sz w:val="20"/>
                <w:szCs w:val="20"/>
              </w:rPr>
              <w:t>Ilość gazu potrzebnego do zapewnienia zgodności ze standardem</w:t>
            </w:r>
          </w:p>
        </w:tc>
      </w:tr>
      <w:tr w:rsidR="00311916" w:rsidRPr="00C758B1" w14:paraId="1EB77715" w14:textId="77777777" w:rsidTr="00932D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81" w:type="dxa"/>
            <w:vMerge/>
            <w:vAlign w:val="center"/>
          </w:tcPr>
          <w:p w14:paraId="5103FC6C" w14:textId="77777777" w:rsidR="00B03DBA" w:rsidRPr="00C758B1" w:rsidRDefault="00B03DBA" w:rsidP="00983C18">
            <w:pPr>
              <w:pStyle w:val="Default"/>
              <w:spacing w:line="276" w:lineRule="auto"/>
              <w:ind w:left="-120"/>
              <w:jc w:val="center"/>
              <w:rPr>
                <w:rFonts w:ascii="Lato" w:hAnsi="Lato"/>
                <w:sz w:val="20"/>
                <w:szCs w:val="20"/>
              </w:rPr>
            </w:pPr>
          </w:p>
        </w:tc>
        <w:tc>
          <w:tcPr>
            <w:tcW w:w="2114" w:type="dxa"/>
            <w:vAlign w:val="center"/>
          </w:tcPr>
          <w:p w14:paraId="20F7917B" w14:textId="77777777" w:rsidR="00B03DBA" w:rsidRPr="00C758B1" w:rsidRDefault="00C7771E" w:rsidP="00983C18">
            <w:pPr>
              <w:pStyle w:val="Default"/>
              <w:spacing w:line="276" w:lineRule="auto"/>
              <w:ind w:left="-120"/>
              <w:jc w:val="center"/>
              <w:cnfStyle w:val="000000100000" w:firstRow="0" w:lastRow="0" w:firstColumn="0" w:lastColumn="0" w:oddVBand="0" w:evenVBand="0" w:oddHBand="1" w:evenHBand="0" w:firstRowFirstColumn="0" w:firstRowLastColumn="0" w:lastRowFirstColumn="0" w:lastRowLastColumn="0"/>
              <w:rPr>
                <w:rFonts w:ascii="Lato" w:hAnsi="Lato"/>
                <w:bCs/>
                <w:sz w:val="20"/>
                <w:szCs w:val="20"/>
              </w:rPr>
            </w:pPr>
            <w:r w:rsidRPr="00C758B1">
              <w:rPr>
                <w:rFonts w:ascii="Lato" w:hAnsi="Lato"/>
                <w:bCs/>
                <w:sz w:val="20"/>
                <w:szCs w:val="20"/>
              </w:rPr>
              <w:t>Standard:</w:t>
            </w:r>
          </w:p>
          <w:p w14:paraId="5494D1C8" w14:textId="77777777" w:rsidR="00B03DBA" w:rsidRPr="00C758B1" w:rsidRDefault="00C7771E" w:rsidP="00983C18">
            <w:pPr>
              <w:pStyle w:val="Default"/>
              <w:spacing w:line="276" w:lineRule="auto"/>
              <w:ind w:left="-120"/>
              <w:jc w:val="center"/>
              <w:cnfStyle w:val="000000100000" w:firstRow="0" w:lastRow="0" w:firstColumn="0" w:lastColumn="0" w:oddVBand="0" w:evenVBand="0" w:oddHBand="1" w:evenHBand="0" w:firstRowFirstColumn="0" w:firstRowLastColumn="0" w:lastRowFirstColumn="0" w:lastRowLastColumn="0"/>
              <w:rPr>
                <w:rFonts w:ascii="Lato" w:hAnsi="Lato"/>
                <w:sz w:val="20"/>
                <w:szCs w:val="20"/>
              </w:rPr>
            </w:pPr>
            <w:r w:rsidRPr="00C758B1">
              <w:rPr>
                <w:rFonts w:ascii="Lato" w:hAnsi="Lato"/>
                <w:bCs/>
                <w:sz w:val="20"/>
                <w:szCs w:val="20"/>
              </w:rPr>
              <w:t>ekstremalne temperatury przez</w:t>
            </w:r>
          </w:p>
          <w:p w14:paraId="6C40C50A" w14:textId="77777777" w:rsidR="00B03DBA" w:rsidRPr="00C758B1" w:rsidRDefault="00C7771E" w:rsidP="00983C18">
            <w:pPr>
              <w:pStyle w:val="Default"/>
              <w:spacing w:line="276" w:lineRule="auto"/>
              <w:ind w:left="-120"/>
              <w:jc w:val="center"/>
              <w:cnfStyle w:val="000000100000" w:firstRow="0" w:lastRow="0" w:firstColumn="0" w:lastColumn="0" w:oddVBand="0" w:evenVBand="0" w:oddHBand="1" w:evenHBand="0" w:firstRowFirstColumn="0" w:firstRowLastColumn="0" w:lastRowFirstColumn="0" w:lastRowLastColumn="0"/>
              <w:rPr>
                <w:rFonts w:ascii="Lato" w:hAnsi="Lato"/>
                <w:sz w:val="20"/>
                <w:szCs w:val="20"/>
              </w:rPr>
            </w:pPr>
            <w:r w:rsidRPr="00C758B1">
              <w:rPr>
                <w:rFonts w:ascii="Lato" w:hAnsi="Lato"/>
                <w:bCs/>
                <w:sz w:val="20"/>
                <w:szCs w:val="20"/>
              </w:rPr>
              <w:t>7-dni szczytowego zapotrzebowania</w:t>
            </w:r>
          </w:p>
          <w:p w14:paraId="0BD3F33E" w14:textId="77777777" w:rsidR="00B03DBA" w:rsidRPr="00C758B1" w:rsidRDefault="00C7771E" w:rsidP="00983C18">
            <w:pPr>
              <w:pStyle w:val="Default"/>
              <w:spacing w:line="276" w:lineRule="auto"/>
              <w:ind w:left="-120"/>
              <w:jc w:val="center"/>
              <w:cnfStyle w:val="000000100000" w:firstRow="0" w:lastRow="0" w:firstColumn="0" w:lastColumn="0" w:oddVBand="0" w:evenVBand="0" w:oddHBand="1" w:evenHBand="0" w:firstRowFirstColumn="0" w:firstRowLastColumn="0" w:lastRowFirstColumn="0" w:lastRowLastColumn="0"/>
              <w:rPr>
                <w:rFonts w:ascii="Lato" w:hAnsi="Lato"/>
                <w:bCs/>
                <w:sz w:val="20"/>
                <w:szCs w:val="20"/>
              </w:rPr>
            </w:pPr>
            <w:r w:rsidRPr="00C758B1">
              <w:rPr>
                <w:rFonts w:ascii="Lato" w:hAnsi="Lato"/>
                <w:bCs/>
                <w:sz w:val="20"/>
                <w:szCs w:val="20"/>
              </w:rPr>
              <w:t>na gaz</w:t>
            </w:r>
          </w:p>
        </w:tc>
        <w:tc>
          <w:tcPr>
            <w:tcW w:w="2322" w:type="dxa"/>
            <w:vAlign w:val="center"/>
          </w:tcPr>
          <w:p w14:paraId="5D27467F" w14:textId="77777777" w:rsidR="00B03DBA" w:rsidRPr="00C758B1" w:rsidRDefault="00C7771E" w:rsidP="00983C18">
            <w:pPr>
              <w:pStyle w:val="Default"/>
              <w:spacing w:line="276" w:lineRule="auto"/>
              <w:ind w:left="-120"/>
              <w:jc w:val="center"/>
              <w:cnfStyle w:val="000000100000" w:firstRow="0" w:lastRow="0" w:firstColumn="0" w:lastColumn="0" w:oddVBand="0" w:evenVBand="0" w:oddHBand="1" w:evenHBand="0" w:firstRowFirstColumn="0" w:firstRowLastColumn="0" w:lastRowFirstColumn="0" w:lastRowLastColumn="0"/>
              <w:rPr>
                <w:rFonts w:ascii="Lato" w:hAnsi="Lato"/>
                <w:sz w:val="20"/>
                <w:szCs w:val="20"/>
              </w:rPr>
            </w:pPr>
            <w:r w:rsidRPr="00C758B1">
              <w:rPr>
                <w:rFonts w:ascii="Lato" w:hAnsi="Lato"/>
                <w:bCs/>
                <w:sz w:val="20"/>
                <w:szCs w:val="20"/>
              </w:rPr>
              <w:t>Standard: 30 dni nadzwyczajnie wysokiego zapotrzebowania</w:t>
            </w:r>
          </w:p>
          <w:p w14:paraId="46C86016" w14:textId="77777777" w:rsidR="00B03DBA" w:rsidRPr="00C758B1" w:rsidRDefault="00C7771E" w:rsidP="00983C18">
            <w:pPr>
              <w:pStyle w:val="Default"/>
              <w:spacing w:line="276" w:lineRule="auto"/>
              <w:ind w:left="-120"/>
              <w:jc w:val="center"/>
              <w:cnfStyle w:val="000000100000" w:firstRow="0" w:lastRow="0" w:firstColumn="0" w:lastColumn="0" w:oddVBand="0" w:evenVBand="0" w:oddHBand="1" w:evenHBand="0" w:firstRowFirstColumn="0" w:firstRowLastColumn="0" w:lastRowFirstColumn="0" w:lastRowLastColumn="0"/>
              <w:rPr>
                <w:rFonts w:ascii="Lato" w:hAnsi="Lato"/>
                <w:bCs/>
                <w:sz w:val="20"/>
                <w:szCs w:val="20"/>
              </w:rPr>
            </w:pPr>
            <w:r w:rsidRPr="00C758B1">
              <w:rPr>
                <w:rFonts w:ascii="Lato" w:hAnsi="Lato"/>
                <w:bCs/>
                <w:sz w:val="20"/>
                <w:szCs w:val="20"/>
              </w:rPr>
              <w:t>na gaz</w:t>
            </w:r>
          </w:p>
        </w:tc>
        <w:tc>
          <w:tcPr>
            <w:tcW w:w="1791" w:type="dxa"/>
            <w:vAlign w:val="center"/>
          </w:tcPr>
          <w:p w14:paraId="101AFFB1" w14:textId="77777777" w:rsidR="00B03DBA" w:rsidRPr="00C758B1" w:rsidRDefault="00C7771E" w:rsidP="00983C18">
            <w:pPr>
              <w:pStyle w:val="Default"/>
              <w:spacing w:line="276" w:lineRule="auto"/>
              <w:ind w:left="-120"/>
              <w:jc w:val="center"/>
              <w:cnfStyle w:val="000000100000" w:firstRow="0" w:lastRow="0" w:firstColumn="0" w:lastColumn="0" w:oddVBand="0" w:evenVBand="0" w:oddHBand="1" w:evenHBand="0" w:firstRowFirstColumn="0" w:firstRowLastColumn="0" w:lastRowFirstColumn="0" w:lastRowLastColumn="0"/>
              <w:rPr>
                <w:rFonts w:ascii="Lato" w:hAnsi="Lato"/>
                <w:sz w:val="20"/>
                <w:szCs w:val="20"/>
              </w:rPr>
            </w:pPr>
            <w:r w:rsidRPr="00C758B1">
              <w:rPr>
                <w:rFonts w:ascii="Lato" w:hAnsi="Lato"/>
                <w:bCs/>
                <w:sz w:val="20"/>
                <w:szCs w:val="20"/>
              </w:rPr>
              <w:t>Standard: 30-dni zakłóceń w największej pojedynczej infrastrukturze gazowniczej</w:t>
            </w:r>
          </w:p>
          <w:p w14:paraId="76CFD8A7" w14:textId="77777777" w:rsidR="00B03DBA" w:rsidRPr="00C758B1" w:rsidRDefault="00B03DBA" w:rsidP="00983C18">
            <w:pPr>
              <w:pStyle w:val="Default"/>
              <w:spacing w:line="276" w:lineRule="auto"/>
              <w:ind w:left="-120"/>
              <w:jc w:val="center"/>
              <w:cnfStyle w:val="000000100000" w:firstRow="0" w:lastRow="0" w:firstColumn="0" w:lastColumn="0" w:oddVBand="0" w:evenVBand="0" w:oddHBand="1" w:evenHBand="0" w:firstRowFirstColumn="0" w:firstRowLastColumn="0" w:lastRowFirstColumn="0" w:lastRowLastColumn="0"/>
              <w:rPr>
                <w:rFonts w:ascii="Lato" w:hAnsi="Lato"/>
                <w:bCs/>
                <w:sz w:val="20"/>
                <w:szCs w:val="20"/>
              </w:rPr>
            </w:pPr>
          </w:p>
        </w:tc>
      </w:tr>
      <w:tr w:rsidR="00311916" w:rsidRPr="00C758B1" w14:paraId="601C043A" w14:textId="77777777" w:rsidTr="00932D5F">
        <w:trPr>
          <w:jc w:val="center"/>
        </w:trPr>
        <w:tc>
          <w:tcPr>
            <w:cnfStyle w:val="001000000000" w:firstRow="0" w:lastRow="0" w:firstColumn="1" w:lastColumn="0" w:oddVBand="0" w:evenVBand="0" w:oddHBand="0" w:evenHBand="0" w:firstRowFirstColumn="0" w:firstRowLastColumn="0" w:lastRowFirstColumn="0" w:lastRowLastColumn="0"/>
            <w:tcW w:w="1281" w:type="dxa"/>
            <w:vMerge/>
            <w:vAlign w:val="center"/>
          </w:tcPr>
          <w:p w14:paraId="7F601034" w14:textId="77777777" w:rsidR="00B03DBA" w:rsidRPr="00C758B1" w:rsidRDefault="00B03DBA" w:rsidP="00983C18">
            <w:pPr>
              <w:spacing w:line="276" w:lineRule="auto"/>
              <w:ind w:left="-120"/>
              <w:jc w:val="center"/>
              <w:rPr>
                <w:rFonts w:ascii="Lato" w:hAnsi="Lato"/>
                <w:sz w:val="20"/>
                <w:szCs w:val="20"/>
              </w:rPr>
            </w:pPr>
          </w:p>
        </w:tc>
        <w:tc>
          <w:tcPr>
            <w:tcW w:w="2114" w:type="dxa"/>
            <w:vAlign w:val="center"/>
          </w:tcPr>
          <w:p w14:paraId="235AA835" w14:textId="77777777" w:rsidR="00B03DBA" w:rsidRPr="00C758B1" w:rsidRDefault="00C7771E" w:rsidP="00983C18">
            <w:pPr>
              <w:pStyle w:val="Default"/>
              <w:spacing w:line="276" w:lineRule="auto"/>
              <w:ind w:left="-120"/>
              <w:jc w:val="cente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C758B1">
              <w:rPr>
                <w:rFonts w:ascii="Lato" w:hAnsi="Lato"/>
                <w:bCs/>
                <w:sz w:val="20"/>
                <w:szCs w:val="20"/>
              </w:rPr>
              <w:t>prawdopodobieństwo wystąpienia raz na 20 lat [mln m</w:t>
            </w:r>
            <w:r w:rsidRPr="00C758B1">
              <w:rPr>
                <w:rFonts w:ascii="Lato" w:hAnsi="Lato"/>
                <w:bCs/>
                <w:sz w:val="20"/>
                <w:szCs w:val="20"/>
                <w:vertAlign w:val="superscript"/>
              </w:rPr>
              <w:t>3</w:t>
            </w:r>
            <w:r w:rsidRPr="00C758B1">
              <w:rPr>
                <w:rFonts w:ascii="Lato" w:hAnsi="Lato"/>
                <w:bCs/>
                <w:sz w:val="20"/>
                <w:szCs w:val="20"/>
              </w:rPr>
              <w:t>/GWh]</w:t>
            </w:r>
          </w:p>
          <w:p w14:paraId="67F3C2E8" w14:textId="77777777" w:rsidR="00B03DBA" w:rsidRPr="00C758B1" w:rsidRDefault="00B03DBA" w:rsidP="00983C18">
            <w:pPr>
              <w:spacing w:line="276" w:lineRule="auto"/>
              <w:ind w:left="-120"/>
              <w:jc w:val="center"/>
              <w:cnfStyle w:val="000000000000" w:firstRow="0" w:lastRow="0" w:firstColumn="0" w:lastColumn="0" w:oddVBand="0" w:evenVBand="0" w:oddHBand="0" w:evenHBand="0" w:firstRowFirstColumn="0" w:firstRowLastColumn="0" w:lastRowFirstColumn="0" w:lastRowLastColumn="0"/>
              <w:rPr>
                <w:rFonts w:ascii="Lato" w:hAnsi="Lato"/>
                <w:sz w:val="20"/>
                <w:szCs w:val="20"/>
              </w:rPr>
            </w:pPr>
          </w:p>
        </w:tc>
        <w:tc>
          <w:tcPr>
            <w:tcW w:w="2322" w:type="dxa"/>
            <w:vAlign w:val="center"/>
          </w:tcPr>
          <w:p w14:paraId="0D892D54" w14:textId="42C8FAB8" w:rsidR="00B03DBA" w:rsidRPr="00C758B1" w:rsidRDefault="00C7771E" w:rsidP="00983C18">
            <w:pPr>
              <w:pStyle w:val="Default"/>
              <w:spacing w:line="276" w:lineRule="auto"/>
              <w:ind w:left="-120"/>
              <w:jc w:val="cente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C758B1">
              <w:rPr>
                <w:rFonts w:ascii="Lato" w:hAnsi="Lato"/>
                <w:bCs/>
                <w:sz w:val="20"/>
                <w:szCs w:val="20"/>
              </w:rPr>
              <w:t>prawdopodobieństwo wystąpienia raz na 20 lat</w:t>
            </w:r>
            <w:r w:rsidR="00932D5F">
              <w:rPr>
                <w:rFonts w:ascii="Lato" w:hAnsi="Lato"/>
                <w:bCs/>
                <w:sz w:val="20"/>
                <w:szCs w:val="20"/>
              </w:rPr>
              <w:t xml:space="preserve"> </w:t>
            </w:r>
            <w:r w:rsidRPr="00C758B1">
              <w:rPr>
                <w:rFonts w:ascii="Lato" w:hAnsi="Lato"/>
                <w:bCs/>
                <w:sz w:val="20"/>
                <w:szCs w:val="20"/>
              </w:rPr>
              <w:t>[mln m</w:t>
            </w:r>
            <w:r w:rsidRPr="00C758B1">
              <w:rPr>
                <w:rFonts w:ascii="Lato" w:hAnsi="Lato"/>
                <w:bCs/>
                <w:sz w:val="20"/>
                <w:szCs w:val="20"/>
                <w:vertAlign w:val="superscript"/>
              </w:rPr>
              <w:t>3</w:t>
            </w:r>
            <w:r w:rsidRPr="00C758B1">
              <w:rPr>
                <w:rFonts w:ascii="Lato" w:hAnsi="Lato"/>
                <w:bCs/>
                <w:sz w:val="20"/>
                <w:szCs w:val="20"/>
              </w:rPr>
              <w:t>/GWh]</w:t>
            </w:r>
          </w:p>
          <w:p w14:paraId="629CAA55" w14:textId="77777777" w:rsidR="00B03DBA" w:rsidRPr="00C758B1" w:rsidRDefault="00B03DBA" w:rsidP="00983C18">
            <w:pPr>
              <w:spacing w:line="276" w:lineRule="auto"/>
              <w:ind w:left="-120"/>
              <w:jc w:val="center"/>
              <w:cnfStyle w:val="000000000000" w:firstRow="0" w:lastRow="0" w:firstColumn="0" w:lastColumn="0" w:oddVBand="0" w:evenVBand="0" w:oddHBand="0" w:evenHBand="0" w:firstRowFirstColumn="0" w:firstRowLastColumn="0" w:lastRowFirstColumn="0" w:lastRowLastColumn="0"/>
              <w:rPr>
                <w:rFonts w:ascii="Lato" w:hAnsi="Lato"/>
                <w:sz w:val="20"/>
                <w:szCs w:val="20"/>
              </w:rPr>
            </w:pPr>
          </w:p>
        </w:tc>
        <w:tc>
          <w:tcPr>
            <w:tcW w:w="1791" w:type="dxa"/>
            <w:vAlign w:val="center"/>
          </w:tcPr>
          <w:p w14:paraId="2F3F6F46" w14:textId="77777777" w:rsidR="00B03DBA" w:rsidRPr="00C758B1" w:rsidRDefault="00C7771E" w:rsidP="00983C18">
            <w:pPr>
              <w:pStyle w:val="Default"/>
              <w:spacing w:line="276" w:lineRule="auto"/>
              <w:ind w:left="-120"/>
              <w:jc w:val="center"/>
              <w:cnfStyle w:val="000000000000" w:firstRow="0" w:lastRow="0" w:firstColumn="0" w:lastColumn="0" w:oddVBand="0" w:evenVBand="0" w:oddHBand="0" w:evenHBand="0" w:firstRowFirstColumn="0" w:firstRowLastColumn="0" w:lastRowFirstColumn="0" w:lastRowLastColumn="0"/>
              <w:rPr>
                <w:rFonts w:ascii="Lato" w:hAnsi="Lato"/>
                <w:bCs/>
                <w:sz w:val="20"/>
                <w:szCs w:val="20"/>
              </w:rPr>
            </w:pPr>
            <w:r w:rsidRPr="00C758B1">
              <w:rPr>
                <w:rFonts w:ascii="Lato" w:hAnsi="Lato"/>
                <w:bCs/>
                <w:sz w:val="20"/>
                <w:szCs w:val="20"/>
              </w:rPr>
              <w:t>przeciętne warunki zimą</w:t>
            </w:r>
          </w:p>
          <w:p w14:paraId="2F9C9597" w14:textId="77777777" w:rsidR="00B03DBA" w:rsidRPr="00C758B1" w:rsidRDefault="00C7771E" w:rsidP="00983C18">
            <w:pPr>
              <w:pStyle w:val="Default"/>
              <w:spacing w:line="276" w:lineRule="auto"/>
              <w:ind w:left="-120"/>
              <w:jc w:val="cente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C758B1">
              <w:rPr>
                <w:rFonts w:ascii="Lato" w:hAnsi="Lato"/>
                <w:bCs/>
                <w:sz w:val="20"/>
                <w:szCs w:val="20"/>
              </w:rPr>
              <w:t>[mln m</w:t>
            </w:r>
            <w:r w:rsidRPr="00C758B1">
              <w:rPr>
                <w:rFonts w:ascii="Lato" w:hAnsi="Lato"/>
                <w:bCs/>
                <w:sz w:val="20"/>
                <w:szCs w:val="20"/>
                <w:vertAlign w:val="superscript"/>
              </w:rPr>
              <w:t>3</w:t>
            </w:r>
            <w:r w:rsidRPr="00C758B1">
              <w:rPr>
                <w:rFonts w:ascii="Lato" w:hAnsi="Lato"/>
                <w:bCs/>
                <w:sz w:val="20"/>
                <w:szCs w:val="20"/>
              </w:rPr>
              <w:t>/GWh]</w:t>
            </w:r>
          </w:p>
          <w:p w14:paraId="25238E6F" w14:textId="77777777" w:rsidR="00B03DBA" w:rsidRPr="00C758B1" w:rsidRDefault="00B03DBA" w:rsidP="00983C18">
            <w:pPr>
              <w:spacing w:line="276" w:lineRule="auto"/>
              <w:ind w:left="-120"/>
              <w:jc w:val="center"/>
              <w:cnfStyle w:val="000000000000" w:firstRow="0" w:lastRow="0" w:firstColumn="0" w:lastColumn="0" w:oddVBand="0" w:evenVBand="0" w:oddHBand="0" w:evenHBand="0" w:firstRowFirstColumn="0" w:firstRowLastColumn="0" w:lastRowFirstColumn="0" w:lastRowLastColumn="0"/>
              <w:rPr>
                <w:rFonts w:ascii="Lato" w:hAnsi="Lato"/>
                <w:sz w:val="20"/>
                <w:szCs w:val="20"/>
              </w:rPr>
            </w:pPr>
          </w:p>
        </w:tc>
      </w:tr>
      <w:tr w:rsidR="00311916" w:rsidRPr="00C758B1" w14:paraId="5CEF014A" w14:textId="77777777" w:rsidTr="00932D5F">
        <w:trPr>
          <w:cnfStyle w:val="000000100000" w:firstRow="0" w:lastRow="0" w:firstColumn="0" w:lastColumn="0" w:oddVBand="0" w:evenVBand="0" w:oddHBand="1" w:evenHBand="0" w:firstRowFirstColumn="0" w:firstRowLastColumn="0" w:lastRowFirstColumn="0" w:lastRowLastColumn="0"/>
          <w:trHeight w:val="352"/>
          <w:jc w:val="center"/>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2DDAFEFC" w14:textId="77777777" w:rsidR="00B03DBA" w:rsidRPr="00C758B1" w:rsidRDefault="00C7771E" w:rsidP="00983C18">
            <w:pPr>
              <w:spacing w:line="276" w:lineRule="auto"/>
              <w:ind w:left="-120"/>
              <w:jc w:val="center"/>
              <w:rPr>
                <w:rFonts w:ascii="Lato" w:hAnsi="Lato"/>
                <w:sz w:val="20"/>
                <w:szCs w:val="20"/>
              </w:rPr>
            </w:pPr>
            <w:r w:rsidRPr="00C758B1">
              <w:rPr>
                <w:rFonts w:ascii="Lato" w:hAnsi="Lato"/>
                <w:sz w:val="20"/>
                <w:szCs w:val="20"/>
              </w:rPr>
              <w:t>E</w:t>
            </w:r>
          </w:p>
        </w:tc>
        <w:tc>
          <w:tcPr>
            <w:tcW w:w="2114" w:type="dxa"/>
            <w:vAlign w:val="center"/>
          </w:tcPr>
          <w:p w14:paraId="4574E230" w14:textId="04077F21" w:rsidR="00B03DBA" w:rsidRPr="00C758B1" w:rsidRDefault="007C5539" w:rsidP="00983C18">
            <w:pPr>
              <w:spacing w:line="276" w:lineRule="auto"/>
              <w:ind w:left="-120"/>
              <w:jc w:val="center"/>
              <w:cnfStyle w:val="000000100000" w:firstRow="0" w:lastRow="0" w:firstColumn="0" w:lastColumn="0" w:oddVBand="0" w:evenVBand="0" w:oddHBand="1" w:evenHBand="0" w:firstRowFirstColumn="0" w:firstRowLastColumn="0" w:lastRowFirstColumn="0" w:lastRowLastColumn="0"/>
              <w:rPr>
                <w:rFonts w:ascii="Lato" w:hAnsi="Lato"/>
                <w:sz w:val="20"/>
                <w:szCs w:val="20"/>
              </w:rPr>
            </w:pPr>
            <w:r w:rsidRPr="00C758B1">
              <w:rPr>
                <w:rFonts w:ascii="Lato" w:hAnsi="Lato"/>
                <w:sz w:val="20"/>
                <w:szCs w:val="20"/>
              </w:rPr>
              <w:t>335,8</w:t>
            </w:r>
            <w:r w:rsidR="00C7771E" w:rsidRPr="00C758B1">
              <w:rPr>
                <w:rFonts w:ascii="Lato" w:hAnsi="Lato"/>
                <w:sz w:val="20"/>
                <w:szCs w:val="20"/>
              </w:rPr>
              <w:t>/</w:t>
            </w:r>
            <w:r w:rsidRPr="00C758B1">
              <w:rPr>
                <w:rFonts w:ascii="Lato" w:hAnsi="Lato"/>
                <w:sz w:val="20"/>
                <w:szCs w:val="20"/>
              </w:rPr>
              <w:t>3 704,3</w:t>
            </w:r>
          </w:p>
        </w:tc>
        <w:tc>
          <w:tcPr>
            <w:tcW w:w="2322" w:type="dxa"/>
            <w:vAlign w:val="center"/>
          </w:tcPr>
          <w:p w14:paraId="301620B5" w14:textId="0288D075" w:rsidR="00B03DBA" w:rsidRPr="00C758B1" w:rsidRDefault="00B00146" w:rsidP="00983C18">
            <w:pPr>
              <w:spacing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olor w:val="000000"/>
                <w:sz w:val="20"/>
                <w:szCs w:val="20"/>
              </w:rPr>
            </w:pPr>
            <w:r w:rsidRPr="00C758B1">
              <w:rPr>
                <w:rFonts w:ascii="Lato" w:hAnsi="Lato"/>
                <w:color w:val="000000"/>
                <w:sz w:val="20"/>
                <w:szCs w:val="20"/>
              </w:rPr>
              <w:t>1 153,4</w:t>
            </w:r>
            <w:r w:rsidR="00C7771E" w:rsidRPr="00C758B1">
              <w:rPr>
                <w:rFonts w:ascii="Lato" w:hAnsi="Lato"/>
                <w:sz w:val="20"/>
                <w:szCs w:val="20"/>
              </w:rPr>
              <w:t>/</w:t>
            </w:r>
            <w:r w:rsidRPr="00C758B1">
              <w:rPr>
                <w:rFonts w:ascii="Lato" w:hAnsi="Lato"/>
                <w:sz w:val="20"/>
                <w:szCs w:val="20"/>
              </w:rPr>
              <w:t>12 735,7</w:t>
            </w:r>
          </w:p>
        </w:tc>
        <w:tc>
          <w:tcPr>
            <w:tcW w:w="1791" w:type="dxa"/>
            <w:vAlign w:val="center"/>
          </w:tcPr>
          <w:p w14:paraId="5BF18E5A" w14:textId="55B1D69E" w:rsidR="00B03DBA" w:rsidRPr="00C758B1" w:rsidRDefault="00EE0BEC" w:rsidP="00983C18">
            <w:pPr>
              <w:spacing w:line="276" w:lineRule="auto"/>
              <w:ind w:left="-120"/>
              <w:jc w:val="center"/>
              <w:cnfStyle w:val="000000100000" w:firstRow="0" w:lastRow="0" w:firstColumn="0" w:lastColumn="0" w:oddVBand="0" w:evenVBand="0" w:oddHBand="1" w:evenHBand="0" w:firstRowFirstColumn="0" w:firstRowLastColumn="0" w:lastRowFirstColumn="0" w:lastRowLastColumn="0"/>
              <w:rPr>
                <w:rFonts w:ascii="Lato" w:hAnsi="Lato"/>
                <w:sz w:val="20"/>
                <w:szCs w:val="20"/>
              </w:rPr>
            </w:pPr>
            <w:r w:rsidRPr="00C758B1">
              <w:rPr>
                <w:rFonts w:ascii="Lato" w:hAnsi="Lato"/>
                <w:sz w:val="20"/>
                <w:szCs w:val="20"/>
              </w:rPr>
              <w:t>907,4</w:t>
            </w:r>
            <w:r w:rsidR="00C7771E" w:rsidRPr="00C758B1">
              <w:rPr>
                <w:rFonts w:ascii="Lato" w:hAnsi="Lato"/>
                <w:sz w:val="20"/>
                <w:szCs w:val="20"/>
              </w:rPr>
              <w:t>/</w:t>
            </w:r>
            <w:r w:rsidR="00550C18" w:rsidRPr="00C758B1">
              <w:rPr>
                <w:rFonts w:ascii="Lato" w:hAnsi="Lato"/>
                <w:sz w:val="20"/>
                <w:szCs w:val="20"/>
              </w:rPr>
              <w:t>10 020,8</w:t>
            </w:r>
          </w:p>
        </w:tc>
      </w:tr>
      <w:tr w:rsidR="00311916" w:rsidRPr="00C758B1" w14:paraId="4105F0EC" w14:textId="77777777" w:rsidTr="00932D5F">
        <w:trPr>
          <w:trHeight w:val="414"/>
          <w:jc w:val="center"/>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5811519E" w14:textId="77777777" w:rsidR="00B03DBA" w:rsidRPr="00C758B1" w:rsidRDefault="00C7771E" w:rsidP="00983C18">
            <w:pPr>
              <w:spacing w:line="276" w:lineRule="auto"/>
              <w:ind w:left="-120"/>
              <w:jc w:val="center"/>
              <w:rPr>
                <w:rFonts w:ascii="Lato" w:hAnsi="Lato"/>
                <w:sz w:val="20"/>
                <w:szCs w:val="20"/>
              </w:rPr>
            </w:pPr>
            <w:r w:rsidRPr="00C758B1">
              <w:rPr>
                <w:rFonts w:ascii="Lato" w:hAnsi="Lato"/>
                <w:sz w:val="20"/>
                <w:szCs w:val="20"/>
              </w:rPr>
              <w:t>Lw</w:t>
            </w:r>
          </w:p>
        </w:tc>
        <w:tc>
          <w:tcPr>
            <w:tcW w:w="2114" w:type="dxa"/>
            <w:vAlign w:val="center"/>
          </w:tcPr>
          <w:p w14:paraId="2B74FD28" w14:textId="22835B7F" w:rsidR="00B03DBA" w:rsidRPr="00C758B1" w:rsidRDefault="00A549B5" w:rsidP="00983C18">
            <w:pPr>
              <w:spacing w:line="276" w:lineRule="auto"/>
              <w:ind w:left="-120"/>
              <w:jc w:val="cente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C758B1">
              <w:rPr>
                <w:rFonts w:ascii="Lato" w:hAnsi="Lato"/>
                <w:sz w:val="20"/>
                <w:szCs w:val="20"/>
              </w:rPr>
              <w:t>16,6</w:t>
            </w:r>
            <w:r w:rsidR="00C7771E" w:rsidRPr="00C758B1">
              <w:rPr>
                <w:rFonts w:ascii="Lato" w:hAnsi="Lato"/>
                <w:sz w:val="20"/>
                <w:szCs w:val="20"/>
              </w:rPr>
              <w:t>/</w:t>
            </w:r>
            <w:r w:rsidRPr="00C758B1">
              <w:rPr>
                <w:rFonts w:ascii="Lato" w:hAnsi="Lato"/>
                <w:sz w:val="20"/>
                <w:szCs w:val="20"/>
              </w:rPr>
              <w:t>151,0</w:t>
            </w:r>
          </w:p>
        </w:tc>
        <w:tc>
          <w:tcPr>
            <w:tcW w:w="2322" w:type="dxa"/>
            <w:vAlign w:val="center"/>
          </w:tcPr>
          <w:p w14:paraId="4220AA71" w14:textId="2459D76D" w:rsidR="00B03DBA" w:rsidRPr="00C758B1" w:rsidRDefault="001E1C0D" w:rsidP="00983C18">
            <w:pPr>
              <w:spacing w:line="276" w:lineRule="auto"/>
              <w:ind w:left="-120"/>
              <w:jc w:val="cente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C758B1">
              <w:rPr>
                <w:rFonts w:ascii="Lato" w:hAnsi="Lato"/>
                <w:sz w:val="20"/>
                <w:szCs w:val="20"/>
              </w:rPr>
              <w:t>60,8</w:t>
            </w:r>
            <w:r w:rsidR="00C7771E" w:rsidRPr="00C758B1">
              <w:rPr>
                <w:rFonts w:ascii="Lato" w:hAnsi="Lato"/>
                <w:sz w:val="20"/>
                <w:szCs w:val="20"/>
              </w:rPr>
              <w:t>/</w:t>
            </w:r>
            <w:r w:rsidRPr="00C758B1">
              <w:rPr>
                <w:rFonts w:ascii="Lato" w:hAnsi="Lato"/>
                <w:sz w:val="20"/>
                <w:szCs w:val="20"/>
              </w:rPr>
              <w:t>551,1</w:t>
            </w:r>
          </w:p>
        </w:tc>
        <w:tc>
          <w:tcPr>
            <w:tcW w:w="1791" w:type="dxa"/>
            <w:vAlign w:val="center"/>
          </w:tcPr>
          <w:p w14:paraId="7A3792C1" w14:textId="25AA4498" w:rsidR="00B03DBA" w:rsidRPr="00C758B1" w:rsidRDefault="00550C18" w:rsidP="00983C18">
            <w:pPr>
              <w:spacing w:line="276" w:lineRule="auto"/>
              <w:ind w:left="-120"/>
              <w:jc w:val="center"/>
              <w:cnfStyle w:val="000000000000" w:firstRow="0" w:lastRow="0" w:firstColumn="0" w:lastColumn="0" w:oddVBand="0" w:evenVBand="0" w:oddHBand="0" w:evenHBand="0" w:firstRowFirstColumn="0" w:firstRowLastColumn="0" w:lastRowFirstColumn="0" w:lastRowLastColumn="0"/>
              <w:rPr>
                <w:rFonts w:ascii="Lato" w:hAnsi="Lato"/>
                <w:sz w:val="20"/>
                <w:szCs w:val="20"/>
              </w:rPr>
            </w:pPr>
            <w:r w:rsidRPr="00C758B1">
              <w:rPr>
                <w:rFonts w:ascii="Lato" w:hAnsi="Lato"/>
                <w:sz w:val="20"/>
                <w:szCs w:val="20"/>
              </w:rPr>
              <w:t>44,1</w:t>
            </w:r>
            <w:r w:rsidR="00C7771E" w:rsidRPr="00C758B1">
              <w:rPr>
                <w:rFonts w:ascii="Lato" w:hAnsi="Lato"/>
                <w:sz w:val="20"/>
                <w:szCs w:val="20"/>
              </w:rPr>
              <w:t>/</w:t>
            </w:r>
            <w:r w:rsidRPr="00C758B1">
              <w:rPr>
                <w:rFonts w:ascii="Lato" w:hAnsi="Lato"/>
                <w:sz w:val="20"/>
                <w:szCs w:val="20"/>
              </w:rPr>
              <w:t>399,0</w:t>
            </w:r>
          </w:p>
        </w:tc>
      </w:tr>
      <w:tr w:rsidR="00311916" w:rsidRPr="00C758B1" w14:paraId="16B0801A" w14:textId="77777777" w:rsidTr="00932D5F">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1BF85C7D" w14:textId="77777777" w:rsidR="00B03DBA" w:rsidRPr="00C758B1" w:rsidRDefault="00C7771E" w:rsidP="00983C18">
            <w:pPr>
              <w:spacing w:line="276" w:lineRule="auto"/>
              <w:ind w:left="-120"/>
              <w:jc w:val="center"/>
              <w:rPr>
                <w:rFonts w:ascii="Lato" w:hAnsi="Lato"/>
                <w:sz w:val="20"/>
                <w:szCs w:val="20"/>
              </w:rPr>
            </w:pPr>
            <w:r w:rsidRPr="00C758B1">
              <w:rPr>
                <w:rFonts w:ascii="Lato" w:hAnsi="Lato"/>
                <w:sz w:val="20"/>
                <w:szCs w:val="20"/>
              </w:rPr>
              <w:t>Ls</w:t>
            </w:r>
          </w:p>
        </w:tc>
        <w:tc>
          <w:tcPr>
            <w:tcW w:w="2114" w:type="dxa"/>
            <w:vAlign w:val="center"/>
          </w:tcPr>
          <w:p w14:paraId="2200D737" w14:textId="10164673" w:rsidR="00B03DBA" w:rsidRPr="00C758B1" w:rsidRDefault="00A549B5" w:rsidP="00983C18">
            <w:pPr>
              <w:spacing w:line="276" w:lineRule="auto"/>
              <w:ind w:left="-120"/>
              <w:jc w:val="center"/>
              <w:cnfStyle w:val="000000100000" w:firstRow="0" w:lastRow="0" w:firstColumn="0" w:lastColumn="0" w:oddVBand="0" w:evenVBand="0" w:oddHBand="1" w:evenHBand="0" w:firstRowFirstColumn="0" w:firstRowLastColumn="0" w:lastRowFirstColumn="0" w:lastRowLastColumn="0"/>
              <w:rPr>
                <w:rFonts w:ascii="Lato" w:hAnsi="Lato"/>
                <w:sz w:val="20"/>
                <w:szCs w:val="20"/>
              </w:rPr>
            </w:pPr>
            <w:r w:rsidRPr="00C758B1">
              <w:rPr>
                <w:rFonts w:ascii="Lato" w:hAnsi="Lato"/>
                <w:sz w:val="20"/>
                <w:szCs w:val="20"/>
              </w:rPr>
              <w:t>4,9</w:t>
            </w:r>
            <w:r w:rsidR="00C7771E" w:rsidRPr="00C758B1">
              <w:rPr>
                <w:rFonts w:ascii="Lato" w:hAnsi="Lato"/>
                <w:sz w:val="20"/>
                <w:szCs w:val="20"/>
              </w:rPr>
              <w:t>/</w:t>
            </w:r>
            <w:r w:rsidRPr="00C758B1">
              <w:rPr>
                <w:rFonts w:ascii="Lato" w:hAnsi="Lato"/>
                <w:sz w:val="20"/>
                <w:szCs w:val="20"/>
              </w:rPr>
              <w:t>39,3</w:t>
            </w:r>
          </w:p>
        </w:tc>
        <w:tc>
          <w:tcPr>
            <w:tcW w:w="2322" w:type="dxa"/>
            <w:vAlign w:val="center"/>
          </w:tcPr>
          <w:p w14:paraId="154D2E7A" w14:textId="41996B57" w:rsidR="00B03DBA" w:rsidRPr="00C758B1" w:rsidRDefault="001E1C0D" w:rsidP="00983C18">
            <w:pPr>
              <w:spacing w:line="276" w:lineRule="auto"/>
              <w:ind w:left="-120"/>
              <w:jc w:val="center"/>
              <w:cnfStyle w:val="000000100000" w:firstRow="0" w:lastRow="0" w:firstColumn="0" w:lastColumn="0" w:oddVBand="0" w:evenVBand="0" w:oddHBand="1" w:evenHBand="0" w:firstRowFirstColumn="0" w:firstRowLastColumn="0" w:lastRowFirstColumn="0" w:lastRowLastColumn="0"/>
              <w:rPr>
                <w:rFonts w:ascii="Lato" w:hAnsi="Lato"/>
                <w:sz w:val="20"/>
                <w:szCs w:val="20"/>
              </w:rPr>
            </w:pPr>
            <w:r w:rsidRPr="00C758B1">
              <w:rPr>
                <w:rFonts w:ascii="Lato" w:hAnsi="Lato"/>
                <w:sz w:val="20"/>
                <w:szCs w:val="20"/>
              </w:rPr>
              <w:t>12,6</w:t>
            </w:r>
            <w:r w:rsidR="00C7771E" w:rsidRPr="00C758B1">
              <w:rPr>
                <w:rFonts w:ascii="Lato" w:hAnsi="Lato"/>
                <w:sz w:val="20"/>
                <w:szCs w:val="20"/>
              </w:rPr>
              <w:t>/</w:t>
            </w:r>
            <w:r w:rsidRPr="00C758B1">
              <w:rPr>
                <w:rFonts w:ascii="Lato" w:hAnsi="Lato"/>
                <w:sz w:val="20"/>
                <w:szCs w:val="20"/>
              </w:rPr>
              <w:t>100,7</w:t>
            </w:r>
          </w:p>
        </w:tc>
        <w:tc>
          <w:tcPr>
            <w:tcW w:w="1791" w:type="dxa"/>
            <w:vAlign w:val="center"/>
          </w:tcPr>
          <w:p w14:paraId="4CFCBB76" w14:textId="35B7BFF9" w:rsidR="00B03DBA" w:rsidRPr="00C758B1" w:rsidRDefault="00550C18" w:rsidP="00983C18">
            <w:pPr>
              <w:spacing w:line="276" w:lineRule="auto"/>
              <w:ind w:left="-120"/>
              <w:jc w:val="center"/>
              <w:cnfStyle w:val="000000100000" w:firstRow="0" w:lastRow="0" w:firstColumn="0" w:lastColumn="0" w:oddVBand="0" w:evenVBand="0" w:oddHBand="1" w:evenHBand="0" w:firstRowFirstColumn="0" w:firstRowLastColumn="0" w:lastRowFirstColumn="0" w:lastRowLastColumn="0"/>
              <w:rPr>
                <w:rFonts w:ascii="Lato" w:hAnsi="Lato"/>
                <w:sz w:val="20"/>
                <w:szCs w:val="20"/>
              </w:rPr>
            </w:pPr>
            <w:r w:rsidRPr="00C758B1">
              <w:rPr>
                <w:rFonts w:ascii="Lato" w:hAnsi="Lato"/>
                <w:sz w:val="20"/>
                <w:szCs w:val="20"/>
              </w:rPr>
              <w:t>11,9</w:t>
            </w:r>
            <w:r w:rsidR="00C7771E" w:rsidRPr="00C758B1">
              <w:rPr>
                <w:rFonts w:ascii="Lato" w:hAnsi="Lato"/>
                <w:sz w:val="20"/>
                <w:szCs w:val="20"/>
              </w:rPr>
              <w:t>/</w:t>
            </w:r>
            <w:r w:rsidRPr="00C758B1">
              <w:rPr>
                <w:rFonts w:ascii="Lato" w:hAnsi="Lato"/>
                <w:sz w:val="20"/>
                <w:szCs w:val="20"/>
              </w:rPr>
              <w:t>95,3</w:t>
            </w:r>
          </w:p>
        </w:tc>
      </w:tr>
    </w:tbl>
    <w:p w14:paraId="3DF7B2C8" w14:textId="77777777" w:rsidR="00192491" w:rsidRDefault="00192491" w:rsidP="00983C18">
      <w:pPr>
        <w:spacing w:line="276" w:lineRule="auto"/>
        <w:rPr>
          <w:rFonts w:ascii="Lato" w:hAnsi="Lato"/>
        </w:rPr>
      </w:pPr>
    </w:p>
    <w:p w14:paraId="0C2F1DF2" w14:textId="454708D2" w:rsidR="00B03DBA" w:rsidRPr="00D1163A" w:rsidRDefault="00C7771E" w:rsidP="00646890">
      <w:pPr>
        <w:spacing w:after="60" w:line="276" w:lineRule="auto"/>
        <w:ind w:firstLine="709"/>
        <w:rPr>
          <w:rFonts w:ascii="Lato" w:hAnsi="Lato"/>
        </w:rPr>
      </w:pPr>
      <w:r w:rsidRPr="00D1163A">
        <w:rPr>
          <w:rFonts w:ascii="Lato" w:hAnsi="Lato"/>
        </w:rPr>
        <w:t xml:space="preserve">Na podstawie danych uzyskanych od </w:t>
      </w:r>
      <w:r w:rsidR="001079B8">
        <w:rPr>
          <w:rFonts w:ascii="Lato" w:hAnsi="Lato"/>
        </w:rPr>
        <w:t xml:space="preserve">przedsiębiorstw energetycznych dostarczających paliwa gazowe do odbiorców chronionych </w:t>
      </w:r>
      <w:r w:rsidR="00407115">
        <w:rPr>
          <w:rFonts w:ascii="Lato" w:hAnsi="Lato"/>
        </w:rPr>
        <w:t>oszacowano</w:t>
      </w:r>
      <w:r w:rsidRPr="00D1163A">
        <w:rPr>
          <w:rFonts w:ascii="Lato" w:hAnsi="Lato"/>
        </w:rPr>
        <w:t>, że na spełnienie wymogów standardu w zakresie dostaw dla odbiorców gazu ziemnego należących do grupy odbiorców chronionych, potrzebne jest ok.</w:t>
      </w:r>
      <w:r w:rsidR="00764352" w:rsidRPr="00D1163A">
        <w:rPr>
          <w:rFonts w:ascii="Lato" w:hAnsi="Lato"/>
        </w:rPr>
        <w:t xml:space="preserve"> </w:t>
      </w:r>
      <w:r w:rsidRPr="00D1163A">
        <w:rPr>
          <w:rFonts w:ascii="Lato" w:hAnsi="Lato"/>
        </w:rPr>
        <w:t>1 </w:t>
      </w:r>
      <w:r w:rsidR="006F72A0" w:rsidRPr="00D1163A">
        <w:rPr>
          <w:rFonts w:ascii="Lato" w:hAnsi="Lato"/>
        </w:rPr>
        <w:t>226,8</w:t>
      </w:r>
      <w:r w:rsidRPr="00D1163A">
        <w:rPr>
          <w:rFonts w:ascii="Lato" w:hAnsi="Lato"/>
        </w:rPr>
        <w:t xml:space="preserve"> mln m</w:t>
      </w:r>
      <w:r w:rsidRPr="00D1163A">
        <w:rPr>
          <w:rFonts w:ascii="Lato" w:hAnsi="Lato"/>
          <w:vertAlign w:val="superscript"/>
        </w:rPr>
        <w:t>3</w:t>
      </w:r>
      <w:r w:rsidRPr="00D1163A">
        <w:rPr>
          <w:rFonts w:ascii="Lato" w:hAnsi="Lato"/>
        </w:rPr>
        <w:t xml:space="preserve"> (</w:t>
      </w:r>
      <w:r w:rsidR="003F2F61" w:rsidRPr="00D1163A">
        <w:rPr>
          <w:rFonts w:ascii="Lato" w:hAnsi="Lato"/>
        </w:rPr>
        <w:t>13 387,</w:t>
      </w:r>
      <w:r w:rsidR="0036571A" w:rsidRPr="00D1163A">
        <w:rPr>
          <w:rFonts w:ascii="Lato" w:hAnsi="Lato"/>
        </w:rPr>
        <w:t>5</w:t>
      </w:r>
      <w:r w:rsidRPr="00D1163A">
        <w:rPr>
          <w:rFonts w:ascii="Lato" w:hAnsi="Lato"/>
        </w:rPr>
        <w:t xml:space="preserve"> GWh) do uzupełnienia w</w:t>
      </w:r>
      <w:r w:rsidRPr="00D1163A">
        <w:rPr>
          <w:rFonts w:ascii="Lato" w:hAnsi="Lato"/>
          <w:vertAlign w:val="superscript"/>
        </w:rPr>
        <w:t xml:space="preserve"> </w:t>
      </w:r>
      <w:r w:rsidRPr="00D1163A">
        <w:rPr>
          <w:rFonts w:ascii="Lato" w:hAnsi="Lato"/>
        </w:rPr>
        <w:t>czasie 30 dni nadzwyczajnego zapotrzebowania.</w:t>
      </w:r>
    </w:p>
    <w:p w14:paraId="73768D40" w14:textId="049DE968" w:rsidR="003043BB" w:rsidRPr="00D1163A" w:rsidRDefault="003043BB" w:rsidP="00646890">
      <w:pPr>
        <w:spacing w:after="60" w:line="276" w:lineRule="auto"/>
        <w:ind w:firstLine="709"/>
        <w:rPr>
          <w:rFonts w:ascii="Lato" w:hAnsi="Lato" w:cs="Times New Roman"/>
          <w:color w:val="000000" w:themeColor="text1"/>
          <w:szCs w:val="24"/>
        </w:rPr>
      </w:pPr>
      <w:r w:rsidRPr="00D1163A">
        <w:rPr>
          <w:rFonts w:ascii="Lato" w:hAnsi="Lato" w:cs="Times New Roman"/>
          <w:color w:val="000000" w:themeColor="text1"/>
          <w:szCs w:val="24"/>
        </w:rPr>
        <w:t xml:space="preserve">W celu zapewnienia standardu w zakresie dostaw do odbiorców chronionych w czasie 30 dni nadzwyczajnie wysokiego zapotrzebowania szacowanego na </w:t>
      </w:r>
      <w:r w:rsidR="00932D5F">
        <w:rPr>
          <w:rFonts w:ascii="Lato" w:hAnsi="Lato" w:cs="Times New Roman"/>
          <w:color w:val="000000" w:themeColor="text1"/>
          <w:szCs w:val="24"/>
        </w:rPr>
        <w:t xml:space="preserve">poziomie </w:t>
      </w:r>
      <w:r w:rsidR="0036571A" w:rsidRPr="00D1163A">
        <w:rPr>
          <w:rFonts w:ascii="Lato" w:hAnsi="Lato" w:cs="Times New Roman"/>
          <w:color w:val="000000" w:themeColor="text1"/>
          <w:szCs w:val="24"/>
        </w:rPr>
        <w:t>1 226,8</w:t>
      </w:r>
      <w:r w:rsidRPr="00D1163A">
        <w:rPr>
          <w:rFonts w:ascii="Lato" w:hAnsi="Lato" w:cs="Times New Roman"/>
          <w:color w:val="000000" w:themeColor="text1"/>
          <w:szCs w:val="24"/>
        </w:rPr>
        <w:t xml:space="preserve"> mln m</w:t>
      </w:r>
      <w:r w:rsidRPr="00D1163A">
        <w:rPr>
          <w:rFonts w:ascii="Lato" w:hAnsi="Lato" w:cs="Times New Roman"/>
          <w:color w:val="000000" w:themeColor="text1"/>
          <w:szCs w:val="24"/>
          <w:vertAlign w:val="superscript"/>
        </w:rPr>
        <w:t xml:space="preserve">3 </w:t>
      </w:r>
      <w:r w:rsidRPr="00D1163A">
        <w:rPr>
          <w:rFonts w:ascii="Lato" w:hAnsi="Lato" w:cs="Times New Roman"/>
          <w:color w:val="000000" w:themeColor="text1"/>
          <w:szCs w:val="24"/>
        </w:rPr>
        <w:t>(</w:t>
      </w:r>
      <w:r w:rsidR="00C7584D" w:rsidRPr="00D1163A">
        <w:rPr>
          <w:rFonts w:ascii="Lato" w:hAnsi="Lato" w:cs="Times New Roman"/>
          <w:color w:val="000000" w:themeColor="text1"/>
          <w:szCs w:val="24"/>
        </w:rPr>
        <w:t>13 387,5</w:t>
      </w:r>
      <w:r w:rsidRPr="00D1163A">
        <w:rPr>
          <w:rFonts w:ascii="Lato" w:hAnsi="Lato" w:cs="Times New Roman"/>
          <w:color w:val="000000" w:themeColor="text1"/>
          <w:szCs w:val="24"/>
        </w:rPr>
        <w:t xml:space="preserve"> GWh), w pierwszej kolejności planowane jest wykorzystanie dostępnych środków rynkowych po stronie podażowej – przede wszystkim zwiększenie elastyczności importu poprzez zakontraktowanie dodatkowych przepustowości na połączeniach międzysystemowych z państwami UE oraz terminalu LNG</w:t>
      </w:r>
      <w:r w:rsidR="00646890">
        <w:rPr>
          <w:rFonts w:ascii="Lato" w:hAnsi="Lato" w:cs="Times New Roman"/>
          <w:color w:val="000000" w:themeColor="text1"/>
          <w:szCs w:val="24"/>
        </w:rPr>
        <w:t>, w szczególności w punktach</w:t>
      </w:r>
      <w:r w:rsidR="00407115">
        <w:rPr>
          <w:rFonts w:ascii="Lato" w:hAnsi="Lato" w:cs="Times New Roman"/>
          <w:color w:val="000000" w:themeColor="text1"/>
          <w:szCs w:val="24"/>
        </w:rPr>
        <w:t>:</w:t>
      </w:r>
    </w:p>
    <w:p w14:paraId="2615D6AC" w14:textId="519410A1" w:rsidR="003043BB" w:rsidRPr="00364782" w:rsidRDefault="003043BB">
      <w:pPr>
        <w:pStyle w:val="Akapitzlist"/>
        <w:numPr>
          <w:ilvl w:val="0"/>
          <w:numId w:val="13"/>
        </w:numPr>
        <w:spacing w:line="276" w:lineRule="auto"/>
        <w:rPr>
          <w:rFonts w:ascii="Lato" w:hAnsi="Lato"/>
        </w:rPr>
      </w:pPr>
      <w:r w:rsidRPr="00364782">
        <w:rPr>
          <w:rFonts w:ascii="Lato" w:hAnsi="Lato"/>
        </w:rPr>
        <w:t>GCP GAZ-SYSTEM/Ontras – do 4,4 mln m</w:t>
      </w:r>
      <w:r w:rsidRPr="00364782">
        <w:rPr>
          <w:rFonts w:ascii="Lato" w:hAnsi="Lato"/>
          <w:vertAlign w:val="superscript"/>
        </w:rPr>
        <w:t>3</w:t>
      </w:r>
      <w:r w:rsidRPr="00364782">
        <w:rPr>
          <w:rFonts w:ascii="Lato" w:hAnsi="Lato"/>
        </w:rPr>
        <w:t>/dobę (48,7 GWh/dobę</w:t>
      </w:r>
      <w:r w:rsidRPr="00D1163A">
        <w:rPr>
          <w:rFonts w:ascii="Lato" w:hAnsi="Lato"/>
        </w:rPr>
        <w:t>)</w:t>
      </w:r>
      <w:r w:rsidR="00290A60" w:rsidRPr="00D1163A">
        <w:rPr>
          <w:rFonts w:ascii="Lato" w:hAnsi="Lato"/>
        </w:rPr>
        <w:t>;</w:t>
      </w:r>
    </w:p>
    <w:p w14:paraId="2ED9593B" w14:textId="73FBD784" w:rsidR="003043BB" w:rsidRPr="00407115" w:rsidRDefault="003043BB">
      <w:pPr>
        <w:pStyle w:val="Akapitzlist"/>
        <w:numPr>
          <w:ilvl w:val="0"/>
          <w:numId w:val="13"/>
        </w:numPr>
        <w:spacing w:line="276" w:lineRule="auto"/>
        <w:rPr>
          <w:rFonts w:ascii="Lato" w:hAnsi="Lato"/>
        </w:rPr>
      </w:pPr>
      <w:r w:rsidRPr="00364782">
        <w:rPr>
          <w:rFonts w:ascii="Lato" w:hAnsi="Lato"/>
        </w:rPr>
        <w:t>Cieszyn – do 2,5 mln m</w:t>
      </w:r>
      <w:r w:rsidRPr="00364782">
        <w:rPr>
          <w:rFonts w:ascii="Lato" w:hAnsi="Lato"/>
          <w:vertAlign w:val="superscript"/>
        </w:rPr>
        <w:t>3</w:t>
      </w:r>
      <w:r w:rsidRPr="00364782">
        <w:rPr>
          <w:rFonts w:ascii="Lato" w:hAnsi="Lato"/>
        </w:rPr>
        <w:t xml:space="preserve">/dobę (28 GWh/dobę) w okresie od października do </w:t>
      </w:r>
      <w:r w:rsidRPr="00407115">
        <w:rPr>
          <w:rFonts w:ascii="Lato" w:hAnsi="Lato"/>
        </w:rPr>
        <w:t>kwietnia</w:t>
      </w:r>
      <w:r w:rsidR="00290A60" w:rsidRPr="00D1163A">
        <w:rPr>
          <w:rFonts w:ascii="Lato" w:hAnsi="Lato"/>
        </w:rPr>
        <w:t>;</w:t>
      </w:r>
    </w:p>
    <w:p w14:paraId="6340F09E" w14:textId="7C9020B2" w:rsidR="003043BB" w:rsidRPr="00407115" w:rsidRDefault="003043BB">
      <w:pPr>
        <w:pStyle w:val="Akapitzlist"/>
        <w:numPr>
          <w:ilvl w:val="0"/>
          <w:numId w:val="13"/>
        </w:numPr>
        <w:spacing w:line="276" w:lineRule="auto"/>
        <w:rPr>
          <w:rFonts w:ascii="Lato" w:hAnsi="Lato"/>
        </w:rPr>
      </w:pPr>
      <w:r w:rsidRPr="00407115">
        <w:rPr>
          <w:rFonts w:ascii="Lato" w:hAnsi="Lato"/>
        </w:rPr>
        <w:t xml:space="preserve">Mallnow Rewers – do </w:t>
      </w:r>
      <w:r w:rsidR="003F6FA1" w:rsidRPr="00D1163A">
        <w:rPr>
          <w:rFonts w:ascii="Lato" w:hAnsi="Lato"/>
        </w:rPr>
        <w:t>25,1</w:t>
      </w:r>
      <w:r w:rsidRPr="00407115">
        <w:rPr>
          <w:rFonts w:ascii="Lato" w:hAnsi="Lato"/>
        </w:rPr>
        <w:t xml:space="preserve"> mln m</w:t>
      </w:r>
      <w:r w:rsidRPr="00407115">
        <w:rPr>
          <w:rFonts w:ascii="Lato" w:hAnsi="Lato"/>
          <w:vertAlign w:val="superscript"/>
        </w:rPr>
        <w:t>3</w:t>
      </w:r>
      <w:r w:rsidRPr="00407115">
        <w:rPr>
          <w:rFonts w:ascii="Lato" w:hAnsi="Lato"/>
        </w:rPr>
        <w:t>/dobę (</w:t>
      </w:r>
      <w:r w:rsidR="005F4D9D" w:rsidRPr="00D1163A">
        <w:rPr>
          <w:rFonts w:ascii="Lato" w:hAnsi="Lato"/>
        </w:rPr>
        <w:t>277,6</w:t>
      </w:r>
      <w:r w:rsidRPr="00407115">
        <w:rPr>
          <w:rFonts w:ascii="Lato" w:hAnsi="Lato"/>
        </w:rPr>
        <w:t xml:space="preserve"> GWh/dobę</w:t>
      </w:r>
      <w:r w:rsidRPr="00D1163A">
        <w:rPr>
          <w:rFonts w:ascii="Lato" w:hAnsi="Lato"/>
        </w:rPr>
        <w:t>)</w:t>
      </w:r>
      <w:r w:rsidR="00290A60" w:rsidRPr="00D1163A">
        <w:rPr>
          <w:rFonts w:ascii="Lato" w:hAnsi="Lato"/>
        </w:rPr>
        <w:t>;</w:t>
      </w:r>
    </w:p>
    <w:p w14:paraId="05E05082" w14:textId="7BF414C2" w:rsidR="005F4D9D" w:rsidRPr="00D1163A" w:rsidRDefault="005F4D9D">
      <w:pPr>
        <w:pStyle w:val="Akapitzlist"/>
        <w:numPr>
          <w:ilvl w:val="0"/>
          <w:numId w:val="13"/>
        </w:numPr>
        <w:spacing w:line="276" w:lineRule="auto"/>
        <w:rPr>
          <w:rFonts w:ascii="Lato" w:hAnsi="Lato"/>
        </w:rPr>
      </w:pPr>
      <w:r w:rsidRPr="00D1163A">
        <w:rPr>
          <w:rFonts w:ascii="Lato" w:hAnsi="Lato"/>
        </w:rPr>
        <w:t xml:space="preserve">FAXE (Baltic Pipe) – do </w:t>
      </w:r>
      <w:r w:rsidR="000C4B13" w:rsidRPr="00D1163A">
        <w:rPr>
          <w:rFonts w:ascii="Lato" w:hAnsi="Lato"/>
        </w:rPr>
        <w:t>27,4 mln m</w:t>
      </w:r>
      <w:r w:rsidR="000C4B13" w:rsidRPr="00D1163A">
        <w:rPr>
          <w:rFonts w:ascii="Lato" w:hAnsi="Lato"/>
          <w:vertAlign w:val="superscript"/>
        </w:rPr>
        <w:t>3</w:t>
      </w:r>
      <w:r w:rsidR="000C4B13" w:rsidRPr="00D1163A">
        <w:rPr>
          <w:rFonts w:ascii="Lato" w:hAnsi="Lato"/>
        </w:rPr>
        <w:t>/dobę (321,9 GWh/dobę)</w:t>
      </w:r>
      <w:r w:rsidR="00290A60" w:rsidRPr="00D1163A">
        <w:rPr>
          <w:rFonts w:ascii="Lato" w:hAnsi="Lato"/>
        </w:rPr>
        <w:t>;</w:t>
      </w:r>
    </w:p>
    <w:p w14:paraId="16DF5D5A" w14:textId="28F0897B" w:rsidR="000C4B13" w:rsidRPr="00D1163A" w:rsidRDefault="000C4B13">
      <w:pPr>
        <w:pStyle w:val="Akapitzlist"/>
        <w:numPr>
          <w:ilvl w:val="0"/>
          <w:numId w:val="13"/>
        </w:numPr>
        <w:spacing w:line="276" w:lineRule="auto"/>
        <w:rPr>
          <w:rFonts w:ascii="Lato" w:hAnsi="Lato"/>
        </w:rPr>
      </w:pPr>
      <w:r w:rsidRPr="00D1163A">
        <w:rPr>
          <w:rFonts w:ascii="Lato" w:hAnsi="Lato"/>
        </w:rPr>
        <w:t>Santaka – do 5,2 mln m</w:t>
      </w:r>
      <w:r w:rsidRPr="00D1163A">
        <w:rPr>
          <w:rFonts w:ascii="Lato" w:hAnsi="Lato"/>
          <w:vertAlign w:val="superscript"/>
        </w:rPr>
        <w:t>3</w:t>
      </w:r>
      <w:r w:rsidRPr="00D1163A">
        <w:rPr>
          <w:rFonts w:ascii="Lato" w:hAnsi="Lato"/>
        </w:rPr>
        <w:t>/dobę (58,1 GWh/dobę)</w:t>
      </w:r>
      <w:r w:rsidR="00290A60" w:rsidRPr="00D1163A">
        <w:rPr>
          <w:rFonts w:ascii="Lato" w:hAnsi="Lato"/>
        </w:rPr>
        <w:t>;</w:t>
      </w:r>
    </w:p>
    <w:p w14:paraId="518AD76E" w14:textId="081DE2A9" w:rsidR="000C4B13" w:rsidRPr="00D1163A" w:rsidRDefault="000C4B13">
      <w:pPr>
        <w:pStyle w:val="Akapitzlist"/>
        <w:numPr>
          <w:ilvl w:val="0"/>
          <w:numId w:val="13"/>
        </w:numPr>
        <w:spacing w:line="276" w:lineRule="auto"/>
        <w:rPr>
          <w:rFonts w:ascii="Lato" w:hAnsi="Lato"/>
        </w:rPr>
      </w:pPr>
      <w:r w:rsidRPr="00D1163A">
        <w:rPr>
          <w:rFonts w:ascii="Lato" w:hAnsi="Lato"/>
        </w:rPr>
        <w:t>Vyrava</w:t>
      </w:r>
      <w:r w:rsidR="00E7194B" w:rsidRPr="00D1163A">
        <w:rPr>
          <w:rFonts w:ascii="Lato" w:hAnsi="Lato"/>
        </w:rPr>
        <w:t xml:space="preserve"> – do 15,4 mln m</w:t>
      </w:r>
      <w:r w:rsidR="00E7194B" w:rsidRPr="00D1163A">
        <w:rPr>
          <w:rFonts w:ascii="Lato" w:hAnsi="Lato"/>
          <w:vertAlign w:val="superscript"/>
        </w:rPr>
        <w:t>3</w:t>
      </w:r>
      <w:r w:rsidR="00E7194B" w:rsidRPr="00D1163A">
        <w:rPr>
          <w:rFonts w:ascii="Lato" w:hAnsi="Lato"/>
        </w:rPr>
        <w:t>/dobę (173,9 GWh/dobę)</w:t>
      </w:r>
      <w:r w:rsidR="00290A60" w:rsidRPr="00D1163A">
        <w:rPr>
          <w:rFonts w:ascii="Lato" w:hAnsi="Lato"/>
        </w:rPr>
        <w:t>;</w:t>
      </w:r>
    </w:p>
    <w:p w14:paraId="4D5BC27A" w14:textId="70367A69" w:rsidR="003043BB" w:rsidRPr="00407115" w:rsidRDefault="003043BB">
      <w:pPr>
        <w:pStyle w:val="Akapitzlist"/>
        <w:numPr>
          <w:ilvl w:val="0"/>
          <w:numId w:val="13"/>
        </w:numPr>
        <w:spacing w:line="276" w:lineRule="auto"/>
        <w:rPr>
          <w:rFonts w:ascii="Lato" w:hAnsi="Lato"/>
        </w:rPr>
      </w:pPr>
      <w:r w:rsidRPr="00407115">
        <w:rPr>
          <w:rFonts w:ascii="Lato" w:hAnsi="Lato"/>
        </w:rPr>
        <w:t xml:space="preserve">terminal LNG – do </w:t>
      </w:r>
      <w:r w:rsidR="005F4D9D" w:rsidRPr="00D1163A">
        <w:rPr>
          <w:rFonts w:ascii="Lato" w:hAnsi="Lato"/>
        </w:rPr>
        <w:t>19</w:t>
      </w:r>
      <w:r w:rsidRPr="00407115">
        <w:rPr>
          <w:rFonts w:ascii="Lato" w:hAnsi="Lato"/>
        </w:rPr>
        <w:t>,7 mln m</w:t>
      </w:r>
      <w:r w:rsidRPr="00407115">
        <w:rPr>
          <w:rFonts w:ascii="Lato" w:hAnsi="Lato"/>
          <w:vertAlign w:val="superscript"/>
        </w:rPr>
        <w:t>3</w:t>
      </w:r>
      <w:r w:rsidRPr="00407115">
        <w:rPr>
          <w:rFonts w:ascii="Lato" w:hAnsi="Lato"/>
        </w:rPr>
        <w:t>/dobę (</w:t>
      </w:r>
      <w:r w:rsidR="005F4D9D" w:rsidRPr="00D1163A">
        <w:rPr>
          <w:rFonts w:ascii="Lato" w:hAnsi="Lato"/>
        </w:rPr>
        <w:t>227,3</w:t>
      </w:r>
      <w:r w:rsidRPr="00D1163A">
        <w:rPr>
          <w:rFonts w:ascii="Lato" w:hAnsi="Lato"/>
        </w:rPr>
        <w:t>GWh</w:t>
      </w:r>
      <w:r w:rsidRPr="00407115">
        <w:rPr>
          <w:rFonts w:ascii="Lato" w:hAnsi="Lato"/>
        </w:rPr>
        <w:t>/dobę).</w:t>
      </w:r>
    </w:p>
    <w:p w14:paraId="54409D6F" w14:textId="1E8C533E" w:rsidR="003043BB" w:rsidRPr="00D1163A" w:rsidRDefault="00290A60" w:rsidP="00646890">
      <w:pPr>
        <w:spacing w:after="60" w:line="276" w:lineRule="auto"/>
        <w:rPr>
          <w:rFonts w:ascii="Lato" w:hAnsi="Lato"/>
        </w:rPr>
      </w:pPr>
      <w:r w:rsidRPr="00D1163A">
        <w:rPr>
          <w:rFonts w:ascii="Lato" w:hAnsi="Lato"/>
        </w:rPr>
        <w:tab/>
      </w:r>
      <w:r w:rsidR="00407115">
        <w:rPr>
          <w:rFonts w:ascii="Lato" w:hAnsi="Lato"/>
        </w:rPr>
        <w:t>Łączne</w:t>
      </w:r>
      <w:r w:rsidR="003043BB" w:rsidRPr="00D1163A">
        <w:rPr>
          <w:rFonts w:ascii="Lato" w:hAnsi="Lato"/>
        </w:rPr>
        <w:t xml:space="preserve"> możliwości przywozu gazu ziemnego z państw UE oraz terminalu LNG </w:t>
      </w:r>
      <w:r w:rsidR="00932D5F">
        <w:rPr>
          <w:rFonts w:ascii="Lato" w:hAnsi="Lato"/>
        </w:rPr>
        <w:t xml:space="preserve">- </w:t>
      </w:r>
      <w:r w:rsidR="003043BB" w:rsidRPr="00D1163A">
        <w:rPr>
          <w:rFonts w:ascii="Lato" w:hAnsi="Lato"/>
        </w:rPr>
        <w:t xml:space="preserve">przy zapotrzebowaniu odbiorców chronionych wynoszącym ok. </w:t>
      </w:r>
      <w:r w:rsidR="00D24820" w:rsidRPr="00D1163A">
        <w:rPr>
          <w:rFonts w:ascii="Lato" w:hAnsi="Lato"/>
        </w:rPr>
        <w:t>40,9</w:t>
      </w:r>
      <w:r w:rsidR="003043BB" w:rsidRPr="00D1163A">
        <w:rPr>
          <w:rFonts w:ascii="Lato" w:hAnsi="Lato"/>
        </w:rPr>
        <w:t xml:space="preserve"> mln m</w:t>
      </w:r>
      <w:r w:rsidR="003043BB" w:rsidRPr="00407115">
        <w:rPr>
          <w:rFonts w:ascii="Lato" w:hAnsi="Lato" w:cs="Times New Roman"/>
          <w:szCs w:val="24"/>
          <w:vertAlign w:val="superscript"/>
        </w:rPr>
        <w:t>3</w:t>
      </w:r>
      <w:r w:rsidR="003043BB" w:rsidRPr="00D1163A">
        <w:rPr>
          <w:rFonts w:ascii="Lato" w:hAnsi="Lato"/>
        </w:rPr>
        <w:t>/dobę (</w:t>
      </w:r>
      <w:r w:rsidR="00D24820" w:rsidRPr="00D1163A">
        <w:rPr>
          <w:rFonts w:ascii="Lato" w:hAnsi="Lato"/>
        </w:rPr>
        <w:t xml:space="preserve">450 </w:t>
      </w:r>
      <w:r w:rsidR="003043BB" w:rsidRPr="00D1163A">
        <w:rPr>
          <w:rFonts w:ascii="Lato" w:hAnsi="Lato"/>
        </w:rPr>
        <w:t>GWh/dobę)</w:t>
      </w:r>
      <w:r w:rsidR="00407115">
        <w:rPr>
          <w:rFonts w:ascii="Lato" w:hAnsi="Lato"/>
        </w:rPr>
        <w:t xml:space="preserve"> w </w:t>
      </w:r>
      <w:r w:rsidR="003043BB" w:rsidRPr="00D1163A">
        <w:rPr>
          <w:rFonts w:ascii="Lato" w:hAnsi="Lato"/>
        </w:rPr>
        <w:t>okresie nadzwyczajnie wysokiego zapotrzebowania na gaz ziemny</w:t>
      </w:r>
      <w:r w:rsidR="00646890">
        <w:rPr>
          <w:rFonts w:ascii="Lato" w:hAnsi="Lato"/>
        </w:rPr>
        <w:t xml:space="preserve"> - </w:t>
      </w:r>
      <w:r w:rsidR="00646890" w:rsidRPr="00D1163A">
        <w:rPr>
          <w:rFonts w:ascii="Lato" w:hAnsi="Lato"/>
        </w:rPr>
        <w:t>wynoszą ok. 99,7 mln m</w:t>
      </w:r>
      <w:r w:rsidR="00646890" w:rsidRPr="00407115">
        <w:rPr>
          <w:rFonts w:ascii="Lato" w:hAnsi="Lato" w:cs="Times New Roman"/>
          <w:szCs w:val="24"/>
          <w:vertAlign w:val="superscript"/>
        </w:rPr>
        <w:t>3</w:t>
      </w:r>
      <w:r w:rsidR="00646890" w:rsidRPr="00D1163A">
        <w:rPr>
          <w:rFonts w:ascii="Lato" w:hAnsi="Lato"/>
        </w:rPr>
        <w:t>/dobę (1 135,5 GWh/dobę)</w:t>
      </w:r>
      <w:r w:rsidR="00646890">
        <w:rPr>
          <w:rFonts w:ascii="Lato" w:hAnsi="Lato"/>
        </w:rPr>
        <w:t>.</w:t>
      </w:r>
    </w:p>
    <w:p w14:paraId="4DE4805E" w14:textId="78185D92" w:rsidR="003043BB" w:rsidRPr="00D1163A" w:rsidRDefault="00290A60" w:rsidP="00646890">
      <w:pPr>
        <w:spacing w:after="60" w:line="276" w:lineRule="auto"/>
        <w:rPr>
          <w:rFonts w:ascii="Lato" w:hAnsi="Lato"/>
        </w:rPr>
      </w:pPr>
      <w:r w:rsidRPr="00D1163A">
        <w:rPr>
          <w:rFonts w:ascii="Lato" w:hAnsi="Lato"/>
        </w:rPr>
        <w:lastRenderedPageBreak/>
        <w:tab/>
      </w:r>
      <w:r w:rsidR="003043BB" w:rsidRPr="00D1163A">
        <w:rPr>
          <w:rFonts w:ascii="Lato" w:hAnsi="Lato"/>
        </w:rPr>
        <w:t xml:space="preserve">Przepustowości </w:t>
      </w:r>
      <w:r w:rsidR="001079B8">
        <w:rPr>
          <w:rFonts w:ascii="Lato" w:hAnsi="Lato"/>
        </w:rPr>
        <w:t xml:space="preserve">na połączeniach międzysystemowych </w:t>
      </w:r>
      <w:r w:rsidR="003043BB" w:rsidRPr="00D1163A">
        <w:rPr>
          <w:rFonts w:ascii="Lato" w:hAnsi="Lato"/>
        </w:rPr>
        <w:t xml:space="preserve">są udostępniane </w:t>
      </w:r>
      <w:r w:rsidR="00646890">
        <w:rPr>
          <w:rFonts w:ascii="Lato" w:hAnsi="Lato"/>
        </w:rPr>
        <w:t>oraz</w:t>
      </w:r>
      <w:r w:rsidR="003043BB" w:rsidRPr="00D1163A">
        <w:rPr>
          <w:rFonts w:ascii="Lato" w:hAnsi="Lato"/>
        </w:rPr>
        <w:t xml:space="preserve"> rezerwowane na rynkowych i niedyskryminacyjnych zasadach, w</w:t>
      </w:r>
      <w:r w:rsidR="00407115">
        <w:rPr>
          <w:rFonts w:ascii="Lato" w:hAnsi="Lato"/>
        </w:rPr>
        <w:t xml:space="preserve"> </w:t>
      </w:r>
      <w:r w:rsidR="003043BB" w:rsidRPr="00D1163A">
        <w:rPr>
          <w:rFonts w:ascii="Lato" w:hAnsi="Lato"/>
        </w:rPr>
        <w:t>ramach procedury aukcji, zgodnie z rozporządzeniem Komisji (UE) 2017/459 z</w:t>
      </w:r>
      <w:r w:rsidR="00407115">
        <w:rPr>
          <w:rFonts w:ascii="Lato" w:hAnsi="Lato"/>
        </w:rPr>
        <w:t xml:space="preserve"> </w:t>
      </w:r>
      <w:r w:rsidR="003043BB" w:rsidRPr="00D1163A">
        <w:rPr>
          <w:rFonts w:ascii="Lato" w:hAnsi="Lato"/>
        </w:rPr>
        <w:t xml:space="preserve">dnia 16 marca 2017 r. </w:t>
      </w:r>
      <w:r w:rsidR="003043BB" w:rsidRPr="00646890">
        <w:rPr>
          <w:rFonts w:ascii="Lato" w:hAnsi="Lato"/>
          <w:i/>
          <w:iCs/>
        </w:rPr>
        <w:t>ustanawiającym kodeks sieci dotyczący mechanizmów alokacji zdolności w systemach przesyłowych gazu i uchylającym rozporządzenie (UE) nr 984/2013</w:t>
      </w:r>
      <w:r w:rsidR="003043BB" w:rsidRPr="00D1163A">
        <w:rPr>
          <w:rFonts w:ascii="Lato" w:hAnsi="Lato"/>
        </w:rPr>
        <w:t xml:space="preserve">. </w:t>
      </w:r>
    </w:p>
    <w:p w14:paraId="521D7635" w14:textId="455F2ACD" w:rsidR="003043BB" w:rsidRPr="00D1163A" w:rsidRDefault="00290A60" w:rsidP="00646890">
      <w:pPr>
        <w:spacing w:after="60" w:line="276" w:lineRule="auto"/>
        <w:rPr>
          <w:rFonts w:ascii="Lato" w:hAnsi="Lato"/>
        </w:rPr>
      </w:pPr>
      <w:r w:rsidRPr="00D1163A">
        <w:rPr>
          <w:rFonts w:ascii="Lato" w:hAnsi="Lato"/>
        </w:rPr>
        <w:tab/>
      </w:r>
      <w:r w:rsidR="00727892">
        <w:rPr>
          <w:rFonts w:ascii="Lato" w:hAnsi="Lato"/>
        </w:rPr>
        <w:t>Z</w:t>
      </w:r>
      <w:r w:rsidR="003043BB" w:rsidRPr="00D1163A">
        <w:rPr>
          <w:rFonts w:ascii="Lato" w:hAnsi="Lato"/>
        </w:rPr>
        <w:t>większenie elastyczności importu</w:t>
      </w:r>
      <w:r w:rsidR="00727892">
        <w:rPr>
          <w:rFonts w:ascii="Lato" w:hAnsi="Lato"/>
        </w:rPr>
        <w:t xml:space="preserve"> </w:t>
      </w:r>
      <w:r w:rsidR="003043BB" w:rsidRPr="00D1163A">
        <w:rPr>
          <w:rFonts w:ascii="Lato" w:hAnsi="Lato"/>
        </w:rPr>
        <w:t>pozwala zapobiec wystąpieniu sytuacji kryzysowej i nie wymaga wprowadzenia dodatkowych obowiązków, co ma pozytywny wpływ na gospodarkę.</w:t>
      </w:r>
      <w:r w:rsidR="00646890">
        <w:rPr>
          <w:rFonts w:ascii="Lato" w:hAnsi="Lato"/>
        </w:rPr>
        <w:t xml:space="preserve"> Działanie to,</w:t>
      </w:r>
      <w:r w:rsidR="003043BB" w:rsidRPr="00D1163A">
        <w:rPr>
          <w:rFonts w:ascii="Lato" w:hAnsi="Lato"/>
        </w:rPr>
        <w:t xml:space="preserve"> w przypadku nagłych zdarzeń, które mogłyby doprowadzić do sytuacji kryzysowej, poprzez ograniczenie ryzyka kryzysu, </w:t>
      </w:r>
      <w:r w:rsidR="00BD412A" w:rsidRPr="00D1163A">
        <w:rPr>
          <w:rFonts w:ascii="Lato" w:hAnsi="Lato"/>
        </w:rPr>
        <w:t xml:space="preserve">powstrzymywałoby </w:t>
      </w:r>
      <w:r w:rsidR="003043BB" w:rsidRPr="00D1163A">
        <w:rPr>
          <w:rFonts w:ascii="Lato" w:hAnsi="Lato"/>
        </w:rPr>
        <w:t xml:space="preserve">również zagrożenie nagłych skoków cen, </w:t>
      </w:r>
      <w:r w:rsidR="00646890">
        <w:rPr>
          <w:rFonts w:ascii="Lato" w:hAnsi="Lato"/>
        </w:rPr>
        <w:t xml:space="preserve">wpływając pozytywnie </w:t>
      </w:r>
      <w:r w:rsidR="003043BB" w:rsidRPr="00D1163A">
        <w:rPr>
          <w:rFonts w:ascii="Lato" w:hAnsi="Lato"/>
        </w:rPr>
        <w:t xml:space="preserve">na odbiorców. Środek </w:t>
      </w:r>
      <w:r w:rsidR="00727892">
        <w:rPr>
          <w:rFonts w:ascii="Lato" w:hAnsi="Lato"/>
        </w:rPr>
        <w:t xml:space="preserve">ten </w:t>
      </w:r>
      <w:r w:rsidR="003043BB" w:rsidRPr="00D1163A">
        <w:rPr>
          <w:rFonts w:ascii="Lato" w:hAnsi="Lato"/>
        </w:rPr>
        <w:t>nie wpływa na środowisko.</w:t>
      </w:r>
    </w:p>
    <w:p w14:paraId="4F4CA3D9" w14:textId="6EF9DA87" w:rsidR="003043BB" w:rsidRPr="00D1163A" w:rsidRDefault="00290A60" w:rsidP="00646890">
      <w:pPr>
        <w:spacing w:after="60" w:line="276" w:lineRule="auto"/>
        <w:rPr>
          <w:rFonts w:ascii="Lato" w:hAnsi="Lato"/>
        </w:rPr>
      </w:pPr>
      <w:r w:rsidRPr="00D1163A">
        <w:rPr>
          <w:rFonts w:ascii="Lato" w:hAnsi="Lato"/>
        </w:rPr>
        <w:tab/>
      </w:r>
      <w:r w:rsidR="003043BB" w:rsidRPr="00D1163A">
        <w:rPr>
          <w:rFonts w:ascii="Lato" w:hAnsi="Lato"/>
        </w:rPr>
        <w:t xml:space="preserve">Dodatkowo, wskazany standard dostaw może być </w:t>
      </w:r>
      <w:r w:rsidR="004D252B" w:rsidRPr="00D1163A">
        <w:rPr>
          <w:rFonts w:ascii="Lato" w:hAnsi="Lato"/>
        </w:rPr>
        <w:t>pokryty dzięki</w:t>
      </w:r>
      <w:r w:rsidR="003043BB" w:rsidRPr="00D1163A">
        <w:rPr>
          <w:rFonts w:ascii="Lato" w:hAnsi="Lato"/>
        </w:rPr>
        <w:t xml:space="preserve"> dostaw</w:t>
      </w:r>
      <w:r w:rsidR="004D252B" w:rsidRPr="00D1163A">
        <w:rPr>
          <w:rFonts w:ascii="Lato" w:hAnsi="Lato"/>
        </w:rPr>
        <w:t>o</w:t>
      </w:r>
      <w:r w:rsidR="003043BB" w:rsidRPr="00D1163A">
        <w:rPr>
          <w:rFonts w:ascii="Lato" w:hAnsi="Lato"/>
        </w:rPr>
        <w:t>m gazu ziemnego ze źródeł krajowych oraz z podziemnych magazynów gazu. Maksymalna zdolność produkcyjna wynosi 7 mln m</w:t>
      </w:r>
      <w:r w:rsidR="003043BB" w:rsidRPr="00727892">
        <w:rPr>
          <w:rFonts w:ascii="Lato" w:hAnsi="Lato" w:cs="Times New Roman"/>
          <w:szCs w:val="24"/>
          <w:vertAlign w:val="superscript"/>
        </w:rPr>
        <w:t>3</w:t>
      </w:r>
      <w:r w:rsidR="003043BB" w:rsidRPr="00D1163A">
        <w:rPr>
          <w:rFonts w:ascii="Lato" w:hAnsi="Lato"/>
        </w:rPr>
        <w:t>/dobę (77 GWh/dobę), a maksymalna zdolność odbioru gazu ziemnego z podziemnych magazynów</w:t>
      </w:r>
      <w:r w:rsidR="00646890">
        <w:rPr>
          <w:rFonts w:ascii="Lato" w:hAnsi="Lato"/>
        </w:rPr>
        <w:t xml:space="preserve"> </w:t>
      </w:r>
      <w:r w:rsidR="003043BB" w:rsidRPr="00D1163A">
        <w:rPr>
          <w:rFonts w:ascii="Lato" w:hAnsi="Lato"/>
        </w:rPr>
        <w:fldChar w:fldCharType="begin"/>
      </w:r>
      <w:r w:rsidR="003043BB" w:rsidRPr="00D1163A">
        <w:rPr>
          <w:rFonts w:ascii="Lato" w:hAnsi="Lato"/>
        </w:rPr>
        <w:instrText xml:space="preserve"> LISTNUM </w:instrText>
      </w:r>
      <w:r w:rsidR="003043BB" w:rsidRPr="00D1163A">
        <w:rPr>
          <w:rFonts w:ascii="Lato" w:hAnsi="Lato"/>
        </w:rPr>
        <w:fldChar w:fldCharType="end">
          <w:numberingChange w:id="268" w:author="Autor" w:original=""/>
        </w:fldChar>
      </w:r>
      <w:r w:rsidR="003043BB" w:rsidRPr="00D1163A">
        <w:rPr>
          <w:rFonts w:ascii="Lato" w:hAnsi="Lato"/>
        </w:rPr>
        <w:t xml:space="preserve"> </w:t>
      </w:r>
      <w:r w:rsidR="00051E57" w:rsidRPr="00D1163A">
        <w:rPr>
          <w:rFonts w:ascii="Lato" w:hAnsi="Lato"/>
        </w:rPr>
        <w:t>53,49</w:t>
      </w:r>
      <w:r w:rsidR="003043BB" w:rsidRPr="00D1163A">
        <w:rPr>
          <w:rFonts w:ascii="Lato" w:hAnsi="Lato"/>
        </w:rPr>
        <w:t>mln m</w:t>
      </w:r>
      <w:r w:rsidR="003043BB" w:rsidRPr="00D1163A">
        <w:rPr>
          <w:rFonts w:ascii="Lato" w:hAnsi="Lato"/>
          <w:vertAlign w:val="superscript"/>
        </w:rPr>
        <w:t>3</w:t>
      </w:r>
      <w:r w:rsidR="003043BB" w:rsidRPr="00D1163A">
        <w:rPr>
          <w:rFonts w:ascii="Lato" w:hAnsi="Lato"/>
        </w:rPr>
        <w:t xml:space="preserve">/dobę (do </w:t>
      </w:r>
      <w:r w:rsidR="009D6DA3" w:rsidRPr="00D1163A">
        <w:rPr>
          <w:rFonts w:ascii="Lato" w:hAnsi="Lato"/>
        </w:rPr>
        <w:t xml:space="preserve">594,9 </w:t>
      </w:r>
      <w:r w:rsidR="003043BB" w:rsidRPr="00D1163A">
        <w:rPr>
          <w:rFonts w:ascii="Lato" w:hAnsi="Lato"/>
        </w:rPr>
        <w:t>GWh/dobę przy pełnej pojemności czynnej).</w:t>
      </w:r>
    </w:p>
    <w:p w14:paraId="4A369871" w14:textId="277C1AA7" w:rsidR="003043BB" w:rsidRPr="00D1163A" w:rsidRDefault="00290A60" w:rsidP="00646890">
      <w:pPr>
        <w:spacing w:after="60" w:line="276" w:lineRule="auto"/>
        <w:rPr>
          <w:rFonts w:ascii="Lato" w:hAnsi="Lato"/>
        </w:rPr>
      </w:pPr>
      <w:r w:rsidRPr="00D1163A">
        <w:rPr>
          <w:rFonts w:ascii="Lato" w:hAnsi="Lato"/>
        </w:rPr>
        <w:tab/>
      </w:r>
      <w:r w:rsidR="003043BB" w:rsidRPr="00D1163A">
        <w:rPr>
          <w:rFonts w:ascii="Lato" w:hAnsi="Lato"/>
        </w:rPr>
        <w:t>Zwiększenie elastyczności produkcji, podobnie jak zwiększenie elastyczności importu, pozwala zapobiec wystąpieniu sytuacji kryzysowej i nie wymaga wprowadzenia dodatkowych obowiązków, co ma pozytywny wpływ na gospodarkę. Ponadto</w:t>
      </w:r>
      <w:r w:rsidR="00727892">
        <w:rPr>
          <w:rFonts w:ascii="Lato" w:hAnsi="Lato"/>
        </w:rPr>
        <w:t xml:space="preserve"> </w:t>
      </w:r>
      <w:r w:rsidR="003043BB" w:rsidRPr="00D1163A">
        <w:rPr>
          <w:rFonts w:ascii="Lato" w:hAnsi="Lato"/>
        </w:rPr>
        <w:t>środek ten stanowi sam w</w:t>
      </w:r>
      <w:r w:rsidR="00A141DA">
        <w:rPr>
          <w:rFonts w:ascii="Lato" w:hAnsi="Lato"/>
        </w:rPr>
        <w:t xml:space="preserve"> </w:t>
      </w:r>
      <w:r w:rsidR="003043BB" w:rsidRPr="00D1163A">
        <w:rPr>
          <w:rFonts w:ascii="Lato" w:hAnsi="Lato"/>
        </w:rPr>
        <w:t xml:space="preserve">sobie dodatkowy element aktywności gospodarczej wpływający pozytywnie na wzrost PKB. Zwiększenie elastyczności produkcji, w przypadku nagłych zdarzeń, które mogłyby doprowadzić do sytuacji kryzysowej, hamuje wzrost cen (poprzez ograniczenie ryzyka kryzysu), co </w:t>
      </w:r>
      <w:r w:rsidR="00646890">
        <w:rPr>
          <w:rFonts w:ascii="Lato" w:hAnsi="Lato"/>
        </w:rPr>
        <w:t xml:space="preserve">pozytywnie oddziałuje </w:t>
      </w:r>
      <w:r w:rsidR="003043BB" w:rsidRPr="00D1163A">
        <w:rPr>
          <w:rFonts w:ascii="Lato" w:hAnsi="Lato"/>
        </w:rPr>
        <w:t xml:space="preserve">na odbiorców. Środek </w:t>
      </w:r>
      <w:r w:rsidR="00727892">
        <w:rPr>
          <w:rFonts w:ascii="Lato" w:hAnsi="Lato"/>
        </w:rPr>
        <w:t xml:space="preserve">ten </w:t>
      </w:r>
      <w:r w:rsidR="003043BB" w:rsidRPr="00D1163A">
        <w:rPr>
          <w:rFonts w:ascii="Lato" w:hAnsi="Lato"/>
        </w:rPr>
        <w:t>nie wpływa na środowisko.</w:t>
      </w:r>
    </w:p>
    <w:p w14:paraId="708C97C8" w14:textId="518CE90F" w:rsidR="0005315C" w:rsidRDefault="00290A60" w:rsidP="00646890">
      <w:pPr>
        <w:spacing w:after="60" w:line="276" w:lineRule="auto"/>
        <w:rPr>
          <w:rFonts w:ascii="Lato" w:hAnsi="Lato"/>
        </w:rPr>
      </w:pPr>
      <w:r w:rsidRPr="00D1163A">
        <w:rPr>
          <w:rFonts w:ascii="Lato" w:hAnsi="Lato"/>
        </w:rPr>
        <w:tab/>
      </w:r>
      <w:r w:rsidR="003043BB" w:rsidRPr="00D1163A">
        <w:rPr>
          <w:rFonts w:ascii="Lato" w:hAnsi="Lato"/>
        </w:rPr>
        <w:t xml:space="preserve">Komercyjne magazynowanie gazu ziemnego wpływa pozytywnie na rozwój oraz funkcjonowanie rynku gazu ziemnego, stwarza uczestnikom rynku możliwość pokrywania zapotrzebowania odbiorców przy wykorzystaniu instalacji magazynowych oraz pozwala optymalizować zarządzanie portfelem dostaw gazu ziemnego. </w:t>
      </w:r>
      <w:r w:rsidR="00646890">
        <w:rPr>
          <w:rFonts w:ascii="Lato" w:hAnsi="Lato"/>
        </w:rPr>
        <w:t xml:space="preserve">W </w:t>
      </w:r>
      <w:r w:rsidR="003043BB" w:rsidRPr="00D1163A">
        <w:rPr>
          <w:rFonts w:ascii="Lato" w:hAnsi="Lato"/>
        </w:rPr>
        <w:t xml:space="preserve">przypadku nagłych zdarzeń, które mogłyby doprowadzić do sytuacji kryzysowej, </w:t>
      </w:r>
      <w:r w:rsidR="00646890">
        <w:rPr>
          <w:rFonts w:ascii="Lato" w:hAnsi="Lato"/>
        </w:rPr>
        <w:t>u</w:t>
      </w:r>
      <w:r w:rsidR="00646890" w:rsidRPr="00D1163A">
        <w:rPr>
          <w:rFonts w:ascii="Lato" w:hAnsi="Lato"/>
        </w:rPr>
        <w:t>wolnienie dodatkowych wolumenów gazu ziemnego z zapasów komercyjnych</w:t>
      </w:r>
      <w:r w:rsidR="00646890">
        <w:rPr>
          <w:rFonts w:ascii="Lato" w:hAnsi="Lato"/>
        </w:rPr>
        <w:t>,</w:t>
      </w:r>
      <w:r w:rsidR="00646890" w:rsidRPr="00D1163A">
        <w:rPr>
          <w:rFonts w:ascii="Lato" w:hAnsi="Lato"/>
        </w:rPr>
        <w:t xml:space="preserve"> </w:t>
      </w:r>
      <w:r w:rsidR="004D252B" w:rsidRPr="00D1163A">
        <w:rPr>
          <w:rFonts w:ascii="Lato" w:hAnsi="Lato"/>
        </w:rPr>
        <w:t xml:space="preserve">zwiększając podaż gazu ziemnego na rynku </w:t>
      </w:r>
      <w:r w:rsidR="00646890">
        <w:rPr>
          <w:rFonts w:ascii="Lato" w:hAnsi="Lato"/>
        </w:rPr>
        <w:t xml:space="preserve">gazu ziemnego </w:t>
      </w:r>
      <w:r w:rsidR="004D252B" w:rsidRPr="00D1163A">
        <w:rPr>
          <w:rFonts w:ascii="Lato" w:hAnsi="Lato"/>
        </w:rPr>
        <w:t xml:space="preserve">przyczynia się </w:t>
      </w:r>
      <w:r w:rsidR="00646890">
        <w:rPr>
          <w:rFonts w:ascii="Lato" w:hAnsi="Lato"/>
        </w:rPr>
        <w:t xml:space="preserve">do </w:t>
      </w:r>
      <w:r w:rsidR="004D252B" w:rsidRPr="00D1163A">
        <w:rPr>
          <w:rFonts w:ascii="Lato" w:hAnsi="Lato"/>
        </w:rPr>
        <w:t>utrzymywania stabilnych</w:t>
      </w:r>
      <w:r w:rsidR="003043BB" w:rsidRPr="00D1163A">
        <w:rPr>
          <w:rFonts w:ascii="Lato" w:hAnsi="Lato"/>
        </w:rPr>
        <w:t xml:space="preserve"> cen (poprzez ograniczenie ryzyka kryzysu), wpływ</w:t>
      </w:r>
      <w:r w:rsidR="00646890">
        <w:rPr>
          <w:rFonts w:ascii="Lato" w:hAnsi="Lato"/>
        </w:rPr>
        <w:t>ając pozytywnie</w:t>
      </w:r>
      <w:r w:rsidR="003043BB" w:rsidRPr="00D1163A">
        <w:rPr>
          <w:rFonts w:ascii="Lato" w:hAnsi="Lato"/>
        </w:rPr>
        <w:t xml:space="preserve"> na odbiorców. Środek </w:t>
      </w:r>
      <w:r w:rsidR="00727892">
        <w:rPr>
          <w:rFonts w:ascii="Lato" w:hAnsi="Lato"/>
        </w:rPr>
        <w:t xml:space="preserve">ten </w:t>
      </w:r>
      <w:r w:rsidR="003043BB" w:rsidRPr="00D1163A">
        <w:rPr>
          <w:rFonts w:ascii="Lato" w:hAnsi="Lato"/>
        </w:rPr>
        <w:t>nie wpływa na środowisko.</w:t>
      </w:r>
    </w:p>
    <w:p w14:paraId="51F0513A" w14:textId="2C9A8275" w:rsidR="00727892" w:rsidRPr="00727892" w:rsidRDefault="003043BB" w:rsidP="00727892">
      <w:pPr>
        <w:pStyle w:val="Tabela"/>
        <w:spacing w:before="120" w:after="120"/>
        <w:rPr>
          <w:rFonts w:ascii="Lato" w:hAnsi="Lato"/>
          <w:color w:val="000000" w:themeColor="text1"/>
          <w:sz w:val="20"/>
          <w:szCs w:val="20"/>
        </w:rPr>
      </w:pPr>
      <w:r w:rsidRPr="00727892">
        <w:rPr>
          <w:rFonts w:ascii="Lato" w:hAnsi="Lato"/>
          <w:sz w:val="22"/>
          <w:szCs w:val="22"/>
        </w:rPr>
        <w:t xml:space="preserve">Tabela </w:t>
      </w:r>
      <w:r w:rsidR="002C139B">
        <w:rPr>
          <w:rFonts w:ascii="Lato" w:hAnsi="Lato"/>
          <w:sz w:val="22"/>
          <w:szCs w:val="22"/>
        </w:rPr>
        <w:t>9</w:t>
      </w:r>
      <w:r w:rsidRPr="00727892">
        <w:rPr>
          <w:rFonts w:ascii="Lato" w:hAnsi="Lato"/>
          <w:sz w:val="22"/>
          <w:szCs w:val="22"/>
        </w:rPr>
        <w:t>. Wielkość środków rynkowych po stronie podażowej na tle standardów dostaw</w:t>
      </w:r>
    </w:p>
    <w:tbl>
      <w:tblPr>
        <w:tblStyle w:val="Zwykatabela1"/>
        <w:tblW w:w="4233" w:type="pct"/>
        <w:jc w:val="center"/>
        <w:tblLook w:val="04A0" w:firstRow="1" w:lastRow="0" w:firstColumn="1" w:lastColumn="0" w:noHBand="0" w:noVBand="1"/>
      </w:tblPr>
      <w:tblGrid>
        <w:gridCol w:w="3977"/>
        <w:gridCol w:w="3694"/>
      </w:tblGrid>
      <w:tr w:rsidR="003043BB" w:rsidRPr="00C758B1" w14:paraId="057E80C8" w14:textId="77777777" w:rsidTr="00AD51DD">
        <w:trPr>
          <w:cnfStyle w:val="100000000000" w:firstRow="1" w:lastRow="0" w:firstColumn="0" w:lastColumn="0" w:oddVBand="0" w:evenVBand="0" w:oddHBand="0" w:evenHBand="0" w:firstRowFirstColumn="0" w:firstRowLastColumn="0" w:lastRowFirstColumn="0" w:lastRowLastColumn="0"/>
          <w:trHeight w:val="476"/>
          <w:jc w:val="center"/>
        </w:trPr>
        <w:tc>
          <w:tcPr>
            <w:cnfStyle w:val="001000000000" w:firstRow="0" w:lastRow="0" w:firstColumn="1" w:lastColumn="0" w:oddVBand="0" w:evenVBand="0" w:oddHBand="0" w:evenHBand="0" w:firstRowFirstColumn="0" w:firstRowLastColumn="0" w:lastRowFirstColumn="0" w:lastRowLastColumn="0"/>
            <w:tcW w:w="2592" w:type="pct"/>
            <w:vMerge w:val="restart"/>
            <w:noWrap/>
            <w:hideMark/>
          </w:tcPr>
          <w:p w14:paraId="54F81F76" w14:textId="2B7EF94F" w:rsidR="003043BB" w:rsidRPr="00C758B1" w:rsidRDefault="003043BB" w:rsidP="00727892">
            <w:pPr>
              <w:spacing w:before="20" w:after="20" w:line="276" w:lineRule="auto"/>
              <w:jc w:val="center"/>
              <w:rPr>
                <w:rFonts w:ascii="Lato" w:eastAsia="Times New Roman" w:hAnsi="Lato" w:cs="Times New Roman"/>
                <w:color w:val="000000" w:themeColor="text1"/>
                <w:szCs w:val="24"/>
                <w:lang w:eastAsia="pl-PL"/>
              </w:rPr>
            </w:pPr>
          </w:p>
        </w:tc>
        <w:tc>
          <w:tcPr>
            <w:tcW w:w="2408" w:type="pct"/>
            <w:vMerge w:val="restart"/>
            <w:hideMark/>
          </w:tcPr>
          <w:p w14:paraId="4DDBD4C6" w14:textId="77777777" w:rsidR="003043BB" w:rsidRPr="00C758B1" w:rsidRDefault="003043BB" w:rsidP="0072789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Lato" w:eastAsia="Times New Roman" w:hAnsi="Lato" w:cs="Times New Roman"/>
                <w:b w:val="0"/>
                <w:bCs w:val="0"/>
                <w:color w:val="000000" w:themeColor="text1"/>
                <w:sz w:val="20"/>
                <w:szCs w:val="20"/>
                <w:lang w:eastAsia="pl-PL"/>
              </w:rPr>
            </w:pPr>
            <w:r w:rsidRPr="00C758B1">
              <w:rPr>
                <w:rFonts w:ascii="Lato" w:eastAsia="Times New Roman" w:hAnsi="Lato" w:cs="Times New Roman"/>
                <w:color w:val="000000" w:themeColor="text1"/>
                <w:sz w:val="20"/>
                <w:szCs w:val="20"/>
                <w:lang w:eastAsia="pl-PL"/>
              </w:rPr>
              <w:t>Dostępne środki rynkowe po stronie podażowej</w:t>
            </w:r>
          </w:p>
        </w:tc>
      </w:tr>
      <w:tr w:rsidR="003043BB" w:rsidRPr="00C758B1" w14:paraId="0AE13C1F" w14:textId="77777777" w:rsidTr="00CE63C5">
        <w:trPr>
          <w:cnfStyle w:val="000000100000" w:firstRow="0" w:lastRow="0" w:firstColumn="0" w:lastColumn="0" w:oddVBand="0" w:evenVBand="0" w:oddHBand="1" w:evenHBand="0" w:firstRowFirstColumn="0" w:firstRowLastColumn="0" w:lastRowFirstColumn="0" w:lastRowLastColumn="0"/>
          <w:trHeight w:val="476"/>
          <w:jc w:val="center"/>
        </w:trPr>
        <w:tc>
          <w:tcPr>
            <w:cnfStyle w:val="001000000000" w:firstRow="0" w:lastRow="0" w:firstColumn="1" w:lastColumn="0" w:oddVBand="0" w:evenVBand="0" w:oddHBand="0" w:evenHBand="0" w:firstRowFirstColumn="0" w:firstRowLastColumn="0" w:lastRowFirstColumn="0" w:lastRowLastColumn="0"/>
            <w:tcW w:w="2592" w:type="pct"/>
            <w:vMerge/>
            <w:hideMark/>
          </w:tcPr>
          <w:p w14:paraId="611F2BC1" w14:textId="77777777" w:rsidR="003043BB" w:rsidRPr="00C758B1" w:rsidRDefault="003043BB" w:rsidP="00727892">
            <w:pPr>
              <w:spacing w:before="20" w:after="20" w:line="276" w:lineRule="auto"/>
              <w:jc w:val="center"/>
              <w:rPr>
                <w:rFonts w:ascii="Lato" w:eastAsia="Times New Roman" w:hAnsi="Lato" w:cs="Times New Roman"/>
                <w:color w:val="000000" w:themeColor="text1"/>
                <w:szCs w:val="24"/>
                <w:lang w:eastAsia="pl-PL"/>
              </w:rPr>
            </w:pPr>
          </w:p>
        </w:tc>
        <w:tc>
          <w:tcPr>
            <w:tcW w:w="2408" w:type="pct"/>
            <w:vMerge/>
            <w:hideMark/>
          </w:tcPr>
          <w:p w14:paraId="03DE86AD" w14:textId="77777777" w:rsidR="003043BB" w:rsidRPr="00C758B1" w:rsidRDefault="003043BB" w:rsidP="00727892">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themeColor="text1"/>
                <w:sz w:val="20"/>
                <w:szCs w:val="20"/>
                <w:lang w:eastAsia="pl-PL"/>
              </w:rPr>
            </w:pPr>
          </w:p>
        </w:tc>
      </w:tr>
      <w:tr w:rsidR="003043BB" w:rsidRPr="00C758B1" w14:paraId="62BD7A19" w14:textId="77777777" w:rsidTr="00CE63C5">
        <w:trPr>
          <w:trHeight w:val="64"/>
          <w:jc w:val="center"/>
        </w:trPr>
        <w:tc>
          <w:tcPr>
            <w:cnfStyle w:val="001000000000" w:firstRow="0" w:lastRow="0" w:firstColumn="1" w:lastColumn="0" w:oddVBand="0" w:evenVBand="0" w:oddHBand="0" w:evenHBand="0" w:firstRowFirstColumn="0" w:firstRowLastColumn="0" w:lastRowFirstColumn="0" w:lastRowLastColumn="0"/>
            <w:tcW w:w="2592" w:type="pct"/>
            <w:vMerge/>
            <w:hideMark/>
          </w:tcPr>
          <w:p w14:paraId="7DCC173F" w14:textId="77777777" w:rsidR="003043BB" w:rsidRPr="00C758B1" w:rsidRDefault="003043BB" w:rsidP="00727892">
            <w:pPr>
              <w:spacing w:before="20" w:after="20" w:line="276" w:lineRule="auto"/>
              <w:jc w:val="center"/>
              <w:rPr>
                <w:rFonts w:ascii="Lato" w:eastAsia="Times New Roman" w:hAnsi="Lato" w:cs="Times New Roman"/>
                <w:color w:val="000000" w:themeColor="text1"/>
                <w:szCs w:val="24"/>
                <w:lang w:eastAsia="pl-PL"/>
              </w:rPr>
            </w:pPr>
          </w:p>
        </w:tc>
        <w:tc>
          <w:tcPr>
            <w:tcW w:w="2408" w:type="pct"/>
            <w:hideMark/>
          </w:tcPr>
          <w:p w14:paraId="19A4CF9D" w14:textId="77777777" w:rsidR="003043BB" w:rsidRPr="00270AE5" w:rsidRDefault="003043BB" w:rsidP="00727892">
            <w:pPr>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color w:val="000000" w:themeColor="text1"/>
                <w:sz w:val="20"/>
                <w:szCs w:val="20"/>
                <w:lang w:eastAsia="pl-PL"/>
              </w:rPr>
            </w:pPr>
            <w:r w:rsidRPr="00270AE5">
              <w:rPr>
                <w:rFonts w:ascii="Lato" w:eastAsia="Times New Roman" w:hAnsi="Lato" w:cs="Times New Roman"/>
                <w:b/>
                <w:color w:val="000000" w:themeColor="text1"/>
                <w:sz w:val="20"/>
                <w:szCs w:val="20"/>
                <w:lang w:eastAsia="pl-PL"/>
              </w:rPr>
              <w:t>mln m</w:t>
            </w:r>
            <w:r w:rsidRPr="00270AE5">
              <w:rPr>
                <w:rFonts w:ascii="Lato" w:eastAsia="Times New Roman" w:hAnsi="Lato" w:cs="Times New Roman"/>
                <w:b/>
                <w:color w:val="000000" w:themeColor="text1"/>
                <w:sz w:val="20"/>
                <w:szCs w:val="20"/>
                <w:vertAlign w:val="superscript"/>
                <w:lang w:eastAsia="pl-PL"/>
              </w:rPr>
              <w:t>3</w:t>
            </w:r>
            <w:r w:rsidRPr="00270AE5">
              <w:rPr>
                <w:rFonts w:ascii="Lato" w:eastAsia="Times New Roman" w:hAnsi="Lato" w:cs="Times New Roman"/>
                <w:b/>
                <w:color w:val="000000" w:themeColor="text1"/>
                <w:sz w:val="20"/>
                <w:szCs w:val="20"/>
                <w:lang w:eastAsia="pl-PL"/>
              </w:rPr>
              <w:t>/dobę (GWh/dobę)</w:t>
            </w:r>
          </w:p>
        </w:tc>
      </w:tr>
      <w:tr w:rsidR="003043BB" w:rsidRPr="00C758B1" w14:paraId="527C5939" w14:textId="77777777" w:rsidTr="00AD51D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592" w:type="pct"/>
            <w:hideMark/>
          </w:tcPr>
          <w:p w14:paraId="1A01F68A" w14:textId="477BC830" w:rsidR="003043BB" w:rsidRPr="00270AE5" w:rsidRDefault="003043BB" w:rsidP="00983C18">
            <w:pPr>
              <w:spacing w:before="20" w:after="20" w:line="276" w:lineRule="auto"/>
              <w:jc w:val="left"/>
              <w:rPr>
                <w:rFonts w:ascii="Lato" w:eastAsia="Times New Roman" w:hAnsi="Lato" w:cs="Times New Roman"/>
                <w:b w:val="0"/>
                <w:bCs w:val="0"/>
                <w:iCs/>
                <w:color w:val="000000" w:themeColor="text1"/>
                <w:sz w:val="20"/>
                <w:szCs w:val="20"/>
                <w:lang w:eastAsia="pl-PL"/>
              </w:rPr>
            </w:pPr>
            <w:r w:rsidRPr="00270AE5">
              <w:rPr>
                <w:rFonts w:ascii="Lato" w:eastAsia="Times New Roman" w:hAnsi="Lato" w:cs="Times New Roman"/>
                <w:b w:val="0"/>
                <w:bCs w:val="0"/>
                <w:iCs/>
                <w:color w:val="000000" w:themeColor="text1"/>
                <w:sz w:val="20"/>
                <w:szCs w:val="20"/>
                <w:lang w:eastAsia="pl-PL"/>
              </w:rPr>
              <w:t>Źródła krajowe</w:t>
            </w:r>
          </w:p>
        </w:tc>
        <w:tc>
          <w:tcPr>
            <w:tcW w:w="2408" w:type="pct"/>
            <w:hideMark/>
          </w:tcPr>
          <w:p w14:paraId="585BBD5C" w14:textId="77777777" w:rsidR="003043BB" w:rsidRPr="00C758B1" w:rsidRDefault="003043BB" w:rsidP="00983C18">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iCs/>
                <w:color w:val="000000" w:themeColor="text1"/>
                <w:sz w:val="20"/>
                <w:szCs w:val="20"/>
                <w:lang w:eastAsia="pl-PL"/>
              </w:rPr>
            </w:pPr>
            <w:r w:rsidRPr="00C758B1">
              <w:rPr>
                <w:rFonts w:ascii="Lato" w:eastAsia="Times New Roman" w:hAnsi="Lato" w:cs="Times New Roman"/>
                <w:b/>
                <w:bCs/>
                <w:iCs/>
                <w:color w:val="000000" w:themeColor="text1"/>
                <w:sz w:val="20"/>
                <w:szCs w:val="20"/>
                <w:lang w:eastAsia="pl-PL"/>
              </w:rPr>
              <w:t>7 (77,1)</w:t>
            </w:r>
          </w:p>
        </w:tc>
      </w:tr>
      <w:tr w:rsidR="003043BB" w:rsidRPr="00C758B1" w14:paraId="47FA43FD" w14:textId="77777777" w:rsidTr="00AD51DD">
        <w:trPr>
          <w:trHeight w:val="20"/>
          <w:jc w:val="center"/>
        </w:trPr>
        <w:tc>
          <w:tcPr>
            <w:tcW w:w="2592" w:type="pct"/>
            <w:hideMark/>
          </w:tcPr>
          <w:p w14:paraId="0777C1A4" w14:textId="5EA6BF0B" w:rsidR="003043BB" w:rsidRPr="00270AE5" w:rsidRDefault="003043BB" w:rsidP="00727892">
            <w:pPr>
              <w:spacing w:before="20" w:after="20" w:line="276" w:lineRule="auto"/>
              <w:jc w:val="left"/>
              <w:cnfStyle w:val="001000000000" w:firstRow="0" w:lastRow="0" w:firstColumn="1" w:lastColumn="0" w:oddVBand="0" w:evenVBand="0" w:oddHBand="0" w:evenHBand="0" w:firstRowFirstColumn="0" w:firstRowLastColumn="0" w:lastRowFirstColumn="0" w:lastRowLastColumn="0"/>
              <w:rPr>
                <w:rFonts w:ascii="Lato" w:eastAsia="Times New Roman" w:hAnsi="Lato" w:cs="Times New Roman"/>
                <w:b w:val="0"/>
                <w:bCs w:val="0"/>
                <w:iCs/>
                <w:color w:val="000000" w:themeColor="text1"/>
                <w:sz w:val="20"/>
                <w:szCs w:val="20"/>
                <w:lang w:eastAsia="pl-PL"/>
              </w:rPr>
            </w:pPr>
            <w:r w:rsidRPr="00270AE5">
              <w:rPr>
                <w:rFonts w:ascii="Lato" w:eastAsia="Times New Roman" w:hAnsi="Lato" w:cs="Times New Roman"/>
                <w:b w:val="0"/>
                <w:bCs w:val="0"/>
                <w:iCs/>
                <w:color w:val="000000" w:themeColor="text1"/>
                <w:sz w:val="20"/>
                <w:szCs w:val="20"/>
                <w:lang w:eastAsia="pl-PL"/>
              </w:rPr>
              <w:lastRenderedPageBreak/>
              <w:t>Odbiór PMG:</w:t>
            </w:r>
          </w:p>
        </w:tc>
        <w:tc>
          <w:tcPr>
            <w:tcW w:w="2408" w:type="pct"/>
            <w:hideMark/>
          </w:tcPr>
          <w:p w14:paraId="184C7391" w14:textId="000E80BA" w:rsidR="003043BB" w:rsidRPr="00C758B1" w:rsidRDefault="009C6BEB" w:rsidP="00983C18">
            <w:pPr>
              <w:spacing w:before="20" w:after="20" w:line="276" w:lineRule="auto"/>
              <w:jc w:val="center"/>
              <w:rPr>
                <w:rFonts w:ascii="Lato" w:eastAsia="Times New Roman" w:hAnsi="Lato" w:cs="Times New Roman"/>
                <w:b/>
                <w:bCs/>
                <w:iCs/>
                <w:color w:val="000000" w:themeColor="text1"/>
                <w:sz w:val="20"/>
                <w:szCs w:val="20"/>
                <w:lang w:eastAsia="pl-PL"/>
              </w:rPr>
            </w:pPr>
            <w:r w:rsidRPr="00C758B1">
              <w:rPr>
                <w:rFonts w:ascii="Lato" w:eastAsia="Times New Roman" w:hAnsi="Lato" w:cs="Times New Roman"/>
                <w:b/>
                <w:bCs/>
                <w:iCs/>
                <w:color w:val="000000" w:themeColor="text1"/>
                <w:sz w:val="20"/>
                <w:szCs w:val="20"/>
                <w:lang w:eastAsia="pl-PL"/>
              </w:rPr>
              <w:t>53,49</w:t>
            </w:r>
            <w:r w:rsidR="003043BB" w:rsidRPr="00C758B1">
              <w:rPr>
                <w:rFonts w:ascii="Lato" w:eastAsia="Times New Roman" w:hAnsi="Lato" w:cs="Times New Roman"/>
                <w:b/>
                <w:bCs/>
                <w:iCs/>
                <w:color w:val="000000" w:themeColor="text1"/>
                <w:sz w:val="20"/>
                <w:szCs w:val="20"/>
                <w:lang w:eastAsia="pl-PL"/>
              </w:rPr>
              <w:t xml:space="preserve"> (</w:t>
            </w:r>
            <w:r w:rsidRPr="00C758B1">
              <w:rPr>
                <w:rFonts w:ascii="Lato" w:eastAsia="Times New Roman" w:hAnsi="Lato" w:cs="Times New Roman"/>
                <w:b/>
                <w:bCs/>
                <w:iCs/>
                <w:color w:val="000000" w:themeColor="text1"/>
                <w:sz w:val="20"/>
                <w:szCs w:val="20"/>
                <w:lang w:eastAsia="pl-PL"/>
              </w:rPr>
              <w:t>594,9</w:t>
            </w:r>
            <w:r w:rsidR="003043BB" w:rsidRPr="00C758B1">
              <w:rPr>
                <w:rFonts w:ascii="Lato" w:eastAsia="Times New Roman" w:hAnsi="Lato" w:cs="Times New Roman"/>
                <w:b/>
                <w:bCs/>
                <w:iCs/>
                <w:color w:val="000000" w:themeColor="text1"/>
                <w:sz w:val="20"/>
                <w:szCs w:val="20"/>
                <w:lang w:eastAsia="pl-PL"/>
              </w:rPr>
              <w:t>)/</w:t>
            </w:r>
            <w:r w:rsidR="00B54D1B" w:rsidRPr="00C758B1">
              <w:rPr>
                <w:rFonts w:ascii="Lato" w:eastAsia="Times New Roman" w:hAnsi="Lato" w:cs="Times New Roman"/>
                <w:b/>
                <w:bCs/>
                <w:iCs/>
                <w:color w:val="000000" w:themeColor="text1"/>
                <w:sz w:val="20"/>
                <w:szCs w:val="20"/>
                <w:lang w:eastAsia="pl-PL"/>
              </w:rPr>
              <w:t>48,0</w:t>
            </w:r>
            <w:r w:rsidR="003043BB" w:rsidRPr="00C758B1">
              <w:rPr>
                <w:rFonts w:ascii="Lato" w:eastAsia="Times New Roman" w:hAnsi="Lato" w:cs="Times New Roman"/>
                <w:b/>
                <w:bCs/>
                <w:iCs/>
                <w:color w:val="000000" w:themeColor="text1"/>
                <w:sz w:val="20"/>
                <w:szCs w:val="20"/>
                <w:lang w:eastAsia="pl-PL"/>
              </w:rPr>
              <w:t xml:space="preserve"> (</w:t>
            </w:r>
            <w:r w:rsidR="00D0655F" w:rsidRPr="00C758B1">
              <w:rPr>
                <w:rFonts w:ascii="Lato" w:eastAsia="Times New Roman" w:hAnsi="Lato" w:cs="Times New Roman"/>
                <w:b/>
                <w:bCs/>
                <w:iCs/>
                <w:color w:val="000000" w:themeColor="text1"/>
                <w:sz w:val="20"/>
                <w:szCs w:val="20"/>
                <w:lang w:eastAsia="pl-PL"/>
              </w:rPr>
              <w:t>533,4</w:t>
            </w:r>
            <w:r w:rsidR="003043BB" w:rsidRPr="00C758B1">
              <w:rPr>
                <w:rFonts w:ascii="Lato" w:eastAsia="Times New Roman" w:hAnsi="Lato" w:cs="Times New Roman"/>
                <w:b/>
                <w:bCs/>
                <w:iCs/>
                <w:color w:val="000000" w:themeColor="text1"/>
                <w:sz w:val="20"/>
                <w:szCs w:val="20"/>
                <w:lang w:eastAsia="pl-PL"/>
              </w:rPr>
              <w:t>)</w:t>
            </w:r>
            <w:r w:rsidR="003043BB" w:rsidRPr="00C758B1">
              <w:rPr>
                <w:rStyle w:val="Odwoanieprzypisudolnego"/>
                <w:rFonts w:ascii="Lato" w:hAnsi="Lato"/>
                <w:b/>
                <w:bCs/>
                <w:color w:val="000000" w:themeColor="text1"/>
                <w:sz w:val="20"/>
                <w:szCs w:val="20"/>
                <w:lang w:eastAsia="pl-PL"/>
              </w:rPr>
              <w:footnoteReference w:id="3"/>
            </w:r>
          </w:p>
        </w:tc>
      </w:tr>
      <w:tr w:rsidR="003043BB" w:rsidRPr="00C758B1" w14:paraId="67C1C582" w14:textId="77777777" w:rsidTr="00AD51D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592" w:type="pct"/>
            <w:hideMark/>
          </w:tcPr>
          <w:p w14:paraId="670F113B" w14:textId="77777777" w:rsidR="003043BB" w:rsidRPr="00270AE5" w:rsidRDefault="003043BB" w:rsidP="00727892">
            <w:pPr>
              <w:spacing w:before="20" w:after="20" w:line="276" w:lineRule="auto"/>
              <w:jc w:val="left"/>
              <w:rPr>
                <w:rFonts w:ascii="Lato" w:eastAsia="Times New Roman" w:hAnsi="Lato" w:cs="Times New Roman"/>
                <w:b w:val="0"/>
                <w:bCs w:val="0"/>
                <w:color w:val="000000" w:themeColor="text1"/>
                <w:sz w:val="20"/>
                <w:szCs w:val="20"/>
                <w:lang w:eastAsia="pl-PL"/>
              </w:rPr>
            </w:pPr>
            <w:r w:rsidRPr="00270AE5">
              <w:rPr>
                <w:rFonts w:ascii="Lato" w:eastAsia="Times New Roman" w:hAnsi="Lato" w:cs="Times New Roman"/>
                <w:b w:val="0"/>
                <w:bCs w:val="0"/>
                <w:color w:val="000000" w:themeColor="text1"/>
                <w:sz w:val="20"/>
                <w:szCs w:val="20"/>
                <w:lang w:eastAsia="pl-PL"/>
              </w:rPr>
              <w:t>GIM Sanok</w:t>
            </w:r>
          </w:p>
        </w:tc>
        <w:tc>
          <w:tcPr>
            <w:tcW w:w="2408" w:type="pct"/>
            <w:hideMark/>
          </w:tcPr>
          <w:p w14:paraId="4814F9D9" w14:textId="476D00C3" w:rsidR="003043BB" w:rsidRPr="00C758B1" w:rsidRDefault="003043BB" w:rsidP="00983C18">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themeColor="text1"/>
                <w:sz w:val="20"/>
                <w:szCs w:val="20"/>
                <w:lang w:eastAsia="pl-PL"/>
              </w:rPr>
            </w:pPr>
            <w:r w:rsidRPr="00C758B1">
              <w:rPr>
                <w:rFonts w:ascii="Lato" w:eastAsia="Times New Roman" w:hAnsi="Lato" w:cs="Times New Roman"/>
                <w:color w:val="000000" w:themeColor="text1"/>
                <w:sz w:val="20"/>
                <w:szCs w:val="20"/>
                <w:lang w:eastAsia="pl-PL"/>
              </w:rPr>
              <w:t>11,49 (129)/</w:t>
            </w:r>
            <w:r w:rsidR="00A13CB0" w:rsidRPr="00C758B1">
              <w:rPr>
                <w:rFonts w:ascii="Lato" w:eastAsia="Times New Roman" w:hAnsi="Lato" w:cs="Times New Roman"/>
                <w:color w:val="000000" w:themeColor="text1"/>
                <w:sz w:val="20"/>
                <w:szCs w:val="20"/>
                <w:lang w:eastAsia="pl-PL"/>
              </w:rPr>
              <w:t>7,5</w:t>
            </w:r>
            <w:r w:rsidRPr="00C758B1">
              <w:rPr>
                <w:rFonts w:ascii="Lato" w:eastAsia="Times New Roman" w:hAnsi="Lato" w:cs="Times New Roman"/>
                <w:color w:val="000000" w:themeColor="text1"/>
                <w:sz w:val="20"/>
                <w:szCs w:val="20"/>
                <w:lang w:eastAsia="pl-PL"/>
              </w:rPr>
              <w:t xml:space="preserve"> (</w:t>
            </w:r>
            <w:r w:rsidR="006B499A" w:rsidRPr="00C758B1">
              <w:rPr>
                <w:rFonts w:ascii="Lato" w:eastAsia="Times New Roman" w:hAnsi="Lato" w:cs="Times New Roman"/>
                <w:color w:val="000000" w:themeColor="text1"/>
                <w:sz w:val="20"/>
                <w:szCs w:val="20"/>
                <w:lang w:eastAsia="pl-PL"/>
              </w:rPr>
              <w:t>84,2</w:t>
            </w:r>
            <w:r w:rsidRPr="00C758B1">
              <w:rPr>
                <w:rFonts w:ascii="Lato" w:eastAsia="Times New Roman" w:hAnsi="Lato" w:cs="Times New Roman"/>
                <w:color w:val="000000" w:themeColor="text1"/>
                <w:sz w:val="20"/>
                <w:szCs w:val="20"/>
                <w:lang w:eastAsia="pl-PL"/>
              </w:rPr>
              <w:t>)</w:t>
            </w:r>
          </w:p>
        </w:tc>
      </w:tr>
      <w:tr w:rsidR="003043BB" w:rsidRPr="00C758B1" w14:paraId="61C187A3" w14:textId="77777777" w:rsidTr="00AD51DD">
        <w:trPr>
          <w:trHeight w:val="20"/>
          <w:jc w:val="center"/>
        </w:trPr>
        <w:tc>
          <w:tcPr>
            <w:cnfStyle w:val="001000000000" w:firstRow="0" w:lastRow="0" w:firstColumn="1" w:lastColumn="0" w:oddVBand="0" w:evenVBand="0" w:oddHBand="0" w:evenHBand="0" w:firstRowFirstColumn="0" w:firstRowLastColumn="0" w:lastRowFirstColumn="0" w:lastRowLastColumn="0"/>
            <w:tcW w:w="2592" w:type="pct"/>
            <w:hideMark/>
          </w:tcPr>
          <w:p w14:paraId="0FC2F79A" w14:textId="77777777" w:rsidR="003043BB" w:rsidRPr="00270AE5" w:rsidRDefault="003043BB" w:rsidP="00727892">
            <w:pPr>
              <w:spacing w:before="20" w:after="20" w:line="276" w:lineRule="auto"/>
              <w:jc w:val="left"/>
              <w:rPr>
                <w:rFonts w:ascii="Lato" w:eastAsia="Times New Roman" w:hAnsi="Lato" w:cs="Times New Roman"/>
                <w:b w:val="0"/>
                <w:bCs w:val="0"/>
                <w:color w:val="000000" w:themeColor="text1"/>
                <w:sz w:val="20"/>
                <w:szCs w:val="20"/>
                <w:lang w:eastAsia="pl-PL"/>
              </w:rPr>
            </w:pPr>
            <w:r w:rsidRPr="00270AE5">
              <w:rPr>
                <w:rFonts w:ascii="Lato" w:eastAsia="Times New Roman" w:hAnsi="Lato" w:cs="Times New Roman"/>
                <w:b w:val="0"/>
                <w:bCs w:val="0"/>
                <w:color w:val="000000" w:themeColor="text1"/>
                <w:sz w:val="20"/>
                <w:szCs w:val="20"/>
                <w:lang w:eastAsia="pl-PL"/>
              </w:rPr>
              <w:t>IM Wierzchowice</w:t>
            </w:r>
          </w:p>
        </w:tc>
        <w:tc>
          <w:tcPr>
            <w:tcW w:w="2408" w:type="pct"/>
            <w:hideMark/>
          </w:tcPr>
          <w:p w14:paraId="45A18D96" w14:textId="485F7D9C" w:rsidR="003043BB" w:rsidRPr="00C758B1" w:rsidRDefault="00B75E8B" w:rsidP="00983C18">
            <w:pPr>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themeColor="text1"/>
                <w:sz w:val="20"/>
                <w:szCs w:val="20"/>
                <w:lang w:eastAsia="pl-PL"/>
              </w:rPr>
            </w:pPr>
            <w:r w:rsidRPr="00C758B1">
              <w:rPr>
                <w:rFonts w:ascii="Lato" w:eastAsia="Times New Roman" w:hAnsi="Lato" w:cs="Times New Roman"/>
                <w:color w:val="000000" w:themeColor="text1"/>
                <w:sz w:val="20"/>
                <w:szCs w:val="20"/>
                <w:lang w:eastAsia="pl-PL"/>
              </w:rPr>
              <w:t>14,4</w:t>
            </w:r>
            <w:r w:rsidR="003043BB" w:rsidRPr="00C758B1">
              <w:rPr>
                <w:rFonts w:ascii="Lato" w:eastAsia="Times New Roman" w:hAnsi="Lato" w:cs="Times New Roman"/>
                <w:color w:val="000000" w:themeColor="text1"/>
                <w:sz w:val="20"/>
                <w:szCs w:val="20"/>
                <w:lang w:eastAsia="pl-PL"/>
              </w:rPr>
              <w:t xml:space="preserve"> (</w:t>
            </w:r>
            <w:r w:rsidRPr="00C758B1">
              <w:rPr>
                <w:rFonts w:ascii="Lato" w:eastAsia="Times New Roman" w:hAnsi="Lato" w:cs="Times New Roman"/>
                <w:color w:val="000000" w:themeColor="text1"/>
                <w:sz w:val="20"/>
                <w:szCs w:val="20"/>
                <w:lang w:eastAsia="pl-PL"/>
              </w:rPr>
              <w:t>158,4</w:t>
            </w:r>
            <w:r w:rsidR="003043BB" w:rsidRPr="00C758B1">
              <w:rPr>
                <w:rFonts w:ascii="Lato" w:eastAsia="Times New Roman" w:hAnsi="Lato" w:cs="Times New Roman"/>
                <w:color w:val="000000" w:themeColor="text1"/>
                <w:sz w:val="20"/>
                <w:szCs w:val="20"/>
                <w:lang w:eastAsia="pl-PL"/>
              </w:rPr>
              <w:t>)/</w:t>
            </w:r>
            <w:r w:rsidR="006B499A" w:rsidRPr="00C758B1">
              <w:rPr>
                <w:rFonts w:ascii="Lato" w:eastAsia="Times New Roman" w:hAnsi="Lato" w:cs="Times New Roman"/>
                <w:color w:val="000000" w:themeColor="text1"/>
                <w:sz w:val="20"/>
                <w:szCs w:val="20"/>
                <w:lang w:eastAsia="pl-PL"/>
              </w:rPr>
              <w:t>12,9</w:t>
            </w:r>
            <w:r w:rsidR="003043BB" w:rsidRPr="00C758B1">
              <w:rPr>
                <w:rFonts w:ascii="Lato" w:eastAsia="Times New Roman" w:hAnsi="Lato" w:cs="Times New Roman"/>
                <w:color w:val="000000" w:themeColor="text1"/>
                <w:sz w:val="20"/>
                <w:szCs w:val="20"/>
                <w:lang w:eastAsia="pl-PL"/>
              </w:rPr>
              <w:t xml:space="preserve"> (</w:t>
            </w:r>
            <w:r w:rsidR="00C478D1" w:rsidRPr="00C758B1">
              <w:rPr>
                <w:rFonts w:ascii="Lato" w:eastAsia="Times New Roman" w:hAnsi="Lato" w:cs="Times New Roman"/>
                <w:color w:val="000000" w:themeColor="text1"/>
                <w:sz w:val="20"/>
                <w:szCs w:val="20"/>
                <w:lang w:eastAsia="pl-PL"/>
              </w:rPr>
              <w:t>141,9</w:t>
            </w:r>
            <w:r w:rsidR="003043BB" w:rsidRPr="00C758B1">
              <w:rPr>
                <w:rFonts w:ascii="Lato" w:eastAsia="Times New Roman" w:hAnsi="Lato" w:cs="Times New Roman"/>
                <w:color w:val="000000" w:themeColor="text1"/>
                <w:sz w:val="20"/>
                <w:szCs w:val="20"/>
                <w:lang w:eastAsia="pl-PL"/>
              </w:rPr>
              <w:t>)</w:t>
            </w:r>
          </w:p>
        </w:tc>
      </w:tr>
      <w:tr w:rsidR="003043BB" w:rsidRPr="00C758B1" w14:paraId="73C696D9" w14:textId="77777777" w:rsidTr="00AD51D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592" w:type="pct"/>
            <w:hideMark/>
          </w:tcPr>
          <w:p w14:paraId="587D5161" w14:textId="77777777" w:rsidR="003043BB" w:rsidRPr="00270AE5" w:rsidRDefault="003043BB" w:rsidP="00727892">
            <w:pPr>
              <w:spacing w:before="20" w:after="20" w:line="276" w:lineRule="auto"/>
              <w:jc w:val="left"/>
              <w:rPr>
                <w:rFonts w:ascii="Lato" w:eastAsia="Times New Roman" w:hAnsi="Lato" w:cs="Times New Roman"/>
                <w:b w:val="0"/>
                <w:bCs w:val="0"/>
                <w:color w:val="000000" w:themeColor="text1"/>
                <w:sz w:val="20"/>
                <w:szCs w:val="20"/>
                <w:lang w:eastAsia="pl-PL"/>
              </w:rPr>
            </w:pPr>
            <w:r w:rsidRPr="00270AE5">
              <w:rPr>
                <w:rFonts w:ascii="Lato" w:eastAsia="Times New Roman" w:hAnsi="Lato" w:cs="Times New Roman"/>
                <w:b w:val="0"/>
                <w:bCs w:val="0"/>
                <w:color w:val="000000" w:themeColor="text1"/>
                <w:sz w:val="20"/>
                <w:szCs w:val="20"/>
                <w:lang w:eastAsia="pl-PL"/>
              </w:rPr>
              <w:t>GIM Kawerna</w:t>
            </w:r>
          </w:p>
        </w:tc>
        <w:tc>
          <w:tcPr>
            <w:tcW w:w="2408" w:type="pct"/>
            <w:hideMark/>
          </w:tcPr>
          <w:p w14:paraId="5AA7D5EC" w14:textId="1262B1D3" w:rsidR="003043BB" w:rsidRPr="00C758B1" w:rsidRDefault="003043BB" w:rsidP="00983C18">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themeColor="text1"/>
                <w:sz w:val="20"/>
                <w:szCs w:val="20"/>
                <w:lang w:eastAsia="pl-PL"/>
              </w:rPr>
            </w:pPr>
            <w:r w:rsidRPr="00C758B1">
              <w:rPr>
                <w:rFonts w:ascii="Lato" w:eastAsia="Times New Roman" w:hAnsi="Lato" w:cs="Times New Roman"/>
                <w:color w:val="000000" w:themeColor="text1"/>
                <w:sz w:val="20"/>
                <w:szCs w:val="20"/>
                <w:lang w:eastAsia="pl-PL"/>
              </w:rPr>
              <w:t>27,6 (307,</w:t>
            </w:r>
            <w:r w:rsidR="00B70705" w:rsidRPr="00C758B1">
              <w:rPr>
                <w:rFonts w:ascii="Lato" w:eastAsia="Times New Roman" w:hAnsi="Lato" w:cs="Times New Roman"/>
                <w:color w:val="000000" w:themeColor="text1"/>
                <w:sz w:val="20"/>
                <w:szCs w:val="20"/>
                <w:lang w:eastAsia="pl-PL"/>
              </w:rPr>
              <w:t>5</w:t>
            </w:r>
            <w:r w:rsidRPr="00C758B1">
              <w:rPr>
                <w:rFonts w:ascii="Lato" w:eastAsia="Times New Roman" w:hAnsi="Lato" w:cs="Times New Roman"/>
                <w:color w:val="000000" w:themeColor="text1"/>
                <w:sz w:val="20"/>
                <w:szCs w:val="20"/>
                <w:lang w:eastAsia="pl-PL"/>
              </w:rPr>
              <w:t>)/</w:t>
            </w:r>
            <w:r w:rsidR="00C478D1" w:rsidRPr="00C758B1">
              <w:rPr>
                <w:rFonts w:ascii="Lato" w:eastAsia="Times New Roman" w:hAnsi="Lato" w:cs="Times New Roman"/>
                <w:color w:val="000000" w:themeColor="text1"/>
                <w:sz w:val="20"/>
                <w:szCs w:val="20"/>
                <w:lang w:eastAsia="pl-PL"/>
              </w:rPr>
              <w:t>27,6</w:t>
            </w:r>
            <w:r w:rsidRPr="00C758B1">
              <w:rPr>
                <w:rFonts w:ascii="Lato" w:eastAsia="Times New Roman" w:hAnsi="Lato" w:cs="Times New Roman"/>
                <w:color w:val="000000" w:themeColor="text1"/>
                <w:sz w:val="20"/>
                <w:szCs w:val="20"/>
                <w:lang w:eastAsia="pl-PL"/>
              </w:rPr>
              <w:t xml:space="preserve"> (</w:t>
            </w:r>
            <w:r w:rsidR="00314C88" w:rsidRPr="00C758B1">
              <w:rPr>
                <w:rFonts w:ascii="Lato" w:eastAsia="Times New Roman" w:hAnsi="Lato" w:cs="Times New Roman"/>
                <w:color w:val="000000" w:themeColor="text1"/>
                <w:sz w:val="20"/>
                <w:szCs w:val="20"/>
                <w:lang w:eastAsia="pl-PL"/>
              </w:rPr>
              <w:t>307,5</w:t>
            </w:r>
            <w:r w:rsidRPr="00C758B1">
              <w:rPr>
                <w:rFonts w:ascii="Lato" w:eastAsia="Times New Roman" w:hAnsi="Lato" w:cs="Times New Roman"/>
                <w:color w:val="000000" w:themeColor="text1"/>
                <w:sz w:val="20"/>
                <w:szCs w:val="20"/>
                <w:lang w:eastAsia="pl-PL"/>
              </w:rPr>
              <w:t>)</w:t>
            </w:r>
          </w:p>
        </w:tc>
      </w:tr>
      <w:tr w:rsidR="003043BB" w:rsidRPr="00C758B1" w14:paraId="1991B9AE" w14:textId="77777777" w:rsidTr="00AD51DD">
        <w:trPr>
          <w:trHeight w:val="20"/>
          <w:jc w:val="center"/>
        </w:trPr>
        <w:tc>
          <w:tcPr>
            <w:cnfStyle w:val="001000000000" w:firstRow="0" w:lastRow="0" w:firstColumn="1" w:lastColumn="0" w:oddVBand="0" w:evenVBand="0" w:oddHBand="0" w:evenHBand="0" w:firstRowFirstColumn="0" w:firstRowLastColumn="0" w:lastRowFirstColumn="0" w:lastRowLastColumn="0"/>
            <w:tcW w:w="2592" w:type="pct"/>
            <w:hideMark/>
          </w:tcPr>
          <w:p w14:paraId="2495F40D" w14:textId="77441AD8" w:rsidR="003043BB" w:rsidRPr="00270AE5" w:rsidRDefault="003043BB" w:rsidP="00727892">
            <w:pPr>
              <w:spacing w:before="20" w:after="20" w:line="276" w:lineRule="auto"/>
              <w:jc w:val="left"/>
              <w:rPr>
                <w:rFonts w:ascii="Lato" w:eastAsia="Times New Roman" w:hAnsi="Lato" w:cs="Times New Roman"/>
                <w:b w:val="0"/>
                <w:bCs w:val="0"/>
                <w:iCs/>
                <w:color w:val="000000" w:themeColor="text1"/>
                <w:sz w:val="20"/>
                <w:szCs w:val="20"/>
                <w:lang w:eastAsia="pl-PL"/>
              </w:rPr>
            </w:pPr>
            <w:r w:rsidRPr="00270AE5">
              <w:rPr>
                <w:rFonts w:ascii="Lato" w:eastAsia="Times New Roman" w:hAnsi="Lato" w:cs="Times New Roman"/>
                <w:b w:val="0"/>
                <w:bCs w:val="0"/>
                <w:iCs/>
                <w:color w:val="000000" w:themeColor="text1"/>
                <w:sz w:val="20"/>
                <w:szCs w:val="20"/>
                <w:lang w:eastAsia="pl-PL"/>
              </w:rPr>
              <w:t>Przywóz:</w:t>
            </w:r>
          </w:p>
        </w:tc>
        <w:tc>
          <w:tcPr>
            <w:tcW w:w="2408" w:type="pct"/>
            <w:hideMark/>
          </w:tcPr>
          <w:p w14:paraId="27C05BE2" w14:textId="6F4CB18F" w:rsidR="003043BB" w:rsidRPr="00C758B1" w:rsidRDefault="002D0957" w:rsidP="00983C18">
            <w:pPr>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iCs/>
                <w:color w:val="000000" w:themeColor="text1"/>
                <w:sz w:val="20"/>
                <w:szCs w:val="20"/>
                <w:lang w:eastAsia="pl-PL"/>
              </w:rPr>
            </w:pPr>
            <w:r w:rsidRPr="00C758B1">
              <w:rPr>
                <w:rFonts w:ascii="Lato" w:eastAsia="Times New Roman" w:hAnsi="Lato" w:cs="Times New Roman"/>
                <w:b/>
                <w:bCs/>
                <w:iCs/>
                <w:color w:val="000000" w:themeColor="text1"/>
                <w:sz w:val="20"/>
                <w:szCs w:val="20"/>
                <w:lang w:eastAsia="pl-PL"/>
              </w:rPr>
              <w:t xml:space="preserve"> 111,7 </w:t>
            </w:r>
            <w:r w:rsidR="003043BB" w:rsidRPr="00C758B1">
              <w:rPr>
                <w:rFonts w:ascii="Lato" w:eastAsia="Times New Roman" w:hAnsi="Lato" w:cs="Times New Roman"/>
                <w:b/>
                <w:bCs/>
                <w:iCs/>
                <w:color w:val="000000" w:themeColor="text1"/>
                <w:sz w:val="20"/>
                <w:szCs w:val="20"/>
                <w:lang w:eastAsia="pl-PL"/>
              </w:rPr>
              <w:t>(</w:t>
            </w:r>
            <w:r w:rsidRPr="00C758B1">
              <w:rPr>
                <w:rFonts w:ascii="Lato" w:eastAsia="Times New Roman" w:hAnsi="Lato" w:cs="Times New Roman"/>
                <w:b/>
                <w:bCs/>
                <w:iCs/>
                <w:color w:val="000000" w:themeColor="text1"/>
                <w:sz w:val="20"/>
                <w:szCs w:val="20"/>
                <w:lang w:eastAsia="pl-PL"/>
              </w:rPr>
              <w:t>1 271,1</w:t>
            </w:r>
            <w:r w:rsidR="003043BB" w:rsidRPr="00C758B1">
              <w:rPr>
                <w:rFonts w:ascii="Lato" w:eastAsia="Times New Roman" w:hAnsi="Lato" w:cs="Times New Roman"/>
                <w:b/>
                <w:bCs/>
                <w:iCs/>
                <w:color w:val="000000" w:themeColor="text1"/>
                <w:sz w:val="20"/>
                <w:szCs w:val="20"/>
                <w:lang w:eastAsia="pl-PL"/>
              </w:rPr>
              <w:t>)</w:t>
            </w:r>
          </w:p>
        </w:tc>
      </w:tr>
      <w:tr w:rsidR="003043BB" w:rsidRPr="00C758B1" w14:paraId="3651F26B" w14:textId="77777777" w:rsidTr="00AD51D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592" w:type="pct"/>
          </w:tcPr>
          <w:p w14:paraId="068D141E" w14:textId="1D15B68C" w:rsidR="003043BB" w:rsidRPr="00270AE5" w:rsidRDefault="003043BB" w:rsidP="00727892">
            <w:pPr>
              <w:spacing w:before="20" w:after="20" w:line="276" w:lineRule="auto"/>
              <w:jc w:val="left"/>
              <w:rPr>
                <w:rFonts w:ascii="Lato" w:eastAsia="Times New Roman" w:hAnsi="Lato" w:cs="Times New Roman"/>
                <w:b w:val="0"/>
                <w:bCs w:val="0"/>
                <w:i/>
                <w:color w:val="000000" w:themeColor="text1"/>
                <w:sz w:val="20"/>
                <w:szCs w:val="20"/>
                <w:lang w:eastAsia="pl-PL"/>
              </w:rPr>
            </w:pPr>
            <w:r w:rsidRPr="00270AE5">
              <w:rPr>
                <w:rFonts w:ascii="Lato" w:eastAsia="Times New Roman" w:hAnsi="Lato" w:cs="Times New Roman"/>
                <w:b w:val="0"/>
                <w:bCs w:val="0"/>
                <w:i/>
                <w:color w:val="000000" w:themeColor="text1"/>
                <w:sz w:val="20"/>
                <w:szCs w:val="20"/>
                <w:lang w:eastAsia="pl-PL"/>
              </w:rPr>
              <w:t>w tym przywóz z UE:</w:t>
            </w:r>
          </w:p>
        </w:tc>
        <w:tc>
          <w:tcPr>
            <w:tcW w:w="2408" w:type="pct"/>
          </w:tcPr>
          <w:p w14:paraId="6D497672" w14:textId="6C44A6D8" w:rsidR="003043BB" w:rsidRPr="00C758B1" w:rsidRDefault="002E516A" w:rsidP="00983C18">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iCs/>
                <w:color w:val="000000" w:themeColor="text1"/>
                <w:sz w:val="20"/>
                <w:szCs w:val="20"/>
                <w:lang w:eastAsia="pl-PL"/>
              </w:rPr>
            </w:pPr>
            <w:r w:rsidRPr="00C758B1">
              <w:rPr>
                <w:rFonts w:ascii="Lato" w:eastAsia="Times New Roman" w:hAnsi="Lato" w:cs="Times New Roman"/>
                <w:b/>
                <w:bCs/>
                <w:iCs/>
                <w:color w:val="000000" w:themeColor="text1"/>
                <w:sz w:val="20"/>
                <w:szCs w:val="20"/>
                <w:lang w:eastAsia="pl-PL"/>
              </w:rPr>
              <w:t xml:space="preserve">80,0 </w:t>
            </w:r>
            <w:r w:rsidR="003043BB" w:rsidRPr="00C758B1">
              <w:rPr>
                <w:rFonts w:ascii="Lato" w:eastAsia="Times New Roman" w:hAnsi="Lato" w:cs="Times New Roman"/>
                <w:b/>
                <w:bCs/>
                <w:iCs/>
                <w:color w:val="000000" w:themeColor="text1"/>
                <w:sz w:val="20"/>
                <w:szCs w:val="20"/>
                <w:lang w:eastAsia="pl-PL"/>
              </w:rPr>
              <w:t>(</w:t>
            </w:r>
            <w:r w:rsidR="00644C34" w:rsidRPr="00C758B1">
              <w:rPr>
                <w:rFonts w:ascii="Lato" w:eastAsia="Times New Roman" w:hAnsi="Lato" w:cs="Times New Roman"/>
                <w:b/>
                <w:bCs/>
                <w:iCs/>
                <w:color w:val="000000" w:themeColor="text1"/>
                <w:sz w:val="20"/>
                <w:szCs w:val="20"/>
                <w:lang w:eastAsia="pl-PL"/>
              </w:rPr>
              <w:t>908,2</w:t>
            </w:r>
            <w:r w:rsidR="003043BB" w:rsidRPr="00C758B1">
              <w:rPr>
                <w:rFonts w:ascii="Lato" w:eastAsia="Times New Roman" w:hAnsi="Lato" w:cs="Times New Roman"/>
                <w:b/>
                <w:bCs/>
                <w:iCs/>
                <w:color w:val="000000" w:themeColor="text1"/>
                <w:sz w:val="20"/>
                <w:szCs w:val="20"/>
                <w:lang w:eastAsia="pl-PL"/>
              </w:rPr>
              <w:t>)</w:t>
            </w:r>
          </w:p>
        </w:tc>
      </w:tr>
      <w:tr w:rsidR="003043BB" w:rsidRPr="00C758B1" w14:paraId="58D5D455" w14:textId="77777777" w:rsidTr="00AD51DD">
        <w:trPr>
          <w:trHeight w:val="20"/>
          <w:jc w:val="center"/>
        </w:trPr>
        <w:tc>
          <w:tcPr>
            <w:cnfStyle w:val="001000000000" w:firstRow="0" w:lastRow="0" w:firstColumn="1" w:lastColumn="0" w:oddVBand="0" w:evenVBand="0" w:oddHBand="0" w:evenHBand="0" w:firstRowFirstColumn="0" w:firstRowLastColumn="0" w:lastRowFirstColumn="0" w:lastRowLastColumn="0"/>
            <w:tcW w:w="2592" w:type="pct"/>
            <w:hideMark/>
          </w:tcPr>
          <w:p w14:paraId="00CDC838" w14:textId="77777777" w:rsidR="003043BB" w:rsidRPr="00270AE5" w:rsidRDefault="003043BB" w:rsidP="00727892">
            <w:pPr>
              <w:spacing w:before="20" w:after="20" w:line="276" w:lineRule="auto"/>
              <w:jc w:val="left"/>
              <w:rPr>
                <w:rFonts w:ascii="Lato" w:eastAsia="Times New Roman" w:hAnsi="Lato" w:cs="Times New Roman"/>
                <w:b w:val="0"/>
                <w:bCs w:val="0"/>
                <w:color w:val="000000" w:themeColor="text1"/>
                <w:sz w:val="20"/>
                <w:szCs w:val="20"/>
                <w:lang w:eastAsia="pl-PL"/>
              </w:rPr>
            </w:pPr>
            <w:r w:rsidRPr="00270AE5">
              <w:rPr>
                <w:rFonts w:ascii="Lato" w:eastAsia="Times New Roman" w:hAnsi="Lato" w:cs="Times New Roman"/>
                <w:b w:val="0"/>
                <w:bCs w:val="0"/>
                <w:color w:val="000000" w:themeColor="text1"/>
                <w:sz w:val="20"/>
                <w:szCs w:val="20"/>
                <w:lang w:eastAsia="pl-PL"/>
              </w:rPr>
              <w:t>GCP GAZ-SYSTEM/ONTRAS</w:t>
            </w:r>
          </w:p>
        </w:tc>
        <w:tc>
          <w:tcPr>
            <w:tcW w:w="2408" w:type="pct"/>
            <w:hideMark/>
          </w:tcPr>
          <w:p w14:paraId="7186BB8C" w14:textId="77777777" w:rsidR="003043BB" w:rsidRPr="00C758B1" w:rsidRDefault="003043BB" w:rsidP="00983C18">
            <w:pPr>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themeColor="text1"/>
                <w:sz w:val="20"/>
                <w:szCs w:val="20"/>
                <w:lang w:eastAsia="pl-PL"/>
              </w:rPr>
            </w:pPr>
            <w:r w:rsidRPr="00C758B1">
              <w:rPr>
                <w:rFonts w:ascii="Lato" w:eastAsia="Times New Roman" w:hAnsi="Lato" w:cs="Times New Roman"/>
                <w:color w:val="000000" w:themeColor="text1"/>
                <w:sz w:val="20"/>
                <w:szCs w:val="20"/>
                <w:lang w:eastAsia="pl-PL"/>
              </w:rPr>
              <w:t>4,4 (48,7)</w:t>
            </w:r>
          </w:p>
        </w:tc>
      </w:tr>
      <w:tr w:rsidR="003043BB" w:rsidRPr="00C758B1" w14:paraId="64969029" w14:textId="77777777" w:rsidTr="00AD51D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592" w:type="pct"/>
            <w:hideMark/>
          </w:tcPr>
          <w:p w14:paraId="1E3FAA9B" w14:textId="77777777" w:rsidR="003043BB" w:rsidRPr="00270AE5" w:rsidRDefault="003043BB" w:rsidP="00727892">
            <w:pPr>
              <w:spacing w:before="20" w:after="20" w:line="276" w:lineRule="auto"/>
              <w:jc w:val="left"/>
              <w:rPr>
                <w:rFonts w:ascii="Lato" w:eastAsia="Times New Roman" w:hAnsi="Lato" w:cs="Times New Roman"/>
                <w:b w:val="0"/>
                <w:bCs w:val="0"/>
                <w:color w:val="000000" w:themeColor="text1"/>
                <w:sz w:val="20"/>
                <w:szCs w:val="20"/>
                <w:lang w:eastAsia="pl-PL"/>
              </w:rPr>
            </w:pPr>
            <w:r w:rsidRPr="00270AE5">
              <w:rPr>
                <w:rFonts w:ascii="Lato" w:eastAsia="Times New Roman" w:hAnsi="Lato" w:cs="Times New Roman"/>
                <w:b w:val="0"/>
                <w:bCs w:val="0"/>
                <w:color w:val="000000" w:themeColor="text1"/>
                <w:sz w:val="20"/>
                <w:szCs w:val="20"/>
                <w:lang w:eastAsia="pl-PL"/>
              </w:rPr>
              <w:t>Cieszyn</w:t>
            </w:r>
          </w:p>
        </w:tc>
        <w:tc>
          <w:tcPr>
            <w:tcW w:w="2408" w:type="pct"/>
            <w:hideMark/>
          </w:tcPr>
          <w:p w14:paraId="0B80BB1A" w14:textId="77777777" w:rsidR="003043BB" w:rsidRPr="00C758B1" w:rsidRDefault="003043BB" w:rsidP="00983C18">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themeColor="text1"/>
                <w:sz w:val="20"/>
                <w:szCs w:val="20"/>
                <w:lang w:eastAsia="pl-PL"/>
              </w:rPr>
            </w:pPr>
            <w:r w:rsidRPr="00C758B1">
              <w:rPr>
                <w:rFonts w:ascii="Lato" w:eastAsia="Times New Roman" w:hAnsi="Lato" w:cs="Times New Roman"/>
                <w:color w:val="000000" w:themeColor="text1"/>
                <w:sz w:val="20"/>
                <w:szCs w:val="20"/>
                <w:lang w:eastAsia="pl-PL"/>
              </w:rPr>
              <w:t>2,5 (28,0)</w:t>
            </w:r>
          </w:p>
        </w:tc>
      </w:tr>
      <w:tr w:rsidR="003043BB" w:rsidRPr="00C758B1" w14:paraId="699CB996" w14:textId="77777777" w:rsidTr="00AD51DD">
        <w:trPr>
          <w:trHeight w:val="20"/>
          <w:jc w:val="center"/>
        </w:trPr>
        <w:tc>
          <w:tcPr>
            <w:cnfStyle w:val="001000000000" w:firstRow="0" w:lastRow="0" w:firstColumn="1" w:lastColumn="0" w:oddVBand="0" w:evenVBand="0" w:oddHBand="0" w:evenHBand="0" w:firstRowFirstColumn="0" w:firstRowLastColumn="0" w:lastRowFirstColumn="0" w:lastRowLastColumn="0"/>
            <w:tcW w:w="2592" w:type="pct"/>
            <w:hideMark/>
          </w:tcPr>
          <w:p w14:paraId="7F256C2D" w14:textId="77777777" w:rsidR="003043BB" w:rsidRPr="00270AE5" w:rsidRDefault="003043BB" w:rsidP="00727892">
            <w:pPr>
              <w:spacing w:before="20" w:after="20" w:line="276" w:lineRule="auto"/>
              <w:jc w:val="left"/>
              <w:rPr>
                <w:rFonts w:ascii="Lato" w:eastAsia="Times New Roman" w:hAnsi="Lato" w:cs="Times New Roman"/>
                <w:b w:val="0"/>
                <w:bCs w:val="0"/>
                <w:color w:val="000000" w:themeColor="text1"/>
                <w:sz w:val="20"/>
                <w:szCs w:val="20"/>
                <w:lang w:eastAsia="pl-PL"/>
              </w:rPr>
            </w:pPr>
            <w:r w:rsidRPr="00270AE5">
              <w:rPr>
                <w:rFonts w:ascii="Lato" w:eastAsia="Times New Roman" w:hAnsi="Lato" w:cs="Times New Roman"/>
                <w:b w:val="0"/>
                <w:bCs w:val="0"/>
                <w:iCs/>
                <w:color w:val="000000" w:themeColor="text1"/>
                <w:sz w:val="20"/>
                <w:szCs w:val="20"/>
                <w:lang w:eastAsia="pl-PL"/>
              </w:rPr>
              <w:t>PWP z Mallnow Rewers</w:t>
            </w:r>
          </w:p>
        </w:tc>
        <w:tc>
          <w:tcPr>
            <w:tcW w:w="2408" w:type="pct"/>
            <w:hideMark/>
          </w:tcPr>
          <w:p w14:paraId="59B40124" w14:textId="20C19BE4" w:rsidR="003043BB" w:rsidRPr="00C758B1" w:rsidRDefault="00DD453F" w:rsidP="00983C18">
            <w:pPr>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themeColor="text1"/>
                <w:sz w:val="20"/>
                <w:szCs w:val="20"/>
                <w:lang w:eastAsia="pl-PL"/>
              </w:rPr>
            </w:pPr>
            <w:r w:rsidRPr="00C758B1">
              <w:rPr>
                <w:rFonts w:ascii="Lato" w:eastAsia="Times New Roman" w:hAnsi="Lato" w:cs="Times New Roman"/>
                <w:color w:val="000000" w:themeColor="text1"/>
                <w:sz w:val="20"/>
                <w:szCs w:val="20"/>
                <w:lang w:eastAsia="pl-PL"/>
              </w:rPr>
              <w:t>25,1</w:t>
            </w:r>
            <w:r w:rsidR="003043BB" w:rsidRPr="00C758B1">
              <w:rPr>
                <w:rFonts w:ascii="Lato" w:eastAsia="Times New Roman" w:hAnsi="Lato" w:cs="Times New Roman"/>
                <w:color w:val="000000" w:themeColor="text1"/>
                <w:sz w:val="20"/>
                <w:szCs w:val="20"/>
                <w:lang w:eastAsia="pl-PL"/>
              </w:rPr>
              <w:t xml:space="preserve"> (</w:t>
            </w:r>
            <w:r w:rsidRPr="00C758B1">
              <w:rPr>
                <w:rFonts w:ascii="Lato" w:eastAsia="Times New Roman" w:hAnsi="Lato" w:cs="Times New Roman"/>
                <w:color w:val="000000" w:themeColor="text1"/>
                <w:sz w:val="20"/>
                <w:szCs w:val="20"/>
                <w:lang w:eastAsia="pl-PL"/>
              </w:rPr>
              <w:t>277,6</w:t>
            </w:r>
            <w:r w:rsidR="003043BB" w:rsidRPr="00C758B1">
              <w:rPr>
                <w:rFonts w:ascii="Lato" w:eastAsia="Times New Roman" w:hAnsi="Lato" w:cs="Times New Roman"/>
                <w:color w:val="000000" w:themeColor="text1"/>
                <w:sz w:val="20"/>
                <w:szCs w:val="20"/>
                <w:lang w:eastAsia="pl-PL"/>
              </w:rPr>
              <w:t>)</w:t>
            </w:r>
          </w:p>
        </w:tc>
      </w:tr>
      <w:tr w:rsidR="009B65B8" w:rsidRPr="00C758B1" w14:paraId="17F9F400" w14:textId="77777777" w:rsidTr="00AD51D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592" w:type="pct"/>
          </w:tcPr>
          <w:p w14:paraId="2713350D" w14:textId="26D2DD0A" w:rsidR="00DD453F" w:rsidRPr="00270AE5" w:rsidRDefault="009B3D1F" w:rsidP="00727892">
            <w:pPr>
              <w:spacing w:before="20" w:after="20" w:line="276" w:lineRule="auto"/>
              <w:jc w:val="left"/>
              <w:rPr>
                <w:rFonts w:ascii="Lato" w:eastAsia="Times New Roman" w:hAnsi="Lato" w:cs="Times New Roman"/>
                <w:b w:val="0"/>
                <w:bCs w:val="0"/>
                <w:iCs/>
                <w:color w:val="000000" w:themeColor="text1"/>
                <w:sz w:val="20"/>
                <w:szCs w:val="20"/>
                <w:lang w:eastAsia="pl-PL"/>
              </w:rPr>
            </w:pPr>
            <w:r w:rsidRPr="00270AE5">
              <w:rPr>
                <w:rFonts w:ascii="Lato" w:eastAsia="Times New Roman" w:hAnsi="Lato" w:cs="Times New Roman"/>
                <w:b w:val="0"/>
                <w:bCs w:val="0"/>
                <w:iCs/>
                <w:color w:val="000000" w:themeColor="text1"/>
                <w:sz w:val="20"/>
                <w:szCs w:val="20"/>
                <w:lang w:eastAsia="pl-PL"/>
              </w:rPr>
              <w:t>FAXE (Baltic Pipe)</w:t>
            </w:r>
          </w:p>
        </w:tc>
        <w:tc>
          <w:tcPr>
            <w:tcW w:w="2408" w:type="pct"/>
          </w:tcPr>
          <w:p w14:paraId="26E70519" w14:textId="1F1CBB57" w:rsidR="00DD453F" w:rsidRPr="00C758B1" w:rsidDel="00DD453F" w:rsidRDefault="009B3D1F" w:rsidP="00983C18">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themeColor="text1"/>
                <w:sz w:val="20"/>
                <w:szCs w:val="20"/>
                <w:lang w:eastAsia="pl-PL"/>
              </w:rPr>
            </w:pPr>
            <w:r w:rsidRPr="00C758B1">
              <w:rPr>
                <w:rFonts w:ascii="Lato" w:eastAsia="Times New Roman" w:hAnsi="Lato" w:cs="Times New Roman"/>
                <w:color w:val="000000" w:themeColor="text1"/>
                <w:sz w:val="20"/>
                <w:szCs w:val="20"/>
                <w:lang w:eastAsia="pl-PL"/>
              </w:rPr>
              <w:t>27,4 (321,9)</w:t>
            </w:r>
          </w:p>
        </w:tc>
      </w:tr>
      <w:tr w:rsidR="009B65B8" w:rsidRPr="00C758B1" w14:paraId="0ACC55A8" w14:textId="77777777" w:rsidTr="00AD51DD">
        <w:trPr>
          <w:trHeight w:val="20"/>
          <w:jc w:val="center"/>
        </w:trPr>
        <w:tc>
          <w:tcPr>
            <w:cnfStyle w:val="001000000000" w:firstRow="0" w:lastRow="0" w:firstColumn="1" w:lastColumn="0" w:oddVBand="0" w:evenVBand="0" w:oddHBand="0" w:evenHBand="0" w:firstRowFirstColumn="0" w:firstRowLastColumn="0" w:lastRowFirstColumn="0" w:lastRowLastColumn="0"/>
            <w:tcW w:w="2592" w:type="pct"/>
          </w:tcPr>
          <w:p w14:paraId="379CC54B" w14:textId="6AFB59B2" w:rsidR="00DD453F" w:rsidRPr="00270AE5" w:rsidRDefault="009B3D1F" w:rsidP="00727892">
            <w:pPr>
              <w:spacing w:before="20" w:after="20" w:line="276" w:lineRule="auto"/>
              <w:jc w:val="left"/>
              <w:rPr>
                <w:rFonts w:ascii="Lato" w:eastAsia="Times New Roman" w:hAnsi="Lato" w:cs="Times New Roman"/>
                <w:b w:val="0"/>
                <w:bCs w:val="0"/>
                <w:iCs/>
                <w:color w:val="000000" w:themeColor="text1"/>
                <w:sz w:val="20"/>
                <w:szCs w:val="20"/>
                <w:lang w:eastAsia="pl-PL"/>
              </w:rPr>
            </w:pPr>
            <w:r w:rsidRPr="00270AE5">
              <w:rPr>
                <w:rFonts w:ascii="Lato" w:eastAsia="Times New Roman" w:hAnsi="Lato" w:cs="Times New Roman"/>
                <w:b w:val="0"/>
                <w:bCs w:val="0"/>
                <w:iCs/>
                <w:color w:val="000000" w:themeColor="text1"/>
                <w:sz w:val="20"/>
                <w:szCs w:val="20"/>
                <w:lang w:eastAsia="pl-PL"/>
              </w:rPr>
              <w:t>Santaka</w:t>
            </w:r>
          </w:p>
        </w:tc>
        <w:tc>
          <w:tcPr>
            <w:tcW w:w="2408" w:type="pct"/>
          </w:tcPr>
          <w:p w14:paraId="14499881" w14:textId="5919B4D2" w:rsidR="00DD453F" w:rsidRPr="00C758B1" w:rsidDel="00DD453F" w:rsidRDefault="009B3D1F" w:rsidP="00983C18">
            <w:pPr>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themeColor="text1"/>
                <w:sz w:val="20"/>
                <w:szCs w:val="20"/>
                <w:lang w:eastAsia="pl-PL"/>
              </w:rPr>
            </w:pPr>
            <w:r w:rsidRPr="00C758B1">
              <w:rPr>
                <w:rFonts w:ascii="Lato" w:eastAsia="Times New Roman" w:hAnsi="Lato" w:cs="Times New Roman"/>
                <w:color w:val="000000" w:themeColor="text1"/>
                <w:sz w:val="20"/>
                <w:szCs w:val="20"/>
                <w:lang w:eastAsia="pl-PL"/>
              </w:rPr>
              <w:t>5,2 (58,1)</w:t>
            </w:r>
          </w:p>
        </w:tc>
      </w:tr>
      <w:tr w:rsidR="009B65B8" w:rsidRPr="00C758B1" w14:paraId="52159FC4" w14:textId="77777777" w:rsidTr="00AD51D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592" w:type="pct"/>
          </w:tcPr>
          <w:p w14:paraId="61F5BAE3" w14:textId="5BEDF3A8" w:rsidR="00DD453F" w:rsidRPr="00270AE5" w:rsidRDefault="009B3D1F" w:rsidP="00727892">
            <w:pPr>
              <w:spacing w:before="20" w:after="20" w:line="276" w:lineRule="auto"/>
              <w:jc w:val="left"/>
              <w:rPr>
                <w:rFonts w:ascii="Lato" w:eastAsia="Times New Roman" w:hAnsi="Lato" w:cs="Times New Roman"/>
                <w:b w:val="0"/>
                <w:bCs w:val="0"/>
                <w:iCs/>
                <w:color w:val="000000" w:themeColor="text1"/>
                <w:sz w:val="20"/>
                <w:szCs w:val="20"/>
                <w:lang w:eastAsia="pl-PL"/>
              </w:rPr>
            </w:pPr>
            <w:r w:rsidRPr="00270AE5">
              <w:rPr>
                <w:rFonts w:ascii="Lato" w:eastAsia="Times New Roman" w:hAnsi="Lato" w:cs="Times New Roman"/>
                <w:b w:val="0"/>
                <w:bCs w:val="0"/>
                <w:iCs/>
                <w:color w:val="000000" w:themeColor="text1"/>
                <w:sz w:val="20"/>
                <w:szCs w:val="20"/>
                <w:lang w:eastAsia="pl-PL"/>
              </w:rPr>
              <w:t>Vyrava</w:t>
            </w:r>
          </w:p>
        </w:tc>
        <w:tc>
          <w:tcPr>
            <w:tcW w:w="2408" w:type="pct"/>
          </w:tcPr>
          <w:p w14:paraId="2B0F89DB" w14:textId="15B7C1FD" w:rsidR="00DD453F" w:rsidRPr="00C758B1" w:rsidDel="00DD453F" w:rsidRDefault="008F3AE5" w:rsidP="00983C18">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themeColor="text1"/>
                <w:sz w:val="20"/>
                <w:szCs w:val="20"/>
                <w:lang w:eastAsia="pl-PL"/>
              </w:rPr>
            </w:pPr>
            <w:r w:rsidRPr="00C758B1">
              <w:rPr>
                <w:rFonts w:ascii="Lato" w:eastAsia="Times New Roman" w:hAnsi="Lato" w:cs="Times New Roman"/>
                <w:color w:val="000000" w:themeColor="text1"/>
                <w:sz w:val="20"/>
                <w:szCs w:val="20"/>
                <w:lang w:eastAsia="pl-PL"/>
              </w:rPr>
              <w:t>15,4 (173,9)</w:t>
            </w:r>
          </w:p>
        </w:tc>
      </w:tr>
      <w:tr w:rsidR="003043BB" w:rsidRPr="00C758B1" w14:paraId="60C8EF7C" w14:textId="77777777" w:rsidTr="00AD51DD">
        <w:trPr>
          <w:trHeight w:val="20"/>
          <w:jc w:val="center"/>
        </w:trPr>
        <w:tc>
          <w:tcPr>
            <w:cnfStyle w:val="001000000000" w:firstRow="0" w:lastRow="0" w:firstColumn="1" w:lastColumn="0" w:oddVBand="0" w:evenVBand="0" w:oddHBand="0" w:evenHBand="0" w:firstRowFirstColumn="0" w:firstRowLastColumn="0" w:lastRowFirstColumn="0" w:lastRowLastColumn="0"/>
            <w:tcW w:w="2592" w:type="pct"/>
          </w:tcPr>
          <w:p w14:paraId="3C88A4D5" w14:textId="3E863133" w:rsidR="003043BB" w:rsidRPr="00270AE5" w:rsidRDefault="003043BB" w:rsidP="00983C18">
            <w:pPr>
              <w:spacing w:before="20" w:after="20" w:line="276" w:lineRule="auto"/>
              <w:jc w:val="left"/>
              <w:rPr>
                <w:rFonts w:ascii="Lato" w:eastAsia="Times New Roman" w:hAnsi="Lato" w:cs="Times New Roman"/>
                <w:b w:val="0"/>
                <w:bCs w:val="0"/>
                <w:i/>
                <w:color w:val="000000" w:themeColor="text1"/>
                <w:sz w:val="20"/>
                <w:szCs w:val="20"/>
                <w:lang w:eastAsia="pl-PL"/>
              </w:rPr>
            </w:pPr>
            <w:r w:rsidRPr="00270AE5">
              <w:rPr>
                <w:rFonts w:ascii="Lato" w:eastAsia="Times New Roman" w:hAnsi="Lato" w:cs="Times New Roman"/>
                <w:b w:val="0"/>
                <w:bCs w:val="0"/>
                <w:i/>
                <w:color w:val="000000" w:themeColor="text1"/>
                <w:sz w:val="20"/>
                <w:szCs w:val="20"/>
                <w:lang w:eastAsia="pl-PL"/>
              </w:rPr>
              <w:t xml:space="preserve">w tym przywóz </w:t>
            </w:r>
            <w:r w:rsidR="00C65681" w:rsidRPr="00270AE5">
              <w:rPr>
                <w:rFonts w:ascii="Lato" w:eastAsia="Times New Roman" w:hAnsi="Lato" w:cs="Times New Roman"/>
                <w:b w:val="0"/>
                <w:bCs w:val="0"/>
                <w:i/>
                <w:color w:val="000000" w:themeColor="text1"/>
                <w:sz w:val="20"/>
                <w:szCs w:val="20"/>
                <w:lang w:eastAsia="pl-PL"/>
              </w:rPr>
              <w:t>s</w:t>
            </w:r>
            <w:r w:rsidRPr="00270AE5">
              <w:rPr>
                <w:rFonts w:ascii="Lato" w:eastAsia="Times New Roman" w:hAnsi="Lato" w:cs="Times New Roman"/>
                <w:b w:val="0"/>
                <w:bCs w:val="0"/>
                <w:i/>
                <w:color w:val="000000" w:themeColor="text1"/>
                <w:sz w:val="20"/>
                <w:szCs w:val="20"/>
                <w:lang w:eastAsia="pl-PL"/>
              </w:rPr>
              <w:t>poza UE:</w:t>
            </w:r>
          </w:p>
        </w:tc>
        <w:tc>
          <w:tcPr>
            <w:tcW w:w="2408" w:type="pct"/>
          </w:tcPr>
          <w:p w14:paraId="61284416" w14:textId="3D1A5449" w:rsidR="003043BB" w:rsidRPr="00C758B1" w:rsidRDefault="00644C34" w:rsidP="00983C18">
            <w:pPr>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iCs/>
                <w:color w:val="000000" w:themeColor="text1"/>
                <w:sz w:val="20"/>
                <w:szCs w:val="20"/>
                <w:lang w:eastAsia="pl-PL"/>
              </w:rPr>
            </w:pPr>
            <w:r w:rsidRPr="00C758B1">
              <w:rPr>
                <w:rFonts w:ascii="Lato" w:eastAsia="Times New Roman" w:hAnsi="Lato" w:cs="Times New Roman"/>
                <w:b/>
                <w:bCs/>
                <w:iCs/>
                <w:color w:val="000000" w:themeColor="text1"/>
                <w:sz w:val="20"/>
                <w:szCs w:val="20"/>
                <w:lang w:eastAsia="pl-PL"/>
              </w:rPr>
              <w:t>31,7</w:t>
            </w:r>
            <w:r w:rsidR="003043BB" w:rsidRPr="00C758B1">
              <w:rPr>
                <w:rFonts w:ascii="Lato" w:eastAsia="Times New Roman" w:hAnsi="Lato" w:cs="Times New Roman"/>
                <w:b/>
                <w:bCs/>
                <w:iCs/>
                <w:color w:val="000000" w:themeColor="text1"/>
                <w:sz w:val="20"/>
                <w:szCs w:val="20"/>
                <w:lang w:eastAsia="pl-PL"/>
              </w:rPr>
              <w:t xml:space="preserve"> (</w:t>
            </w:r>
            <w:r w:rsidRPr="00C758B1">
              <w:rPr>
                <w:rFonts w:ascii="Lato" w:eastAsia="Times New Roman" w:hAnsi="Lato" w:cs="Times New Roman"/>
                <w:b/>
                <w:bCs/>
                <w:iCs/>
                <w:color w:val="000000" w:themeColor="text1"/>
                <w:sz w:val="20"/>
                <w:szCs w:val="20"/>
                <w:lang w:eastAsia="pl-PL"/>
              </w:rPr>
              <w:t>362,9</w:t>
            </w:r>
            <w:r w:rsidR="003043BB" w:rsidRPr="00C758B1">
              <w:rPr>
                <w:rFonts w:ascii="Lato" w:eastAsia="Times New Roman" w:hAnsi="Lato" w:cs="Times New Roman"/>
                <w:b/>
                <w:bCs/>
                <w:iCs/>
                <w:color w:val="000000" w:themeColor="text1"/>
                <w:sz w:val="20"/>
                <w:szCs w:val="20"/>
                <w:lang w:eastAsia="pl-PL"/>
              </w:rPr>
              <w:t>)</w:t>
            </w:r>
          </w:p>
        </w:tc>
      </w:tr>
      <w:tr w:rsidR="003043BB" w:rsidRPr="00C758B1" w14:paraId="63FD6F5C" w14:textId="77777777" w:rsidTr="00AD51D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592" w:type="pct"/>
          </w:tcPr>
          <w:p w14:paraId="17984CAE" w14:textId="77777777" w:rsidR="003043BB" w:rsidRPr="00270AE5" w:rsidRDefault="003043BB" w:rsidP="00727892">
            <w:pPr>
              <w:spacing w:before="20" w:after="20" w:line="276" w:lineRule="auto"/>
              <w:jc w:val="left"/>
              <w:rPr>
                <w:rFonts w:ascii="Lato" w:eastAsia="Times New Roman" w:hAnsi="Lato" w:cs="Times New Roman"/>
                <w:b w:val="0"/>
                <w:bCs w:val="0"/>
                <w:color w:val="000000" w:themeColor="text1"/>
                <w:sz w:val="20"/>
                <w:szCs w:val="20"/>
                <w:lang w:eastAsia="pl-PL"/>
              </w:rPr>
            </w:pPr>
            <w:r w:rsidRPr="00270AE5">
              <w:rPr>
                <w:rFonts w:ascii="Lato" w:eastAsia="Times New Roman" w:hAnsi="Lato" w:cs="Times New Roman"/>
                <w:b w:val="0"/>
                <w:bCs w:val="0"/>
                <w:color w:val="000000" w:themeColor="text1"/>
                <w:sz w:val="20"/>
                <w:szCs w:val="20"/>
                <w:lang w:eastAsia="pl-PL"/>
              </w:rPr>
              <w:t>PWP z Kondratki</w:t>
            </w:r>
          </w:p>
        </w:tc>
        <w:tc>
          <w:tcPr>
            <w:tcW w:w="2408" w:type="pct"/>
          </w:tcPr>
          <w:p w14:paraId="48C26083" w14:textId="3620376E" w:rsidR="003043BB" w:rsidRPr="00C758B1" w:rsidRDefault="000C6378" w:rsidP="00983C18">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themeColor="text1"/>
                <w:sz w:val="20"/>
                <w:szCs w:val="20"/>
                <w:lang w:eastAsia="pl-PL"/>
              </w:rPr>
            </w:pPr>
            <w:r w:rsidRPr="00C758B1">
              <w:rPr>
                <w:rFonts w:ascii="Lato" w:eastAsia="Times New Roman" w:hAnsi="Lato" w:cs="Times New Roman"/>
                <w:color w:val="000000" w:themeColor="text1"/>
                <w:sz w:val="20"/>
                <w:szCs w:val="20"/>
                <w:lang w:eastAsia="pl-PL"/>
              </w:rPr>
              <w:t>-</w:t>
            </w:r>
          </w:p>
        </w:tc>
      </w:tr>
      <w:tr w:rsidR="003043BB" w:rsidRPr="00C758B1" w14:paraId="2A834AB0" w14:textId="77777777" w:rsidTr="00AD51DD">
        <w:trPr>
          <w:trHeight w:val="20"/>
          <w:jc w:val="center"/>
        </w:trPr>
        <w:tc>
          <w:tcPr>
            <w:cnfStyle w:val="001000000000" w:firstRow="0" w:lastRow="0" w:firstColumn="1" w:lastColumn="0" w:oddVBand="0" w:evenVBand="0" w:oddHBand="0" w:evenHBand="0" w:firstRowFirstColumn="0" w:firstRowLastColumn="0" w:lastRowFirstColumn="0" w:lastRowLastColumn="0"/>
            <w:tcW w:w="2592" w:type="pct"/>
            <w:hideMark/>
          </w:tcPr>
          <w:p w14:paraId="0CA5FA3C" w14:textId="77777777" w:rsidR="003043BB" w:rsidRPr="00270AE5" w:rsidRDefault="003043BB" w:rsidP="00727892">
            <w:pPr>
              <w:spacing w:before="20" w:after="20" w:line="276" w:lineRule="auto"/>
              <w:jc w:val="left"/>
              <w:rPr>
                <w:rFonts w:ascii="Lato" w:eastAsia="Times New Roman" w:hAnsi="Lato" w:cs="Times New Roman"/>
                <w:b w:val="0"/>
                <w:bCs w:val="0"/>
                <w:color w:val="000000" w:themeColor="text1"/>
                <w:sz w:val="20"/>
                <w:szCs w:val="20"/>
                <w:lang w:eastAsia="pl-PL"/>
              </w:rPr>
            </w:pPr>
            <w:r w:rsidRPr="00270AE5">
              <w:rPr>
                <w:rFonts w:ascii="Lato" w:eastAsia="Times New Roman" w:hAnsi="Lato" w:cs="Times New Roman"/>
                <w:b w:val="0"/>
                <w:bCs w:val="0"/>
                <w:color w:val="000000" w:themeColor="text1"/>
                <w:sz w:val="20"/>
                <w:szCs w:val="20"/>
                <w:lang w:eastAsia="pl-PL"/>
              </w:rPr>
              <w:t>Wysokoje</w:t>
            </w:r>
          </w:p>
        </w:tc>
        <w:tc>
          <w:tcPr>
            <w:tcW w:w="2408" w:type="pct"/>
            <w:hideMark/>
          </w:tcPr>
          <w:p w14:paraId="567D9328" w14:textId="0CFB58AC" w:rsidR="003043BB" w:rsidRPr="00C758B1" w:rsidRDefault="000C6378" w:rsidP="00983C18">
            <w:pPr>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themeColor="text1"/>
                <w:sz w:val="20"/>
                <w:szCs w:val="20"/>
                <w:lang w:eastAsia="pl-PL"/>
              </w:rPr>
            </w:pPr>
            <w:r w:rsidRPr="00C758B1">
              <w:rPr>
                <w:rFonts w:ascii="Lato" w:eastAsia="Times New Roman" w:hAnsi="Lato" w:cs="Times New Roman"/>
                <w:color w:val="000000" w:themeColor="text1"/>
                <w:sz w:val="20"/>
                <w:szCs w:val="20"/>
                <w:lang w:eastAsia="pl-PL"/>
              </w:rPr>
              <w:t>-</w:t>
            </w:r>
          </w:p>
        </w:tc>
      </w:tr>
      <w:tr w:rsidR="003043BB" w:rsidRPr="00C758B1" w14:paraId="558FFF13" w14:textId="77777777" w:rsidTr="00AD51D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592" w:type="pct"/>
            <w:hideMark/>
          </w:tcPr>
          <w:p w14:paraId="09D4FDA9" w14:textId="77777777" w:rsidR="003043BB" w:rsidRPr="00270AE5" w:rsidRDefault="003043BB" w:rsidP="00727892">
            <w:pPr>
              <w:spacing w:before="20" w:after="20" w:line="276" w:lineRule="auto"/>
              <w:jc w:val="left"/>
              <w:rPr>
                <w:rFonts w:ascii="Lato" w:eastAsia="Times New Roman" w:hAnsi="Lato" w:cs="Times New Roman"/>
                <w:b w:val="0"/>
                <w:bCs w:val="0"/>
                <w:color w:val="000000" w:themeColor="text1"/>
                <w:sz w:val="20"/>
                <w:szCs w:val="20"/>
                <w:lang w:eastAsia="pl-PL"/>
              </w:rPr>
            </w:pPr>
            <w:r w:rsidRPr="00270AE5">
              <w:rPr>
                <w:rFonts w:ascii="Lato" w:eastAsia="Times New Roman" w:hAnsi="Lato" w:cs="Times New Roman"/>
                <w:b w:val="0"/>
                <w:bCs w:val="0"/>
                <w:color w:val="000000" w:themeColor="text1"/>
                <w:sz w:val="20"/>
                <w:szCs w:val="20"/>
                <w:lang w:eastAsia="pl-PL"/>
              </w:rPr>
              <w:t>Tietierowka</w:t>
            </w:r>
          </w:p>
        </w:tc>
        <w:tc>
          <w:tcPr>
            <w:tcW w:w="2408" w:type="pct"/>
            <w:hideMark/>
          </w:tcPr>
          <w:p w14:paraId="4B13E6F4" w14:textId="21856C91" w:rsidR="003043BB" w:rsidRPr="00C758B1" w:rsidRDefault="000C6378" w:rsidP="00983C18">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themeColor="text1"/>
                <w:sz w:val="20"/>
                <w:szCs w:val="20"/>
                <w:lang w:eastAsia="pl-PL"/>
              </w:rPr>
            </w:pPr>
            <w:r w:rsidRPr="00C758B1">
              <w:rPr>
                <w:rFonts w:ascii="Lato" w:eastAsia="Times New Roman" w:hAnsi="Lato" w:cs="Times New Roman"/>
                <w:color w:val="000000" w:themeColor="text1"/>
                <w:sz w:val="20"/>
                <w:szCs w:val="20"/>
                <w:lang w:eastAsia="pl-PL"/>
              </w:rPr>
              <w:t>-</w:t>
            </w:r>
          </w:p>
        </w:tc>
      </w:tr>
      <w:tr w:rsidR="003043BB" w:rsidRPr="00C758B1" w14:paraId="2FB9BFD9" w14:textId="77777777" w:rsidTr="00AD51DD">
        <w:trPr>
          <w:trHeight w:val="20"/>
          <w:jc w:val="center"/>
        </w:trPr>
        <w:tc>
          <w:tcPr>
            <w:cnfStyle w:val="001000000000" w:firstRow="0" w:lastRow="0" w:firstColumn="1" w:lastColumn="0" w:oddVBand="0" w:evenVBand="0" w:oddHBand="0" w:evenHBand="0" w:firstRowFirstColumn="0" w:firstRowLastColumn="0" w:lastRowFirstColumn="0" w:lastRowLastColumn="0"/>
            <w:tcW w:w="2592" w:type="pct"/>
            <w:hideMark/>
          </w:tcPr>
          <w:p w14:paraId="10394CFA" w14:textId="5B055D8C" w:rsidR="003043BB" w:rsidRPr="00270AE5" w:rsidRDefault="000C6378" w:rsidP="00727892">
            <w:pPr>
              <w:spacing w:before="20" w:after="20" w:line="276" w:lineRule="auto"/>
              <w:jc w:val="left"/>
              <w:rPr>
                <w:rFonts w:ascii="Lato" w:eastAsia="Times New Roman" w:hAnsi="Lato" w:cs="Times New Roman"/>
                <w:b w:val="0"/>
                <w:bCs w:val="0"/>
                <w:color w:val="000000" w:themeColor="text1"/>
                <w:sz w:val="20"/>
                <w:szCs w:val="20"/>
                <w:lang w:eastAsia="pl-PL"/>
              </w:rPr>
            </w:pPr>
            <w:r w:rsidRPr="00270AE5">
              <w:rPr>
                <w:rFonts w:ascii="Lato" w:eastAsia="Times New Roman" w:hAnsi="Lato" w:cs="Times New Roman"/>
                <w:b w:val="0"/>
                <w:bCs w:val="0"/>
                <w:color w:val="000000" w:themeColor="text1"/>
                <w:sz w:val="20"/>
                <w:szCs w:val="20"/>
                <w:lang w:eastAsia="pl-PL"/>
              </w:rPr>
              <w:t>GCP GAZ-SYSTEM/UA TSO (</w:t>
            </w:r>
            <w:r w:rsidR="003043BB" w:rsidRPr="00270AE5">
              <w:rPr>
                <w:rFonts w:ascii="Lato" w:eastAsia="Times New Roman" w:hAnsi="Lato" w:cs="Times New Roman"/>
                <w:b w:val="0"/>
                <w:bCs w:val="0"/>
                <w:color w:val="000000" w:themeColor="text1"/>
                <w:sz w:val="20"/>
                <w:szCs w:val="20"/>
                <w:lang w:eastAsia="pl-PL"/>
              </w:rPr>
              <w:t>Drozdowicze</w:t>
            </w:r>
            <w:r w:rsidRPr="00270AE5">
              <w:rPr>
                <w:rFonts w:ascii="Lato" w:eastAsia="Times New Roman" w:hAnsi="Lato" w:cs="Times New Roman"/>
                <w:b w:val="0"/>
                <w:bCs w:val="0"/>
                <w:color w:val="000000" w:themeColor="text1"/>
                <w:sz w:val="20"/>
                <w:szCs w:val="20"/>
                <w:lang w:eastAsia="pl-PL"/>
              </w:rPr>
              <w:t>)</w:t>
            </w:r>
          </w:p>
        </w:tc>
        <w:tc>
          <w:tcPr>
            <w:tcW w:w="2408" w:type="pct"/>
            <w:hideMark/>
          </w:tcPr>
          <w:p w14:paraId="014ADAD5" w14:textId="77777777" w:rsidR="003043BB" w:rsidRPr="00C758B1" w:rsidRDefault="003043BB" w:rsidP="00983C18">
            <w:pPr>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themeColor="text1"/>
                <w:sz w:val="20"/>
                <w:szCs w:val="20"/>
                <w:lang w:eastAsia="pl-PL"/>
              </w:rPr>
            </w:pPr>
            <w:r w:rsidRPr="00C758B1">
              <w:rPr>
                <w:rFonts w:ascii="Lato" w:eastAsia="Times New Roman" w:hAnsi="Lato" w:cs="Times New Roman"/>
                <w:color w:val="000000" w:themeColor="text1"/>
                <w:sz w:val="20"/>
                <w:szCs w:val="20"/>
                <w:lang w:eastAsia="pl-PL"/>
              </w:rPr>
              <w:t>12 (135,6)</w:t>
            </w:r>
          </w:p>
        </w:tc>
      </w:tr>
      <w:tr w:rsidR="003043BB" w:rsidRPr="00C758B1" w14:paraId="6D8885FF" w14:textId="77777777" w:rsidTr="00AD51D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592" w:type="pct"/>
            <w:hideMark/>
          </w:tcPr>
          <w:p w14:paraId="0401B098" w14:textId="77777777" w:rsidR="003043BB" w:rsidRPr="00270AE5" w:rsidRDefault="003043BB" w:rsidP="00727892">
            <w:pPr>
              <w:spacing w:before="20" w:after="20" w:line="276" w:lineRule="auto"/>
              <w:jc w:val="left"/>
              <w:rPr>
                <w:rFonts w:ascii="Lato" w:eastAsia="Times New Roman" w:hAnsi="Lato" w:cs="Times New Roman"/>
                <w:b w:val="0"/>
                <w:bCs w:val="0"/>
                <w:color w:val="000000" w:themeColor="text1"/>
                <w:sz w:val="20"/>
                <w:szCs w:val="20"/>
                <w:lang w:eastAsia="pl-PL"/>
              </w:rPr>
            </w:pPr>
            <w:r w:rsidRPr="00270AE5">
              <w:rPr>
                <w:rFonts w:ascii="Lato" w:eastAsia="Times New Roman" w:hAnsi="Lato" w:cs="Times New Roman"/>
                <w:b w:val="0"/>
                <w:bCs w:val="0"/>
                <w:color w:val="000000" w:themeColor="text1"/>
                <w:sz w:val="20"/>
                <w:szCs w:val="20"/>
                <w:lang w:eastAsia="pl-PL"/>
              </w:rPr>
              <w:t>Terminal LNG</w:t>
            </w:r>
          </w:p>
        </w:tc>
        <w:tc>
          <w:tcPr>
            <w:tcW w:w="2408" w:type="pct"/>
            <w:hideMark/>
          </w:tcPr>
          <w:p w14:paraId="4FE05E25" w14:textId="7D79DCE4" w:rsidR="003043BB" w:rsidRPr="00C758B1" w:rsidRDefault="000C6378" w:rsidP="00983C18">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themeColor="text1"/>
                <w:sz w:val="20"/>
                <w:szCs w:val="20"/>
                <w:lang w:eastAsia="pl-PL"/>
              </w:rPr>
            </w:pPr>
            <w:r w:rsidRPr="00C758B1">
              <w:rPr>
                <w:rFonts w:ascii="Lato" w:eastAsia="Times New Roman" w:hAnsi="Lato" w:cs="Times New Roman"/>
                <w:b/>
                <w:bCs/>
                <w:color w:val="000000" w:themeColor="text1"/>
                <w:sz w:val="20"/>
                <w:szCs w:val="20"/>
                <w:lang w:eastAsia="pl-PL"/>
              </w:rPr>
              <w:t>19</w:t>
            </w:r>
            <w:r w:rsidR="003043BB" w:rsidRPr="00C758B1">
              <w:rPr>
                <w:rFonts w:ascii="Lato" w:eastAsia="Times New Roman" w:hAnsi="Lato" w:cs="Times New Roman"/>
                <w:b/>
                <w:bCs/>
                <w:color w:val="000000" w:themeColor="text1"/>
                <w:sz w:val="20"/>
                <w:szCs w:val="20"/>
                <w:lang w:eastAsia="pl-PL"/>
              </w:rPr>
              <w:t>,7 (</w:t>
            </w:r>
            <w:r w:rsidRPr="00C758B1">
              <w:rPr>
                <w:rFonts w:ascii="Lato" w:eastAsia="Times New Roman" w:hAnsi="Lato" w:cs="Times New Roman"/>
                <w:b/>
                <w:bCs/>
                <w:color w:val="000000" w:themeColor="text1"/>
                <w:sz w:val="20"/>
                <w:szCs w:val="20"/>
                <w:lang w:eastAsia="pl-PL"/>
              </w:rPr>
              <w:t>227,3</w:t>
            </w:r>
            <w:r w:rsidR="003043BB" w:rsidRPr="00C758B1">
              <w:rPr>
                <w:rFonts w:ascii="Lato" w:eastAsia="Times New Roman" w:hAnsi="Lato" w:cs="Times New Roman"/>
                <w:b/>
                <w:bCs/>
                <w:color w:val="000000" w:themeColor="text1"/>
                <w:sz w:val="20"/>
                <w:szCs w:val="20"/>
                <w:lang w:eastAsia="pl-PL"/>
              </w:rPr>
              <w:t>)</w:t>
            </w:r>
          </w:p>
        </w:tc>
      </w:tr>
      <w:tr w:rsidR="003043BB" w:rsidRPr="00C758B1" w14:paraId="61A51265" w14:textId="77777777" w:rsidTr="00AD51DD">
        <w:trPr>
          <w:trHeight w:val="20"/>
          <w:jc w:val="center"/>
        </w:trPr>
        <w:tc>
          <w:tcPr>
            <w:cnfStyle w:val="001000000000" w:firstRow="0" w:lastRow="0" w:firstColumn="1" w:lastColumn="0" w:oddVBand="0" w:evenVBand="0" w:oddHBand="0" w:evenHBand="0" w:firstRowFirstColumn="0" w:firstRowLastColumn="0" w:lastRowFirstColumn="0" w:lastRowLastColumn="0"/>
            <w:tcW w:w="2592" w:type="pct"/>
            <w:hideMark/>
          </w:tcPr>
          <w:p w14:paraId="298973FC" w14:textId="77777777" w:rsidR="003043BB" w:rsidRPr="00270AE5" w:rsidRDefault="003043BB" w:rsidP="00727892">
            <w:pPr>
              <w:spacing w:before="20" w:after="20" w:line="276" w:lineRule="auto"/>
              <w:jc w:val="left"/>
              <w:rPr>
                <w:rFonts w:ascii="Lato" w:eastAsia="Times New Roman" w:hAnsi="Lato" w:cs="Times New Roman"/>
                <w:b w:val="0"/>
                <w:bCs w:val="0"/>
                <w:iCs/>
                <w:color w:val="000000" w:themeColor="text1"/>
                <w:sz w:val="20"/>
                <w:szCs w:val="20"/>
                <w:lang w:eastAsia="pl-PL"/>
              </w:rPr>
            </w:pPr>
            <w:r w:rsidRPr="00270AE5">
              <w:rPr>
                <w:rFonts w:ascii="Lato" w:eastAsia="Times New Roman" w:hAnsi="Lato" w:cs="Times New Roman"/>
                <w:b w:val="0"/>
                <w:bCs w:val="0"/>
                <w:iCs/>
                <w:color w:val="000000" w:themeColor="text1"/>
                <w:sz w:val="20"/>
                <w:szCs w:val="20"/>
                <w:lang w:eastAsia="pl-PL"/>
              </w:rPr>
              <w:t>Suma środków rynkowych po stronie podaży</w:t>
            </w:r>
          </w:p>
        </w:tc>
        <w:tc>
          <w:tcPr>
            <w:tcW w:w="2408" w:type="pct"/>
            <w:hideMark/>
          </w:tcPr>
          <w:p w14:paraId="19335734" w14:textId="74084C7B" w:rsidR="003043BB" w:rsidRPr="00C758B1" w:rsidRDefault="006351E7" w:rsidP="00983C18">
            <w:pPr>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iCs/>
                <w:color w:val="000000" w:themeColor="text1"/>
                <w:sz w:val="20"/>
                <w:szCs w:val="20"/>
                <w:lang w:eastAsia="pl-PL"/>
              </w:rPr>
            </w:pPr>
            <w:r w:rsidRPr="00C758B1">
              <w:rPr>
                <w:rFonts w:ascii="Lato" w:eastAsia="Times New Roman" w:hAnsi="Lato" w:cs="Times New Roman"/>
                <w:b/>
                <w:bCs/>
                <w:iCs/>
                <w:color w:val="000000" w:themeColor="text1"/>
                <w:sz w:val="20"/>
                <w:szCs w:val="20"/>
                <w:lang w:eastAsia="pl-PL"/>
              </w:rPr>
              <w:t>172,2</w:t>
            </w:r>
            <w:r w:rsidR="003043BB" w:rsidRPr="00C758B1">
              <w:rPr>
                <w:rFonts w:ascii="Lato" w:eastAsia="Times New Roman" w:hAnsi="Lato" w:cs="Times New Roman"/>
                <w:b/>
                <w:bCs/>
                <w:iCs/>
                <w:color w:val="000000" w:themeColor="text1"/>
                <w:sz w:val="20"/>
                <w:szCs w:val="20"/>
                <w:lang w:eastAsia="pl-PL"/>
              </w:rPr>
              <w:t xml:space="preserve"> (1 </w:t>
            </w:r>
            <w:r w:rsidR="00515F01" w:rsidRPr="00C758B1">
              <w:rPr>
                <w:rFonts w:ascii="Lato" w:eastAsia="Times New Roman" w:hAnsi="Lato" w:cs="Times New Roman"/>
                <w:b/>
                <w:bCs/>
                <w:iCs/>
                <w:color w:val="000000" w:themeColor="text1"/>
                <w:sz w:val="20"/>
                <w:szCs w:val="20"/>
                <w:lang w:eastAsia="pl-PL"/>
              </w:rPr>
              <w:t>943,1</w:t>
            </w:r>
            <w:r w:rsidR="003043BB" w:rsidRPr="00C758B1">
              <w:rPr>
                <w:rFonts w:ascii="Lato" w:eastAsia="Times New Roman" w:hAnsi="Lato" w:cs="Times New Roman"/>
                <w:b/>
                <w:bCs/>
                <w:iCs/>
                <w:color w:val="000000" w:themeColor="text1"/>
                <w:sz w:val="20"/>
                <w:szCs w:val="20"/>
                <w:lang w:eastAsia="pl-PL"/>
              </w:rPr>
              <w:t>)/</w:t>
            </w:r>
            <w:r w:rsidR="00515F01" w:rsidRPr="00C758B1">
              <w:rPr>
                <w:rFonts w:ascii="Lato" w:eastAsia="Times New Roman" w:hAnsi="Lato" w:cs="Times New Roman"/>
                <w:b/>
                <w:bCs/>
                <w:iCs/>
                <w:color w:val="000000" w:themeColor="text1"/>
                <w:sz w:val="20"/>
                <w:szCs w:val="20"/>
                <w:lang w:eastAsia="pl-PL"/>
              </w:rPr>
              <w:t>166,7</w:t>
            </w:r>
            <w:r w:rsidR="003043BB" w:rsidRPr="00C758B1">
              <w:rPr>
                <w:rFonts w:ascii="Lato" w:eastAsia="Times New Roman" w:hAnsi="Lato" w:cs="Times New Roman"/>
                <w:b/>
                <w:bCs/>
                <w:iCs/>
                <w:color w:val="000000" w:themeColor="text1"/>
                <w:sz w:val="20"/>
                <w:szCs w:val="20"/>
                <w:lang w:eastAsia="pl-PL"/>
              </w:rPr>
              <w:t xml:space="preserve"> (</w:t>
            </w:r>
            <w:r w:rsidR="0087048C" w:rsidRPr="00C758B1">
              <w:rPr>
                <w:rFonts w:ascii="Lato" w:eastAsia="Times New Roman" w:hAnsi="Lato" w:cs="Times New Roman"/>
                <w:b/>
                <w:bCs/>
                <w:iCs/>
                <w:color w:val="000000" w:themeColor="text1"/>
                <w:sz w:val="20"/>
                <w:szCs w:val="20"/>
                <w:lang w:eastAsia="pl-PL"/>
              </w:rPr>
              <w:t>1 881,6</w:t>
            </w:r>
            <w:r w:rsidR="003043BB" w:rsidRPr="00C758B1">
              <w:rPr>
                <w:rFonts w:ascii="Lato" w:eastAsia="Times New Roman" w:hAnsi="Lato" w:cs="Times New Roman"/>
                <w:b/>
                <w:bCs/>
                <w:iCs/>
                <w:color w:val="000000" w:themeColor="text1"/>
                <w:sz w:val="20"/>
                <w:szCs w:val="20"/>
                <w:lang w:eastAsia="pl-PL"/>
              </w:rPr>
              <w:t>)</w:t>
            </w:r>
          </w:p>
        </w:tc>
      </w:tr>
      <w:tr w:rsidR="00AD51DD" w:rsidRPr="00C758B1" w14:paraId="57F90794" w14:textId="77777777" w:rsidTr="00AD51D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000" w:type="pct"/>
            <w:gridSpan w:val="2"/>
          </w:tcPr>
          <w:p w14:paraId="17BD65DA" w14:textId="7F4E40B2" w:rsidR="00AD51DD" w:rsidRPr="00C758B1" w:rsidRDefault="00AD51DD" w:rsidP="00983C18">
            <w:pPr>
              <w:spacing w:before="20" w:after="20" w:line="276" w:lineRule="auto"/>
              <w:jc w:val="center"/>
              <w:rPr>
                <w:rFonts w:ascii="Lato" w:eastAsia="Times New Roman" w:hAnsi="Lato" w:cs="Times New Roman"/>
                <w:b w:val="0"/>
                <w:bCs w:val="0"/>
                <w:iCs/>
                <w:color w:val="000000" w:themeColor="text1"/>
                <w:sz w:val="20"/>
                <w:szCs w:val="20"/>
                <w:lang w:eastAsia="pl-PL"/>
              </w:rPr>
            </w:pPr>
            <w:r w:rsidRPr="00C758B1">
              <w:rPr>
                <w:rFonts w:ascii="Lato" w:eastAsia="Times New Roman" w:hAnsi="Lato" w:cs="Times New Roman"/>
                <w:color w:val="000000" w:themeColor="text1"/>
                <w:sz w:val="20"/>
                <w:szCs w:val="20"/>
                <w:lang w:eastAsia="pl-PL"/>
              </w:rPr>
              <w:t>Standard w zakresie dostaw:</w:t>
            </w:r>
          </w:p>
        </w:tc>
      </w:tr>
      <w:tr w:rsidR="003043BB" w:rsidRPr="00C758B1" w14:paraId="38DB1410" w14:textId="77777777" w:rsidTr="00AD51DD">
        <w:trPr>
          <w:trHeight w:val="20"/>
          <w:jc w:val="center"/>
        </w:trPr>
        <w:tc>
          <w:tcPr>
            <w:cnfStyle w:val="001000000000" w:firstRow="0" w:lastRow="0" w:firstColumn="1" w:lastColumn="0" w:oddVBand="0" w:evenVBand="0" w:oddHBand="0" w:evenHBand="0" w:firstRowFirstColumn="0" w:firstRowLastColumn="0" w:lastRowFirstColumn="0" w:lastRowLastColumn="0"/>
            <w:tcW w:w="2592" w:type="pct"/>
          </w:tcPr>
          <w:p w14:paraId="07A49921" w14:textId="77777777" w:rsidR="003043BB" w:rsidRPr="00270AE5" w:rsidRDefault="003043BB" w:rsidP="00727892">
            <w:pPr>
              <w:spacing w:before="20" w:after="20" w:line="276" w:lineRule="auto"/>
              <w:jc w:val="left"/>
              <w:rPr>
                <w:rFonts w:ascii="Lato" w:eastAsia="Times New Roman" w:hAnsi="Lato" w:cs="Times New Roman"/>
                <w:b w:val="0"/>
                <w:bCs w:val="0"/>
                <w:iCs/>
                <w:color w:val="000000" w:themeColor="text1"/>
                <w:sz w:val="20"/>
                <w:szCs w:val="20"/>
                <w:lang w:eastAsia="pl-PL"/>
              </w:rPr>
            </w:pPr>
            <w:r w:rsidRPr="00270AE5">
              <w:rPr>
                <w:rFonts w:ascii="Lato" w:eastAsia="Times New Roman" w:hAnsi="Lato" w:cs="Times New Roman"/>
                <w:b w:val="0"/>
                <w:bCs w:val="0"/>
                <w:iCs/>
                <w:color w:val="000000" w:themeColor="text1"/>
                <w:sz w:val="20"/>
                <w:szCs w:val="20"/>
                <w:lang w:eastAsia="pl-PL"/>
              </w:rPr>
              <w:t>7-dni szczytowego zapotrzebowania</w:t>
            </w:r>
          </w:p>
        </w:tc>
        <w:tc>
          <w:tcPr>
            <w:tcW w:w="2408" w:type="pct"/>
          </w:tcPr>
          <w:p w14:paraId="50932ABA" w14:textId="7D6AFE25" w:rsidR="003043BB" w:rsidRPr="00270AE5" w:rsidRDefault="00FB3302" w:rsidP="00983C18">
            <w:pPr>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iCs/>
                <w:color w:val="000000" w:themeColor="text1"/>
                <w:sz w:val="20"/>
                <w:szCs w:val="20"/>
                <w:lang w:eastAsia="pl-PL"/>
              </w:rPr>
            </w:pPr>
            <w:r w:rsidRPr="00270AE5">
              <w:rPr>
                <w:rFonts w:ascii="Lato" w:eastAsia="Times New Roman" w:hAnsi="Lato" w:cs="Times New Roman"/>
                <w:iCs/>
                <w:color w:val="000000" w:themeColor="text1"/>
                <w:sz w:val="20"/>
                <w:szCs w:val="20"/>
                <w:lang w:eastAsia="pl-PL"/>
              </w:rPr>
              <w:t>51,05</w:t>
            </w:r>
            <w:r w:rsidR="003043BB" w:rsidRPr="00270AE5">
              <w:rPr>
                <w:rFonts w:ascii="Lato" w:eastAsia="Times New Roman" w:hAnsi="Lato" w:cs="Times New Roman"/>
                <w:iCs/>
                <w:color w:val="000000" w:themeColor="text1"/>
                <w:sz w:val="20"/>
                <w:szCs w:val="20"/>
                <w:lang w:eastAsia="pl-PL"/>
              </w:rPr>
              <w:t xml:space="preserve"> (</w:t>
            </w:r>
            <w:r w:rsidR="00650CD8" w:rsidRPr="00270AE5">
              <w:rPr>
                <w:rFonts w:ascii="Lato" w:eastAsia="Times New Roman" w:hAnsi="Lato" w:cs="Times New Roman"/>
                <w:iCs/>
                <w:color w:val="000000" w:themeColor="text1"/>
                <w:sz w:val="20"/>
                <w:szCs w:val="20"/>
                <w:lang w:eastAsia="pl-PL"/>
              </w:rPr>
              <w:t>556,36</w:t>
            </w:r>
            <w:r w:rsidR="003043BB" w:rsidRPr="00270AE5">
              <w:rPr>
                <w:rFonts w:ascii="Lato" w:eastAsia="Times New Roman" w:hAnsi="Lato" w:cs="Times New Roman"/>
                <w:iCs/>
                <w:color w:val="000000" w:themeColor="text1"/>
                <w:sz w:val="20"/>
                <w:szCs w:val="20"/>
                <w:lang w:eastAsia="pl-PL"/>
              </w:rPr>
              <w:t>)</w:t>
            </w:r>
          </w:p>
        </w:tc>
      </w:tr>
      <w:tr w:rsidR="003043BB" w:rsidRPr="00C758B1" w14:paraId="677C3F5C" w14:textId="77777777" w:rsidTr="00AD51D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592" w:type="pct"/>
          </w:tcPr>
          <w:p w14:paraId="479D7245" w14:textId="77777777" w:rsidR="003043BB" w:rsidRPr="00270AE5" w:rsidRDefault="003043BB" w:rsidP="00727892">
            <w:pPr>
              <w:spacing w:before="20" w:after="20" w:line="276" w:lineRule="auto"/>
              <w:jc w:val="left"/>
              <w:rPr>
                <w:rFonts w:ascii="Lato" w:eastAsia="Times New Roman" w:hAnsi="Lato" w:cs="Times New Roman"/>
                <w:b w:val="0"/>
                <w:bCs w:val="0"/>
                <w:iCs/>
                <w:color w:val="000000" w:themeColor="text1"/>
                <w:sz w:val="20"/>
                <w:szCs w:val="20"/>
                <w:lang w:eastAsia="pl-PL"/>
              </w:rPr>
            </w:pPr>
            <w:r w:rsidRPr="00270AE5">
              <w:rPr>
                <w:rFonts w:ascii="Lato" w:eastAsia="Times New Roman" w:hAnsi="Lato" w:cs="Times New Roman"/>
                <w:b w:val="0"/>
                <w:bCs w:val="0"/>
                <w:color w:val="000000" w:themeColor="text1"/>
                <w:sz w:val="20"/>
                <w:szCs w:val="20"/>
                <w:lang w:eastAsia="pl-PL"/>
              </w:rPr>
              <w:t>30-dni nadzwyczajnie wysokiego zapotrzebowania</w:t>
            </w:r>
          </w:p>
        </w:tc>
        <w:tc>
          <w:tcPr>
            <w:tcW w:w="2408" w:type="pct"/>
          </w:tcPr>
          <w:p w14:paraId="7E358D57" w14:textId="0CA4CE33" w:rsidR="003043BB" w:rsidRPr="00270AE5" w:rsidRDefault="003043BB" w:rsidP="00983C18">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iCs/>
                <w:color w:val="000000" w:themeColor="text1"/>
                <w:sz w:val="20"/>
                <w:szCs w:val="20"/>
                <w:lang w:eastAsia="pl-PL"/>
              </w:rPr>
            </w:pPr>
            <w:r w:rsidRPr="00270AE5">
              <w:rPr>
                <w:rFonts w:ascii="Lato" w:eastAsia="Times New Roman" w:hAnsi="Lato" w:cs="Times New Roman"/>
                <w:iCs/>
                <w:color w:val="000000" w:themeColor="text1"/>
                <w:sz w:val="20"/>
                <w:szCs w:val="20"/>
                <w:lang w:eastAsia="pl-PL"/>
              </w:rPr>
              <w:t>40,</w:t>
            </w:r>
            <w:r w:rsidR="006975A4" w:rsidRPr="00270AE5">
              <w:rPr>
                <w:rFonts w:ascii="Lato" w:eastAsia="Times New Roman" w:hAnsi="Lato" w:cs="Times New Roman"/>
                <w:iCs/>
                <w:color w:val="000000" w:themeColor="text1"/>
                <w:sz w:val="20"/>
                <w:szCs w:val="20"/>
                <w:lang w:eastAsia="pl-PL"/>
              </w:rPr>
              <w:t xml:space="preserve">89 </w:t>
            </w:r>
            <w:r w:rsidRPr="00270AE5">
              <w:rPr>
                <w:rFonts w:ascii="Lato" w:eastAsia="Times New Roman" w:hAnsi="Lato" w:cs="Times New Roman"/>
                <w:iCs/>
                <w:color w:val="000000" w:themeColor="text1"/>
                <w:sz w:val="20"/>
                <w:szCs w:val="20"/>
                <w:lang w:eastAsia="pl-PL"/>
              </w:rPr>
              <w:t>(</w:t>
            </w:r>
            <w:r w:rsidR="00B76612" w:rsidRPr="00270AE5">
              <w:rPr>
                <w:rFonts w:ascii="Lato" w:eastAsia="Times New Roman" w:hAnsi="Lato" w:cs="Times New Roman"/>
                <w:iCs/>
                <w:color w:val="000000" w:themeColor="text1"/>
                <w:sz w:val="20"/>
                <w:szCs w:val="20"/>
                <w:lang w:eastAsia="pl-PL"/>
              </w:rPr>
              <w:t>446,25</w:t>
            </w:r>
            <w:r w:rsidRPr="00270AE5">
              <w:rPr>
                <w:rFonts w:ascii="Lato" w:eastAsia="Times New Roman" w:hAnsi="Lato" w:cs="Times New Roman"/>
                <w:iCs/>
                <w:color w:val="000000" w:themeColor="text1"/>
                <w:sz w:val="20"/>
                <w:szCs w:val="20"/>
                <w:lang w:eastAsia="pl-PL"/>
              </w:rPr>
              <w:t>)</w:t>
            </w:r>
          </w:p>
        </w:tc>
      </w:tr>
      <w:tr w:rsidR="003043BB" w:rsidRPr="00C758B1" w14:paraId="0AF94236" w14:textId="77777777" w:rsidTr="00CE63C5">
        <w:trPr>
          <w:trHeight w:val="158"/>
          <w:jc w:val="center"/>
        </w:trPr>
        <w:tc>
          <w:tcPr>
            <w:cnfStyle w:val="001000000000" w:firstRow="0" w:lastRow="0" w:firstColumn="1" w:lastColumn="0" w:oddVBand="0" w:evenVBand="0" w:oddHBand="0" w:evenHBand="0" w:firstRowFirstColumn="0" w:firstRowLastColumn="0" w:lastRowFirstColumn="0" w:lastRowLastColumn="0"/>
            <w:tcW w:w="2592" w:type="pct"/>
          </w:tcPr>
          <w:p w14:paraId="249796E6" w14:textId="77777777" w:rsidR="003043BB" w:rsidRPr="00270AE5" w:rsidRDefault="003043BB" w:rsidP="00727892">
            <w:pPr>
              <w:spacing w:before="20" w:after="20" w:line="276" w:lineRule="auto"/>
              <w:jc w:val="left"/>
              <w:rPr>
                <w:rFonts w:ascii="Lato" w:eastAsia="Times New Roman" w:hAnsi="Lato" w:cs="Times New Roman"/>
                <w:b w:val="0"/>
                <w:bCs w:val="0"/>
                <w:iCs/>
                <w:color w:val="000000" w:themeColor="text1"/>
                <w:sz w:val="20"/>
                <w:szCs w:val="20"/>
                <w:lang w:eastAsia="pl-PL"/>
              </w:rPr>
            </w:pPr>
            <w:r w:rsidRPr="00270AE5">
              <w:rPr>
                <w:rFonts w:ascii="Lato" w:eastAsia="Times New Roman" w:hAnsi="Lato" w:cs="Times New Roman"/>
                <w:b w:val="0"/>
                <w:bCs w:val="0"/>
                <w:iCs/>
                <w:color w:val="000000" w:themeColor="text1"/>
                <w:sz w:val="20"/>
                <w:szCs w:val="20"/>
                <w:lang w:eastAsia="pl-PL"/>
              </w:rPr>
              <w:t>30-dni zakłóceń w największej pojedynczej infrastrukturze gazowej</w:t>
            </w:r>
          </w:p>
        </w:tc>
        <w:tc>
          <w:tcPr>
            <w:tcW w:w="2408" w:type="pct"/>
          </w:tcPr>
          <w:p w14:paraId="6684AD4D" w14:textId="29873EA4" w:rsidR="003043BB" w:rsidRPr="00270AE5" w:rsidRDefault="00790950" w:rsidP="00983C18">
            <w:pPr>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iCs/>
                <w:color w:val="000000" w:themeColor="text1"/>
                <w:sz w:val="20"/>
                <w:szCs w:val="20"/>
                <w:lang w:eastAsia="pl-PL"/>
              </w:rPr>
            </w:pPr>
            <w:r w:rsidRPr="00270AE5">
              <w:rPr>
                <w:rFonts w:ascii="Lato" w:eastAsia="Times New Roman" w:hAnsi="Lato" w:cs="Times New Roman"/>
                <w:iCs/>
                <w:color w:val="000000" w:themeColor="text1"/>
                <w:sz w:val="20"/>
                <w:szCs w:val="20"/>
                <w:lang w:eastAsia="pl-PL"/>
              </w:rPr>
              <w:t>32,11</w:t>
            </w:r>
            <w:r w:rsidR="003043BB" w:rsidRPr="00270AE5">
              <w:rPr>
                <w:rFonts w:ascii="Lato" w:eastAsia="Times New Roman" w:hAnsi="Lato" w:cs="Times New Roman"/>
                <w:iCs/>
                <w:color w:val="000000" w:themeColor="text1"/>
                <w:sz w:val="20"/>
                <w:szCs w:val="20"/>
                <w:lang w:eastAsia="pl-PL"/>
              </w:rPr>
              <w:t xml:space="preserve"> (</w:t>
            </w:r>
            <w:r w:rsidR="005A2A0A" w:rsidRPr="00270AE5">
              <w:rPr>
                <w:rFonts w:ascii="Lato" w:eastAsia="Times New Roman" w:hAnsi="Lato" w:cs="Times New Roman"/>
                <w:iCs/>
                <w:color w:val="000000" w:themeColor="text1"/>
                <w:sz w:val="20"/>
                <w:szCs w:val="20"/>
                <w:lang w:eastAsia="pl-PL"/>
              </w:rPr>
              <w:t>350,5</w:t>
            </w:r>
            <w:r w:rsidR="003043BB" w:rsidRPr="00270AE5">
              <w:rPr>
                <w:rFonts w:ascii="Lato" w:eastAsia="Times New Roman" w:hAnsi="Lato" w:cs="Times New Roman"/>
                <w:iCs/>
                <w:color w:val="000000" w:themeColor="text1"/>
                <w:sz w:val="20"/>
                <w:szCs w:val="20"/>
                <w:lang w:eastAsia="pl-PL"/>
              </w:rPr>
              <w:t>)</w:t>
            </w:r>
          </w:p>
        </w:tc>
      </w:tr>
    </w:tbl>
    <w:p w14:paraId="74ECDECF" w14:textId="77777777" w:rsidR="00381EF8" w:rsidRDefault="00381EF8" w:rsidP="00CE63C5">
      <w:pPr>
        <w:spacing w:line="276" w:lineRule="auto"/>
        <w:ind w:firstLine="708"/>
        <w:rPr>
          <w:rFonts w:ascii="Lato" w:hAnsi="Lato"/>
        </w:rPr>
      </w:pPr>
    </w:p>
    <w:p w14:paraId="438111F7" w14:textId="32102F21" w:rsidR="001B0B6F" w:rsidRDefault="003043BB" w:rsidP="00650562">
      <w:pPr>
        <w:spacing w:after="60" w:line="276" w:lineRule="auto"/>
        <w:ind w:firstLine="708"/>
        <w:rPr>
          <w:rFonts w:ascii="Lato" w:hAnsi="Lato"/>
        </w:rPr>
      </w:pPr>
      <w:r w:rsidRPr="00FA13F0">
        <w:rPr>
          <w:rFonts w:ascii="Lato" w:hAnsi="Lato"/>
        </w:rPr>
        <w:t xml:space="preserve">W przypadku stanu nadzwyczajnego, w sytuacji uruchomienia środków nierynkowych, wolumen zużycia </w:t>
      </w:r>
      <w:r w:rsidR="001B0B6F">
        <w:rPr>
          <w:rFonts w:ascii="Lato" w:hAnsi="Lato"/>
        </w:rPr>
        <w:t xml:space="preserve">gazu ziemnego </w:t>
      </w:r>
      <w:r w:rsidRPr="00FA13F0">
        <w:rPr>
          <w:rFonts w:ascii="Lato" w:hAnsi="Lato"/>
        </w:rPr>
        <w:t xml:space="preserve">określony dla standardu dostaw może być </w:t>
      </w:r>
      <w:r w:rsidR="004D252B" w:rsidRPr="00FA13F0">
        <w:rPr>
          <w:rFonts w:ascii="Lato" w:hAnsi="Lato"/>
        </w:rPr>
        <w:t>dodatkowo uzupełniany z</w:t>
      </w:r>
      <w:r w:rsidRPr="00FA13F0">
        <w:rPr>
          <w:rFonts w:ascii="Lato" w:hAnsi="Lato"/>
        </w:rPr>
        <w:t xml:space="preserve"> zapas</w:t>
      </w:r>
      <w:r w:rsidR="004D252B" w:rsidRPr="00FA13F0">
        <w:rPr>
          <w:rFonts w:ascii="Lato" w:hAnsi="Lato"/>
        </w:rPr>
        <w:t>ów</w:t>
      </w:r>
      <w:r w:rsidRPr="00FA13F0">
        <w:rPr>
          <w:rFonts w:ascii="Lato" w:hAnsi="Lato"/>
        </w:rPr>
        <w:t xml:space="preserve"> obowiązkowy</w:t>
      </w:r>
      <w:r w:rsidR="004D252B" w:rsidRPr="00FA13F0">
        <w:rPr>
          <w:rFonts w:ascii="Lato" w:hAnsi="Lato"/>
        </w:rPr>
        <w:t>ch</w:t>
      </w:r>
      <w:r w:rsidR="00727892">
        <w:rPr>
          <w:rFonts w:ascii="Lato" w:hAnsi="Lato"/>
        </w:rPr>
        <w:t xml:space="preserve"> gazu ziemnego</w:t>
      </w:r>
      <w:r w:rsidRPr="00FA13F0">
        <w:rPr>
          <w:rFonts w:ascii="Lato" w:hAnsi="Lato"/>
        </w:rPr>
        <w:t xml:space="preserve">. Warunkiem </w:t>
      </w:r>
      <w:r w:rsidR="00786A20" w:rsidRPr="00FA13F0">
        <w:rPr>
          <w:rFonts w:ascii="Lato" w:hAnsi="Lato"/>
        </w:rPr>
        <w:t>koniecznym</w:t>
      </w:r>
      <w:r w:rsidR="00727892">
        <w:rPr>
          <w:rFonts w:ascii="Lato" w:hAnsi="Lato"/>
        </w:rPr>
        <w:t xml:space="preserve"> dla</w:t>
      </w:r>
      <w:r w:rsidR="00786A20" w:rsidRPr="00FA13F0">
        <w:rPr>
          <w:rFonts w:ascii="Lato" w:hAnsi="Lato"/>
        </w:rPr>
        <w:t xml:space="preserve"> </w:t>
      </w:r>
      <w:r w:rsidRPr="00FA13F0">
        <w:rPr>
          <w:rFonts w:ascii="Lato" w:hAnsi="Lato"/>
        </w:rPr>
        <w:t>uruchomieni</w:t>
      </w:r>
      <w:r w:rsidR="00786A20" w:rsidRPr="00FA13F0">
        <w:rPr>
          <w:rFonts w:ascii="Lato" w:hAnsi="Lato"/>
        </w:rPr>
        <w:t>e</w:t>
      </w:r>
      <w:r w:rsidRPr="00FA13F0">
        <w:rPr>
          <w:rFonts w:ascii="Lato" w:hAnsi="Lato"/>
        </w:rPr>
        <w:t xml:space="preserve"> zapasów obowiązkowych jest wykorzystanie wszystkich dostępnych środków rynkowych. Uruchomienie zapasów obowiązkowych gazu ziemnego znacząco </w:t>
      </w:r>
      <w:r w:rsidR="001B0B6F">
        <w:rPr>
          <w:rFonts w:ascii="Lato" w:hAnsi="Lato"/>
        </w:rPr>
        <w:t xml:space="preserve">niweluje </w:t>
      </w:r>
      <w:r w:rsidRPr="00FA13F0">
        <w:rPr>
          <w:rFonts w:ascii="Lato" w:hAnsi="Lato"/>
        </w:rPr>
        <w:t xml:space="preserve">skutki </w:t>
      </w:r>
      <w:r w:rsidR="00786A20" w:rsidRPr="00FA13F0">
        <w:rPr>
          <w:rFonts w:ascii="Lato" w:hAnsi="Lato"/>
        </w:rPr>
        <w:t>ewentualnych</w:t>
      </w:r>
      <w:r w:rsidRPr="00FA13F0">
        <w:rPr>
          <w:rFonts w:ascii="Lato" w:hAnsi="Lato"/>
        </w:rPr>
        <w:t xml:space="preserve"> zakłóceń w dostawach gazu ziemnego. </w:t>
      </w:r>
      <w:r w:rsidR="001B0B6F">
        <w:rPr>
          <w:rFonts w:ascii="Lato" w:hAnsi="Lato"/>
        </w:rPr>
        <w:t xml:space="preserve">W </w:t>
      </w:r>
      <w:r w:rsidRPr="00FA13F0">
        <w:rPr>
          <w:rFonts w:ascii="Lato" w:hAnsi="Lato"/>
        </w:rPr>
        <w:t>sytuacji gdy dostępne środki rynkowe okażą się niewystarczające do zabezpieczenie dostaw gazu ziemnego do odbiorców, w szczególności odbiorców chronionych</w:t>
      </w:r>
      <w:r w:rsidR="001B0B6F">
        <w:rPr>
          <w:rFonts w:ascii="Lato" w:hAnsi="Lato"/>
        </w:rPr>
        <w:t>, zapasy obowiązkowe gazu ziemnego</w:t>
      </w:r>
      <w:r w:rsidR="001B0B6F" w:rsidRPr="00FA13F0">
        <w:rPr>
          <w:rFonts w:ascii="Lato" w:hAnsi="Lato"/>
        </w:rPr>
        <w:t>, jako środek nierynkowy, stanowi</w:t>
      </w:r>
      <w:r w:rsidR="001B0B6F">
        <w:rPr>
          <w:rFonts w:ascii="Lato" w:hAnsi="Lato"/>
        </w:rPr>
        <w:t>ą</w:t>
      </w:r>
      <w:r w:rsidR="001B0B6F" w:rsidRPr="00FA13F0">
        <w:rPr>
          <w:rFonts w:ascii="Lato" w:hAnsi="Lato"/>
        </w:rPr>
        <w:t xml:space="preserve"> </w:t>
      </w:r>
      <w:r w:rsidR="001B0B6F">
        <w:rPr>
          <w:rFonts w:ascii="Lato" w:hAnsi="Lato"/>
        </w:rPr>
        <w:t xml:space="preserve">gwarancję zapewnienia </w:t>
      </w:r>
      <w:r w:rsidR="001B0B6F" w:rsidRPr="00FA13F0">
        <w:rPr>
          <w:rFonts w:ascii="Lato" w:hAnsi="Lato"/>
        </w:rPr>
        <w:t xml:space="preserve">bezpieczeństwa </w:t>
      </w:r>
      <w:r w:rsidR="001B0B6F">
        <w:rPr>
          <w:rFonts w:ascii="Lato" w:hAnsi="Lato"/>
        </w:rPr>
        <w:t xml:space="preserve">funkcjonowania </w:t>
      </w:r>
      <w:r w:rsidR="001B0B6F" w:rsidRPr="00FA13F0">
        <w:rPr>
          <w:rFonts w:ascii="Lato" w:hAnsi="Lato"/>
        </w:rPr>
        <w:t>systemu gazowego</w:t>
      </w:r>
      <w:r w:rsidR="001B0B6F">
        <w:rPr>
          <w:rFonts w:ascii="Lato" w:hAnsi="Lato"/>
        </w:rPr>
        <w:t xml:space="preserve">. </w:t>
      </w:r>
    </w:p>
    <w:p w14:paraId="43CA9F3A" w14:textId="56CC28CC" w:rsidR="00BB22EE" w:rsidRDefault="00CB2DC6" w:rsidP="00650562">
      <w:pPr>
        <w:spacing w:after="60" w:line="276" w:lineRule="auto"/>
        <w:rPr>
          <w:rFonts w:ascii="Lato" w:hAnsi="Lato"/>
        </w:rPr>
      </w:pPr>
      <w:r w:rsidRPr="00FA13F0">
        <w:rPr>
          <w:rFonts w:ascii="Lato" w:hAnsi="Lato"/>
        </w:rPr>
        <w:tab/>
      </w:r>
      <w:r w:rsidR="003043BB" w:rsidRPr="00FA13F0">
        <w:rPr>
          <w:rFonts w:ascii="Lato" w:hAnsi="Lato"/>
        </w:rPr>
        <w:t>Wolumen zapasów obowiązkowych</w:t>
      </w:r>
      <w:r w:rsidR="00BB22EE">
        <w:rPr>
          <w:rFonts w:ascii="Lato" w:hAnsi="Lato"/>
        </w:rPr>
        <w:t xml:space="preserve"> gazu ziemnego </w:t>
      </w:r>
      <w:r w:rsidR="003043BB" w:rsidRPr="00FA13F0">
        <w:rPr>
          <w:rFonts w:ascii="Lato" w:hAnsi="Lato"/>
        </w:rPr>
        <w:t xml:space="preserve">nieznacznie przewyższa ilość gazu ziemnego potrzebnego na spełnienie standardu w zakresie dostaw, określonego </w:t>
      </w:r>
      <w:r w:rsidR="003043BB" w:rsidRPr="00FA13F0">
        <w:rPr>
          <w:rFonts w:ascii="Lato" w:hAnsi="Lato"/>
        </w:rPr>
        <w:lastRenderedPageBreak/>
        <w:t>zgodnie z art. 6 ust 1 rozporządzenia 2017/1938. Oznacza to, że beneficjentem systemu zapasów obowiązkowych</w:t>
      </w:r>
      <w:r w:rsidR="00BB22EE">
        <w:rPr>
          <w:rFonts w:ascii="Lato" w:hAnsi="Lato"/>
        </w:rPr>
        <w:t xml:space="preserve"> gazu ziemnego</w:t>
      </w:r>
      <w:r w:rsidR="00192491">
        <w:rPr>
          <w:rFonts w:ascii="Lato" w:hAnsi="Lato"/>
        </w:rPr>
        <w:t>,</w:t>
      </w:r>
      <w:r w:rsidR="003043BB" w:rsidRPr="00FA13F0">
        <w:rPr>
          <w:rFonts w:ascii="Lato" w:hAnsi="Lato"/>
        </w:rPr>
        <w:t xml:space="preserve"> jako środka służącego do wypełnienia standardu w zakresie dostaw</w:t>
      </w:r>
      <w:r w:rsidR="00BB22EE">
        <w:rPr>
          <w:rFonts w:ascii="Lato" w:hAnsi="Lato"/>
        </w:rPr>
        <w:t>,</w:t>
      </w:r>
      <w:r w:rsidR="003043BB" w:rsidRPr="00FA13F0">
        <w:rPr>
          <w:rFonts w:ascii="Lato" w:hAnsi="Lato"/>
        </w:rPr>
        <w:t xml:space="preserve"> </w:t>
      </w:r>
      <w:r w:rsidR="00786A20" w:rsidRPr="00FA13F0">
        <w:rPr>
          <w:rFonts w:ascii="Lato" w:hAnsi="Lato"/>
        </w:rPr>
        <w:t>oprócz</w:t>
      </w:r>
      <w:r w:rsidR="003043BB" w:rsidRPr="00FA13F0">
        <w:rPr>
          <w:rFonts w:ascii="Lato" w:hAnsi="Lato"/>
        </w:rPr>
        <w:t xml:space="preserve"> odbiorc</w:t>
      </w:r>
      <w:r w:rsidR="00786A20" w:rsidRPr="00FA13F0">
        <w:rPr>
          <w:rFonts w:ascii="Lato" w:hAnsi="Lato"/>
        </w:rPr>
        <w:t>ów</w:t>
      </w:r>
      <w:r w:rsidR="003043BB" w:rsidRPr="00FA13F0">
        <w:rPr>
          <w:rFonts w:ascii="Lato" w:hAnsi="Lato"/>
        </w:rPr>
        <w:t xml:space="preserve"> chroni</w:t>
      </w:r>
      <w:r w:rsidR="00786A20" w:rsidRPr="00FA13F0">
        <w:rPr>
          <w:rFonts w:ascii="Lato" w:hAnsi="Lato"/>
        </w:rPr>
        <w:t>onych</w:t>
      </w:r>
      <w:r w:rsidR="00BB22EE">
        <w:rPr>
          <w:rFonts w:ascii="Lato" w:hAnsi="Lato"/>
        </w:rPr>
        <w:t xml:space="preserve"> mogą być</w:t>
      </w:r>
      <w:r w:rsidR="003043BB" w:rsidRPr="00FA13F0">
        <w:rPr>
          <w:rFonts w:ascii="Lato" w:hAnsi="Lato"/>
        </w:rPr>
        <w:t xml:space="preserve"> również</w:t>
      </w:r>
      <w:r w:rsidR="00BB22EE">
        <w:rPr>
          <w:rFonts w:ascii="Lato" w:hAnsi="Lato"/>
        </w:rPr>
        <w:t xml:space="preserve"> - </w:t>
      </w:r>
      <w:r w:rsidR="00786A20" w:rsidRPr="00FA13F0">
        <w:rPr>
          <w:rFonts w:ascii="Lato" w:hAnsi="Lato"/>
        </w:rPr>
        <w:t>w pewnym zakresie</w:t>
      </w:r>
      <w:r w:rsidR="00BB22EE">
        <w:rPr>
          <w:rFonts w:ascii="Lato" w:hAnsi="Lato"/>
        </w:rPr>
        <w:t xml:space="preserve"> -</w:t>
      </w:r>
      <w:r w:rsidR="00786A20" w:rsidRPr="00FA13F0">
        <w:rPr>
          <w:rFonts w:ascii="Lato" w:hAnsi="Lato"/>
        </w:rPr>
        <w:t xml:space="preserve"> </w:t>
      </w:r>
      <w:r w:rsidR="003043BB" w:rsidRPr="00FA13F0">
        <w:rPr>
          <w:rFonts w:ascii="Lato" w:hAnsi="Lato"/>
        </w:rPr>
        <w:t>inn</w:t>
      </w:r>
      <w:r w:rsidR="00786A20" w:rsidRPr="00FA13F0">
        <w:rPr>
          <w:rFonts w:ascii="Lato" w:hAnsi="Lato"/>
        </w:rPr>
        <w:t>i</w:t>
      </w:r>
      <w:r w:rsidR="003043BB" w:rsidRPr="00FA13F0">
        <w:rPr>
          <w:rFonts w:ascii="Lato" w:hAnsi="Lato"/>
        </w:rPr>
        <w:t xml:space="preserve"> odbiorc</w:t>
      </w:r>
      <w:r w:rsidR="00786A20" w:rsidRPr="00FA13F0">
        <w:rPr>
          <w:rFonts w:ascii="Lato" w:hAnsi="Lato"/>
        </w:rPr>
        <w:t>y, co ma związek z hydrauliką systemu gazowego, tj. koniecznością kontynuowania w pewnych przypadkach dostaw do odbiorców niechronionych, aby możliwe było utrzymanie odpowiedniego ciśnienia w sieci i dostarczenie gazu ziemnego do odbiorców chronionych</w:t>
      </w:r>
      <w:r w:rsidR="1601FBEF" w:rsidRPr="00FA13F0">
        <w:rPr>
          <w:rFonts w:ascii="Lato" w:hAnsi="Lato"/>
        </w:rPr>
        <w:t>,</w:t>
      </w:r>
      <w:r w:rsidR="00786A20" w:rsidRPr="00FA13F0">
        <w:rPr>
          <w:rFonts w:ascii="Lato" w:hAnsi="Lato"/>
        </w:rPr>
        <w:t xml:space="preserve"> przyłączonych do końcowych odcinków systemu gazowego</w:t>
      </w:r>
      <w:r w:rsidR="003043BB" w:rsidRPr="00FA13F0">
        <w:rPr>
          <w:rFonts w:ascii="Lato" w:hAnsi="Lato"/>
        </w:rPr>
        <w:t xml:space="preserve">. </w:t>
      </w:r>
    </w:p>
    <w:p w14:paraId="11747A44" w14:textId="53DF33FD" w:rsidR="003043BB" w:rsidRPr="00FA13F0" w:rsidRDefault="00BB22EE" w:rsidP="00650562">
      <w:pPr>
        <w:spacing w:after="60" w:line="276" w:lineRule="auto"/>
        <w:ind w:firstLine="708"/>
        <w:rPr>
          <w:rFonts w:ascii="Lato" w:hAnsi="Lato"/>
        </w:rPr>
      </w:pPr>
      <w:r>
        <w:rPr>
          <w:rFonts w:ascii="Lato" w:hAnsi="Lato"/>
        </w:rPr>
        <w:t xml:space="preserve">Wybór </w:t>
      </w:r>
      <w:r w:rsidR="003043BB" w:rsidRPr="00FA13F0">
        <w:rPr>
          <w:rFonts w:ascii="Lato" w:hAnsi="Lato"/>
        </w:rPr>
        <w:t>środk</w:t>
      </w:r>
      <w:r>
        <w:rPr>
          <w:rFonts w:ascii="Lato" w:hAnsi="Lato"/>
        </w:rPr>
        <w:t>ów</w:t>
      </w:r>
      <w:r w:rsidR="003043BB" w:rsidRPr="00FA13F0">
        <w:rPr>
          <w:rFonts w:ascii="Lato" w:hAnsi="Lato"/>
        </w:rPr>
        <w:t xml:space="preserve"> mając</w:t>
      </w:r>
      <w:r>
        <w:rPr>
          <w:rFonts w:ascii="Lato" w:hAnsi="Lato"/>
        </w:rPr>
        <w:t>ych</w:t>
      </w:r>
      <w:r w:rsidR="003043BB" w:rsidRPr="00FA13F0">
        <w:rPr>
          <w:rFonts w:ascii="Lato" w:hAnsi="Lato"/>
        </w:rPr>
        <w:t xml:space="preserve"> na celu zapewnienie bezpieczeństwa dostaw</w:t>
      </w:r>
      <w:r>
        <w:rPr>
          <w:rFonts w:ascii="Lato" w:hAnsi="Lato"/>
        </w:rPr>
        <w:t xml:space="preserve">, jak również określenie podmiotów </w:t>
      </w:r>
      <w:r w:rsidR="003043BB" w:rsidRPr="00FA13F0">
        <w:rPr>
          <w:rFonts w:ascii="Lato" w:hAnsi="Lato"/>
        </w:rPr>
        <w:t>zobowiązan</w:t>
      </w:r>
      <w:r>
        <w:rPr>
          <w:rFonts w:ascii="Lato" w:hAnsi="Lato"/>
        </w:rPr>
        <w:t>ych</w:t>
      </w:r>
      <w:r w:rsidR="003043BB" w:rsidRPr="00FA13F0">
        <w:rPr>
          <w:rFonts w:ascii="Lato" w:hAnsi="Lato"/>
        </w:rPr>
        <w:t xml:space="preserve"> do podjęcia takich środków</w:t>
      </w:r>
      <w:r>
        <w:rPr>
          <w:rFonts w:ascii="Lato" w:hAnsi="Lato"/>
        </w:rPr>
        <w:t xml:space="preserve">, </w:t>
      </w:r>
      <w:r w:rsidR="003043BB" w:rsidRPr="00FA13F0">
        <w:rPr>
          <w:rFonts w:ascii="Lato" w:hAnsi="Lato"/>
        </w:rPr>
        <w:t>należy</w:t>
      </w:r>
      <w:r w:rsidR="00727892">
        <w:rPr>
          <w:rFonts w:ascii="Lato" w:hAnsi="Lato"/>
        </w:rPr>
        <w:t xml:space="preserve"> -</w:t>
      </w:r>
      <w:r w:rsidR="003043BB" w:rsidRPr="00FA13F0">
        <w:rPr>
          <w:rFonts w:ascii="Lato" w:hAnsi="Lato"/>
        </w:rPr>
        <w:t xml:space="preserve"> </w:t>
      </w:r>
      <w:r w:rsidR="003043BB" w:rsidRPr="00FA13F0">
        <w:rPr>
          <w:rFonts w:ascii="Lato" w:hAnsi="Lato" w:cs="TimesNewRomanPSMT"/>
        </w:rPr>
        <w:t>zgodnie z rozporządzeniem 2017/1938 (w szczególności art. 5 ust. 1 i art. 6 ust. 1)</w:t>
      </w:r>
      <w:r w:rsidR="00727892">
        <w:rPr>
          <w:rFonts w:ascii="Lato" w:hAnsi="Lato" w:cs="TimesNewRomanPSMT"/>
        </w:rPr>
        <w:t xml:space="preserve"> -</w:t>
      </w:r>
      <w:r w:rsidR="003043BB" w:rsidRPr="00FA13F0">
        <w:rPr>
          <w:rFonts w:ascii="Lato" w:hAnsi="Lato"/>
        </w:rPr>
        <w:t xml:space="preserve"> do właściwych organów poszczególnych państw członkowskich.</w:t>
      </w:r>
    </w:p>
    <w:p w14:paraId="10E4D2D6" w14:textId="78325901" w:rsidR="003043BB" w:rsidRPr="00FA13F0" w:rsidRDefault="00CB2DC6" w:rsidP="00650562">
      <w:pPr>
        <w:spacing w:after="60" w:line="276" w:lineRule="auto"/>
        <w:rPr>
          <w:rFonts w:ascii="Lato" w:hAnsi="Lato"/>
        </w:rPr>
      </w:pPr>
      <w:r w:rsidRPr="00FA13F0">
        <w:rPr>
          <w:rFonts w:ascii="Lato" w:hAnsi="Lato"/>
        </w:rPr>
        <w:tab/>
      </w:r>
      <w:r w:rsidR="00727892">
        <w:rPr>
          <w:rFonts w:ascii="Lato" w:hAnsi="Lato"/>
        </w:rPr>
        <w:t>Z uwagi na doświadczenia</w:t>
      </w:r>
      <w:r w:rsidR="00727892" w:rsidRPr="00FA13F0">
        <w:rPr>
          <w:rFonts w:ascii="Lato" w:hAnsi="Lato"/>
        </w:rPr>
        <w:t xml:space="preserve"> historyczne Polski</w:t>
      </w:r>
      <w:r w:rsidR="00727892">
        <w:rPr>
          <w:rFonts w:ascii="Lato" w:hAnsi="Lato"/>
        </w:rPr>
        <w:t xml:space="preserve">, </w:t>
      </w:r>
      <w:r w:rsidR="00BB22EE">
        <w:rPr>
          <w:rFonts w:ascii="Lato" w:hAnsi="Lato"/>
        </w:rPr>
        <w:t>utrzymywanie</w:t>
      </w:r>
      <w:r w:rsidR="00727892">
        <w:rPr>
          <w:rFonts w:ascii="Lato" w:hAnsi="Lato"/>
        </w:rPr>
        <w:t xml:space="preserve"> zapasów obowiązkowych gazu ziemnego </w:t>
      </w:r>
      <w:r w:rsidR="003043BB" w:rsidRPr="00FA13F0">
        <w:rPr>
          <w:rFonts w:ascii="Lato" w:hAnsi="Lato"/>
        </w:rPr>
        <w:t>jest kluczowe</w:t>
      </w:r>
      <w:r w:rsidR="00BB22EE">
        <w:rPr>
          <w:rFonts w:ascii="Lato" w:hAnsi="Lato"/>
        </w:rPr>
        <w:t xml:space="preserve"> dla </w:t>
      </w:r>
      <w:r w:rsidR="003043BB" w:rsidRPr="00BB22EE">
        <w:rPr>
          <w:rFonts w:ascii="Lato" w:hAnsi="Lato"/>
          <w:szCs w:val="24"/>
        </w:rPr>
        <w:t>zapewni</w:t>
      </w:r>
      <w:r w:rsidR="00BB22EE" w:rsidRPr="00BB22EE">
        <w:rPr>
          <w:rFonts w:ascii="Lato" w:hAnsi="Lato"/>
          <w:szCs w:val="24"/>
        </w:rPr>
        <w:t>enia</w:t>
      </w:r>
      <w:r w:rsidR="003043BB" w:rsidRPr="00BB22EE">
        <w:rPr>
          <w:rFonts w:ascii="Lato" w:hAnsi="Lato"/>
          <w:szCs w:val="24"/>
        </w:rPr>
        <w:t xml:space="preserve"> stabilnoś</w:t>
      </w:r>
      <w:r w:rsidR="00BB22EE" w:rsidRPr="00BB22EE">
        <w:rPr>
          <w:rFonts w:ascii="Lato" w:hAnsi="Lato"/>
          <w:szCs w:val="24"/>
        </w:rPr>
        <w:t>ci</w:t>
      </w:r>
      <w:r w:rsidR="003043BB" w:rsidRPr="00BB22EE">
        <w:rPr>
          <w:rFonts w:ascii="Lato" w:hAnsi="Lato"/>
          <w:szCs w:val="24"/>
        </w:rPr>
        <w:t xml:space="preserve"> i</w:t>
      </w:r>
      <w:r w:rsidR="00505522" w:rsidRPr="00BB22EE">
        <w:rPr>
          <w:rFonts w:ascii="Lato" w:hAnsi="Lato"/>
          <w:szCs w:val="24"/>
        </w:rPr>
        <w:t xml:space="preserve"> </w:t>
      </w:r>
      <w:r w:rsidR="003043BB" w:rsidRPr="00BB22EE">
        <w:rPr>
          <w:rFonts w:ascii="Lato" w:hAnsi="Lato"/>
          <w:szCs w:val="24"/>
        </w:rPr>
        <w:t>odpornoś</w:t>
      </w:r>
      <w:r w:rsidR="00BB22EE" w:rsidRPr="00BB22EE">
        <w:rPr>
          <w:rFonts w:ascii="Lato" w:hAnsi="Lato"/>
          <w:szCs w:val="24"/>
        </w:rPr>
        <w:t>ci</w:t>
      </w:r>
      <w:r w:rsidR="003043BB" w:rsidRPr="00BB22EE">
        <w:rPr>
          <w:rFonts w:ascii="Lato" w:hAnsi="Lato"/>
          <w:szCs w:val="24"/>
        </w:rPr>
        <w:t xml:space="preserve"> polskiego systemu gazowego</w:t>
      </w:r>
      <w:r w:rsidR="00727892" w:rsidRPr="00BB22EE">
        <w:rPr>
          <w:rFonts w:ascii="Lato" w:hAnsi="Lato"/>
          <w:szCs w:val="24"/>
        </w:rPr>
        <w:t xml:space="preserve">. </w:t>
      </w:r>
      <w:r w:rsidR="00BB22EE" w:rsidRPr="00BB22EE">
        <w:rPr>
          <w:rFonts w:ascii="Lato" w:hAnsi="Lato"/>
          <w:szCs w:val="24"/>
        </w:rPr>
        <w:t xml:space="preserve">Polska w dużym stopniu jest uzależniona od importu gazu ziemnego, dlatego </w:t>
      </w:r>
      <w:r w:rsidR="00650562" w:rsidRPr="00BB22EE">
        <w:rPr>
          <w:rFonts w:ascii="Lato" w:hAnsi="Lato"/>
          <w:szCs w:val="24"/>
        </w:rPr>
        <w:t>głównym</w:t>
      </w:r>
      <w:r w:rsidR="00BB22EE" w:rsidRPr="00BB22EE">
        <w:rPr>
          <w:rFonts w:ascii="Lato" w:hAnsi="Lato"/>
          <w:szCs w:val="24"/>
        </w:rPr>
        <w:t xml:space="preserve"> czynnikiem wpływającym na poziom bezpieczeństwa energetycznego kraju uznaje się stabilność importu gazu ziemnego z zagranicy.</w:t>
      </w:r>
      <w:r w:rsidR="00727892" w:rsidRPr="00BB22EE">
        <w:rPr>
          <w:rFonts w:ascii="Lato" w:hAnsi="Lato"/>
          <w:szCs w:val="24"/>
        </w:rPr>
        <w:t xml:space="preserve"> </w:t>
      </w:r>
      <w:r w:rsidR="00786A20" w:rsidRPr="00BB22EE">
        <w:rPr>
          <w:rFonts w:ascii="Lato" w:hAnsi="Lato"/>
          <w:szCs w:val="24"/>
        </w:rPr>
        <w:t>Z</w:t>
      </w:r>
      <w:r w:rsidR="003043BB" w:rsidRPr="00BB22EE">
        <w:rPr>
          <w:rFonts w:ascii="Lato" w:hAnsi="Lato"/>
          <w:szCs w:val="24"/>
        </w:rPr>
        <w:t>apasy</w:t>
      </w:r>
      <w:r w:rsidR="003043BB" w:rsidRPr="00FA13F0">
        <w:rPr>
          <w:rFonts w:ascii="Lato" w:hAnsi="Lato"/>
        </w:rPr>
        <w:t xml:space="preserve"> obowiązkowe gazu ziemnego wzmacnia</w:t>
      </w:r>
      <w:r w:rsidR="00786A20" w:rsidRPr="00FA13F0">
        <w:rPr>
          <w:rFonts w:ascii="Lato" w:hAnsi="Lato"/>
        </w:rPr>
        <w:t>ją</w:t>
      </w:r>
      <w:r w:rsidR="003043BB" w:rsidRPr="00FA13F0">
        <w:rPr>
          <w:rFonts w:ascii="Lato" w:hAnsi="Lato"/>
        </w:rPr>
        <w:t xml:space="preserve"> odporność R</w:t>
      </w:r>
      <w:r w:rsidR="00192491">
        <w:rPr>
          <w:rFonts w:ascii="Lato" w:hAnsi="Lato"/>
        </w:rPr>
        <w:t>P</w:t>
      </w:r>
      <w:r w:rsidR="003043BB" w:rsidRPr="00FA13F0">
        <w:rPr>
          <w:rFonts w:ascii="Lato" w:hAnsi="Lato"/>
        </w:rPr>
        <w:t xml:space="preserve"> w przypadku wystąpienia sytuacji nadzwyczajnej oraz gwarantuj</w:t>
      </w:r>
      <w:r w:rsidR="00786A20" w:rsidRPr="00FA13F0">
        <w:rPr>
          <w:rFonts w:ascii="Lato" w:hAnsi="Lato"/>
        </w:rPr>
        <w:t>ą</w:t>
      </w:r>
      <w:r w:rsidR="003043BB" w:rsidRPr="00FA13F0">
        <w:rPr>
          <w:rFonts w:ascii="Lato" w:hAnsi="Lato"/>
        </w:rPr>
        <w:t xml:space="preserve"> stabilne warunki </w:t>
      </w:r>
      <w:r w:rsidR="00786A20" w:rsidRPr="00FA13F0">
        <w:rPr>
          <w:rFonts w:ascii="Lato" w:hAnsi="Lato"/>
        </w:rPr>
        <w:t>dostaw dla najbardziej wrażliwych odbiorców</w:t>
      </w:r>
      <w:r w:rsidR="003043BB" w:rsidRPr="00FA13F0">
        <w:rPr>
          <w:rFonts w:ascii="Lato" w:hAnsi="Lato"/>
        </w:rPr>
        <w:t>.</w:t>
      </w:r>
      <w:r w:rsidR="001502F5">
        <w:rPr>
          <w:rFonts w:ascii="Lato" w:hAnsi="Lato"/>
        </w:rPr>
        <w:t xml:space="preserve"> </w:t>
      </w:r>
      <w:r w:rsidR="001502F5" w:rsidRPr="001502F5">
        <w:rPr>
          <w:rFonts w:ascii="Lato" w:hAnsi="Lato"/>
        </w:rPr>
        <w:t>Środek jakim są zapasy obowiązkowe gazu ziemnego jest proporcjonalny, przejrzysty i niedyskryminacyjny, a także niezbędny do osiągnięcia celu, którym jest zagwarantowanie bezpieczeństwa i ciągłości dostaw gazu ziemnego.</w:t>
      </w:r>
    </w:p>
    <w:p w14:paraId="0038F4FF" w14:textId="7FBCB438" w:rsidR="00CB2DC6" w:rsidRPr="00A819AD" w:rsidRDefault="00CB2DC6" w:rsidP="00650562">
      <w:pPr>
        <w:spacing w:after="60" w:line="276" w:lineRule="auto"/>
        <w:rPr>
          <w:rFonts w:ascii="Lato" w:hAnsi="Lato"/>
        </w:rPr>
      </w:pPr>
      <w:r w:rsidRPr="00FA13F0">
        <w:rPr>
          <w:rFonts w:ascii="Lato" w:hAnsi="Lato"/>
        </w:rPr>
        <w:tab/>
      </w:r>
      <w:r w:rsidR="00BB22EE">
        <w:rPr>
          <w:rFonts w:ascii="Lato" w:hAnsi="Lato"/>
        </w:rPr>
        <w:t xml:space="preserve">Należy podkreślić, że </w:t>
      </w:r>
      <w:r w:rsidR="00A819AD">
        <w:rPr>
          <w:rFonts w:ascii="Lato" w:hAnsi="Lato"/>
        </w:rPr>
        <w:t>p</w:t>
      </w:r>
      <w:r w:rsidR="003043BB" w:rsidRPr="00FA13F0">
        <w:rPr>
          <w:rFonts w:ascii="Lato" w:hAnsi="Lato"/>
        </w:rPr>
        <w:t xml:space="preserve">ewność dostaw gazu ziemnego pozytywnie wpływa na wzrost liczby odbiorców przyłączających się do sieci gazowej, którzy </w:t>
      </w:r>
      <w:r w:rsidR="00786A20" w:rsidRPr="00FA13F0">
        <w:rPr>
          <w:rFonts w:ascii="Lato" w:hAnsi="Lato"/>
        </w:rPr>
        <w:t xml:space="preserve">planują </w:t>
      </w:r>
      <w:r w:rsidR="003043BB" w:rsidRPr="00FA13F0">
        <w:rPr>
          <w:rFonts w:ascii="Lato" w:hAnsi="Lato"/>
        </w:rPr>
        <w:t>wykorzyst</w:t>
      </w:r>
      <w:r w:rsidR="00786A20" w:rsidRPr="00FA13F0">
        <w:rPr>
          <w:rFonts w:ascii="Lato" w:hAnsi="Lato"/>
        </w:rPr>
        <w:t>ywać</w:t>
      </w:r>
      <w:r w:rsidR="003043BB" w:rsidRPr="00FA13F0">
        <w:rPr>
          <w:rFonts w:ascii="Lato" w:hAnsi="Lato"/>
        </w:rPr>
        <w:t xml:space="preserve"> gaz ziemny do celów ogrzewania budynków. W związku z</w:t>
      </w:r>
      <w:r w:rsidR="00505522">
        <w:rPr>
          <w:rFonts w:ascii="Lato" w:hAnsi="Lato"/>
        </w:rPr>
        <w:t xml:space="preserve"> </w:t>
      </w:r>
      <w:r w:rsidR="00BB22EE">
        <w:rPr>
          <w:rFonts w:ascii="Lato" w:hAnsi="Lato"/>
        </w:rPr>
        <w:t>tym</w:t>
      </w:r>
      <w:r w:rsidR="003043BB" w:rsidRPr="00FA13F0">
        <w:rPr>
          <w:rFonts w:ascii="Lato" w:hAnsi="Lato"/>
        </w:rPr>
        <w:t xml:space="preserve">, </w:t>
      </w:r>
      <w:r w:rsidR="00BB22EE">
        <w:rPr>
          <w:rFonts w:ascii="Lato" w:hAnsi="Lato"/>
        </w:rPr>
        <w:t xml:space="preserve">prawidłowe </w:t>
      </w:r>
      <w:r w:rsidR="003043BB" w:rsidRPr="00FA13F0">
        <w:rPr>
          <w:rFonts w:ascii="Lato" w:hAnsi="Lato"/>
        </w:rPr>
        <w:t>funkcjonowanie systemu zapasów obowiązkowych</w:t>
      </w:r>
      <w:r w:rsidR="00BB22EE">
        <w:rPr>
          <w:rFonts w:ascii="Lato" w:hAnsi="Lato"/>
        </w:rPr>
        <w:t xml:space="preserve"> gazu ziemnego,</w:t>
      </w:r>
      <w:r w:rsidR="003043BB" w:rsidRPr="00FA13F0">
        <w:rPr>
          <w:rFonts w:ascii="Lato" w:hAnsi="Lato"/>
        </w:rPr>
        <w:t xml:space="preserve"> jako środka gwarantującego bezpieczeństwo dostaw, </w:t>
      </w:r>
      <w:r w:rsidR="00B545CD">
        <w:rPr>
          <w:rFonts w:ascii="Lato" w:hAnsi="Lato"/>
        </w:rPr>
        <w:t xml:space="preserve">sprzyja wykorzystywaniu </w:t>
      </w:r>
      <w:r w:rsidR="003043BB" w:rsidRPr="00FA13F0">
        <w:rPr>
          <w:rFonts w:ascii="Lato" w:hAnsi="Lato"/>
        </w:rPr>
        <w:t>niskoemisyjne</w:t>
      </w:r>
      <w:r w:rsidR="00B545CD">
        <w:rPr>
          <w:rFonts w:ascii="Lato" w:hAnsi="Lato"/>
        </w:rPr>
        <w:t>go</w:t>
      </w:r>
      <w:r w:rsidR="00BB22EE">
        <w:rPr>
          <w:rFonts w:ascii="Lato" w:hAnsi="Lato"/>
        </w:rPr>
        <w:t xml:space="preserve"> </w:t>
      </w:r>
      <w:r w:rsidR="003043BB" w:rsidRPr="00FA13F0">
        <w:rPr>
          <w:rFonts w:ascii="Lato" w:hAnsi="Lato"/>
        </w:rPr>
        <w:t xml:space="preserve">źródła energii, jakim jest gaz ziemny, </w:t>
      </w:r>
      <w:r w:rsidR="00B545CD">
        <w:rPr>
          <w:rFonts w:ascii="Lato" w:hAnsi="Lato"/>
        </w:rPr>
        <w:t xml:space="preserve">do ograniczenia </w:t>
      </w:r>
      <w:r w:rsidR="003043BB" w:rsidRPr="00FA13F0">
        <w:rPr>
          <w:rFonts w:ascii="Lato" w:hAnsi="Lato"/>
        </w:rPr>
        <w:t>pozysk</w:t>
      </w:r>
      <w:r w:rsidR="00B545CD">
        <w:rPr>
          <w:rFonts w:ascii="Lato" w:hAnsi="Lato"/>
        </w:rPr>
        <w:t>iw</w:t>
      </w:r>
      <w:r w:rsidR="003043BB" w:rsidRPr="00FA13F0">
        <w:rPr>
          <w:rFonts w:ascii="Lato" w:hAnsi="Lato"/>
        </w:rPr>
        <w:t>ania energii pierwotnej z innych surowców o wyższym wskaźniku emisyjności</w:t>
      </w:r>
      <w:r w:rsidR="001502F5">
        <w:rPr>
          <w:rFonts w:ascii="Lato" w:hAnsi="Lato"/>
        </w:rPr>
        <w:t xml:space="preserve">. </w:t>
      </w:r>
      <w:r w:rsidR="00D554EC">
        <w:rPr>
          <w:rFonts w:ascii="Lato" w:hAnsi="Lato"/>
        </w:rPr>
        <w:br w:type="page"/>
      </w:r>
    </w:p>
    <w:p w14:paraId="63AB2190" w14:textId="3F4885C3" w:rsidR="00B03DBA" w:rsidRPr="00C758B1" w:rsidRDefault="00C7771E" w:rsidP="00A819AD">
      <w:pPr>
        <w:pStyle w:val="Rozdzia1"/>
        <w:rPr>
          <w:rFonts w:ascii="Lato" w:hAnsi="Lato"/>
        </w:rPr>
      </w:pPr>
      <w:bookmarkStart w:id="269" w:name="_Toc19782952"/>
      <w:bookmarkStart w:id="270" w:name="_Toc142469575"/>
      <w:r w:rsidRPr="00C758B1">
        <w:rPr>
          <w:rFonts w:ascii="Lato" w:hAnsi="Lato"/>
        </w:rPr>
        <w:lastRenderedPageBreak/>
        <w:t>Środki zapobiegawcze</w:t>
      </w:r>
      <w:bookmarkEnd w:id="269"/>
      <w:bookmarkEnd w:id="270"/>
    </w:p>
    <w:p w14:paraId="373379EA" w14:textId="77777777" w:rsidR="00B03DBA" w:rsidRPr="00C758B1" w:rsidRDefault="00C7771E" w:rsidP="00086AFF">
      <w:pPr>
        <w:pStyle w:val="Rozdzia2"/>
        <w:spacing w:after="120"/>
        <w:rPr>
          <w:rFonts w:ascii="Lato" w:hAnsi="Lato"/>
        </w:rPr>
      </w:pPr>
      <w:bookmarkStart w:id="271" w:name="_Toc19782953"/>
      <w:bookmarkStart w:id="272" w:name="_Toc142469576"/>
      <w:r w:rsidRPr="00C758B1">
        <w:rPr>
          <w:rFonts w:ascii="Lato" w:hAnsi="Lato"/>
        </w:rPr>
        <w:t>Środki rynkowe</w:t>
      </w:r>
      <w:bookmarkEnd w:id="271"/>
      <w:bookmarkEnd w:id="272"/>
      <w:r w:rsidRPr="00C758B1">
        <w:rPr>
          <w:rFonts w:ascii="Lato" w:hAnsi="Lato"/>
        </w:rPr>
        <w:t xml:space="preserve"> </w:t>
      </w:r>
    </w:p>
    <w:p w14:paraId="4CD8CF5D" w14:textId="77777777" w:rsidR="00B03DBA" w:rsidRPr="00A819AD" w:rsidRDefault="00C7771E" w:rsidP="001502F5">
      <w:pPr>
        <w:spacing w:after="60" w:line="276" w:lineRule="auto"/>
        <w:rPr>
          <w:rFonts w:ascii="Lato" w:hAnsi="Lato"/>
        </w:rPr>
      </w:pPr>
      <w:r w:rsidRPr="00A819AD">
        <w:tab/>
      </w:r>
      <w:r w:rsidRPr="00A819AD">
        <w:rPr>
          <w:rFonts w:ascii="Lato" w:hAnsi="Lato"/>
        </w:rPr>
        <w:t xml:space="preserve">Środki zapewniające bezpieczeństwo dostaw gazu ziemnego dotyczące strony podażowej: </w:t>
      </w:r>
    </w:p>
    <w:p w14:paraId="3497F5F5" w14:textId="399A42F3" w:rsidR="00B03DBA" w:rsidRPr="00A819AD" w:rsidRDefault="00192491" w:rsidP="0EC3A2CD">
      <w:pPr>
        <w:pStyle w:val="Akapitzlist"/>
        <w:numPr>
          <w:ilvl w:val="0"/>
          <w:numId w:val="14"/>
        </w:numPr>
        <w:spacing w:after="60" w:line="276" w:lineRule="auto"/>
        <w:rPr>
          <w:rFonts w:ascii="Lato" w:hAnsi="Lato"/>
        </w:rPr>
      </w:pPr>
      <w:r w:rsidRPr="0EC3A2CD">
        <w:rPr>
          <w:rFonts w:ascii="Lato" w:hAnsi="Lato"/>
          <w:i/>
          <w:iCs/>
        </w:rPr>
        <w:t>z</w:t>
      </w:r>
      <w:r w:rsidR="00C7771E" w:rsidRPr="0EC3A2CD">
        <w:rPr>
          <w:rFonts w:ascii="Lato" w:hAnsi="Lato"/>
          <w:i/>
          <w:iCs/>
        </w:rPr>
        <w:t xml:space="preserve">większenie elastyczności produkcji </w:t>
      </w:r>
      <w:r w:rsidR="00C7771E" w:rsidRPr="0EC3A2CD">
        <w:rPr>
          <w:rFonts w:ascii="Lato" w:hAnsi="Lato"/>
        </w:rPr>
        <w:t xml:space="preserve">– ze względu na konieczność zapewnienia racjonalnego gospodarowania złożami gazu ziemnego nie ma możliwości znacznego zwiększenia wydobycia gazu ziemnego w przypadku wystąpienia sytuacji kryzysowej. </w:t>
      </w:r>
      <w:r w:rsidR="00C7771E" w:rsidRPr="0EC3A2CD">
        <w:rPr>
          <w:rFonts w:ascii="Lato" w:eastAsia="Malgun Gothic" w:hAnsi="Lato"/>
        </w:rPr>
        <w:t>Maksymalna zdolno</w:t>
      </w:r>
      <w:r w:rsidR="00C7771E" w:rsidRPr="0EC3A2CD">
        <w:rPr>
          <w:rFonts w:ascii="Lato" w:eastAsia="Malgun Gothic" w:hAnsi="Lato" w:cs="Calibri"/>
        </w:rPr>
        <w:t>ść</w:t>
      </w:r>
      <w:r w:rsidR="00C7771E" w:rsidRPr="0EC3A2CD">
        <w:rPr>
          <w:rFonts w:ascii="Lato" w:eastAsia="Malgun Gothic" w:hAnsi="Lato"/>
        </w:rPr>
        <w:t xml:space="preserve"> produkcyjna w </w:t>
      </w:r>
      <w:r w:rsidR="00505522" w:rsidRPr="0EC3A2CD">
        <w:rPr>
          <w:rFonts w:ascii="Lato" w:eastAsia="Malgun Gothic" w:hAnsi="Lato"/>
        </w:rPr>
        <w:t xml:space="preserve">2022 </w:t>
      </w:r>
      <w:r w:rsidR="00C7771E" w:rsidRPr="0EC3A2CD">
        <w:rPr>
          <w:rFonts w:ascii="Lato" w:eastAsia="Malgun Gothic" w:hAnsi="Lato"/>
        </w:rPr>
        <w:t xml:space="preserve">r. wyniosła </w:t>
      </w:r>
      <w:r w:rsidR="00BD5B7F" w:rsidRPr="0EC3A2CD">
        <w:rPr>
          <w:rFonts w:ascii="Lato" w:eastAsia="Malgun Gothic" w:hAnsi="Lato"/>
        </w:rPr>
        <w:t xml:space="preserve">13,894 </w:t>
      </w:r>
      <w:r w:rsidR="00C7771E" w:rsidRPr="0EC3A2CD">
        <w:rPr>
          <w:rFonts w:ascii="Lato" w:eastAsia="Malgun Gothic" w:hAnsi="Lato"/>
        </w:rPr>
        <w:t>mln m</w:t>
      </w:r>
      <w:r w:rsidR="00C7771E" w:rsidRPr="0EC3A2CD">
        <w:rPr>
          <w:rFonts w:ascii="Lato" w:eastAsia="Malgun Gothic" w:hAnsi="Lato"/>
          <w:vertAlign w:val="superscript"/>
        </w:rPr>
        <w:t>3</w:t>
      </w:r>
      <w:r w:rsidR="00C7771E" w:rsidRPr="0EC3A2CD">
        <w:rPr>
          <w:rFonts w:ascii="Lato" w:eastAsia="Malgun Gothic" w:hAnsi="Lato"/>
        </w:rPr>
        <w:t>/dob</w:t>
      </w:r>
      <w:r w:rsidR="00C7771E" w:rsidRPr="0EC3A2CD">
        <w:rPr>
          <w:rFonts w:ascii="Lato" w:eastAsia="Malgun Gothic" w:hAnsi="Lato" w:cs="Calibri"/>
        </w:rPr>
        <w:t>ę</w:t>
      </w:r>
      <w:r w:rsidR="00C7771E" w:rsidRPr="0EC3A2CD">
        <w:rPr>
          <w:rFonts w:ascii="Lato" w:eastAsia="Malgun Gothic" w:hAnsi="Lato"/>
        </w:rPr>
        <w:t xml:space="preserve"> (</w:t>
      </w:r>
      <w:r w:rsidR="00BD5B7F" w:rsidRPr="0EC3A2CD">
        <w:rPr>
          <w:rFonts w:ascii="Lato" w:eastAsia="Malgun Gothic" w:hAnsi="Lato"/>
        </w:rPr>
        <w:t>116,01</w:t>
      </w:r>
      <w:r w:rsidR="00C7771E" w:rsidRPr="0EC3A2CD">
        <w:rPr>
          <w:rFonts w:ascii="Lato" w:eastAsia="Malgun Gothic" w:hAnsi="Lato"/>
        </w:rPr>
        <w:t> GWh/dob</w:t>
      </w:r>
      <w:r w:rsidR="00C7771E" w:rsidRPr="0EC3A2CD">
        <w:rPr>
          <w:rFonts w:ascii="Lato" w:eastAsia="Malgun Gothic" w:hAnsi="Lato" w:cs="Calibri"/>
        </w:rPr>
        <w:t>ę</w:t>
      </w:r>
      <w:r w:rsidR="00C7771E" w:rsidRPr="0EC3A2CD">
        <w:rPr>
          <w:rFonts w:ascii="Lato" w:eastAsia="Malgun Gothic" w:hAnsi="Lato"/>
        </w:rPr>
        <w:t>)</w:t>
      </w:r>
      <w:r w:rsidR="00CB2DC6" w:rsidRPr="0EC3A2CD">
        <w:rPr>
          <w:rFonts w:ascii="Lato" w:eastAsia="Malgun Gothic" w:hAnsi="Lato"/>
        </w:rPr>
        <w:t>;</w:t>
      </w:r>
    </w:p>
    <w:p w14:paraId="44C3834F" w14:textId="0D3E0A28" w:rsidR="00B03DBA" w:rsidRPr="00A819AD" w:rsidRDefault="00192491">
      <w:pPr>
        <w:pStyle w:val="Akapitzlist"/>
        <w:numPr>
          <w:ilvl w:val="0"/>
          <w:numId w:val="14"/>
        </w:numPr>
        <w:spacing w:after="60" w:line="276" w:lineRule="auto"/>
        <w:contextualSpacing w:val="0"/>
        <w:rPr>
          <w:rFonts w:ascii="Lato" w:hAnsi="Lato"/>
        </w:rPr>
      </w:pPr>
      <w:r>
        <w:rPr>
          <w:rFonts w:ascii="Lato" w:hAnsi="Lato"/>
          <w:i/>
        </w:rPr>
        <w:t>z</w:t>
      </w:r>
      <w:r w:rsidR="00C7771E" w:rsidRPr="00A819AD">
        <w:rPr>
          <w:rFonts w:ascii="Lato" w:hAnsi="Lato"/>
          <w:i/>
        </w:rPr>
        <w:t>większenie elastyczności importu</w:t>
      </w:r>
      <w:r w:rsidR="00C7771E" w:rsidRPr="00A819AD">
        <w:rPr>
          <w:rFonts w:ascii="Lato" w:hAnsi="Lato"/>
        </w:rPr>
        <w:t xml:space="preserve"> – możliwość dostaw gazu do krajowego systemu przesyłowego </w:t>
      </w:r>
      <w:r w:rsidR="006139EC" w:rsidRPr="00A819AD">
        <w:rPr>
          <w:rFonts w:ascii="Lato" w:hAnsi="Lato"/>
        </w:rPr>
        <w:t xml:space="preserve">przy wykorzystaniu </w:t>
      </w:r>
      <w:r w:rsidR="005604EA" w:rsidRPr="00FA13F0">
        <w:rPr>
          <w:rFonts w:ascii="Lato" w:hAnsi="Lato"/>
        </w:rPr>
        <w:t xml:space="preserve">wszystkich połączeń międzysystemowych. </w:t>
      </w:r>
      <w:r w:rsidR="00BD0AEB" w:rsidRPr="00FA13F0">
        <w:rPr>
          <w:rFonts w:ascii="Lato" w:hAnsi="Lato"/>
        </w:rPr>
        <w:t>Zdolność techniczna</w:t>
      </w:r>
      <w:r w:rsidR="00BD0AEB" w:rsidRPr="00A819AD">
        <w:rPr>
          <w:rFonts w:ascii="Lato" w:hAnsi="Lato"/>
        </w:rPr>
        <w:t xml:space="preserve"> na </w:t>
      </w:r>
      <w:r w:rsidR="00BD0AEB" w:rsidRPr="00FA13F0">
        <w:rPr>
          <w:rFonts w:ascii="Lato" w:hAnsi="Lato"/>
        </w:rPr>
        <w:t xml:space="preserve">zasadach ciągłych </w:t>
      </w:r>
      <w:r w:rsidR="00181C06" w:rsidRPr="00FA13F0">
        <w:rPr>
          <w:rFonts w:ascii="Lato" w:hAnsi="Lato"/>
        </w:rPr>
        <w:t xml:space="preserve">wynosi </w:t>
      </w:r>
      <w:r w:rsidR="007C7F6C" w:rsidRPr="00FA13F0">
        <w:rPr>
          <w:rFonts w:ascii="Lato" w:hAnsi="Lato"/>
        </w:rPr>
        <w:t>111,7</w:t>
      </w:r>
      <w:r w:rsidR="00181C06" w:rsidRPr="00FA13F0">
        <w:rPr>
          <w:rFonts w:ascii="Lato" w:hAnsi="Lato"/>
        </w:rPr>
        <w:t xml:space="preserve"> mln m</w:t>
      </w:r>
      <w:r w:rsidR="00181C06" w:rsidRPr="00FA13F0">
        <w:rPr>
          <w:rFonts w:ascii="Lato" w:hAnsi="Lato"/>
          <w:vertAlign w:val="superscript"/>
        </w:rPr>
        <w:t>3</w:t>
      </w:r>
      <w:r w:rsidR="00181C06" w:rsidRPr="00FA13F0">
        <w:rPr>
          <w:rFonts w:ascii="Lato" w:hAnsi="Lato"/>
        </w:rPr>
        <w:t>/d (</w:t>
      </w:r>
      <w:r w:rsidR="00DB4A7C" w:rsidRPr="00FA13F0">
        <w:rPr>
          <w:rFonts w:ascii="Lato" w:hAnsi="Lato"/>
        </w:rPr>
        <w:t>1 271,1</w:t>
      </w:r>
      <w:r w:rsidR="00181C06" w:rsidRPr="00FA13F0">
        <w:rPr>
          <w:rFonts w:ascii="Lato" w:hAnsi="Lato"/>
        </w:rPr>
        <w:t xml:space="preserve"> GWh/d)</w:t>
      </w:r>
      <w:r w:rsidR="00EC57AF" w:rsidRPr="00FA13F0">
        <w:rPr>
          <w:rFonts w:ascii="Lato" w:hAnsi="Lato"/>
        </w:rPr>
        <w:t>;</w:t>
      </w:r>
    </w:p>
    <w:p w14:paraId="1B91363B" w14:textId="6A7FAE42" w:rsidR="00B03DBA" w:rsidRPr="00A819AD" w:rsidRDefault="00192491">
      <w:pPr>
        <w:pStyle w:val="Akapitzlist"/>
        <w:numPr>
          <w:ilvl w:val="0"/>
          <w:numId w:val="14"/>
        </w:numPr>
        <w:spacing w:after="60" w:line="276" w:lineRule="auto"/>
        <w:contextualSpacing w:val="0"/>
        <w:rPr>
          <w:rFonts w:ascii="Lato" w:hAnsi="Lato"/>
          <w:i/>
        </w:rPr>
      </w:pPr>
      <w:r>
        <w:rPr>
          <w:rFonts w:ascii="Lato" w:hAnsi="Lato"/>
          <w:i/>
        </w:rPr>
        <w:t>k</w:t>
      </w:r>
      <w:r w:rsidR="00C7771E" w:rsidRPr="00A819AD">
        <w:rPr>
          <w:rFonts w:ascii="Lato" w:hAnsi="Lato"/>
          <w:i/>
        </w:rPr>
        <w:t xml:space="preserve">omercyjne magazynowanie gazu ziemnego - zdolność odbioru i ilość zmagazynowanego gazu ziemnego – </w:t>
      </w:r>
      <w:r w:rsidR="00C7771E" w:rsidRPr="00FA13F0">
        <w:rPr>
          <w:rFonts w:ascii="Lato" w:hAnsi="Lato"/>
        </w:rPr>
        <w:t xml:space="preserve">w Polsce funkcjonuje siedem podziemnych magazynów gazu ziemnego wysokometanowego, których całkowita dostępna pojemność czynna wynosi ponad </w:t>
      </w:r>
      <w:r w:rsidR="00881BEA" w:rsidRPr="00FA13F0">
        <w:rPr>
          <w:rFonts w:ascii="Lato" w:hAnsi="Lato"/>
        </w:rPr>
        <w:t>3,</w:t>
      </w:r>
      <w:r w:rsidR="000343BE" w:rsidRPr="00FA13F0">
        <w:rPr>
          <w:rFonts w:ascii="Lato" w:hAnsi="Lato"/>
        </w:rPr>
        <w:t>23</w:t>
      </w:r>
      <w:r w:rsidR="00C7771E" w:rsidRPr="00FA13F0">
        <w:rPr>
          <w:rFonts w:ascii="Lato" w:hAnsi="Lato"/>
        </w:rPr>
        <w:t> mld m</w:t>
      </w:r>
      <w:r w:rsidR="00C7771E" w:rsidRPr="00FA13F0">
        <w:rPr>
          <w:rFonts w:ascii="Lato" w:hAnsi="Lato"/>
          <w:vertAlign w:val="superscript"/>
        </w:rPr>
        <w:t>3</w:t>
      </w:r>
      <w:r w:rsidR="00C7771E" w:rsidRPr="00FA13F0">
        <w:rPr>
          <w:rFonts w:ascii="Lato" w:hAnsi="Lato"/>
        </w:rPr>
        <w:t xml:space="preserve"> (3</w:t>
      </w:r>
      <w:r w:rsidR="000343BE" w:rsidRPr="00FA13F0">
        <w:rPr>
          <w:rFonts w:ascii="Lato" w:hAnsi="Lato"/>
        </w:rPr>
        <w:t>6</w:t>
      </w:r>
      <w:r w:rsidR="00C7771E" w:rsidRPr="00FA13F0">
        <w:rPr>
          <w:rFonts w:ascii="Lato" w:hAnsi="Lato"/>
        </w:rPr>
        <w:t>,</w:t>
      </w:r>
      <w:r w:rsidR="000343BE" w:rsidRPr="00FA13F0">
        <w:rPr>
          <w:rFonts w:ascii="Lato" w:hAnsi="Lato"/>
        </w:rPr>
        <w:t>41</w:t>
      </w:r>
      <w:r w:rsidR="00C7771E" w:rsidRPr="00FA13F0">
        <w:rPr>
          <w:rFonts w:ascii="Lato" w:hAnsi="Lato"/>
        </w:rPr>
        <w:t xml:space="preserve"> TWh)</w:t>
      </w:r>
      <w:r>
        <w:rPr>
          <w:rFonts w:ascii="Lato" w:hAnsi="Lato"/>
        </w:rPr>
        <w:t>.</w:t>
      </w:r>
      <w:r w:rsidR="00C7771E" w:rsidRPr="00FA13F0">
        <w:rPr>
          <w:rFonts w:ascii="Lato" w:hAnsi="Lato"/>
        </w:rPr>
        <w:t xml:space="preserve"> </w:t>
      </w:r>
      <w:r>
        <w:rPr>
          <w:rFonts w:ascii="Lato" w:hAnsi="Lato"/>
        </w:rPr>
        <w:t>P</w:t>
      </w:r>
      <w:r w:rsidR="000343BE" w:rsidRPr="00FA13F0">
        <w:rPr>
          <w:rFonts w:ascii="Lato" w:hAnsi="Lato"/>
        </w:rPr>
        <w:t>lanowana</w:t>
      </w:r>
      <w:r w:rsidR="00C7771E" w:rsidRPr="00FA13F0">
        <w:rPr>
          <w:rFonts w:ascii="Lato" w:hAnsi="Lato"/>
        </w:rPr>
        <w:t xml:space="preserve"> rozbudowa PMG </w:t>
      </w:r>
      <w:r w:rsidR="000343BE" w:rsidRPr="00FA13F0">
        <w:rPr>
          <w:rFonts w:ascii="Lato" w:hAnsi="Lato"/>
        </w:rPr>
        <w:t xml:space="preserve">Wierzchowice </w:t>
      </w:r>
      <w:r w:rsidR="00C7771E" w:rsidRPr="00FA13F0">
        <w:rPr>
          <w:rFonts w:ascii="Lato" w:hAnsi="Lato"/>
        </w:rPr>
        <w:t xml:space="preserve">umożliwi zwiększenie pojemności czynnej tego magazynu do </w:t>
      </w:r>
      <w:r w:rsidR="000343BE" w:rsidRPr="00FA13F0">
        <w:rPr>
          <w:rFonts w:ascii="Lato" w:hAnsi="Lato"/>
        </w:rPr>
        <w:t xml:space="preserve">2,1 mld </w:t>
      </w:r>
      <w:r w:rsidR="00C7771E" w:rsidRPr="00FA13F0">
        <w:rPr>
          <w:rFonts w:ascii="Lato" w:hAnsi="Lato"/>
        </w:rPr>
        <w:t>m</w:t>
      </w:r>
      <w:r w:rsidR="00C7771E" w:rsidRPr="00FA13F0">
        <w:rPr>
          <w:rFonts w:ascii="Lato" w:hAnsi="Lato"/>
          <w:vertAlign w:val="superscript"/>
        </w:rPr>
        <w:t>3</w:t>
      </w:r>
      <w:r w:rsidR="00C7771E" w:rsidRPr="00FA13F0">
        <w:rPr>
          <w:rFonts w:ascii="Lato" w:hAnsi="Lato"/>
        </w:rPr>
        <w:t xml:space="preserve"> (</w:t>
      </w:r>
      <w:r w:rsidR="000343BE" w:rsidRPr="00FA13F0">
        <w:rPr>
          <w:rFonts w:ascii="Lato" w:hAnsi="Lato"/>
        </w:rPr>
        <w:t>23,8</w:t>
      </w:r>
      <w:r w:rsidR="00C7771E" w:rsidRPr="00FA13F0">
        <w:rPr>
          <w:rFonts w:ascii="Lato" w:hAnsi="Lato"/>
        </w:rPr>
        <w:t xml:space="preserve"> TWh), co przyczyni się do wzrostu całkowitej pojemności czynnej do poziomu ok. </w:t>
      </w:r>
      <w:r w:rsidR="000343BE" w:rsidRPr="00FA13F0">
        <w:rPr>
          <w:rFonts w:ascii="Lato" w:hAnsi="Lato"/>
        </w:rPr>
        <w:t>4,03</w:t>
      </w:r>
      <w:r w:rsidR="00C7771E" w:rsidRPr="00FA13F0">
        <w:rPr>
          <w:rFonts w:ascii="Lato" w:hAnsi="Lato"/>
        </w:rPr>
        <w:t xml:space="preserve"> mld m</w:t>
      </w:r>
      <w:r w:rsidR="00C7771E" w:rsidRPr="00FA13F0">
        <w:rPr>
          <w:rFonts w:ascii="Lato" w:hAnsi="Lato"/>
          <w:vertAlign w:val="superscript"/>
        </w:rPr>
        <w:t>3</w:t>
      </w:r>
      <w:r w:rsidR="00C7771E" w:rsidRPr="00FA13F0">
        <w:rPr>
          <w:rFonts w:ascii="Lato" w:hAnsi="Lato"/>
        </w:rPr>
        <w:t xml:space="preserve"> (</w:t>
      </w:r>
      <w:r w:rsidR="000343BE" w:rsidRPr="00FA13F0">
        <w:rPr>
          <w:rFonts w:ascii="Lato" w:hAnsi="Lato"/>
        </w:rPr>
        <w:t>45,4</w:t>
      </w:r>
      <w:r w:rsidR="00C7771E" w:rsidRPr="00FA13F0">
        <w:rPr>
          <w:rFonts w:ascii="Lato" w:hAnsi="Lato"/>
        </w:rPr>
        <w:t xml:space="preserve"> TWh)</w:t>
      </w:r>
      <w:r>
        <w:rPr>
          <w:rFonts w:ascii="Lato" w:hAnsi="Lato"/>
        </w:rPr>
        <w:t>;</w:t>
      </w:r>
      <w:r w:rsidR="00C7771E" w:rsidRPr="00FA13F0">
        <w:rPr>
          <w:rFonts w:ascii="Lato" w:hAnsi="Lato"/>
        </w:rPr>
        <w:t xml:space="preserve"> </w:t>
      </w:r>
    </w:p>
    <w:p w14:paraId="2CDA48AE" w14:textId="597329B1" w:rsidR="00B03DBA" w:rsidRPr="00A819AD" w:rsidRDefault="00192491">
      <w:pPr>
        <w:pStyle w:val="Akapitzlist"/>
        <w:numPr>
          <w:ilvl w:val="0"/>
          <w:numId w:val="14"/>
        </w:numPr>
        <w:spacing w:after="60" w:line="276" w:lineRule="auto"/>
        <w:contextualSpacing w:val="0"/>
        <w:rPr>
          <w:rFonts w:ascii="Lato" w:hAnsi="Lato"/>
          <w:i/>
        </w:rPr>
      </w:pPr>
      <w:r>
        <w:rPr>
          <w:rFonts w:ascii="Lato" w:hAnsi="Lato"/>
          <w:i/>
        </w:rPr>
        <w:t>z</w:t>
      </w:r>
      <w:r w:rsidR="00C7771E" w:rsidRPr="00A819AD">
        <w:rPr>
          <w:rFonts w:ascii="Lato" w:hAnsi="Lato"/>
          <w:i/>
        </w:rPr>
        <w:t xml:space="preserve">dolność terminalu LNG i maksymalna zdolność wysyłkowa – </w:t>
      </w:r>
      <w:r w:rsidR="00C7771E" w:rsidRPr="00A819AD">
        <w:rPr>
          <w:rFonts w:ascii="Lato" w:hAnsi="Lato"/>
        </w:rPr>
        <w:t>t</w:t>
      </w:r>
      <w:r w:rsidR="00C7771E" w:rsidRPr="00FA13F0">
        <w:rPr>
          <w:rFonts w:ascii="Lato" w:hAnsi="Lato"/>
        </w:rPr>
        <w:t xml:space="preserve">erminal LNG w Świnoujściu umożliwia odbiór gazu ziemnego na poziomie </w:t>
      </w:r>
      <w:r w:rsidR="00221C10" w:rsidRPr="00FA13F0">
        <w:rPr>
          <w:rFonts w:ascii="Lato" w:hAnsi="Lato"/>
        </w:rPr>
        <w:t>19</w:t>
      </w:r>
      <w:r w:rsidR="00C7771E" w:rsidRPr="00FA13F0">
        <w:rPr>
          <w:rFonts w:ascii="Lato" w:hAnsi="Lato"/>
        </w:rPr>
        <w:t>,7 mln m³/dobę (</w:t>
      </w:r>
      <w:r w:rsidR="00221C10" w:rsidRPr="00FA13F0">
        <w:rPr>
          <w:rFonts w:ascii="Lato" w:hAnsi="Lato"/>
        </w:rPr>
        <w:t xml:space="preserve">227,3 </w:t>
      </w:r>
      <w:r w:rsidR="00C7771E" w:rsidRPr="00FA13F0">
        <w:rPr>
          <w:rFonts w:ascii="Lato" w:hAnsi="Lato"/>
        </w:rPr>
        <w:t>GWh/dobę),</w:t>
      </w:r>
      <w:r w:rsidR="00CD3372">
        <w:rPr>
          <w:rFonts w:ascii="Lato" w:hAnsi="Lato"/>
        </w:rPr>
        <w:t xml:space="preserve"> </w:t>
      </w:r>
      <w:r w:rsidR="00C7771E" w:rsidRPr="00FA13F0">
        <w:rPr>
          <w:rFonts w:ascii="Lato" w:hAnsi="Lato"/>
        </w:rPr>
        <w:t xml:space="preserve">co stanowi </w:t>
      </w:r>
      <w:r w:rsidR="004D46CF" w:rsidRPr="00FA13F0">
        <w:rPr>
          <w:rFonts w:ascii="Lato" w:hAnsi="Lato"/>
        </w:rPr>
        <w:t xml:space="preserve">6,2 </w:t>
      </w:r>
      <w:r w:rsidR="00C7771E" w:rsidRPr="00FA13F0">
        <w:rPr>
          <w:rFonts w:ascii="Lato" w:hAnsi="Lato"/>
        </w:rPr>
        <w:t>mld m</w:t>
      </w:r>
      <w:r w:rsidR="00C7771E" w:rsidRPr="00FA13F0">
        <w:rPr>
          <w:rFonts w:ascii="Lato" w:hAnsi="Lato"/>
          <w:vertAlign w:val="superscript"/>
        </w:rPr>
        <w:t>3</w:t>
      </w:r>
      <w:r w:rsidR="00C7771E" w:rsidRPr="00FA13F0">
        <w:rPr>
          <w:rFonts w:ascii="Lato" w:hAnsi="Lato"/>
        </w:rPr>
        <w:t>/rok (</w:t>
      </w:r>
      <w:r w:rsidR="0065795A" w:rsidRPr="00FA13F0">
        <w:rPr>
          <w:rFonts w:ascii="Lato" w:hAnsi="Lato"/>
        </w:rPr>
        <w:t>71,54</w:t>
      </w:r>
      <w:r w:rsidR="00C7771E" w:rsidRPr="00FA13F0">
        <w:rPr>
          <w:rFonts w:ascii="Lato" w:hAnsi="Lato"/>
        </w:rPr>
        <w:t xml:space="preserve"> TWh/rok) gazu ziemnego po regazyfikacji</w:t>
      </w:r>
      <w:r w:rsidR="00CD3372">
        <w:rPr>
          <w:rFonts w:ascii="Lato" w:hAnsi="Lato"/>
        </w:rPr>
        <w:t>. T</w:t>
      </w:r>
      <w:r w:rsidR="00C7771E" w:rsidRPr="00FA13F0">
        <w:rPr>
          <w:rFonts w:ascii="Lato" w:hAnsi="Lato"/>
        </w:rPr>
        <w:t xml:space="preserve">rwająca obecnie rozbudowa terminalu LNG </w:t>
      </w:r>
      <w:r w:rsidR="00FB03C1">
        <w:rPr>
          <w:rFonts w:ascii="Lato" w:hAnsi="Lato"/>
        </w:rPr>
        <w:t xml:space="preserve">ma </w:t>
      </w:r>
      <w:r w:rsidR="00C7771E" w:rsidRPr="00FA13F0">
        <w:rPr>
          <w:rFonts w:ascii="Lato" w:hAnsi="Lato"/>
        </w:rPr>
        <w:t>umożliwi</w:t>
      </w:r>
      <w:r w:rsidR="00FB03C1">
        <w:rPr>
          <w:rFonts w:ascii="Lato" w:hAnsi="Lato"/>
        </w:rPr>
        <w:t>ć</w:t>
      </w:r>
      <w:r w:rsidR="00C7771E" w:rsidRPr="00FA13F0">
        <w:rPr>
          <w:rFonts w:ascii="Lato" w:hAnsi="Lato"/>
        </w:rPr>
        <w:t xml:space="preserve"> zwiększenie zdolności regazyfikacyjnej terminalu do poziomu</w:t>
      </w:r>
      <w:r w:rsidR="00AC5829" w:rsidRPr="00FA13F0">
        <w:rPr>
          <w:rFonts w:ascii="Lato" w:hAnsi="Lato"/>
        </w:rPr>
        <w:t xml:space="preserve"> 8,3</w:t>
      </w:r>
      <w:r w:rsidR="00EC57AF" w:rsidRPr="00FA13F0">
        <w:rPr>
          <w:rFonts w:ascii="Lato" w:hAnsi="Lato"/>
        </w:rPr>
        <w:t xml:space="preserve"> </w:t>
      </w:r>
      <w:r w:rsidR="00C7771E" w:rsidRPr="00FA13F0">
        <w:rPr>
          <w:rFonts w:ascii="Lato" w:hAnsi="Lato"/>
        </w:rPr>
        <w:t>mld m</w:t>
      </w:r>
      <w:r w:rsidR="00C7771E" w:rsidRPr="00FA13F0">
        <w:rPr>
          <w:rFonts w:ascii="Lato" w:hAnsi="Lato"/>
          <w:vertAlign w:val="superscript"/>
        </w:rPr>
        <w:t>3</w:t>
      </w:r>
      <w:r w:rsidR="00C7771E" w:rsidRPr="00FA13F0">
        <w:rPr>
          <w:rFonts w:ascii="Lato" w:hAnsi="Lato"/>
        </w:rPr>
        <w:t>/rok (</w:t>
      </w:r>
      <w:r w:rsidR="00727395" w:rsidRPr="00FA13F0">
        <w:rPr>
          <w:rFonts w:ascii="Lato" w:hAnsi="Lato"/>
        </w:rPr>
        <w:t>95,77</w:t>
      </w:r>
      <w:r w:rsidR="00C7771E" w:rsidRPr="00FA13F0">
        <w:rPr>
          <w:rFonts w:ascii="Lato" w:hAnsi="Lato"/>
        </w:rPr>
        <w:t xml:space="preserve"> TWh/rok) </w:t>
      </w:r>
      <w:r w:rsidR="00382F29">
        <w:rPr>
          <w:rFonts w:ascii="Lato" w:hAnsi="Lato"/>
        </w:rPr>
        <w:t>na koniec</w:t>
      </w:r>
      <w:r w:rsidR="00C7771E" w:rsidRPr="00FA13F0">
        <w:rPr>
          <w:rFonts w:ascii="Lato" w:hAnsi="Lato"/>
        </w:rPr>
        <w:t xml:space="preserve"> </w:t>
      </w:r>
      <w:r w:rsidR="004D46CF" w:rsidRPr="00FA13F0">
        <w:rPr>
          <w:rFonts w:ascii="Lato" w:hAnsi="Lato"/>
        </w:rPr>
        <w:t xml:space="preserve">2023 </w:t>
      </w:r>
      <w:r w:rsidR="00C7771E" w:rsidRPr="00FA13F0">
        <w:rPr>
          <w:rFonts w:ascii="Lato" w:hAnsi="Lato"/>
        </w:rPr>
        <w:t>r.</w:t>
      </w:r>
      <w:r w:rsidR="00EC57AF" w:rsidRPr="00FA13F0">
        <w:rPr>
          <w:rFonts w:ascii="Lato" w:hAnsi="Lato"/>
        </w:rPr>
        <w:t>;</w:t>
      </w:r>
    </w:p>
    <w:p w14:paraId="4D230D7B" w14:textId="3ACACF0D" w:rsidR="00B03DBA" w:rsidRPr="00FA13F0" w:rsidRDefault="00CD3372">
      <w:pPr>
        <w:pStyle w:val="Akapitzlist"/>
        <w:numPr>
          <w:ilvl w:val="0"/>
          <w:numId w:val="14"/>
        </w:numPr>
        <w:spacing w:after="60" w:line="276" w:lineRule="auto"/>
        <w:contextualSpacing w:val="0"/>
        <w:rPr>
          <w:rFonts w:ascii="Lato" w:hAnsi="Lato"/>
        </w:rPr>
      </w:pPr>
      <w:r>
        <w:rPr>
          <w:rFonts w:ascii="Lato" w:hAnsi="Lato"/>
          <w:i/>
        </w:rPr>
        <w:t>d</w:t>
      </w:r>
      <w:r w:rsidR="00C7771E" w:rsidRPr="00A819AD">
        <w:rPr>
          <w:rFonts w:ascii="Lato" w:hAnsi="Lato"/>
          <w:i/>
        </w:rPr>
        <w:t>ywersyfikacja źródeł gazu ziemnego i dróg dostawy</w:t>
      </w:r>
      <w:r w:rsidR="00C7771E" w:rsidRPr="00FA13F0">
        <w:rPr>
          <w:rFonts w:ascii="Lato" w:eastAsia="Calibri" w:hAnsi="Lato"/>
        </w:rPr>
        <w:t xml:space="preserve"> – transgraniczne połączenie międzysystemowe pomiędzy </w:t>
      </w:r>
      <w:r w:rsidR="00C7771E" w:rsidRPr="00FA13F0">
        <w:rPr>
          <w:rFonts w:ascii="Lato" w:hAnsi="Lato"/>
        </w:rPr>
        <w:t>Polską i Czechami (Cieszyn) pozwala na realizację dostaw gazu ziemnego do polskiego systemu gazowego na poziomie 2,5 mln m</w:t>
      </w:r>
      <w:r w:rsidR="00C7771E" w:rsidRPr="00FA13F0">
        <w:rPr>
          <w:rFonts w:ascii="Lato" w:hAnsi="Lato"/>
          <w:vertAlign w:val="superscript"/>
        </w:rPr>
        <w:t>3</w:t>
      </w:r>
      <w:r w:rsidR="00C7771E" w:rsidRPr="00FA13F0">
        <w:rPr>
          <w:rFonts w:ascii="Lato" w:hAnsi="Lato"/>
        </w:rPr>
        <w:t>/dobę tj. 28,0 GWh/dobę w okresie od października do kwietnia oraz 0,4 mln m</w:t>
      </w:r>
      <w:r w:rsidR="00C7771E" w:rsidRPr="00FA13F0">
        <w:rPr>
          <w:rFonts w:ascii="Lato" w:hAnsi="Lato"/>
          <w:vertAlign w:val="superscript"/>
        </w:rPr>
        <w:t>3</w:t>
      </w:r>
      <w:r w:rsidR="00C7771E" w:rsidRPr="00FA13F0">
        <w:rPr>
          <w:rFonts w:ascii="Lato" w:hAnsi="Lato"/>
        </w:rPr>
        <w:t xml:space="preserve">/dobę tj. 4,3 GWh/dobę w sezonie maj-wrzesień. </w:t>
      </w:r>
      <w:r w:rsidR="00C7771E" w:rsidRPr="00FA13F0">
        <w:rPr>
          <w:rFonts w:ascii="Lato" w:hAnsi="Lato"/>
          <w:iCs/>
        </w:rPr>
        <w:t>Od 2016 r. punkty na połączeniu sieci ONTRAS (Niemcy) i Gaz-System S.A. (Polska): Gubin, Lasów oraz Kamminke i Lasów Rewers zostały połączone w punkt Grid Connection Point GAZ-SYSTEM/ONTRAS (GCP GAZ-SYSTEM/ONTRAS). Przez ww. punkt istnieje możliwość wprowadzania do krajowego systemu przesyłowego paliw gazow</w:t>
      </w:r>
      <w:r w:rsidR="00E270EB">
        <w:rPr>
          <w:rFonts w:ascii="Lato" w:hAnsi="Lato"/>
          <w:iCs/>
        </w:rPr>
        <w:t>ych</w:t>
      </w:r>
      <w:r w:rsidR="00C7771E" w:rsidRPr="00FA13F0">
        <w:rPr>
          <w:rFonts w:ascii="Lato" w:hAnsi="Lato"/>
          <w:iCs/>
        </w:rPr>
        <w:t xml:space="preserve"> na poziomie 4,4 mln m</w:t>
      </w:r>
      <w:r w:rsidR="00C7771E" w:rsidRPr="00FA13F0">
        <w:rPr>
          <w:rFonts w:ascii="Lato" w:hAnsi="Lato"/>
          <w:iCs/>
          <w:vertAlign w:val="superscript"/>
        </w:rPr>
        <w:t>3</w:t>
      </w:r>
      <w:r w:rsidR="00C7771E" w:rsidRPr="00FA13F0">
        <w:rPr>
          <w:rFonts w:ascii="Lato" w:hAnsi="Lato"/>
          <w:iCs/>
        </w:rPr>
        <w:t>/dobę (48,7 GWh/dobę)</w:t>
      </w:r>
      <w:r w:rsidR="00EC57AF" w:rsidRPr="00FA13F0">
        <w:rPr>
          <w:rFonts w:ascii="Lato" w:hAnsi="Lato"/>
          <w:iCs/>
        </w:rPr>
        <w:t>;</w:t>
      </w:r>
    </w:p>
    <w:p w14:paraId="40D5E620" w14:textId="79EE170E" w:rsidR="00B03DBA" w:rsidRPr="00A819AD" w:rsidRDefault="00CD3372">
      <w:pPr>
        <w:pStyle w:val="Akapitzlist"/>
        <w:numPr>
          <w:ilvl w:val="0"/>
          <w:numId w:val="14"/>
        </w:numPr>
        <w:spacing w:after="60" w:line="276" w:lineRule="auto"/>
        <w:contextualSpacing w:val="0"/>
        <w:rPr>
          <w:rFonts w:ascii="Lato" w:hAnsi="Lato"/>
        </w:rPr>
      </w:pPr>
      <w:r>
        <w:rPr>
          <w:rFonts w:ascii="Lato" w:hAnsi="Lato"/>
          <w:i/>
          <w:color w:val="000000"/>
        </w:rPr>
        <w:t>s</w:t>
      </w:r>
      <w:r w:rsidR="00C7771E" w:rsidRPr="00A819AD">
        <w:rPr>
          <w:rFonts w:ascii="Lato" w:hAnsi="Lato"/>
          <w:i/>
        </w:rPr>
        <w:t>tosowanie umów krótko</w:t>
      </w:r>
      <w:r w:rsidR="00A819AD">
        <w:rPr>
          <w:rFonts w:ascii="Lato" w:hAnsi="Lato"/>
          <w:i/>
        </w:rPr>
        <w:t>-</w:t>
      </w:r>
      <w:r w:rsidR="00260E89">
        <w:rPr>
          <w:rFonts w:ascii="Lato" w:hAnsi="Lato"/>
          <w:i/>
        </w:rPr>
        <w:t>, średnio-</w:t>
      </w:r>
      <w:r w:rsidR="00C7771E" w:rsidRPr="00A819AD">
        <w:rPr>
          <w:rFonts w:ascii="Lato" w:hAnsi="Lato"/>
          <w:i/>
        </w:rPr>
        <w:t xml:space="preserve"> i długoterminowych</w:t>
      </w:r>
      <w:r w:rsidR="00C7771E" w:rsidRPr="00A819AD">
        <w:rPr>
          <w:rFonts w:ascii="Lato" w:hAnsi="Lato"/>
        </w:rPr>
        <w:t xml:space="preserve"> – na </w:t>
      </w:r>
      <w:r w:rsidR="00260E89" w:rsidRPr="00A819AD">
        <w:rPr>
          <w:rFonts w:ascii="Lato" w:hAnsi="Lato"/>
        </w:rPr>
        <w:t xml:space="preserve">polskim </w:t>
      </w:r>
      <w:r w:rsidR="00C7771E" w:rsidRPr="00A819AD">
        <w:rPr>
          <w:rFonts w:ascii="Lato" w:hAnsi="Lato"/>
        </w:rPr>
        <w:t xml:space="preserve">rynku </w:t>
      </w:r>
      <w:r w:rsidR="00260E89">
        <w:rPr>
          <w:rFonts w:ascii="Lato" w:hAnsi="Lato"/>
        </w:rPr>
        <w:t xml:space="preserve">gazu ziemnego </w:t>
      </w:r>
      <w:r w:rsidR="00C7771E" w:rsidRPr="00A819AD">
        <w:rPr>
          <w:rFonts w:ascii="Lato" w:hAnsi="Lato"/>
        </w:rPr>
        <w:t xml:space="preserve">zawierane są umowy zarówno długo, </w:t>
      </w:r>
      <w:r w:rsidR="00260E89">
        <w:rPr>
          <w:rFonts w:ascii="Lato" w:hAnsi="Lato"/>
        </w:rPr>
        <w:t xml:space="preserve">jak i </w:t>
      </w:r>
      <w:r w:rsidR="00C7771E" w:rsidRPr="00A819AD">
        <w:rPr>
          <w:rFonts w:ascii="Lato" w:hAnsi="Lato"/>
        </w:rPr>
        <w:t xml:space="preserve">średnioterminowe oraz umowy ramowe umożliwiające zakupy gazu ziemnego w ramach transakcji typu spot (Towarowa Giełda Energii oferuje instrumenty: Rynek Dnia Bieżącego, Rynek Dnia </w:t>
      </w:r>
      <w:r w:rsidR="00C7771E" w:rsidRPr="00A819AD">
        <w:rPr>
          <w:rFonts w:ascii="Lato" w:hAnsi="Lato"/>
        </w:rPr>
        <w:lastRenderedPageBreak/>
        <w:t>Następnego oraz Rynek Terminowy Towarowy, na którym oferowane są produkty tygodniowe, miesięczne, kwartalne,</w:t>
      </w:r>
      <w:r>
        <w:rPr>
          <w:rFonts w:ascii="Lato" w:hAnsi="Lato"/>
        </w:rPr>
        <w:t xml:space="preserve"> </w:t>
      </w:r>
      <w:r w:rsidR="00C7771E" w:rsidRPr="00A819AD">
        <w:rPr>
          <w:rFonts w:ascii="Lato" w:hAnsi="Lato"/>
        </w:rPr>
        <w:t>sezonowe i roczne</w:t>
      </w:r>
      <w:r w:rsidR="00C7771E" w:rsidRPr="00FA13F0">
        <w:rPr>
          <w:rFonts w:ascii="Lato" w:hAnsi="Lato"/>
        </w:rPr>
        <w:t>)</w:t>
      </w:r>
      <w:r>
        <w:rPr>
          <w:rFonts w:ascii="Lato" w:hAnsi="Lato"/>
        </w:rPr>
        <w:t>;</w:t>
      </w:r>
    </w:p>
    <w:p w14:paraId="68EA285F" w14:textId="59B0A724" w:rsidR="00B03DBA" w:rsidRPr="00A819AD" w:rsidRDefault="00CD3372">
      <w:pPr>
        <w:pStyle w:val="Akapitzlist"/>
        <w:numPr>
          <w:ilvl w:val="0"/>
          <w:numId w:val="14"/>
        </w:numPr>
        <w:spacing w:after="60" w:line="276" w:lineRule="auto"/>
        <w:contextualSpacing w:val="0"/>
        <w:rPr>
          <w:rFonts w:ascii="Lato" w:hAnsi="Lato"/>
          <w:i/>
        </w:rPr>
      </w:pPr>
      <w:r>
        <w:rPr>
          <w:rFonts w:ascii="Lato" w:hAnsi="Lato"/>
          <w:i/>
        </w:rPr>
        <w:t>r</w:t>
      </w:r>
      <w:r w:rsidR="00C7771E" w:rsidRPr="00A819AD">
        <w:rPr>
          <w:rFonts w:ascii="Lato" w:hAnsi="Lato"/>
          <w:i/>
        </w:rPr>
        <w:t>ozbudowa infrastruktury, w tym zapewnienie zdolności przepływu w obu kierunkach</w:t>
      </w:r>
      <w:r w:rsidR="00A819AD">
        <w:rPr>
          <w:rFonts w:ascii="Lato" w:hAnsi="Lato"/>
          <w:i/>
        </w:rPr>
        <w:t xml:space="preserve"> </w:t>
      </w:r>
      <w:r w:rsidR="00C7771E" w:rsidRPr="00A819AD">
        <w:rPr>
          <w:rFonts w:ascii="Lato" w:hAnsi="Lato"/>
          <w:i/>
        </w:rPr>
        <w:t xml:space="preserve">- </w:t>
      </w:r>
      <w:r w:rsidR="00F962BF" w:rsidRPr="00A819AD">
        <w:rPr>
          <w:rFonts w:ascii="Lato" w:hAnsi="Lato"/>
          <w:iCs/>
        </w:rPr>
        <w:t xml:space="preserve">przekazane do </w:t>
      </w:r>
      <w:r w:rsidR="00976327" w:rsidRPr="00A819AD">
        <w:rPr>
          <w:rFonts w:ascii="Lato" w:hAnsi="Lato"/>
          <w:iCs/>
        </w:rPr>
        <w:t>użytkowania</w:t>
      </w:r>
      <w:r w:rsidR="00C7771E" w:rsidRPr="00A819AD">
        <w:rPr>
          <w:rFonts w:ascii="Lato" w:hAnsi="Lato"/>
          <w:iCs/>
        </w:rPr>
        <w:t xml:space="preserve"> inwestycje w zakresie połączeń międzysystemowych prowadzone przez polskiego operatora systemu przesyłowego uwzględniają możliwość przepływu gazu ziemnego w obu kierunkach</w:t>
      </w:r>
      <w:r w:rsidR="00C7771E" w:rsidRPr="00A819AD">
        <w:rPr>
          <w:rFonts w:ascii="Lato" w:hAnsi="Lato"/>
          <w:i/>
        </w:rPr>
        <w:t>:</w:t>
      </w:r>
    </w:p>
    <w:p w14:paraId="7A1BC10A" w14:textId="6B6C3574" w:rsidR="00B03DBA" w:rsidRPr="00FA13F0" w:rsidRDefault="00C7771E">
      <w:pPr>
        <w:pStyle w:val="Akapitzlist"/>
        <w:numPr>
          <w:ilvl w:val="0"/>
          <w:numId w:val="18"/>
        </w:numPr>
        <w:spacing w:after="60" w:line="276" w:lineRule="auto"/>
        <w:contextualSpacing w:val="0"/>
        <w:rPr>
          <w:rFonts w:ascii="Lato" w:eastAsia="Malgun Gothic" w:hAnsi="Lato"/>
        </w:rPr>
      </w:pPr>
      <w:r w:rsidRPr="00FA13F0">
        <w:rPr>
          <w:rFonts w:ascii="Lato" w:eastAsia="Malgun Gothic" w:hAnsi="Lato"/>
        </w:rPr>
        <w:t>gazoci</w:t>
      </w:r>
      <w:r w:rsidRPr="00FA13F0">
        <w:rPr>
          <w:rFonts w:ascii="Lato" w:eastAsia="Malgun Gothic" w:hAnsi="Lato" w:cs="Calibri"/>
        </w:rPr>
        <w:t>ą</w:t>
      </w:r>
      <w:r w:rsidRPr="00FA13F0">
        <w:rPr>
          <w:rFonts w:ascii="Lato" w:eastAsia="Malgun Gothic" w:hAnsi="Lato"/>
        </w:rPr>
        <w:t>g Baltic Pipe</w:t>
      </w:r>
      <w:r w:rsidR="00CD3372">
        <w:rPr>
          <w:rFonts w:ascii="Lato" w:eastAsia="Malgun Gothic" w:hAnsi="Lato"/>
        </w:rPr>
        <w:t xml:space="preserve"> – </w:t>
      </w:r>
      <w:r w:rsidRPr="00FA13F0">
        <w:rPr>
          <w:rFonts w:ascii="Lato" w:eastAsia="Malgun Gothic" w:hAnsi="Lato"/>
        </w:rPr>
        <w:t>zdolno</w:t>
      </w:r>
      <w:r w:rsidRPr="00FA13F0">
        <w:rPr>
          <w:rFonts w:ascii="Lato" w:eastAsia="Malgun Gothic" w:hAnsi="Lato" w:cs="Calibri"/>
        </w:rPr>
        <w:t>ś</w:t>
      </w:r>
      <w:r w:rsidRPr="00FA13F0">
        <w:rPr>
          <w:rFonts w:ascii="Lato" w:eastAsia="Malgun Gothic" w:hAnsi="Lato"/>
        </w:rPr>
        <w:t>ci przesy</w:t>
      </w:r>
      <w:r w:rsidRPr="00FA13F0">
        <w:rPr>
          <w:rFonts w:ascii="Lato" w:eastAsia="Malgun Gothic" w:hAnsi="Lato" w:cs="Malgun Gothic"/>
        </w:rPr>
        <w:t>ł</w:t>
      </w:r>
      <w:r w:rsidRPr="00FA13F0">
        <w:rPr>
          <w:rFonts w:ascii="Lato" w:eastAsia="Malgun Gothic" w:hAnsi="Lato"/>
        </w:rPr>
        <w:t>owe wynosz</w:t>
      </w:r>
      <w:r w:rsidRPr="00FA13F0">
        <w:rPr>
          <w:rFonts w:ascii="Lato" w:eastAsia="Malgun Gothic" w:hAnsi="Lato" w:cs="Calibri"/>
        </w:rPr>
        <w:t>ą</w:t>
      </w:r>
      <w:r w:rsidRPr="00FA13F0">
        <w:rPr>
          <w:rFonts w:ascii="Lato" w:eastAsia="Malgun Gothic" w:hAnsi="Lato"/>
        </w:rPr>
        <w:t xml:space="preserve"> </w:t>
      </w:r>
      <w:r w:rsidRPr="00FA13F0">
        <w:rPr>
          <w:rFonts w:ascii="Lato" w:eastAsia="Malgun Gothic" w:hAnsi="Lato"/>
          <w:lang w:eastAsia="pl-PL"/>
        </w:rPr>
        <w:t>do 10 mld m</w:t>
      </w:r>
      <w:r w:rsidRPr="00FA13F0">
        <w:rPr>
          <w:rFonts w:ascii="Lato" w:eastAsia="Malgun Gothic" w:hAnsi="Lato"/>
          <w:vertAlign w:val="superscript"/>
          <w:lang w:eastAsia="pl-PL"/>
        </w:rPr>
        <w:t>3</w:t>
      </w:r>
      <w:r w:rsidRPr="00FA13F0">
        <w:rPr>
          <w:rFonts w:ascii="Lato" w:eastAsia="Malgun Gothic" w:hAnsi="Lato"/>
          <w:lang w:eastAsia="pl-PL"/>
        </w:rPr>
        <w:t>/rok (</w:t>
      </w:r>
      <w:r w:rsidR="00E25ED0" w:rsidRPr="00FA13F0">
        <w:rPr>
          <w:rFonts w:ascii="Lato" w:eastAsia="Malgun Gothic" w:hAnsi="Lato"/>
          <w:lang w:eastAsia="pl-PL"/>
        </w:rPr>
        <w:t>117,</w:t>
      </w:r>
      <w:r w:rsidR="00C52537" w:rsidRPr="00FA13F0">
        <w:rPr>
          <w:rFonts w:ascii="Lato" w:eastAsia="Malgun Gothic" w:hAnsi="Lato"/>
          <w:lang w:eastAsia="pl-PL"/>
        </w:rPr>
        <w:t>5</w:t>
      </w:r>
      <w:r w:rsidRPr="00FA13F0">
        <w:rPr>
          <w:rFonts w:ascii="Lato" w:eastAsia="Malgun Gothic" w:hAnsi="Lato"/>
          <w:lang w:eastAsia="pl-PL"/>
        </w:rPr>
        <w:t xml:space="preserve"> TWh/rok) w kierunku Polski oraz do 3 mld m</w:t>
      </w:r>
      <w:r w:rsidRPr="00FA13F0">
        <w:rPr>
          <w:rFonts w:ascii="Lato" w:eastAsia="Malgun Gothic" w:hAnsi="Lato"/>
          <w:vertAlign w:val="superscript"/>
          <w:lang w:eastAsia="pl-PL"/>
        </w:rPr>
        <w:t>3</w:t>
      </w:r>
      <w:r w:rsidRPr="00FA13F0">
        <w:rPr>
          <w:rFonts w:ascii="Lato" w:eastAsia="Malgun Gothic" w:hAnsi="Lato"/>
          <w:lang w:eastAsia="pl-PL"/>
        </w:rPr>
        <w:t xml:space="preserve"> (</w:t>
      </w:r>
      <w:r w:rsidR="0008772E" w:rsidRPr="00FA13F0">
        <w:rPr>
          <w:rFonts w:ascii="Lato" w:eastAsia="Malgun Gothic" w:hAnsi="Lato"/>
          <w:lang w:eastAsia="pl-PL"/>
        </w:rPr>
        <w:t>34,16</w:t>
      </w:r>
      <w:r w:rsidRPr="00FA13F0">
        <w:rPr>
          <w:rFonts w:ascii="Lato" w:eastAsia="Malgun Gothic" w:hAnsi="Lato"/>
          <w:lang w:eastAsia="pl-PL"/>
        </w:rPr>
        <w:t xml:space="preserve"> </w:t>
      </w:r>
      <w:r w:rsidR="0008772E" w:rsidRPr="00FA13F0">
        <w:rPr>
          <w:rFonts w:ascii="Lato" w:eastAsia="Malgun Gothic" w:hAnsi="Lato"/>
          <w:lang w:eastAsia="pl-PL"/>
        </w:rPr>
        <w:t>TWh</w:t>
      </w:r>
      <w:r w:rsidRPr="00FA13F0">
        <w:rPr>
          <w:rFonts w:ascii="Lato" w:eastAsia="Malgun Gothic" w:hAnsi="Lato"/>
          <w:lang w:eastAsia="pl-PL"/>
        </w:rPr>
        <w:t>/rok) w kierunku Danii,</w:t>
      </w:r>
    </w:p>
    <w:p w14:paraId="15C9987E" w14:textId="02F11A94" w:rsidR="00B03DBA" w:rsidRPr="00FA13F0" w:rsidRDefault="00C7771E">
      <w:pPr>
        <w:pStyle w:val="Akapitzlist"/>
        <w:numPr>
          <w:ilvl w:val="0"/>
          <w:numId w:val="18"/>
        </w:numPr>
        <w:spacing w:after="60" w:line="276" w:lineRule="auto"/>
        <w:contextualSpacing w:val="0"/>
        <w:rPr>
          <w:rFonts w:ascii="Lato" w:eastAsia="Malgun Gothic" w:hAnsi="Lato"/>
          <w:color w:val="000000"/>
        </w:rPr>
      </w:pPr>
      <w:r w:rsidRPr="00FA13F0">
        <w:rPr>
          <w:rFonts w:ascii="Lato" w:eastAsia="Malgun Gothic" w:hAnsi="Lato"/>
          <w:color w:val="000000"/>
        </w:rPr>
        <w:t>poł</w:t>
      </w:r>
      <w:r w:rsidRPr="00FA13F0">
        <w:rPr>
          <w:rFonts w:ascii="Lato" w:eastAsia="Malgun Gothic" w:hAnsi="Lato" w:cs="Calibri"/>
          <w:color w:val="000000"/>
        </w:rPr>
        <w:t>ą</w:t>
      </w:r>
      <w:r w:rsidRPr="00FA13F0">
        <w:rPr>
          <w:rFonts w:ascii="Lato" w:eastAsia="Malgun Gothic" w:hAnsi="Lato"/>
          <w:color w:val="000000"/>
        </w:rPr>
        <w:t>czenie mi</w:t>
      </w:r>
      <w:r w:rsidRPr="00FA13F0">
        <w:rPr>
          <w:rFonts w:ascii="Lato" w:eastAsia="Malgun Gothic" w:hAnsi="Lato" w:cs="Calibri"/>
          <w:color w:val="000000"/>
        </w:rPr>
        <w:t>ę</w:t>
      </w:r>
      <w:r w:rsidRPr="00FA13F0">
        <w:rPr>
          <w:rFonts w:ascii="Lato" w:eastAsia="Malgun Gothic" w:hAnsi="Lato"/>
          <w:color w:val="000000"/>
        </w:rPr>
        <w:t>dzysystemowe Polska-S</w:t>
      </w:r>
      <w:r w:rsidRPr="00FA13F0">
        <w:rPr>
          <w:rFonts w:ascii="Lato" w:eastAsia="Malgun Gothic" w:hAnsi="Lato" w:cs="Malgun Gothic"/>
          <w:color w:val="000000"/>
        </w:rPr>
        <w:t>ł</w:t>
      </w:r>
      <w:r w:rsidRPr="00FA13F0">
        <w:rPr>
          <w:rFonts w:ascii="Lato" w:eastAsia="Malgun Gothic" w:hAnsi="Lato"/>
          <w:color w:val="000000"/>
        </w:rPr>
        <w:t>owacja –</w:t>
      </w:r>
      <w:r w:rsidRPr="00FA13F0" w:rsidDel="00423F7E">
        <w:rPr>
          <w:rFonts w:ascii="Lato" w:eastAsia="Malgun Gothic" w:hAnsi="Lato"/>
          <w:color w:val="000000"/>
        </w:rPr>
        <w:t xml:space="preserve"> </w:t>
      </w:r>
      <w:r w:rsidRPr="00FA13F0">
        <w:rPr>
          <w:rFonts w:ascii="Lato" w:eastAsia="Malgun Gothic" w:hAnsi="Lato"/>
        </w:rPr>
        <w:t>zdolno</w:t>
      </w:r>
      <w:r w:rsidRPr="00FA13F0">
        <w:rPr>
          <w:rFonts w:ascii="Lato" w:eastAsia="Malgun Gothic" w:hAnsi="Lato" w:cs="Calibri"/>
        </w:rPr>
        <w:t>ś</w:t>
      </w:r>
      <w:r w:rsidRPr="00FA13F0">
        <w:rPr>
          <w:rFonts w:ascii="Lato" w:eastAsia="Malgun Gothic" w:hAnsi="Lato"/>
        </w:rPr>
        <w:t>ci przesy</w:t>
      </w:r>
      <w:r w:rsidRPr="00FA13F0">
        <w:rPr>
          <w:rFonts w:ascii="Lato" w:eastAsia="Malgun Gothic" w:hAnsi="Lato" w:cs="Malgun Gothic"/>
        </w:rPr>
        <w:t>ł</w:t>
      </w:r>
      <w:r w:rsidRPr="00FA13F0">
        <w:rPr>
          <w:rFonts w:ascii="Lato" w:eastAsia="Malgun Gothic" w:hAnsi="Lato"/>
        </w:rPr>
        <w:t>owe na po</w:t>
      </w:r>
      <w:r w:rsidRPr="00FA13F0">
        <w:rPr>
          <w:rFonts w:ascii="Lato" w:eastAsia="Malgun Gothic" w:hAnsi="Lato" w:cs="Malgun Gothic"/>
        </w:rPr>
        <w:t>ł</w:t>
      </w:r>
      <w:r w:rsidRPr="00FA13F0">
        <w:rPr>
          <w:rFonts w:ascii="Lato" w:eastAsia="Malgun Gothic" w:hAnsi="Lato" w:cs="Calibri"/>
        </w:rPr>
        <w:t>ą</w:t>
      </w:r>
      <w:r w:rsidRPr="00FA13F0">
        <w:rPr>
          <w:rFonts w:ascii="Lato" w:eastAsia="Malgun Gothic" w:hAnsi="Lato"/>
        </w:rPr>
        <w:t>czeniu wynosz</w:t>
      </w:r>
      <w:r w:rsidRPr="00FA13F0">
        <w:rPr>
          <w:rFonts w:ascii="Lato" w:eastAsia="Malgun Gothic" w:hAnsi="Lato" w:cs="Calibri"/>
        </w:rPr>
        <w:t>ą</w:t>
      </w:r>
      <w:r w:rsidRPr="00FA13F0">
        <w:rPr>
          <w:rFonts w:ascii="Lato" w:eastAsia="Malgun Gothic" w:hAnsi="Lato"/>
        </w:rPr>
        <w:t xml:space="preserve"> 5,7 mld m</w:t>
      </w:r>
      <w:r w:rsidRPr="00FA13F0">
        <w:rPr>
          <w:rFonts w:ascii="Lato" w:eastAsia="Malgun Gothic" w:hAnsi="Lato"/>
          <w:vertAlign w:val="superscript"/>
        </w:rPr>
        <w:t>3</w:t>
      </w:r>
      <w:r w:rsidRPr="00FA13F0">
        <w:rPr>
          <w:rFonts w:ascii="Lato" w:eastAsia="Malgun Gothic" w:hAnsi="Lato"/>
        </w:rPr>
        <w:t>/rok (6</w:t>
      </w:r>
      <w:r w:rsidR="00C50974" w:rsidRPr="00FA13F0">
        <w:rPr>
          <w:rFonts w:ascii="Lato" w:eastAsia="Malgun Gothic" w:hAnsi="Lato"/>
        </w:rPr>
        <w:t>3,</w:t>
      </w:r>
      <w:r w:rsidR="006665B0" w:rsidRPr="00FA13F0">
        <w:rPr>
          <w:rFonts w:ascii="Lato" w:eastAsia="Malgun Gothic" w:hAnsi="Lato"/>
        </w:rPr>
        <w:t>49</w:t>
      </w:r>
      <w:r w:rsidRPr="00FA13F0">
        <w:rPr>
          <w:rFonts w:ascii="Lato" w:eastAsia="Malgun Gothic" w:hAnsi="Lato"/>
        </w:rPr>
        <w:t xml:space="preserve"> TWh/rok) w kierunku Polski oraz 4,7 mld m</w:t>
      </w:r>
      <w:r w:rsidRPr="00FA13F0">
        <w:rPr>
          <w:rFonts w:ascii="Lato" w:eastAsia="Malgun Gothic" w:hAnsi="Lato"/>
          <w:vertAlign w:val="superscript"/>
        </w:rPr>
        <w:t>3</w:t>
      </w:r>
      <w:r w:rsidRPr="00FA13F0">
        <w:rPr>
          <w:rFonts w:ascii="Lato" w:eastAsia="Malgun Gothic" w:hAnsi="Lato"/>
        </w:rPr>
        <w:t>/rok (</w:t>
      </w:r>
      <w:r w:rsidR="00D91402" w:rsidRPr="00FA13F0">
        <w:rPr>
          <w:rFonts w:ascii="Lato" w:eastAsia="Malgun Gothic" w:hAnsi="Lato"/>
        </w:rPr>
        <w:t>52,</w:t>
      </w:r>
      <w:r w:rsidR="005E06CA" w:rsidRPr="00FA13F0">
        <w:rPr>
          <w:rFonts w:ascii="Lato" w:eastAsia="Malgun Gothic" w:hAnsi="Lato"/>
        </w:rPr>
        <w:t>74</w:t>
      </w:r>
      <w:r w:rsidRPr="00FA13F0">
        <w:rPr>
          <w:rFonts w:ascii="Lato" w:eastAsia="Malgun Gothic" w:hAnsi="Lato"/>
        </w:rPr>
        <w:t xml:space="preserve"> TWh/rok) w kierunku Słowacji,</w:t>
      </w:r>
    </w:p>
    <w:p w14:paraId="71EBD6FD" w14:textId="329CC12E" w:rsidR="00B03DBA" w:rsidRPr="00FA13F0" w:rsidRDefault="00C7771E">
      <w:pPr>
        <w:pStyle w:val="Akapitzlist"/>
        <w:numPr>
          <w:ilvl w:val="0"/>
          <w:numId w:val="18"/>
        </w:numPr>
        <w:spacing w:after="60" w:line="276" w:lineRule="auto"/>
        <w:contextualSpacing w:val="0"/>
        <w:rPr>
          <w:rFonts w:ascii="Lato" w:eastAsia="Malgun Gothic" w:hAnsi="Lato"/>
          <w:color w:val="000000"/>
        </w:rPr>
      </w:pPr>
      <w:r w:rsidRPr="00FA13F0">
        <w:rPr>
          <w:rFonts w:ascii="Lato" w:eastAsia="Malgun Gothic" w:hAnsi="Lato"/>
          <w:color w:val="000000"/>
        </w:rPr>
        <w:t>poł</w:t>
      </w:r>
      <w:r w:rsidRPr="00FA13F0">
        <w:rPr>
          <w:rFonts w:ascii="Lato" w:eastAsia="Malgun Gothic" w:hAnsi="Lato" w:cs="Calibri"/>
          <w:color w:val="000000"/>
        </w:rPr>
        <w:t>ą</w:t>
      </w:r>
      <w:r w:rsidRPr="00FA13F0">
        <w:rPr>
          <w:rFonts w:ascii="Lato" w:eastAsia="Malgun Gothic" w:hAnsi="Lato"/>
          <w:color w:val="000000"/>
        </w:rPr>
        <w:t>czenie mi</w:t>
      </w:r>
      <w:r w:rsidRPr="00FA13F0">
        <w:rPr>
          <w:rFonts w:ascii="Lato" w:eastAsia="Malgun Gothic" w:hAnsi="Lato" w:cs="Calibri"/>
          <w:color w:val="000000"/>
        </w:rPr>
        <w:t>ę</w:t>
      </w:r>
      <w:r w:rsidRPr="00FA13F0">
        <w:rPr>
          <w:rFonts w:ascii="Lato" w:eastAsia="Malgun Gothic" w:hAnsi="Lato"/>
          <w:color w:val="000000"/>
        </w:rPr>
        <w:t xml:space="preserve">dzysystemowe Polska-Litwa </w:t>
      </w:r>
      <w:r w:rsidRPr="00FA13F0">
        <w:rPr>
          <w:rFonts w:ascii="Lato" w:eastAsia="Malgun Gothic" w:hAnsi="Lato"/>
          <w:b/>
          <w:color w:val="000000"/>
        </w:rPr>
        <w:t>–</w:t>
      </w:r>
      <w:r w:rsidRPr="00FA13F0" w:rsidDel="00423F7E">
        <w:rPr>
          <w:rFonts w:ascii="Lato" w:eastAsia="Malgun Gothic" w:hAnsi="Lato"/>
          <w:b/>
          <w:color w:val="000000"/>
        </w:rPr>
        <w:t xml:space="preserve"> </w:t>
      </w:r>
      <w:r w:rsidRPr="00FA13F0">
        <w:rPr>
          <w:rFonts w:ascii="Lato" w:eastAsia="Malgun Gothic" w:hAnsi="Lato"/>
          <w:color w:val="000000"/>
        </w:rPr>
        <w:t>zdolno</w:t>
      </w:r>
      <w:r w:rsidRPr="00FA13F0">
        <w:rPr>
          <w:rFonts w:ascii="Lato" w:eastAsia="Malgun Gothic" w:hAnsi="Lato" w:cs="Calibri"/>
          <w:color w:val="000000"/>
        </w:rPr>
        <w:t>ś</w:t>
      </w:r>
      <w:r w:rsidRPr="00FA13F0">
        <w:rPr>
          <w:rFonts w:ascii="Lato" w:eastAsia="Malgun Gothic" w:hAnsi="Lato"/>
          <w:color w:val="000000"/>
        </w:rPr>
        <w:t>ci przesyłowe wynosz</w:t>
      </w:r>
      <w:r w:rsidRPr="00FA13F0">
        <w:rPr>
          <w:rFonts w:ascii="Lato" w:eastAsia="Malgun Gothic" w:hAnsi="Lato" w:cs="Calibri"/>
          <w:color w:val="000000"/>
        </w:rPr>
        <w:t>ą</w:t>
      </w:r>
      <w:r w:rsidRPr="00FA13F0">
        <w:rPr>
          <w:rFonts w:ascii="Lato" w:eastAsia="Malgun Gothic" w:hAnsi="Lato"/>
          <w:color w:val="000000"/>
        </w:rPr>
        <w:t xml:space="preserve"> 2,4 mld m</w:t>
      </w:r>
      <w:r w:rsidRPr="00FA13F0">
        <w:rPr>
          <w:rFonts w:ascii="Lato" w:eastAsia="Malgun Gothic" w:hAnsi="Lato"/>
          <w:color w:val="000000"/>
          <w:vertAlign w:val="superscript"/>
        </w:rPr>
        <w:t>3</w:t>
      </w:r>
      <w:r w:rsidRPr="00FA13F0">
        <w:rPr>
          <w:rFonts w:ascii="Lato" w:eastAsia="Malgun Gothic" w:hAnsi="Lato"/>
          <w:color w:val="000000"/>
        </w:rPr>
        <w:t>/rok (26,</w:t>
      </w:r>
      <w:r w:rsidR="0093342A" w:rsidRPr="00FA13F0">
        <w:rPr>
          <w:rFonts w:ascii="Lato" w:eastAsia="Malgun Gothic" w:hAnsi="Lato"/>
          <w:color w:val="000000"/>
        </w:rPr>
        <w:t>7</w:t>
      </w:r>
      <w:r w:rsidR="006C2AAD" w:rsidRPr="00FA13F0">
        <w:rPr>
          <w:rFonts w:ascii="Lato" w:eastAsia="Malgun Gothic" w:hAnsi="Lato"/>
          <w:color w:val="000000"/>
        </w:rPr>
        <w:t xml:space="preserve">6 </w:t>
      </w:r>
      <w:r w:rsidRPr="00FA13F0">
        <w:rPr>
          <w:rFonts w:ascii="Lato" w:eastAsia="Malgun Gothic" w:hAnsi="Lato"/>
          <w:color w:val="000000"/>
        </w:rPr>
        <w:t>TWh/rok) w kierunku Litwy oraz 1,</w:t>
      </w:r>
      <w:r w:rsidR="00535BEA" w:rsidRPr="00FA13F0">
        <w:rPr>
          <w:rFonts w:ascii="Lato" w:eastAsia="Malgun Gothic" w:hAnsi="Lato"/>
          <w:color w:val="000000"/>
        </w:rPr>
        <w:t xml:space="preserve">9 </w:t>
      </w:r>
      <w:r w:rsidRPr="00FA13F0">
        <w:rPr>
          <w:rFonts w:ascii="Lato" w:eastAsia="Malgun Gothic" w:hAnsi="Lato"/>
          <w:color w:val="000000"/>
        </w:rPr>
        <w:t>mld m</w:t>
      </w:r>
      <w:r w:rsidRPr="00FA13F0">
        <w:rPr>
          <w:rFonts w:ascii="Lato" w:eastAsia="Malgun Gothic" w:hAnsi="Lato"/>
          <w:color w:val="000000"/>
          <w:vertAlign w:val="superscript"/>
        </w:rPr>
        <w:t>3</w:t>
      </w:r>
      <w:r w:rsidRPr="00FA13F0">
        <w:rPr>
          <w:rFonts w:ascii="Lato" w:eastAsia="Malgun Gothic" w:hAnsi="Lato"/>
          <w:color w:val="000000"/>
        </w:rPr>
        <w:t>/rok (</w:t>
      </w:r>
      <w:r w:rsidR="00356BE0" w:rsidRPr="00FA13F0">
        <w:rPr>
          <w:rFonts w:ascii="Lato" w:eastAsia="Malgun Gothic" w:hAnsi="Lato"/>
          <w:color w:val="000000"/>
        </w:rPr>
        <w:t>21,2</w:t>
      </w:r>
      <w:r w:rsidRPr="00FA13F0">
        <w:rPr>
          <w:rFonts w:ascii="Lato" w:eastAsia="Malgun Gothic" w:hAnsi="Lato"/>
          <w:color w:val="000000"/>
        </w:rPr>
        <w:t xml:space="preserve"> TWh/rok) w kierunku Polski</w:t>
      </w:r>
      <w:r w:rsidR="00CB2DC6" w:rsidRPr="00FA13F0">
        <w:rPr>
          <w:rFonts w:ascii="Lato" w:eastAsia="Malgun Gothic" w:hAnsi="Lato"/>
          <w:color w:val="000000"/>
        </w:rPr>
        <w:t>,</w:t>
      </w:r>
    </w:p>
    <w:p w14:paraId="20A2F849" w14:textId="25C71A15" w:rsidR="00B03DBA" w:rsidRPr="00A819AD" w:rsidRDefault="00CD3372">
      <w:pPr>
        <w:pStyle w:val="Akapitzlist"/>
        <w:numPr>
          <w:ilvl w:val="0"/>
          <w:numId w:val="14"/>
        </w:numPr>
        <w:spacing w:after="60" w:line="276" w:lineRule="auto"/>
        <w:contextualSpacing w:val="0"/>
        <w:rPr>
          <w:rFonts w:ascii="Lato" w:hAnsi="Lato"/>
          <w:i/>
        </w:rPr>
      </w:pPr>
      <w:r>
        <w:rPr>
          <w:rFonts w:ascii="Lato" w:hAnsi="Lato"/>
          <w:i/>
        </w:rPr>
        <w:t>p</w:t>
      </w:r>
      <w:r w:rsidR="00C7771E" w:rsidRPr="00A819AD">
        <w:rPr>
          <w:rFonts w:ascii="Lato" w:hAnsi="Lato"/>
          <w:i/>
        </w:rPr>
        <w:t xml:space="preserve">rzekierowanie maksymalnej ilości gazu ziemnego zaazotowanego do odazotowni </w:t>
      </w:r>
      <w:r w:rsidR="00C7771E" w:rsidRPr="00A819AD">
        <w:rPr>
          <w:rFonts w:ascii="Lato" w:hAnsi="Lato"/>
          <w:iCs/>
        </w:rPr>
        <w:t>w celu zwiększenia produkcji gazu ziemnego wysokometanowego</w:t>
      </w:r>
      <w:r w:rsidR="00212DC5" w:rsidRPr="00A819AD">
        <w:rPr>
          <w:rFonts w:ascii="Lato" w:hAnsi="Lato"/>
          <w:iCs/>
        </w:rPr>
        <w:t xml:space="preserve"> </w:t>
      </w:r>
      <w:r w:rsidR="00212DC5" w:rsidRPr="00CD3372">
        <w:rPr>
          <w:rFonts w:ascii="Lato" w:hAnsi="Lato"/>
          <w:iCs/>
        </w:rPr>
        <w:t>w przypadku zakłóceń w systemie gazu ziemnego wysokometanowego</w:t>
      </w:r>
      <w:r w:rsidR="00212DC5" w:rsidRPr="00A819AD">
        <w:rPr>
          <w:rFonts w:ascii="Lato" w:hAnsi="Lato"/>
          <w:iCs/>
        </w:rPr>
        <w:t xml:space="preserve">, </w:t>
      </w:r>
      <w:r w:rsidR="00212DC5" w:rsidRPr="00CD3372">
        <w:rPr>
          <w:rFonts w:ascii="Lato" w:hAnsi="Lato"/>
          <w:iCs/>
        </w:rPr>
        <w:t>w sposób niezakłócający dostaw gazu ziemnego zaazotowanego</w:t>
      </w:r>
      <w:r w:rsidR="00EC57AF" w:rsidRPr="00CD3372">
        <w:rPr>
          <w:rFonts w:ascii="Lato" w:hAnsi="Lato"/>
          <w:iCs/>
        </w:rPr>
        <w:t>;</w:t>
      </w:r>
    </w:p>
    <w:p w14:paraId="1DBA9760" w14:textId="5A489D0E" w:rsidR="00212DC5" w:rsidRPr="00A819AD" w:rsidRDefault="00CD3372">
      <w:pPr>
        <w:pStyle w:val="Akapitzlist"/>
        <w:numPr>
          <w:ilvl w:val="0"/>
          <w:numId w:val="14"/>
        </w:numPr>
        <w:spacing w:after="60" w:line="276" w:lineRule="auto"/>
        <w:contextualSpacing w:val="0"/>
        <w:rPr>
          <w:rFonts w:ascii="Lato" w:hAnsi="Lato"/>
          <w:iCs/>
        </w:rPr>
      </w:pPr>
      <w:r>
        <w:rPr>
          <w:rFonts w:ascii="Lato" w:hAnsi="Lato"/>
          <w:i/>
        </w:rPr>
        <w:t>z</w:t>
      </w:r>
      <w:r w:rsidR="00212DC5" w:rsidRPr="00A819AD">
        <w:rPr>
          <w:rFonts w:ascii="Lato" w:hAnsi="Lato"/>
          <w:i/>
        </w:rPr>
        <w:t xml:space="preserve">mniejszanie dostaw gazu zaazotowanego podgrupy Lw do odazotowni </w:t>
      </w:r>
      <w:r w:rsidR="00212DC5" w:rsidRPr="00A819AD">
        <w:rPr>
          <w:rFonts w:ascii="Lato" w:hAnsi="Lato"/>
          <w:iCs/>
        </w:rPr>
        <w:t xml:space="preserve">w przypadku wystąpienia zakłóceń w systemie gazu ziemnego zaazotowanego Lw, </w:t>
      </w:r>
      <w:r w:rsidR="00212DC5" w:rsidRPr="00CD3372">
        <w:rPr>
          <w:rFonts w:ascii="Lato" w:hAnsi="Lato"/>
          <w:iCs/>
        </w:rPr>
        <w:t>w sposób niezakłócający dostaw gazu ziemnego wysokometanowego</w:t>
      </w:r>
      <w:r w:rsidR="00EC57AF" w:rsidRPr="00CD3372">
        <w:rPr>
          <w:rFonts w:ascii="Lato" w:hAnsi="Lato"/>
          <w:iCs/>
        </w:rPr>
        <w:t>;</w:t>
      </w:r>
    </w:p>
    <w:p w14:paraId="1A4DFE17" w14:textId="67344FED" w:rsidR="00212DC5" w:rsidRPr="00A819AD" w:rsidRDefault="00CD3372">
      <w:pPr>
        <w:pStyle w:val="Akapitzlist"/>
        <w:numPr>
          <w:ilvl w:val="0"/>
          <w:numId w:val="14"/>
        </w:numPr>
        <w:spacing w:after="60" w:line="276" w:lineRule="auto"/>
        <w:contextualSpacing w:val="0"/>
        <w:rPr>
          <w:rFonts w:ascii="Lato" w:hAnsi="Lato"/>
          <w:iCs/>
        </w:rPr>
      </w:pPr>
      <w:r w:rsidRPr="00A819AD">
        <w:rPr>
          <w:rFonts w:ascii="Lato" w:hAnsi="Lato"/>
          <w:i/>
        </w:rPr>
        <w:t>p</w:t>
      </w:r>
      <w:r w:rsidR="00212DC5" w:rsidRPr="00A819AD">
        <w:rPr>
          <w:rFonts w:ascii="Lato" w:hAnsi="Lato"/>
          <w:i/>
        </w:rPr>
        <w:t>rzekierowanie większych ilości gazu wysokometanowego do mieszalni gazu</w:t>
      </w:r>
      <w:r w:rsidR="00212DC5" w:rsidRPr="00A819AD">
        <w:rPr>
          <w:rFonts w:ascii="Lato" w:hAnsi="Lato"/>
          <w:iCs/>
        </w:rPr>
        <w:t xml:space="preserve">, tam gdzie </w:t>
      </w:r>
      <w:r w:rsidR="00260E89">
        <w:rPr>
          <w:rFonts w:ascii="Lato" w:hAnsi="Lato"/>
          <w:iCs/>
        </w:rPr>
        <w:t xml:space="preserve">jest </w:t>
      </w:r>
      <w:r w:rsidR="00212DC5" w:rsidRPr="00A819AD">
        <w:rPr>
          <w:rFonts w:ascii="Lato" w:hAnsi="Lato"/>
          <w:iCs/>
        </w:rPr>
        <w:t xml:space="preserve">to możliwe ze względu na bezpieczeństwo pracy podsystemu (biorąc pod uwagę przekroczenie wymogów dotyczących jakości gazu), w przypadku wystąpienia zakłóceń w systemie </w:t>
      </w:r>
      <w:r w:rsidR="006130C4" w:rsidRPr="00A819AD">
        <w:rPr>
          <w:rFonts w:ascii="Lato" w:hAnsi="Lato"/>
          <w:iCs/>
        </w:rPr>
        <w:t>gazu ziemnego zaazotowanego Ls.</w:t>
      </w:r>
    </w:p>
    <w:p w14:paraId="271BDDCA" w14:textId="77777777" w:rsidR="00B03DBA" w:rsidRPr="00C758B1" w:rsidRDefault="00C7771E" w:rsidP="00086AFF">
      <w:pPr>
        <w:pStyle w:val="Rozdzia2"/>
        <w:spacing w:after="120"/>
        <w:rPr>
          <w:rFonts w:ascii="Lato" w:hAnsi="Lato"/>
        </w:rPr>
      </w:pPr>
      <w:bookmarkStart w:id="273" w:name="_Toc19782954"/>
      <w:bookmarkStart w:id="274" w:name="_Toc142469577"/>
      <w:r w:rsidRPr="00C758B1">
        <w:rPr>
          <w:rFonts w:ascii="Lato" w:hAnsi="Lato"/>
        </w:rPr>
        <w:t>Środki nierynkowe</w:t>
      </w:r>
      <w:bookmarkEnd w:id="273"/>
      <w:bookmarkEnd w:id="274"/>
    </w:p>
    <w:p w14:paraId="75BBCBAE" w14:textId="449F6E60" w:rsidR="001079B8" w:rsidRPr="001079B8" w:rsidRDefault="001079B8" w:rsidP="00270AE5">
      <w:pPr>
        <w:spacing w:after="60" w:line="276" w:lineRule="auto"/>
        <w:ind w:firstLine="708"/>
        <w:rPr>
          <w:rFonts w:ascii="Lato" w:hAnsi="Lato"/>
          <w:iCs/>
        </w:rPr>
      </w:pPr>
      <w:r w:rsidRPr="00270AE5">
        <w:rPr>
          <w:rFonts w:ascii="Lato" w:hAnsi="Lato"/>
          <w:b/>
          <w:bCs/>
          <w:iCs/>
        </w:rPr>
        <w:t>Zapasy obowiązkowe gazu ziemnego</w:t>
      </w:r>
      <w:r w:rsidRPr="001079B8">
        <w:rPr>
          <w:rFonts w:ascii="Lato" w:hAnsi="Lato"/>
          <w:iCs/>
        </w:rPr>
        <w:t xml:space="preserve"> są jednym z środków służących zapewnieniu standardu w zakresie dostaw gazu ziemnego, o którym mowa w art. 6 rozporządzenia 2017/1938.</w:t>
      </w:r>
    </w:p>
    <w:p w14:paraId="4081C8F9" w14:textId="288ABFA1" w:rsidR="001079B8" w:rsidRPr="001079B8" w:rsidRDefault="000B51A0" w:rsidP="000B51A0">
      <w:pPr>
        <w:spacing w:after="60" w:line="276" w:lineRule="auto"/>
        <w:ind w:firstLine="708"/>
        <w:rPr>
          <w:rFonts w:ascii="Lato" w:hAnsi="Lato"/>
          <w:iCs/>
        </w:rPr>
      </w:pPr>
      <w:r>
        <w:rPr>
          <w:rFonts w:ascii="Lato" w:hAnsi="Lato"/>
          <w:iCs/>
        </w:rPr>
        <w:t>Zgodnie z ustawą o zapasach p</w:t>
      </w:r>
      <w:r w:rsidR="001079B8" w:rsidRPr="001079B8">
        <w:rPr>
          <w:rFonts w:ascii="Lato" w:hAnsi="Lato"/>
          <w:iCs/>
        </w:rPr>
        <w:t xml:space="preserve">rzedsiębiorstwa </w:t>
      </w:r>
      <w:bookmarkStart w:id="275" w:name="_Hlk142395889"/>
      <w:r w:rsidR="001079B8" w:rsidRPr="001079B8">
        <w:rPr>
          <w:rFonts w:ascii="Lato" w:hAnsi="Lato"/>
          <w:iCs/>
        </w:rPr>
        <w:t xml:space="preserve">energetyczne wykonujące działalność gospodarczą w zakresie obrotu gazem ziemnym z zagranicą i podmioty dokonujące przywozu gazu ziemnego </w:t>
      </w:r>
      <w:bookmarkEnd w:id="275"/>
      <w:r w:rsidR="001079B8" w:rsidRPr="001079B8">
        <w:rPr>
          <w:rFonts w:ascii="Lato" w:hAnsi="Lato"/>
          <w:iCs/>
        </w:rPr>
        <w:t>są zobowiązane do utrzymywania zapasów obowiązkowych gazu ziemnego w celu zminimalizowania skutków:</w:t>
      </w:r>
    </w:p>
    <w:p w14:paraId="4FE52420" w14:textId="77777777" w:rsidR="00270AE5" w:rsidRDefault="001079B8">
      <w:pPr>
        <w:pStyle w:val="Akapitzlist"/>
        <w:numPr>
          <w:ilvl w:val="0"/>
          <w:numId w:val="20"/>
        </w:numPr>
        <w:spacing w:after="60" w:line="276" w:lineRule="auto"/>
        <w:rPr>
          <w:rFonts w:ascii="Lato" w:hAnsi="Lato"/>
          <w:iCs/>
        </w:rPr>
      </w:pPr>
      <w:r w:rsidRPr="00270AE5">
        <w:rPr>
          <w:rFonts w:ascii="Lato" w:hAnsi="Lato"/>
          <w:iCs/>
        </w:rPr>
        <w:t>zagrożenia bezpieczeństwa gazowego państwa;</w:t>
      </w:r>
    </w:p>
    <w:p w14:paraId="72D5A071" w14:textId="77777777" w:rsidR="00270AE5" w:rsidRDefault="001079B8">
      <w:pPr>
        <w:pStyle w:val="Akapitzlist"/>
        <w:numPr>
          <w:ilvl w:val="0"/>
          <w:numId w:val="20"/>
        </w:numPr>
        <w:spacing w:after="60" w:line="276" w:lineRule="auto"/>
        <w:rPr>
          <w:rFonts w:ascii="Lato" w:hAnsi="Lato"/>
          <w:iCs/>
        </w:rPr>
      </w:pPr>
      <w:r w:rsidRPr="00270AE5">
        <w:rPr>
          <w:rFonts w:ascii="Lato" w:hAnsi="Lato"/>
          <w:iCs/>
        </w:rPr>
        <w:t>wystąpienia sytuacji awaryjnej w sieci gazowej;</w:t>
      </w:r>
    </w:p>
    <w:p w14:paraId="392E1803" w14:textId="37FFFE90" w:rsidR="001079B8" w:rsidRPr="00270AE5" w:rsidRDefault="001079B8">
      <w:pPr>
        <w:pStyle w:val="Akapitzlist"/>
        <w:numPr>
          <w:ilvl w:val="0"/>
          <w:numId w:val="20"/>
        </w:numPr>
        <w:spacing w:after="60" w:line="276" w:lineRule="auto"/>
        <w:rPr>
          <w:rFonts w:ascii="Lato" w:hAnsi="Lato"/>
          <w:iCs/>
        </w:rPr>
      </w:pPr>
      <w:r w:rsidRPr="00270AE5">
        <w:rPr>
          <w:rFonts w:ascii="Lato" w:hAnsi="Lato"/>
          <w:iCs/>
        </w:rPr>
        <w:t>nieprzewidzianego wzrostu zużycia gazu ziemnego.</w:t>
      </w:r>
    </w:p>
    <w:p w14:paraId="385C0CF2" w14:textId="7A47C728" w:rsidR="001079B8" w:rsidRDefault="001079B8" w:rsidP="001079B8">
      <w:pPr>
        <w:spacing w:after="60" w:line="276" w:lineRule="auto"/>
        <w:rPr>
          <w:rFonts w:ascii="Lato" w:hAnsi="Lato"/>
          <w:iCs/>
        </w:rPr>
      </w:pPr>
      <w:r w:rsidRPr="001079B8">
        <w:rPr>
          <w:rFonts w:ascii="Lato" w:hAnsi="Lato"/>
          <w:iCs/>
        </w:rPr>
        <w:t xml:space="preserve">Zapasy obowiązkowe gazu ziemnego stanowią majątek przedsiębiorstw, chyba że na podstawie zawartej umowy, stanowią majątek podmiotu przyjmującego zlecenie </w:t>
      </w:r>
      <w:r w:rsidRPr="001079B8">
        <w:rPr>
          <w:rFonts w:ascii="Lato" w:hAnsi="Lato"/>
          <w:iCs/>
        </w:rPr>
        <w:lastRenderedPageBreak/>
        <w:t xml:space="preserve">utrzymywania zapasów obowiązkowych (tzw. umowa o świadczenie usługi biletowej przez przedsiębiorstwo energetyczne lub Rządową Agencję Rezerw Strategicznych). </w:t>
      </w:r>
      <w:bookmarkStart w:id="276" w:name="_Hlk142395921"/>
      <w:r w:rsidRPr="001079B8">
        <w:rPr>
          <w:rFonts w:ascii="Lato" w:hAnsi="Lato"/>
          <w:iCs/>
        </w:rPr>
        <w:t>Zapasy obowiązkowe gazu ziemnego utrzymywane są w wielkości odpowiadającej co najmniej 30-dniowemu średniemu dziennemu przywozowi tego gazu, w instalacjach magazynowych, których parametry techniczne zapewniają możliwość dostarczenia ich całkowitej ilości do systemu gazowego w okresie nie dłuższym niż 40 dni</w:t>
      </w:r>
      <w:r w:rsidR="00086AFF">
        <w:rPr>
          <w:rStyle w:val="Odwoanieprzypisudolnego"/>
          <w:rFonts w:ascii="Lato" w:hAnsi="Lato"/>
          <w:iCs/>
        </w:rPr>
        <w:footnoteReference w:id="4"/>
      </w:r>
      <w:r w:rsidRPr="001079B8">
        <w:rPr>
          <w:rFonts w:ascii="Lato" w:hAnsi="Lato"/>
          <w:iCs/>
        </w:rPr>
        <w:t>.</w:t>
      </w:r>
    </w:p>
    <w:bookmarkEnd w:id="276"/>
    <w:p w14:paraId="3E69824C" w14:textId="5F1EC43D" w:rsidR="001079B8" w:rsidRPr="001079B8" w:rsidRDefault="001079B8" w:rsidP="000B51A0">
      <w:pPr>
        <w:spacing w:after="60" w:line="276" w:lineRule="auto"/>
        <w:ind w:firstLine="708"/>
        <w:rPr>
          <w:rFonts w:ascii="Lato" w:hAnsi="Lato"/>
          <w:iCs/>
        </w:rPr>
      </w:pPr>
      <w:r w:rsidRPr="001079B8">
        <w:rPr>
          <w:rFonts w:ascii="Lato" w:hAnsi="Lato"/>
          <w:iCs/>
        </w:rPr>
        <w:t xml:space="preserve">Środek, jakim jest obowiązek utrzymywania zapasów obowiązkowych gazu ziemnego przez przedsiębiorstwa energetyczne wykonujące działalność gospodarczą w zakresie obrotu gazem ziemnym z zagranicą i podmioty dokonujące przywozu gazu ziemnego, oparty na wielkości przywozu tego paliwa do kraju, jest konieczny i w pełni uzasadniony. Polska w dużym stopniu jest bowiem uzależniona od importu gazu ziemnego, dlatego kluczowym czynnikiem wpływającym na poziom bezpieczeństwa energetycznego kraju uznaje się stabilność importu gazu ziemnego z zagranicy. Wydobycie krajowe natomiast postrzegane jest jako bezpieczne i stabilne źródło dostaw gazu ziemnego, które dzięki wysokiemu poziomowi rozproszenia i zróżnicowania wielkości kopalni gazu ziemnego nie jest podatne na uwarunkowania zewnętrzne. </w:t>
      </w:r>
    </w:p>
    <w:p w14:paraId="70B8640A" w14:textId="77777777" w:rsidR="001079B8" w:rsidRPr="001079B8" w:rsidRDefault="001079B8" w:rsidP="00F9642E">
      <w:pPr>
        <w:spacing w:after="60" w:line="276" w:lineRule="auto"/>
        <w:ind w:firstLine="708"/>
        <w:rPr>
          <w:rFonts w:ascii="Lato" w:hAnsi="Lato"/>
          <w:iCs/>
        </w:rPr>
      </w:pPr>
      <w:r w:rsidRPr="001079B8">
        <w:rPr>
          <w:rFonts w:ascii="Lato" w:hAnsi="Lato"/>
          <w:iCs/>
        </w:rPr>
        <w:t>W świetle ustawy o zapasach wybór miejsca utrzymywania zapasów obowiązkowych gazu ziemnego należy do zobowiązanego do tego podmiotu. Utrzymywanie zapasów obowiązkowych za granicą jest traktowane na równi z utrzymywaniem ich na terytorium kraju. Zgodnie bowiem z przepisami ustawy o zapasach niezależnie od miejsca utrzymywania zapasów obowiązkowych gazu ziemnego (tj. w kraju czy za granicą):</w:t>
      </w:r>
    </w:p>
    <w:p w14:paraId="6CE2C9F1" w14:textId="60E37711" w:rsidR="001079B8" w:rsidRPr="00270AE5" w:rsidRDefault="001079B8">
      <w:pPr>
        <w:pStyle w:val="Akapitzlist"/>
        <w:numPr>
          <w:ilvl w:val="0"/>
          <w:numId w:val="21"/>
        </w:numPr>
        <w:spacing w:after="60" w:line="276" w:lineRule="auto"/>
        <w:rPr>
          <w:rFonts w:ascii="Lato" w:hAnsi="Lato"/>
          <w:iCs/>
        </w:rPr>
      </w:pPr>
      <w:r w:rsidRPr="00270AE5">
        <w:rPr>
          <w:rFonts w:ascii="Lato" w:hAnsi="Lato"/>
          <w:iCs/>
        </w:rPr>
        <w:t>analogiczny pozostaje ich cel, tj. dostarczenie gazu ziemnego do krajowej sieci gazowej w czasie nie dłuższym 40 dni;</w:t>
      </w:r>
    </w:p>
    <w:p w14:paraId="536A1B8F" w14:textId="72FE139E" w:rsidR="001079B8" w:rsidRPr="001079B8" w:rsidRDefault="001079B8">
      <w:pPr>
        <w:pStyle w:val="Akapitzlist"/>
        <w:numPr>
          <w:ilvl w:val="0"/>
          <w:numId w:val="21"/>
        </w:numPr>
        <w:spacing w:after="60" w:line="276" w:lineRule="auto"/>
        <w:rPr>
          <w:rFonts w:ascii="Lato" w:hAnsi="Lato"/>
          <w:iCs/>
        </w:rPr>
      </w:pPr>
      <w:r w:rsidRPr="001079B8">
        <w:rPr>
          <w:rFonts w:ascii="Lato" w:hAnsi="Lato"/>
          <w:iCs/>
        </w:rPr>
        <w:t>jednakowa jest metoda kalkulacji wielkości zapasów obowiązkowych gazu ziemnego, którą określony podmiot zobowiązany jest utrzymywać</w:t>
      </w:r>
      <w:r w:rsidR="00270AE5">
        <w:rPr>
          <w:rFonts w:ascii="Lato" w:hAnsi="Lato"/>
          <w:iCs/>
        </w:rPr>
        <w:t>;</w:t>
      </w:r>
      <w:r w:rsidRPr="001079B8">
        <w:rPr>
          <w:rFonts w:ascii="Lato" w:hAnsi="Lato"/>
          <w:iCs/>
        </w:rPr>
        <w:t xml:space="preserve"> </w:t>
      </w:r>
    </w:p>
    <w:p w14:paraId="28B02447" w14:textId="617541A0" w:rsidR="001079B8" w:rsidRPr="001079B8" w:rsidRDefault="001079B8">
      <w:pPr>
        <w:pStyle w:val="Akapitzlist"/>
        <w:numPr>
          <w:ilvl w:val="0"/>
          <w:numId w:val="21"/>
        </w:numPr>
        <w:spacing w:after="60" w:line="276" w:lineRule="auto"/>
        <w:rPr>
          <w:rFonts w:ascii="Lato" w:hAnsi="Lato"/>
          <w:iCs/>
        </w:rPr>
      </w:pPr>
      <w:r w:rsidRPr="001079B8">
        <w:rPr>
          <w:rFonts w:ascii="Lato" w:hAnsi="Lato"/>
          <w:iCs/>
        </w:rPr>
        <w:t xml:space="preserve">konieczne jest zarezerwowanie zdolności przesyłowych – inna jest jedynie lokalizacja punktu, w którym te zdolności są rezerwowane. </w:t>
      </w:r>
    </w:p>
    <w:p w14:paraId="086C7DC8" w14:textId="77777777" w:rsidR="001079B8" w:rsidRPr="001079B8" w:rsidRDefault="001079B8" w:rsidP="001079B8">
      <w:pPr>
        <w:spacing w:after="60" w:line="276" w:lineRule="auto"/>
        <w:rPr>
          <w:rFonts w:ascii="Lato" w:hAnsi="Lato"/>
          <w:iCs/>
        </w:rPr>
      </w:pPr>
      <w:r w:rsidRPr="001079B8">
        <w:rPr>
          <w:rFonts w:ascii="Lato" w:hAnsi="Lato"/>
          <w:iCs/>
        </w:rPr>
        <w:tab/>
        <w:t xml:space="preserve">W przypadku zapasów obowiązkowych utrzymywanych w instalacji magazynowej zlokalizowanej na terytorium kraju, punkt wejścia do krajowego systemu przesyłowego znajduje się na połączeniu z instalacją magazynową. Natomiast w przypadku utrzymywania zapasów obowiązkowych poza granicami kraju w punkcie połączenia wzajemnego, tj. w punkcie połączenia systemu krajowego z sąsiadującą siecią przesyłową lub dystrybucyjną. Wysokość opłaty ponoszonej przez zobowiązane podmioty z tytułu rezerwacji zdolności przesyłowych, zarówno w punkcie połączenia międzysystemowego, jak i w punkcie wyjścia z instalacji magazynowej na terytorium </w:t>
      </w:r>
      <w:r w:rsidRPr="001079B8">
        <w:rPr>
          <w:rFonts w:ascii="Lato" w:hAnsi="Lato"/>
          <w:iCs/>
        </w:rPr>
        <w:lastRenderedPageBreak/>
        <w:t>kraju, podlega ocenie i zatwierdzeniu przez Prezesa URE, który bierze pod uwagę m.in. ochronę interesów odbiorców przed nieuzasadnionym poziomem cen i stawek opłat.</w:t>
      </w:r>
    </w:p>
    <w:p w14:paraId="4591E20B" w14:textId="453AFD6F" w:rsidR="001079B8" w:rsidRPr="001079B8" w:rsidRDefault="001079B8" w:rsidP="001079B8">
      <w:pPr>
        <w:spacing w:after="60" w:line="276" w:lineRule="auto"/>
        <w:rPr>
          <w:rFonts w:ascii="Lato" w:hAnsi="Lato"/>
          <w:iCs/>
        </w:rPr>
      </w:pPr>
      <w:r w:rsidRPr="001079B8">
        <w:rPr>
          <w:rFonts w:ascii="Lato" w:hAnsi="Lato"/>
          <w:iCs/>
        </w:rPr>
        <w:tab/>
        <w:t xml:space="preserve">Utrzymywanie zapasów obowiązkowych gazu ziemnego realizuje cel leżący w ogólnym interesie gospodarczym, tj. zagwarantowaniu bezpieczeństwa i ciągłości dostaw gazu ziemnego w przypadku najgłębszego kryzysu. Środek jakim są zapasy obowiązkowe gazu ziemnego jest proporcjonalny, przejrzysty i niedyskryminacyjny, a także niezbędny do osiągnięcia celu, którym jest zagwarantowanie bezpieczeństwa i ciągłości dostaw gazu ziemnego. </w:t>
      </w:r>
    </w:p>
    <w:p w14:paraId="0754FC61" w14:textId="487DBB39" w:rsidR="001079B8" w:rsidRPr="00270AE5" w:rsidRDefault="001079B8" w:rsidP="001079B8">
      <w:pPr>
        <w:spacing w:after="60" w:line="276" w:lineRule="auto"/>
        <w:rPr>
          <w:i/>
        </w:rPr>
      </w:pPr>
      <w:r w:rsidRPr="001079B8">
        <w:rPr>
          <w:rFonts w:ascii="Lato" w:hAnsi="Lato"/>
          <w:iCs/>
        </w:rPr>
        <w:tab/>
        <w:t xml:space="preserve">Uruchomienie zapasów obowiązkowych gazu ziemnego zostało wprost powiązane z brakiem możliwości bilansowania systemu gazowego. Zgodnie z </w:t>
      </w:r>
      <w:r>
        <w:rPr>
          <w:rFonts w:ascii="Lato" w:hAnsi="Lato"/>
          <w:iCs/>
        </w:rPr>
        <w:t>przepisami ustawy o zapasach</w:t>
      </w:r>
      <w:r w:rsidRPr="001079B8">
        <w:rPr>
          <w:rFonts w:ascii="Lato" w:hAnsi="Lato"/>
          <w:iCs/>
        </w:rPr>
        <w:t>, dopiero w przypadku wprowadzenia stanu nadzwyczajnego, skutkującego zagrożeniem bilansowania systemu gazowego, minister właściwy do spraw energii, może podjąć decyzję o uruchomieniu zapasów obowiązkowych gazu ziemnego, na wniosek operatora systemu przesyłowego. Zapasy obowiązkowe gazu ziemnego stanowią środek nierynkowy w rozumieniu rozporządzenia 2017/1938. Wynika to również z definicji stanu nadzwyczajnego, która jest zgodna z art. 11 ust. 1 lit. c rozporządzenia 2017/1938: Stan nadzwyczajny jest ogłaszany w przypadku […] gdy wykorzystano wszystkie stosowne środki rynkowe, ale dostawy gazu ziemnego są niewystarczające do zaspokojenia pozostałego zapotrzebowania na gaz ziemny, tak że jest konieczne wprowadzenie dodatkowo środków nierynkowych, aby zabezpieczyć dostawy gazu ziemnego, w szczególności do odbiorców chronionych. Sposób, w jaki zapasy obowiązkowe gazu ziemnego zostaną wykorzystane do zapewnienia nieprzerwanych dostaw do odbiorców chronionych, zależy bezpośrednio od faktycznej sytuacji i realnych potrzeb.</w:t>
      </w:r>
    </w:p>
    <w:p w14:paraId="35C8CD3F" w14:textId="23C2E842" w:rsidR="001079B8" w:rsidRPr="001079B8" w:rsidRDefault="001079B8" w:rsidP="00270AE5">
      <w:pPr>
        <w:spacing w:after="60" w:line="276" w:lineRule="auto"/>
        <w:ind w:firstLine="708"/>
        <w:rPr>
          <w:rFonts w:ascii="Lato" w:hAnsi="Lato"/>
        </w:rPr>
      </w:pPr>
      <w:r w:rsidRPr="00270AE5">
        <w:rPr>
          <w:rFonts w:ascii="Lato" w:hAnsi="Lato"/>
          <w:b/>
          <w:bCs/>
        </w:rPr>
        <w:t>Ograniczenia w poborze gazu ziemnego</w:t>
      </w:r>
      <w:r w:rsidRPr="001079B8">
        <w:rPr>
          <w:rFonts w:ascii="Lato" w:hAnsi="Lato"/>
        </w:rPr>
        <w:t xml:space="preserve"> </w:t>
      </w:r>
      <w:bookmarkStart w:id="277" w:name="_Hlk142396055"/>
      <w:r w:rsidRPr="001079B8">
        <w:rPr>
          <w:rFonts w:ascii="Lato" w:hAnsi="Lato"/>
        </w:rPr>
        <w:t>polegają na ograniczeniu maksymalnego godzinowego i dobowego poboru gazu ziemnego na terytorium RP lub jego części</w:t>
      </w:r>
      <w:bookmarkEnd w:id="277"/>
      <w:r w:rsidRPr="001079B8">
        <w:rPr>
          <w:rFonts w:ascii="Lato" w:hAnsi="Lato"/>
        </w:rPr>
        <w:t>, mogą być wprowadzone na czas oznaczony. Ograniczenia są wprowadzane zgodnie z planami wprowadzania ograniczeń i co do zasady nie dotyczą odbiorców gazu ziemnego określonych jako odbiorcy chronieni. Ograniczenia w poborze gazu ziemnego mogą zostać wprowadzone zgodnie z art. 54 ustawy o zapasach w przypadku ogłoszenia stanu nadzwyczajnego. Przesłanki do wprowadzenia stanu nadzwyczajnego, zgodnie z art. 49a ust. 2 ustawy o zapasach dotyczą poniższych sytuacji:</w:t>
      </w:r>
    </w:p>
    <w:p w14:paraId="7376BACE" w14:textId="627D00A7" w:rsidR="001079B8" w:rsidRPr="00270AE5" w:rsidRDefault="001079B8">
      <w:pPr>
        <w:pStyle w:val="Akapitzlist"/>
        <w:numPr>
          <w:ilvl w:val="0"/>
          <w:numId w:val="22"/>
        </w:numPr>
        <w:spacing w:after="60" w:line="276" w:lineRule="auto"/>
        <w:rPr>
          <w:rFonts w:ascii="Lato" w:hAnsi="Lato"/>
        </w:rPr>
      </w:pPr>
      <w:r w:rsidRPr="00270AE5">
        <w:rPr>
          <w:rFonts w:ascii="Lato" w:hAnsi="Lato"/>
        </w:rPr>
        <w:t>zagrożenia bezpieczeństwa gazowego państwa,</w:t>
      </w:r>
    </w:p>
    <w:p w14:paraId="2CE977A2" w14:textId="5C6FEBD0" w:rsidR="001079B8" w:rsidRPr="001079B8" w:rsidRDefault="001079B8">
      <w:pPr>
        <w:pStyle w:val="Akapitzlist"/>
        <w:numPr>
          <w:ilvl w:val="0"/>
          <w:numId w:val="22"/>
        </w:numPr>
        <w:spacing w:after="60" w:line="276" w:lineRule="auto"/>
        <w:rPr>
          <w:rFonts w:ascii="Lato" w:hAnsi="Lato"/>
        </w:rPr>
      </w:pPr>
      <w:r w:rsidRPr="001079B8">
        <w:rPr>
          <w:rFonts w:ascii="Lato" w:hAnsi="Lato"/>
        </w:rPr>
        <w:t>zakłóceń w dostarczaniu gazu ziemnego do systemu gazowego,</w:t>
      </w:r>
    </w:p>
    <w:p w14:paraId="139F5300" w14:textId="69E7F089" w:rsidR="001079B8" w:rsidRPr="001079B8" w:rsidRDefault="001079B8">
      <w:pPr>
        <w:pStyle w:val="Akapitzlist"/>
        <w:numPr>
          <w:ilvl w:val="0"/>
          <w:numId w:val="22"/>
        </w:numPr>
        <w:spacing w:after="60" w:line="276" w:lineRule="auto"/>
        <w:rPr>
          <w:rFonts w:ascii="Lato" w:hAnsi="Lato"/>
        </w:rPr>
      </w:pPr>
      <w:r w:rsidRPr="001079B8">
        <w:rPr>
          <w:rFonts w:ascii="Lato" w:hAnsi="Lato"/>
        </w:rPr>
        <w:t>gwałtownego, nieprzewidzianego uszkodzenia lub zniszczenia urządzeń, instalacji lub sieci, powodującego przerwę w ich używaniu lub utratę ich właściwości zagrażającą bezpieczeństwu funkcjonowania systemu gazowego.</w:t>
      </w:r>
    </w:p>
    <w:p w14:paraId="602A4360" w14:textId="2CC66241" w:rsidR="00CB2DC6" w:rsidRPr="00C758B1" w:rsidRDefault="001079B8" w:rsidP="00260E89">
      <w:pPr>
        <w:spacing w:after="60" w:line="276" w:lineRule="auto"/>
        <w:jc w:val="left"/>
        <w:rPr>
          <w:rFonts w:ascii="Lato" w:eastAsiaTheme="majorEastAsia" w:hAnsi="Lato" w:cstheme="majorBidi"/>
          <w:b/>
          <w:sz w:val="32"/>
          <w:szCs w:val="32"/>
        </w:rPr>
      </w:pPr>
      <w:r w:rsidRPr="001079B8">
        <w:rPr>
          <w:rFonts w:ascii="Lato" w:hAnsi="Lato"/>
        </w:rPr>
        <w:t>Ograniczenia w poborze gazu ziemnego, zgodnie z art. 56 ust. 1 ustawy o zapasach, mogą zostać wprowadzone, w drodze rozporządzenia, przez Radę Ministrów na wniosek ministra właściwego do spraw energii.</w:t>
      </w:r>
      <w:bookmarkStart w:id="278" w:name="_Toc12953920"/>
      <w:r w:rsidR="00CB2DC6" w:rsidRPr="00C758B1">
        <w:rPr>
          <w:rFonts w:ascii="Lato" w:hAnsi="Lato"/>
        </w:rPr>
        <w:br w:type="page"/>
      </w:r>
    </w:p>
    <w:p w14:paraId="7528E22F" w14:textId="013B6F52" w:rsidR="00B03DBA" w:rsidRPr="000E40A9" w:rsidRDefault="00C7771E" w:rsidP="000E40A9">
      <w:pPr>
        <w:pStyle w:val="Rozdzia1"/>
        <w:rPr>
          <w:rFonts w:ascii="Lato" w:hAnsi="Lato"/>
          <w:sz w:val="28"/>
          <w:szCs w:val="28"/>
        </w:rPr>
      </w:pPr>
      <w:bookmarkStart w:id="279" w:name="_Toc19782955"/>
      <w:bookmarkStart w:id="280" w:name="_Toc142469578"/>
      <w:r w:rsidRPr="000E40A9">
        <w:rPr>
          <w:rFonts w:ascii="Lato" w:hAnsi="Lato"/>
          <w:sz w:val="28"/>
          <w:szCs w:val="28"/>
        </w:rPr>
        <w:lastRenderedPageBreak/>
        <w:t>Inne środki i obowiązki w zakresie bezpieczeństwa funkcjonowania systemu</w:t>
      </w:r>
      <w:bookmarkEnd w:id="278"/>
      <w:bookmarkEnd w:id="279"/>
      <w:bookmarkEnd w:id="280"/>
    </w:p>
    <w:p w14:paraId="3C7A0A4E" w14:textId="77777777" w:rsidR="00B03DBA" w:rsidRPr="00C758B1" w:rsidRDefault="00C7771E" w:rsidP="000E40A9">
      <w:pPr>
        <w:pStyle w:val="Rozdzia2"/>
        <w:rPr>
          <w:rFonts w:ascii="Lato" w:hAnsi="Lato"/>
        </w:rPr>
      </w:pPr>
      <w:bookmarkStart w:id="281" w:name="_Toc12953921"/>
      <w:bookmarkStart w:id="282" w:name="_Toc19782956"/>
      <w:bookmarkStart w:id="283" w:name="_Toc142469579"/>
      <w:r w:rsidRPr="00C758B1">
        <w:rPr>
          <w:rFonts w:ascii="Lato" w:hAnsi="Lato"/>
        </w:rPr>
        <w:t>Rola operatorów w zapewnieniu bezpieczeństwa dostaw gazu ziemnego</w:t>
      </w:r>
      <w:bookmarkEnd w:id="281"/>
      <w:bookmarkEnd w:id="282"/>
      <w:bookmarkEnd w:id="283"/>
    </w:p>
    <w:p w14:paraId="30EA1519" w14:textId="695CAB40" w:rsidR="00B03DBA" w:rsidRPr="00C758B1" w:rsidRDefault="00C7771E" w:rsidP="000E40A9">
      <w:pPr>
        <w:pStyle w:val="Tekstzwyky"/>
        <w:rPr>
          <w:rFonts w:ascii="Lato" w:hAnsi="Lato"/>
        </w:rPr>
      </w:pPr>
      <w:r w:rsidRPr="00C758B1">
        <w:rPr>
          <w:rFonts w:ascii="Lato" w:hAnsi="Lato"/>
        </w:rPr>
        <w:tab/>
      </w:r>
      <w:bookmarkStart w:id="284" w:name="_Hlk142319045"/>
      <w:r w:rsidRPr="00C758B1">
        <w:rPr>
          <w:rFonts w:ascii="Lato" w:hAnsi="Lato"/>
        </w:rPr>
        <w:t xml:space="preserve">Zgodnie z art. 9c ust. 1 ustawy - </w:t>
      </w:r>
      <w:r w:rsidRPr="00C758B1">
        <w:rPr>
          <w:rFonts w:ascii="Lato" w:hAnsi="Lato"/>
          <w:i/>
        </w:rPr>
        <w:t xml:space="preserve">Prawo energetyczne </w:t>
      </w:r>
      <w:r w:rsidRPr="00C758B1">
        <w:rPr>
          <w:rFonts w:ascii="Lato" w:hAnsi="Lato"/>
        </w:rPr>
        <w:t>operatorzy systemu: przesyłowego, dystrybucyjnego</w:t>
      </w:r>
      <w:r w:rsidR="00575E79">
        <w:rPr>
          <w:rFonts w:ascii="Lato" w:hAnsi="Lato"/>
        </w:rPr>
        <w:t xml:space="preserve">, </w:t>
      </w:r>
      <w:r w:rsidRPr="00C758B1">
        <w:rPr>
          <w:rFonts w:ascii="Lato" w:hAnsi="Lato"/>
        </w:rPr>
        <w:t>magazynowania</w:t>
      </w:r>
      <w:r w:rsidR="00575E79">
        <w:rPr>
          <w:rFonts w:ascii="Lato" w:hAnsi="Lato"/>
        </w:rPr>
        <w:t xml:space="preserve"> i skraplania</w:t>
      </w:r>
      <w:r w:rsidRPr="00C758B1">
        <w:rPr>
          <w:rFonts w:ascii="Lato" w:hAnsi="Lato"/>
        </w:rPr>
        <w:t xml:space="preserve"> paliw gazowych</w:t>
      </w:r>
      <w:r w:rsidR="00575E79">
        <w:rPr>
          <w:rFonts w:ascii="Lato" w:hAnsi="Lato"/>
        </w:rPr>
        <w:t xml:space="preserve"> lub operator systemu połączonego gazowego,</w:t>
      </w:r>
      <w:r w:rsidRPr="00C758B1">
        <w:rPr>
          <w:rFonts w:ascii="Lato" w:hAnsi="Lato"/>
        </w:rPr>
        <w:t xml:space="preserve"> odpowiednio do zakresu działania, </w:t>
      </w:r>
      <w:r w:rsidR="000E40A9">
        <w:rPr>
          <w:rFonts w:ascii="Lato" w:hAnsi="Lato"/>
        </w:rPr>
        <w:t xml:space="preserve">są </w:t>
      </w:r>
      <w:r w:rsidRPr="00C758B1">
        <w:rPr>
          <w:rFonts w:ascii="Lato" w:hAnsi="Lato"/>
        </w:rPr>
        <w:t xml:space="preserve">odpowiedzialni m.in. za: </w:t>
      </w:r>
    </w:p>
    <w:p w14:paraId="1F3833DB" w14:textId="25F33C79" w:rsidR="00B03DBA" w:rsidRPr="00C758B1" w:rsidRDefault="00C7771E" w:rsidP="000E40A9">
      <w:pPr>
        <w:pStyle w:val="TekstWypunktowany"/>
        <w:rPr>
          <w:rFonts w:ascii="Lato" w:hAnsi="Lato"/>
        </w:rPr>
      </w:pPr>
      <w:r w:rsidRPr="00C758B1">
        <w:rPr>
          <w:rFonts w:ascii="Lato" w:hAnsi="Lato"/>
        </w:rPr>
        <w:t>bezpieczeństwo dostarczania paliw gazowych poprzez zapewnienie bezpieczeństwa funkcjonowania systemu gazowego i realizację umów z użytkownikami tego systemu</w:t>
      </w:r>
      <w:r w:rsidR="00CB2DC6" w:rsidRPr="00C758B1">
        <w:rPr>
          <w:rFonts w:ascii="Lato" w:hAnsi="Lato"/>
        </w:rPr>
        <w:t>;</w:t>
      </w:r>
    </w:p>
    <w:p w14:paraId="4A2A0EE2" w14:textId="7F63BE20" w:rsidR="00B03DBA" w:rsidRPr="00C758B1" w:rsidRDefault="00C7771E" w:rsidP="000E40A9">
      <w:pPr>
        <w:pStyle w:val="TekstWypunktowany"/>
        <w:rPr>
          <w:rFonts w:ascii="Lato" w:hAnsi="Lato"/>
        </w:rPr>
      </w:pPr>
      <w:r w:rsidRPr="00C758B1">
        <w:rPr>
          <w:rFonts w:ascii="Lato" w:hAnsi="Lato"/>
        </w:rPr>
        <w:t>prowadzenie ruchu sieciowego w sposób skoordynowany i efektywny</w:t>
      </w:r>
      <w:r w:rsidR="00CB2DC6" w:rsidRPr="00C758B1">
        <w:rPr>
          <w:rFonts w:ascii="Lato" w:hAnsi="Lato"/>
        </w:rPr>
        <w:t>;</w:t>
      </w:r>
    </w:p>
    <w:p w14:paraId="4A89C207" w14:textId="3081DF77" w:rsidR="00B03DBA" w:rsidRPr="00C758B1" w:rsidRDefault="00C7771E" w:rsidP="000E40A9">
      <w:pPr>
        <w:pStyle w:val="TekstWypunktowany"/>
        <w:rPr>
          <w:rFonts w:ascii="Lato" w:hAnsi="Lato"/>
        </w:rPr>
      </w:pPr>
      <w:r w:rsidRPr="00C758B1">
        <w:rPr>
          <w:rFonts w:ascii="Lato" w:hAnsi="Lato"/>
        </w:rPr>
        <w:t>eksploatację, konserwację, remonty sieci, instalacji i urządzeń</w:t>
      </w:r>
      <w:r w:rsidR="00CB2DC6" w:rsidRPr="00C758B1">
        <w:rPr>
          <w:rFonts w:ascii="Lato" w:hAnsi="Lato"/>
        </w:rPr>
        <w:t>;</w:t>
      </w:r>
    </w:p>
    <w:p w14:paraId="21E55CCA" w14:textId="0166AC3B" w:rsidR="00B03DBA" w:rsidRPr="00C758B1" w:rsidRDefault="00C7771E" w:rsidP="000E40A9">
      <w:pPr>
        <w:pStyle w:val="TekstWypunktowany"/>
        <w:rPr>
          <w:rFonts w:ascii="Lato" w:hAnsi="Lato"/>
        </w:rPr>
      </w:pPr>
      <w:r w:rsidRPr="00C758B1">
        <w:rPr>
          <w:rFonts w:ascii="Lato" w:hAnsi="Lato"/>
        </w:rPr>
        <w:t>zapewnienie długoterminowej zdolności systemu gazowego do zaspokojenia uzasadnionych potrzeb w zakresie przesyłania paliw gazowych w obrocie krajowym i transgranicznym, dystrybucji tych paliw i ich magazynowania lub skraplania gazu ziemnego, a także w zakresie rozbudowy systemu gazowego, a tam gdzie ma to zastosowanie, rozbudowy połączeń z innymi systemami gazowymi</w:t>
      </w:r>
      <w:r w:rsidR="00CB2DC6" w:rsidRPr="00C758B1">
        <w:rPr>
          <w:rFonts w:ascii="Lato" w:hAnsi="Lato"/>
        </w:rPr>
        <w:t>;</w:t>
      </w:r>
    </w:p>
    <w:p w14:paraId="7725677A" w14:textId="5AE9F84C" w:rsidR="00B03DBA" w:rsidRPr="00C758B1" w:rsidRDefault="00C7771E" w:rsidP="000E40A9">
      <w:pPr>
        <w:pStyle w:val="TekstWypunktowany"/>
        <w:rPr>
          <w:rFonts w:ascii="Lato" w:hAnsi="Lato"/>
        </w:rPr>
      </w:pPr>
      <w:r w:rsidRPr="00C758B1">
        <w:rPr>
          <w:rFonts w:ascii="Lato" w:hAnsi="Lato"/>
        </w:rPr>
        <w:t>współpracę z innymi operatorami systemów gazowych lub przedsiębiorstwami energetycznymi w celu niezawodnego i efektywnego funkcjonowania systemów gazowych oraz skoordynowania ich rozwoju</w:t>
      </w:r>
      <w:r w:rsidR="00CB2DC6" w:rsidRPr="00C758B1">
        <w:rPr>
          <w:rFonts w:ascii="Lato" w:hAnsi="Lato"/>
        </w:rPr>
        <w:t>;</w:t>
      </w:r>
    </w:p>
    <w:p w14:paraId="70FFB911" w14:textId="5CE76389" w:rsidR="00B03DBA" w:rsidRPr="00C758B1" w:rsidRDefault="00C7771E" w:rsidP="000E40A9">
      <w:pPr>
        <w:pStyle w:val="TekstWypunktowany"/>
        <w:rPr>
          <w:rFonts w:ascii="Lato" w:hAnsi="Lato"/>
        </w:rPr>
      </w:pPr>
      <w:r w:rsidRPr="00C758B1">
        <w:rPr>
          <w:rFonts w:ascii="Lato" w:hAnsi="Lato"/>
        </w:rPr>
        <w:t>dysponowanie mocą instalacji magazynowych i instalacji skroplonego gazu ziemnego</w:t>
      </w:r>
      <w:r w:rsidR="00CB2DC6" w:rsidRPr="00C758B1">
        <w:rPr>
          <w:rFonts w:ascii="Lato" w:hAnsi="Lato"/>
        </w:rPr>
        <w:t>;</w:t>
      </w:r>
    </w:p>
    <w:p w14:paraId="1D6BA3DC" w14:textId="33E2619A" w:rsidR="00B03DBA" w:rsidRPr="00C758B1" w:rsidRDefault="00C7771E" w:rsidP="000E40A9">
      <w:pPr>
        <w:pStyle w:val="TekstWypunktowany"/>
        <w:rPr>
          <w:rFonts w:ascii="Lato" w:hAnsi="Lato"/>
        </w:rPr>
      </w:pPr>
      <w:r w:rsidRPr="00C758B1">
        <w:rPr>
          <w:rFonts w:ascii="Lato" w:hAnsi="Lato"/>
        </w:rPr>
        <w:t>zarządzanie przepływami paliw gazowych oraz utrzymanie parametrów jakościowych tych paliw</w:t>
      </w:r>
      <w:r w:rsidR="00CB2DC6" w:rsidRPr="00C758B1">
        <w:rPr>
          <w:rFonts w:ascii="Lato" w:hAnsi="Lato"/>
        </w:rPr>
        <w:t>;</w:t>
      </w:r>
    </w:p>
    <w:p w14:paraId="4579EAF0" w14:textId="0EC71AD4" w:rsidR="00B03DBA" w:rsidRPr="00C758B1" w:rsidRDefault="00C7771E" w:rsidP="000E40A9">
      <w:pPr>
        <w:pStyle w:val="TekstWypunktowany"/>
        <w:rPr>
          <w:rFonts w:ascii="Lato" w:hAnsi="Lato"/>
        </w:rPr>
      </w:pPr>
      <w:r w:rsidRPr="00C758B1">
        <w:rPr>
          <w:rFonts w:ascii="Lato" w:hAnsi="Lato"/>
        </w:rPr>
        <w:t>świadczenie usług niezbędnych do prawidłowego funkcjonowania systemu gazowego</w:t>
      </w:r>
      <w:r w:rsidR="00CB2DC6" w:rsidRPr="00C758B1">
        <w:rPr>
          <w:rFonts w:ascii="Lato" w:hAnsi="Lato"/>
        </w:rPr>
        <w:t>;</w:t>
      </w:r>
    </w:p>
    <w:p w14:paraId="7136E5FB" w14:textId="075CEE3E" w:rsidR="00B03DBA" w:rsidRPr="00C758B1" w:rsidRDefault="00C7771E" w:rsidP="000E40A9">
      <w:pPr>
        <w:pStyle w:val="TekstWypunktowany"/>
        <w:rPr>
          <w:rFonts w:ascii="Lato" w:hAnsi="Lato"/>
        </w:rPr>
      </w:pPr>
      <w:r w:rsidRPr="00C758B1">
        <w:rPr>
          <w:rFonts w:ascii="Lato" w:hAnsi="Lato"/>
        </w:rPr>
        <w:t>bilansowanie systemu i zarządzanie ograniczeniami w systemie gazowym, stanowiącymi w rozumieniu rozporządzenia 2017/1938 środek nierynkowy</w:t>
      </w:r>
      <w:r w:rsidR="00CB2DC6" w:rsidRPr="00C758B1">
        <w:rPr>
          <w:rFonts w:ascii="Lato" w:hAnsi="Lato"/>
        </w:rPr>
        <w:t>;</w:t>
      </w:r>
    </w:p>
    <w:p w14:paraId="6221C47E" w14:textId="132C6EFB" w:rsidR="00B03DBA" w:rsidRPr="00C758B1" w:rsidRDefault="00C7771E" w:rsidP="000E40A9">
      <w:pPr>
        <w:pStyle w:val="TekstWypunktowany"/>
        <w:rPr>
          <w:rFonts w:ascii="Lato" w:hAnsi="Lato"/>
        </w:rPr>
      </w:pPr>
      <w:r w:rsidRPr="00C758B1">
        <w:rPr>
          <w:rFonts w:ascii="Lato" w:hAnsi="Lato"/>
        </w:rPr>
        <w:t>dostarczanie użytkownikom systemu i operatorom innych systemów gazowych informacji o warunkach świadczenia usług przesyłania lub dystrybucji, usług magazynowania paliw gazowych lub usług skraplania gazu ziemnego, w tym o współpracy z połączonymi systemami gazowymi</w:t>
      </w:r>
      <w:r w:rsidR="00CB2DC6" w:rsidRPr="00C758B1">
        <w:rPr>
          <w:rFonts w:ascii="Lato" w:hAnsi="Lato"/>
        </w:rPr>
        <w:t>.</w:t>
      </w:r>
    </w:p>
    <w:p w14:paraId="447C0EC8" w14:textId="76626E24" w:rsidR="00B03DBA" w:rsidRPr="00C758B1" w:rsidRDefault="00C7771E" w:rsidP="000E40A9">
      <w:pPr>
        <w:pStyle w:val="Tekstzwyky"/>
        <w:rPr>
          <w:rFonts w:ascii="Lato" w:hAnsi="Lato"/>
        </w:rPr>
      </w:pPr>
      <w:r w:rsidRPr="00C758B1">
        <w:rPr>
          <w:rFonts w:ascii="Lato" w:hAnsi="Lato"/>
        </w:rPr>
        <w:tab/>
        <w:t xml:space="preserve">Ponadto zgodnie z art. 58 ustawy o zapasach operatorzy systemów przesyłowych gazowych, operatorzy systemów dystrybucyjnych gazowych oraz operatorzy systemów połączonych gazowych lub przedsiębiorstwa energetyczne pełniące funkcję operatorów są </w:t>
      </w:r>
      <w:r w:rsidR="000E40A9">
        <w:rPr>
          <w:rFonts w:ascii="Lato" w:hAnsi="Lato"/>
        </w:rPr>
        <w:t>z</w:t>
      </w:r>
      <w:r w:rsidRPr="00C758B1">
        <w:rPr>
          <w:rFonts w:ascii="Lato" w:hAnsi="Lato"/>
        </w:rPr>
        <w:t>obowiązani do opracowania planów wprowadzania ograniczeń. Plany wprowadzania ograniczeń</w:t>
      </w:r>
      <w:r w:rsidR="000E40A9">
        <w:rPr>
          <w:rFonts w:ascii="Lato" w:hAnsi="Lato"/>
        </w:rPr>
        <w:t>,</w:t>
      </w:r>
      <w:r w:rsidRPr="00C758B1">
        <w:rPr>
          <w:rFonts w:ascii="Lato" w:hAnsi="Lato"/>
        </w:rPr>
        <w:t xml:space="preserve"> opracowane przez operatorów</w:t>
      </w:r>
      <w:r w:rsidR="000E40A9">
        <w:rPr>
          <w:rFonts w:ascii="Lato" w:hAnsi="Lato"/>
        </w:rPr>
        <w:t>,</w:t>
      </w:r>
      <w:r w:rsidRPr="00C758B1">
        <w:rPr>
          <w:rFonts w:ascii="Lato" w:hAnsi="Lato"/>
        </w:rPr>
        <w:t xml:space="preserve"> określają maksymalne godzinowe i dobowe ilości poboru gazu ziemnego przez poszczególnych odbiorców </w:t>
      </w:r>
      <w:r w:rsidRPr="00C758B1">
        <w:rPr>
          <w:rFonts w:ascii="Lato" w:hAnsi="Lato"/>
        </w:rPr>
        <w:lastRenderedPageBreak/>
        <w:t xml:space="preserve">przyłączonych do ich sieci dla poszczególnych stopni zasilania. </w:t>
      </w:r>
      <w:r w:rsidR="000E40A9">
        <w:rPr>
          <w:rFonts w:ascii="Lato" w:hAnsi="Lato"/>
        </w:rPr>
        <w:t>Przy czym</w:t>
      </w:r>
      <w:r w:rsidRPr="00C758B1">
        <w:rPr>
          <w:rFonts w:ascii="Lato" w:hAnsi="Lato"/>
        </w:rPr>
        <w:t xml:space="preserve"> ograniczenia wynikające z planów wprowadzania ograniczeń nie mają zastosowania do odbiorców gazu ziemnego w gospodarstwach domowych.</w:t>
      </w:r>
    </w:p>
    <w:p w14:paraId="664FF5E8" w14:textId="00BF2B5E" w:rsidR="00B03DBA" w:rsidRPr="00C758B1" w:rsidRDefault="00C7771E" w:rsidP="000E40A9">
      <w:pPr>
        <w:pStyle w:val="Tekstzwyky"/>
        <w:rPr>
          <w:rFonts w:ascii="Lato" w:hAnsi="Lato"/>
        </w:rPr>
      </w:pPr>
      <w:r w:rsidRPr="00C758B1">
        <w:rPr>
          <w:rFonts w:ascii="Lato" w:hAnsi="Lato"/>
        </w:rPr>
        <w:tab/>
        <w:t xml:space="preserve">W okresie obowiązywania ograniczeń w poborze gazu ziemnego, operator systemu przesyłowego gazowego lub operator </w:t>
      </w:r>
      <w:r w:rsidR="00575E79">
        <w:rPr>
          <w:rFonts w:ascii="Lato" w:hAnsi="Lato"/>
        </w:rPr>
        <w:t>systemu połączonego</w:t>
      </w:r>
      <w:r w:rsidRPr="00C758B1">
        <w:rPr>
          <w:rFonts w:ascii="Lato" w:hAnsi="Lato"/>
        </w:rPr>
        <w:t xml:space="preserve">: </w:t>
      </w:r>
    </w:p>
    <w:p w14:paraId="2499AAA9" w14:textId="64F1EA33" w:rsidR="00B03DBA" w:rsidRPr="000E40A9" w:rsidRDefault="00C7771E" w:rsidP="000E40A9">
      <w:pPr>
        <w:pStyle w:val="TekstWypunktowany"/>
        <w:rPr>
          <w:rFonts w:ascii="Lato" w:hAnsi="Lato"/>
        </w:rPr>
      </w:pPr>
      <w:r w:rsidRPr="000E40A9">
        <w:rPr>
          <w:rFonts w:ascii="Lato" w:hAnsi="Lato"/>
        </w:rPr>
        <w:t>realizuje obowiązki związane z wprowadzaniem ograniczeń, przez ustalanie i podawanie do publicznej wiadomości stopni zasilania, zgodnie z planami wprowadzania ograniczeń</w:t>
      </w:r>
      <w:r w:rsidR="00CB2DC6" w:rsidRPr="00C758B1">
        <w:rPr>
          <w:rFonts w:ascii="Lato" w:hAnsi="Lato"/>
        </w:rPr>
        <w:t>;</w:t>
      </w:r>
    </w:p>
    <w:p w14:paraId="3634E605" w14:textId="2FB28204" w:rsidR="00B03DBA" w:rsidRPr="000E40A9" w:rsidRDefault="00C7771E" w:rsidP="000E40A9">
      <w:pPr>
        <w:pStyle w:val="TekstWypunktowany"/>
        <w:rPr>
          <w:rFonts w:ascii="Lato" w:hAnsi="Lato"/>
        </w:rPr>
      </w:pPr>
      <w:r w:rsidRPr="000E40A9">
        <w:rPr>
          <w:rFonts w:ascii="Lato" w:hAnsi="Lato"/>
        </w:rPr>
        <w:t xml:space="preserve">koordynuje działania przedsiębiorstw energetycznych, innych operatorów systemów gazowych, operatorów systemów magazynowania, </w:t>
      </w:r>
      <w:r w:rsidR="00D264AB" w:rsidRPr="00D264AB">
        <w:rPr>
          <w:rFonts w:ascii="Lato" w:hAnsi="Lato"/>
        </w:rPr>
        <w:t xml:space="preserve">operatorów systemów skraplania gazu ziemnego </w:t>
      </w:r>
      <w:r w:rsidRPr="000E40A9">
        <w:rPr>
          <w:rFonts w:ascii="Lato" w:hAnsi="Lato"/>
        </w:rPr>
        <w:t>w celu zapewnienia bezpieczeństwa systemu gazowego i realizacji ograniczeń</w:t>
      </w:r>
      <w:r w:rsidR="00CB2DC6" w:rsidRPr="00C758B1">
        <w:rPr>
          <w:rFonts w:ascii="Lato" w:hAnsi="Lato"/>
        </w:rPr>
        <w:t>;</w:t>
      </w:r>
    </w:p>
    <w:p w14:paraId="26691261" w14:textId="77777777" w:rsidR="00B03DBA" w:rsidRPr="000E40A9" w:rsidRDefault="00C7771E" w:rsidP="000E40A9">
      <w:pPr>
        <w:pStyle w:val="TekstWypunktowany"/>
        <w:rPr>
          <w:rFonts w:ascii="Lato" w:hAnsi="Lato"/>
        </w:rPr>
      </w:pPr>
      <w:r w:rsidRPr="00C758B1">
        <w:rPr>
          <w:rFonts w:ascii="Lato" w:hAnsi="Lato"/>
        </w:rPr>
        <w:t>dysponuje pełną mocą i pojemnością instalacji magazynowania gazu ziemnego oraz skraplania gazu ziemnego przyłączonych do systemu gazowego oraz dysponuje zapasami obowiązkowymi gazu ziemnego.</w:t>
      </w:r>
    </w:p>
    <w:p w14:paraId="27F2CE6F" w14:textId="77777777" w:rsidR="00B03DBA" w:rsidRPr="00C758B1" w:rsidRDefault="00C7771E" w:rsidP="000E40A9">
      <w:pPr>
        <w:pStyle w:val="Rozdzia2"/>
        <w:rPr>
          <w:rFonts w:ascii="Lato" w:hAnsi="Lato"/>
        </w:rPr>
      </w:pPr>
      <w:bookmarkStart w:id="285" w:name="_Toc12953922"/>
      <w:bookmarkStart w:id="286" w:name="_Toc19782957"/>
      <w:bookmarkStart w:id="287" w:name="_Toc142469580"/>
      <w:bookmarkEnd w:id="284"/>
      <w:r w:rsidRPr="000E40A9">
        <w:rPr>
          <w:rFonts w:ascii="Lato" w:hAnsi="Lato"/>
        </w:rPr>
        <w:t>Zadania przedsiębiorstw energetycznych w zapewnianiu bezpieczeństwa dostaw gazu ziemnego</w:t>
      </w:r>
      <w:bookmarkEnd w:id="285"/>
      <w:bookmarkEnd w:id="286"/>
      <w:bookmarkEnd w:id="287"/>
    </w:p>
    <w:p w14:paraId="28E63ED5" w14:textId="6434F6EA" w:rsidR="00B03DBA" w:rsidRPr="00C758B1" w:rsidRDefault="00C7771E" w:rsidP="000E40A9">
      <w:pPr>
        <w:pStyle w:val="Tekstzwyky"/>
        <w:rPr>
          <w:rFonts w:ascii="Lato" w:hAnsi="Lato"/>
        </w:rPr>
      </w:pPr>
      <w:r w:rsidRPr="00C758B1">
        <w:rPr>
          <w:rFonts w:ascii="Lato" w:hAnsi="Lato"/>
          <w:color w:val="FF0000"/>
        </w:rPr>
        <w:tab/>
      </w:r>
      <w:r w:rsidRPr="00C758B1">
        <w:rPr>
          <w:rFonts w:ascii="Lato" w:hAnsi="Lato"/>
        </w:rPr>
        <w:t xml:space="preserve">W przypadku wystąpienia zakłóceń w dostawach lub nadzwyczajnie wysokiego zapotrzebowania na gaz </w:t>
      </w:r>
      <w:r w:rsidR="00F46D30">
        <w:rPr>
          <w:rFonts w:ascii="Lato" w:hAnsi="Lato"/>
        </w:rPr>
        <w:t xml:space="preserve">ziemny </w:t>
      </w:r>
      <w:r w:rsidRPr="00C758B1">
        <w:rPr>
          <w:rFonts w:ascii="Lato" w:hAnsi="Lato"/>
        </w:rPr>
        <w:t xml:space="preserve">przedsiębiorstwa energetyczne w pierwszej kolejności </w:t>
      </w:r>
      <w:r w:rsidR="000E40A9" w:rsidRPr="00C758B1">
        <w:rPr>
          <w:rFonts w:ascii="Lato" w:hAnsi="Lato"/>
        </w:rPr>
        <w:t xml:space="preserve">stosują </w:t>
      </w:r>
      <w:r w:rsidRPr="00C758B1">
        <w:rPr>
          <w:rFonts w:ascii="Lato" w:hAnsi="Lato"/>
        </w:rPr>
        <w:t xml:space="preserve">instrumenty oparte na mechanizmach rynkowych. W przypadku wystąpienia stanu nadzwyczajnego instrumenty oparte na mechanizmach rynkowych </w:t>
      </w:r>
      <w:r w:rsidR="00F1036D">
        <w:rPr>
          <w:rFonts w:ascii="Lato" w:hAnsi="Lato"/>
        </w:rPr>
        <w:t>mają</w:t>
      </w:r>
      <w:r w:rsidRPr="00C758B1">
        <w:rPr>
          <w:rFonts w:ascii="Lato" w:hAnsi="Lato"/>
        </w:rPr>
        <w:t xml:space="preserve"> pierwszeństwo przy łagodzeniu skutków zakłócenia w dostawach. W sytuacji gdy zastosowano wszystkie stosowne środki rynkowe w celu zabezpieczenia dostaw gazu</w:t>
      </w:r>
      <w:r w:rsidR="00F46D30">
        <w:rPr>
          <w:rFonts w:ascii="Lato" w:hAnsi="Lato"/>
        </w:rPr>
        <w:t xml:space="preserve"> ziemnego</w:t>
      </w:r>
      <w:r w:rsidRPr="00C758B1">
        <w:rPr>
          <w:rFonts w:ascii="Lato" w:hAnsi="Lato"/>
        </w:rPr>
        <w:t xml:space="preserve">, </w:t>
      </w:r>
      <w:r w:rsidR="00692D8B">
        <w:rPr>
          <w:rFonts w:ascii="Lato" w:hAnsi="Lato"/>
        </w:rPr>
        <w:t xml:space="preserve">jednak </w:t>
      </w:r>
      <w:r w:rsidRPr="00C758B1">
        <w:rPr>
          <w:rFonts w:ascii="Lato" w:hAnsi="Lato"/>
        </w:rPr>
        <w:t xml:space="preserve">są </w:t>
      </w:r>
      <w:r w:rsidR="00692D8B">
        <w:rPr>
          <w:rFonts w:ascii="Lato" w:hAnsi="Lato"/>
        </w:rPr>
        <w:t xml:space="preserve">one </w:t>
      </w:r>
      <w:r w:rsidRPr="00C758B1">
        <w:rPr>
          <w:rFonts w:ascii="Lato" w:hAnsi="Lato"/>
        </w:rPr>
        <w:t>niewystarczające</w:t>
      </w:r>
      <w:r w:rsidR="00692D8B">
        <w:rPr>
          <w:rFonts w:ascii="Lato" w:hAnsi="Lato"/>
        </w:rPr>
        <w:t xml:space="preserve"> do zaspokojenia</w:t>
      </w:r>
      <w:r w:rsidRPr="00C758B1">
        <w:rPr>
          <w:rFonts w:ascii="Lato" w:hAnsi="Lato"/>
        </w:rPr>
        <w:t xml:space="preserve"> potrzeb </w:t>
      </w:r>
      <w:r w:rsidR="00692D8B">
        <w:rPr>
          <w:rFonts w:ascii="Lato" w:hAnsi="Lato"/>
        </w:rPr>
        <w:t xml:space="preserve">wszystkich </w:t>
      </w:r>
      <w:r w:rsidRPr="00C758B1">
        <w:rPr>
          <w:rFonts w:ascii="Lato" w:hAnsi="Lato"/>
        </w:rPr>
        <w:t xml:space="preserve">odbiorców, możliwe jest wprowadzenie dodatkowo środków nierynkowych, do których zalicza się uruchomienie zapasów obowiązkowych </w:t>
      </w:r>
      <w:r w:rsidR="00F46D30">
        <w:rPr>
          <w:rFonts w:ascii="Lato" w:hAnsi="Lato"/>
        </w:rPr>
        <w:t xml:space="preserve">gazu ziemnego </w:t>
      </w:r>
      <w:r w:rsidRPr="00C758B1">
        <w:rPr>
          <w:rFonts w:ascii="Lato" w:hAnsi="Lato"/>
        </w:rPr>
        <w:t xml:space="preserve">oraz wprowadzenie ograniczeń w poborze gazu ziemnego. </w:t>
      </w:r>
    </w:p>
    <w:p w14:paraId="2405484C" w14:textId="77777777" w:rsidR="00B03DBA" w:rsidRPr="00C758B1" w:rsidRDefault="00C7771E" w:rsidP="000E40A9">
      <w:pPr>
        <w:pStyle w:val="Tekstzwyky"/>
        <w:rPr>
          <w:rFonts w:ascii="Lato" w:hAnsi="Lato"/>
        </w:rPr>
      </w:pPr>
      <w:r w:rsidRPr="00C758B1">
        <w:rPr>
          <w:rFonts w:ascii="Lato" w:hAnsi="Lato"/>
        </w:rPr>
        <w:tab/>
        <w:t xml:space="preserve">Zgodnie z art. 49 ustawy </w:t>
      </w:r>
      <w:r w:rsidRPr="000E40A9">
        <w:rPr>
          <w:rFonts w:ascii="Lato" w:hAnsi="Lato"/>
          <w:iCs/>
        </w:rPr>
        <w:t>o zapasach</w:t>
      </w:r>
      <w:r w:rsidRPr="00C758B1">
        <w:rPr>
          <w:rFonts w:ascii="Lato" w:hAnsi="Lato"/>
          <w:i/>
        </w:rPr>
        <w:t xml:space="preserve"> </w:t>
      </w:r>
      <w:r w:rsidRPr="00C758B1">
        <w:rPr>
          <w:rFonts w:ascii="Lato" w:hAnsi="Lato"/>
        </w:rPr>
        <w:t xml:space="preserve">przedsiębiorstwo energetyczne wykonujące działalność gospodarczą w zakresie obrotu gazem ziemnym z zagranicą, podmiot dokonujący przywozu gazu ziemnego oraz podmioty zlecające świadczenie usług przesyłania lub dystrybucji gazu ziemnego, są obowiązane posiadać procedury postępowania mające zastosowanie w przypadku: </w:t>
      </w:r>
    </w:p>
    <w:p w14:paraId="79B35A0E" w14:textId="5B82137E" w:rsidR="00B03DBA" w:rsidRPr="000E40A9" w:rsidRDefault="00C7771E" w:rsidP="000E40A9">
      <w:pPr>
        <w:pStyle w:val="TekstWypunktowany"/>
        <w:rPr>
          <w:rFonts w:ascii="Lato" w:hAnsi="Lato"/>
        </w:rPr>
      </w:pPr>
      <w:r w:rsidRPr="000E40A9">
        <w:rPr>
          <w:rFonts w:ascii="Lato" w:hAnsi="Lato"/>
        </w:rPr>
        <w:t>wystąpienia zakłóceń w dostarczaniu gazu ziemnego do systemu gazowego</w:t>
      </w:r>
      <w:r w:rsidR="00CB2DC6" w:rsidRPr="00C758B1">
        <w:rPr>
          <w:rFonts w:ascii="Lato" w:hAnsi="Lato"/>
        </w:rPr>
        <w:t>;</w:t>
      </w:r>
    </w:p>
    <w:p w14:paraId="7092D21B" w14:textId="77777777" w:rsidR="00B03DBA" w:rsidRDefault="00C7771E" w:rsidP="000E40A9">
      <w:pPr>
        <w:pStyle w:val="TekstWypunktowany"/>
        <w:rPr>
          <w:rFonts w:ascii="Lato" w:hAnsi="Lato"/>
        </w:rPr>
      </w:pPr>
      <w:r w:rsidRPr="000E40A9">
        <w:rPr>
          <w:rFonts w:ascii="Lato" w:hAnsi="Lato"/>
        </w:rPr>
        <w:t xml:space="preserve">nieprzewidzianego wzrostu zużycia gazu ziemnego przez odbiorców. </w:t>
      </w:r>
    </w:p>
    <w:p w14:paraId="0EF030DC" w14:textId="77777777" w:rsidR="00692D8B" w:rsidRPr="000E40A9" w:rsidRDefault="00692D8B" w:rsidP="00F069F0">
      <w:pPr>
        <w:pStyle w:val="TekstWypunktowany"/>
        <w:numPr>
          <w:ilvl w:val="0"/>
          <w:numId w:val="0"/>
        </w:numPr>
        <w:ind w:left="720"/>
        <w:rPr>
          <w:rFonts w:ascii="Lato" w:hAnsi="Lato"/>
        </w:rPr>
      </w:pPr>
    </w:p>
    <w:p w14:paraId="4B933BEF" w14:textId="77777777" w:rsidR="00B03DBA" w:rsidRPr="00C758B1" w:rsidRDefault="00C7771E" w:rsidP="000E40A9">
      <w:pPr>
        <w:pStyle w:val="Tekstzwyky"/>
        <w:rPr>
          <w:rFonts w:ascii="Lato" w:hAnsi="Lato"/>
        </w:rPr>
      </w:pPr>
      <w:r w:rsidRPr="00C758B1">
        <w:rPr>
          <w:rFonts w:ascii="Lato" w:hAnsi="Lato"/>
        </w:rPr>
        <w:t xml:space="preserve">Procedury postępowania, powinny określać w szczególności sposób: </w:t>
      </w:r>
    </w:p>
    <w:p w14:paraId="6A6F2FD7" w14:textId="2832A9BC" w:rsidR="00B03DBA" w:rsidRPr="000E40A9" w:rsidRDefault="00C7771E" w:rsidP="000E40A9">
      <w:pPr>
        <w:pStyle w:val="TekstWypunktowany"/>
        <w:rPr>
          <w:rFonts w:ascii="Lato" w:hAnsi="Lato"/>
        </w:rPr>
      </w:pPr>
      <w:r w:rsidRPr="000E40A9">
        <w:rPr>
          <w:rFonts w:ascii="Lato" w:hAnsi="Lato"/>
        </w:rPr>
        <w:t>uruchamiania dodatkowych dostaw gazu ziemnego z innych źródeł lub kierunków</w:t>
      </w:r>
      <w:r w:rsidR="00CB2DC6" w:rsidRPr="00C758B1">
        <w:rPr>
          <w:rFonts w:ascii="Lato" w:hAnsi="Lato"/>
        </w:rPr>
        <w:t>;</w:t>
      </w:r>
    </w:p>
    <w:p w14:paraId="468B3A26" w14:textId="77777777" w:rsidR="00B03DBA" w:rsidRPr="000E40A9" w:rsidRDefault="00C7771E" w:rsidP="000E40A9">
      <w:pPr>
        <w:pStyle w:val="TekstWypunktowany"/>
        <w:rPr>
          <w:rFonts w:ascii="Lato" w:hAnsi="Lato"/>
        </w:rPr>
      </w:pPr>
      <w:r w:rsidRPr="000E40A9">
        <w:rPr>
          <w:rFonts w:ascii="Lato" w:hAnsi="Lato"/>
        </w:rPr>
        <w:t xml:space="preserve">zmniejszania poboru gazu ziemnego przez odbiorców, zgodnie z umowami z nimi zawartymi. </w:t>
      </w:r>
    </w:p>
    <w:p w14:paraId="6642A4FC" w14:textId="6A2FA5B4" w:rsidR="00B03DBA" w:rsidRPr="00C758B1" w:rsidRDefault="00C7771E" w:rsidP="00337358">
      <w:pPr>
        <w:pStyle w:val="Tekstzwyky"/>
        <w:rPr>
          <w:rFonts w:ascii="Lato" w:hAnsi="Lato"/>
        </w:rPr>
      </w:pPr>
      <w:r w:rsidRPr="00C758B1">
        <w:rPr>
          <w:rFonts w:ascii="Lato" w:hAnsi="Lato"/>
        </w:rPr>
        <w:lastRenderedPageBreak/>
        <w:tab/>
        <w:t>Procedury postępowania uzgadniane są z podmiotami odpowiedzialnymi za ich realizację, w tym odpowiednio z operatorami innych systemów gazowych, a następnie przekazywane operatorowi systemu przesyłowego</w:t>
      </w:r>
      <w:r w:rsidR="00692D8B">
        <w:rPr>
          <w:rFonts w:ascii="Lato" w:hAnsi="Lato"/>
        </w:rPr>
        <w:t xml:space="preserve"> lub operatorowi systemu połączonego</w:t>
      </w:r>
      <w:r w:rsidRPr="00C758B1">
        <w:rPr>
          <w:rFonts w:ascii="Lato" w:hAnsi="Lato"/>
        </w:rPr>
        <w:t xml:space="preserve">. </w:t>
      </w:r>
    </w:p>
    <w:p w14:paraId="25C047F1" w14:textId="487C57CF" w:rsidR="00B03DBA" w:rsidRPr="00C758B1" w:rsidRDefault="00F46D30" w:rsidP="00337358">
      <w:pPr>
        <w:pStyle w:val="Tekstzwyky"/>
        <w:rPr>
          <w:rFonts w:ascii="Lato" w:hAnsi="Lato"/>
        </w:rPr>
      </w:pPr>
      <w:r>
        <w:rPr>
          <w:rFonts w:ascii="Lato" w:hAnsi="Lato"/>
        </w:rPr>
        <w:tab/>
      </w:r>
      <w:r w:rsidR="00C7771E" w:rsidRPr="00C758B1">
        <w:rPr>
          <w:rFonts w:ascii="Lato" w:hAnsi="Lato"/>
        </w:rPr>
        <w:t xml:space="preserve">Dodatkowo, zgodnie z art. 50 ust. 1 ustawy </w:t>
      </w:r>
      <w:r w:rsidR="00C7771E" w:rsidRPr="00337358">
        <w:rPr>
          <w:rFonts w:ascii="Lato" w:hAnsi="Lato"/>
          <w:iCs/>
        </w:rPr>
        <w:t xml:space="preserve">o zapasach </w:t>
      </w:r>
      <w:r w:rsidR="00C7771E" w:rsidRPr="00C758B1">
        <w:rPr>
          <w:rFonts w:ascii="Lato" w:hAnsi="Lato"/>
        </w:rPr>
        <w:t>przedsiębiorstwa energetyczne podejmują działania</w:t>
      </w:r>
      <w:r w:rsidR="00337358">
        <w:rPr>
          <w:rFonts w:ascii="Lato" w:hAnsi="Lato"/>
        </w:rPr>
        <w:t>, których celem</w:t>
      </w:r>
      <w:r w:rsidR="00C7771E" w:rsidRPr="00C758B1">
        <w:rPr>
          <w:rFonts w:ascii="Lato" w:hAnsi="Lato"/>
        </w:rPr>
        <w:t xml:space="preserve"> </w:t>
      </w:r>
      <w:r w:rsidR="00337358">
        <w:rPr>
          <w:rFonts w:ascii="Lato" w:hAnsi="Lato"/>
        </w:rPr>
        <w:t>jest</w:t>
      </w:r>
      <w:r w:rsidR="00C7771E" w:rsidRPr="00C758B1">
        <w:rPr>
          <w:rFonts w:ascii="Lato" w:hAnsi="Lato"/>
        </w:rPr>
        <w:t xml:space="preserve"> przeciwdziałani</w:t>
      </w:r>
      <w:r w:rsidR="00337358">
        <w:rPr>
          <w:rFonts w:ascii="Lato" w:hAnsi="Lato"/>
        </w:rPr>
        <w:t>e</w:t>
      </w:r>
      <w:r w:rsidR="00C7771E" w:rsidRPr="00C758B1">
        <w:rPr>
          <w:rFonts w:ascii="Lato" w:hAnsi="Lato"/>
        </w:rPr>
        <w:t xml:space="preserve"> zagrożeniu wystąpienia zakłóceń w</w:t>
      </w:r>
      <w:r w:rsidR="00337358">
        <w:rPr>
          <w:rFonts w:ascii="Lato" w:hAnsi="Lato"/>
        </w:rPr>
        <w:t xml:space="preserve"> </w:t>
      </w:r>
      <w:r w:rsidR="00C7771E" w:rsidRPr="00C758B1">
        <w:rPr>
          <w:rFonts w:ascii="Lato" w:hAnsi="Lato"/>
        </w:rPr>
        <w:t xml:space="preserve">dostawach, w szczególności działania określone w ww. procedurach. Tym samym należy stwierdzić, że ww. procedury nie ograniczają przedsiębiorstw w możliwości podejmowania innych środków rynkowych w celu przeciwdziałaniu zakłóceniom w dostawach gazu ziemnego. </w:t>
      </w:r>
    </w:p>
    <w:p w14:paraId="5C94ADB5" w14:textId="616B3ADC" w:rsidR="00B03DBA" w:rsidRPr="00C758B1" w:rsidRDefault="00C7771E" w:rsidP="00337358">
      <w:pPr>
        <w:pStyle w:val="Tekstzwyky"/>
        <w:rPr>
          <w:rFonts w:ascii="Lato" w:hAnsi="Lato"/>
        </w:rPr>
      </w:pPr>
      <w:r w:rsidRPr="00C758B1">
        <w:rPr>
          <w:rFonts w:ascii="Lato" w:hAnsi="Lato"/>
        </w:rPr>
        <w:tab/>
        <w:t xml:space="preserve">Natomiast art. 24 ustawy </w:t>
      </w:r>
      <w:r w:rsidRPr="00337358">
        <w:rPr>
          <w:rFonts w:ascii="Lato" w:hAnsi="Lato"/>
          <w:iCs/>
        </w:rPr>
        <w:t>o zapasach</w:t>
      </w:r>
      <w:r w:rsidRPr="00C758B1">
        <w:rPr>
          <w:rFonts w:ascii="Lato" w:hAnsi="Lato"/>
          <w:i/>
        </w:rPr>
        <w:t xml:space="preserve"> </w:t>
      </w:r>
      <w:r w:rsidRPr="00C758B1">
        <w:rPr>
          <w:rFonts w:ascii="Lato" w:hAnsi="Lato"/>
        </w:rPr>
        <w:t>zobowiązuje przedsiębiorstwa energetyczne wykonujące działalność gospodarczą w zakresie obrotu gazem ziemnym z zagranicą i podmioty dokonujące przywozu gazu ziemnego do utrzymywania zapasów obowiązkowych gazu ziemnego</w:t>
      </w:r>
      <w:r w:rsidR="00F9642E">
        <w:rPr>
          <w:rFonts w:ascii="Lato" w:hAnsi="Lato"/>
        </w:rPr>
        <w:t xml:space="preserve">, celem </w:t>
      </w:r>
      <w:r w:rsidRPr="00C758B1">
        <w:rPr>
          <w:rFonts w:ascii="Lato" w:hAnsi="Lato"/>
        </w:rPr>
        <w:t xml:space="preserve">minimalizacji skutków: zagrożenia bezpieczeństwa paliwowego państwa, wystąpienia sytuacji awaryjnej w sieci gazowej czy nieprzewidzianego wzrostu zużycia gazu ziemnego. </w:t>
      </w:r>
    </w:p>
    <w:p w14:paraId="4ED8EBB1" w14:textId="397383DA" w:rsidR="00B03DBA" w:rsidRPr="00C758B1" w:rsidRDefault="00C7771E" w:rsidP="00337358">
      <w:pPr>
        <w:pStyle w:val="Tekstzwyky"/>
        <w:rPr>
          <w:rFonts w:ascii="Lato" w:hAnsi="Lato"/>
        </w:rPr>
      </w:pPr>
      <w:r w:rsidRPr="00C758B1">
        <w:rPr>
          <w:rFonts w:ascii="Lato" w:hAnsi="Lato"/>
        </w:rPr>
        <w:tab/>
        <w:t>Ponadto przedsiębiorstwa energetyczne</w:t>
      </w:r>
      <w:r w:rsidR="006E461F">
        <w:rPr>
          <w:rFonts w:ascii="Lato" w:hAnsi="Lato"/>
        </w:rPr>
        <w:t>, zgodnie z przepisami art. 14 ust. 6 rozporządzenia 2017/1938,</w:t>
      </w:r>
      <w:r w:rsidRPr="00C758B1">
        <w:rPr>
          <w:rFonts w:ascii="Lato" w:hAnsi="Lato"/>
        </w:rPr>
        <w:t xml:space="preserve"> zobowiązane są do corocznego przekazywania </w:t>
      </w:r>
      <w:r w:rsidR="00D264AB">
        <w:rPr>
          <w:rFonts w:ascii="Lato" w:hAnsi="Lato"/>
        </w:rPr>
        <w:t>m</w:t>
      </w:r>
      <w:r w:rsidRPr="00C758B1">
        <w:rPr>
          <w:rFonts w:ascii="Lato" w:hAnsi="Lato"/>
        </w:rPr>
        <w:t xml:space="preserve">inistrowi </w:t>
      </w:r>
      <w:r w:rsidR="00D264AB">
        <w:rPr>
          <w:rFonts w:ascii="Lato" w:hAnsi="Lato"/>
        </w:rPr>
        <w:t>właściwemu do spraw e</w:t>
      </w:r>
      <w:r w:rsidRPr="00C758B1">
        <w:rPr>
          <w:rFonts w:ascii="Lato" w:hAnsi="Lato"/>
        </w:rPr>
        <w:t>nergii informacji na temat nowych umów (lub wprowadzonych zmianach w obowiązujących umowach) na dostawy gazu ziemnego mających wymiar transgraniczny</w:t>
      </w:r>
      <w:r w:rsidR="00337358">
        <w:rPr>
          <w:rFonts w:ascii="Lato" w:hAnsi="Lato"/>
        </w:rPr>
        <w:t xml:space="preserve">, </w:t>
      </w:r>
      <w:r w:rsidRPr="00C758B1">
        <w:rPr>
          <w:rFonts w:ascii="Lato" w:hAnsi="Lato"/>
        </w:rPr>
        <w:t>których okres obowiązywania jest dłuższy niż rok. Informacje powinny zawierać:</w:t>
      </w:r>
    </w:p>
    <w:p w14:paraId="72D6D790" w14:textId="77777777" w:rsidR="00B03DBA" w:rsidRPr="00337358" w:rsidRDefault="00C7771E" w:rsidP="00337358">
      <w:pPr>
        <w:pStyle w:val="TekstWypunktowany"/>
        <w:rPr>
          <w:rFonts w:ascii="Lato" w:hAnsi="Lato"/>
        </w:rPr>
      </w:pPr>
      <w:r w:rsidRPr="00337358">
        <w:rPr>
          <w:rFonts w:ascii="Lato" w:hAnsi="Lato"/>
        </w:rPr>
        <w:t>okres obowiązywania umowy;</w:t>
      </w:r>
    </w:p>
    <w:p w14:paraId="3718AF97" w14:textId="77777777" w:rsidR="00B03DBA" w:rsidRPr="00337358" w:rsidRDefault="00C7771E" w:rsidP="00337358">
      <w:pPr>
        <w:pStyle w:val="TekstWypunktowany"/>
        <w:rPr>
          <w:rFonts w:ascii="Lato" w:hAnsi="Lato"/>
        </w:rPr>
      </w:pPr>
      <w:r w:rsidRPr="00337358">
        <w:rPr>
          <w:rFonts w:ascii="Lato" w:hAnsi="Lato"/>
        </w:rPr>
        <w:t>określone w umowie roczne ilości gazu ziemnego;</w:t>
      </w:r>
    </w:p>
    <w:p w14:paraId="49150C7F" w14:textId="77777777" w:rsidR="00B03DBA" w:rsidRPr="00337358" w:rsidRDefault="00C7771E" w:rsidP="00337358">
      <w:pPr>
        <w:pStyle w:val="TekstWypunktowany"/>
        <w:rPr>
          <w:rFonts w:ascii="Lato" w:hAnsi="Lato"/>
        </w:rPr>
      </w:pPr>
      <w:r w:rsidRPr="00337358">
        <w:rPr>
          <w:rFonts w:ascii="Lato" w:hAnsi="Lato"/>
        </w:rPr>
        <w:t>określone w umowie maksymalne dzienne ilości gazu ziemnego w przypadku stanu alarmowego lub stanu nadzwyczajnego;</w:t>
      </w:r>
    </w:p>
    <w:p w14:paraId="478D3968" w14:textId="77777777" w:rsidR="00B03DBA" w:rsidRPr="00337358" w:rsidRDefault="00C7771E" w:rsidP="00337358">
      <w:pPr>
        <w:pStyle w:val="TekstWypunktowany"/>
        <w:rPr>
          <w:rFonts w:ascii="Lato" w:hAnsi="Lato"/>
        </w:rPr>
      </w:pPr>
      <w:r w:rsidRPr="00337358">
        <w:rPr>
          <w:rFonts w:ascii="Lato" w:hAnsi="Lato"/>
        </w:rPr>
        <w:t>określone w umowie punkty dostawy;</w:t>
      </w:r>
    </w:p>
    <w:p w14:paraId="0FE01962" w14:textId="77777777" w:rsidR="00B03DBA" w:rsidRPr="00337358" w:rsidRDefault="00C7771E" w:rsidP="00337358">
      <w:pPr>
        <w:pStyle w:val="TekstWypunktowany"/>
        <w:rPr>
          <w:rFonts w:ascii="Lato" w:hAnsi="Lato"/>
        </w:rPr>
      </w:pPr>
      <w:r w:rsidRPr="00337358">
        <w:rPr>
          <w:rFonts w:ascii="Lato" w:hAnsi="Lato"/>
        </w:rPr>
        <w:t>minimalne dzienne i miesięczne ilości gazu ziemnego;</w:t>
      </w:r>
    </w:p>
    <w:p w14:paraId="233A8CD6" w14:textId="77777777" w:rsidR="00B03DBA" w:rsidRPr="00337358" w:rsidRDefault="00C7771E" w:rsidP="00337358">
      <w:pPr>
        <w:pStyle w:val="TekstWypunktowany"/>
        <w:rPr>
          <w:rFonts w:ascii="Lato" w:hAnsi="Lato"/>
        </w:rPr>
      </w:pPr>
      <w:r w:rsidRPr="00337358">
        <w:rPr>
          <w:rFonts w:ascii="Lato" w:hAnsi="Lato"/>
        </w:rPr>
        <w:t>warunki wstrzymania gazu ziemnego;</w:t>
      </w:r>
    </w:p>
    <w:p w14:paraId="1839A51E" w14:textId="1ABC20A8" w:rsidR="00E92BEB" w:rsidRDefault="00C7771E" w:rsidP="00983C18">
      <w:pPr>
        <w:pStyle w:val="TekstWypunktowany"/>
        <w:rPr>
          <w:rFonts w:ascii="Lato" w:hAnsi="Lato"/>
        </w:rPr>
      </w:pPr>
      <w:r w:rsidRPr="00337358">
        <w:rPr>
          <w:rFonts w:ascii="Lato" w:hAnsi="Lato"/>
        </w:rPr>
        <w:t xml:space="preserve">wskazanie czy dana umowa pojedynczo lub łącznie z umowami danego przedsiębiorstwa </w:t>
      </w:r>
      <w:r w:rsidRPr="00C758B1">
        <w:rPr>
          <w:rFonts w:ascii="Lato" w:hAnsi="Lato"/>
        </w:rPr>
        <w:t>zawartymi z tym samym dostawcą lub z podmiotami z nim powiązanymi – powoduje osiągnięcie lub przekroczenie 28% rocznego zużycia gazu ziemnego w Polsce.</w:t>
      </w:r>
    </w:p>
    <w:p w14:paraId="53D7D967" w14:textId="05BDEAE4" w:rsidR="00B03DBA" w:rsidRPr="00337358" w:rsidRDefault="00E92BEB" w:rsidP="00337358">
      <w:pPr>
        <w:spacing w:line="276" w:lineRule="auto"/>
        <w:jc w:val="left"/>
        <w:rPr>
          <w:rFonts w:ascii="Lato" w:hAnsi="Lato"/>
        </w:rPr>
      </w:pPr>
      <w:r>
        <w:rPr>
          <w:rFonts w:ascii="Lato" w:hAnsi="Lato"/>
        </w:rPr>
        <w:br w:type="page"/>
      </w:r>
    </w:p>
    <w:p w14:paraId="72ED1479" w14:textId="77777777" w:rsidR="00B03DBA" w:rsidRPr="00D554EC" w:rsidRDefault="00C7771E" w:rsidP="00337358">
      <w:pPr>
        <w:pStyle w:val="Rozdzia1"/>
        <w:rPr>
          <w:rFonts w:ascii="Lato" w:hAnsi="Lato"/>
          <w:sz w:val="28"/>
          <w:szCs w:val="28"/>
        </w:rPr>
      </w:pPr>
      <w:bookmarkStart w:id="288" w:name="_Toc140489032"/>
      <w:bookmarkStart w:id="289" w:name="_Toc140581024"/>
      <w:bookmarkStart w:id="290" w:name="_Toc140489033"/>
      <w:bookmarkStart w:id="291" w:name="_Toc140581025"/>
      <w:bookmarkStart w:id="292" w:name="_Toc140489034"/>
      <w:bookmarkStart w:id="293" w:name="_Toc140581026"/>
      <w:bookmarkStart w:id="294" w:name="_Toc12953923"/>
      <w:bookmarkStart w:id="295" w:name="_Toc19782958"/>
      <w:bookmarkStart w:id="296" w:name="_Toc142469581"/>
      <w:bookmarkEnd w:id="288"/>
      <w:bookmarkEnd w:id="289"/>
      <w:bookmarkEnd w:id="290"/>
      <w:bookmarkEnd w:id="291"/>
      <w:bookmarkEnd w:id="292"/>
      <w:bookmarkEnd w:id="293"/>
      <w:r w:rsidRPr="00D554EC">
        <w:rPr>
          <w:rFonts w:ascii="Lato" w:hAnsi="Lato"/>
          <w:sz w:val="28"/>
          <w:szCs w:val="28"/>
        </w:rPr>
        <w:lastRenderedPageBreak/>
        <w:t>Projekty infrastrukturalne</w:t>
      </w:r>
      <w:bookmarkEnd w:id="294"/>
      <w:bookmarkEnd w:id="295"/>
      <w:bookmarkEnd w:id="296"/>
    </w:p>
    <w:p w14:paraId="0C3756E1" w14:textId="059603BA" w:rsidR="00B03DBA" w:rsidRPr="00337358" w:rsidRDefault="00C7771E" w:rsidP="00337358">
      <w:pPr>
        <w:pStyle w:val="Tabela"/>
        <w:spacing w:before="120" w:after="120"/>
        <w:rPr>
          <w:rFonts w:ascii="Lato" w:hAnsi="Lato"/>
          <w:b w:val="0"/>
          <w:sz w:val="22"/>
        </w:rPr>
      </w:pPr>
      <w:r w:rsidRPr="00337358">
        <w:rPr>
          <w:rFonts w:ascii="Lato" w:hAnsi="Lato"/>
          <w:sz w:val="22"/>
          <w:szCs w:val="22"/>
        </w:rPr>
        <w:t xml:space="preserve">Tabela </w:t>
      </w:r>
      <w:r w:rsidR="002C139B">
        <w:rPr>
          <w:rFonts w:ascii="Lato" w:hAnsi="Lato"/>
          <w:sz w:val="22"/>
          <w:szCs w:val="22"/>
        </w:rPr>
        <w:t>10</w:t>
      </w:r>
      <w:r w:rsidRPr="00337358">
        <w:rPr>
          <w:rFonts w:ascii="Lato" w:hAnsi="Lato"/>
          <w:sz w:val="22"/>
          <w:szCs w:val="22"/>
        </w:rPr>
        <w:t>. Zidentyfikowane działania zapobiegawcze</w:t>
      </w:r>
    </w:p>
    <w:tbl>
      <w:tblPr>
        <w:tblStyle w:val="Siatkatabelijasna1"/>
        <w:tblW w:w="5000" w:type="pct"/>
        <w:tblLayout w:type="fixed"/>
        <w:tblLook w:val="04A0" w:firstRow="1" w:lastRow="0" w:firstColumn="1" w:lastColumn="0" w:noHBand="0" w:noVBand="1"/>
      </w:tblPr>
      <w:tblGrid>
        <w:gridCol w:w="1847"/>
        <w:gridCol w:w="1977"/>
        <w:gridCol w:w="991"/>
        <w:gridCol w:w="4246"/>
      </w:tblGrid>
      <w:tr w:rsidR="00311916" w:rsidRPr="00F46D30" w14:paraId="75F17A32" w14:textId="77777777" w:rsidTr="00337358">
        <w:trPr>
          <w:trHeight w:val="915"/>
        </w:trPr>
        <w:tc>
          <w:tcPr>
            <w:tcW w:w="1019" w:type="pct"/>
            <w:vAlign w:val="center"/>
            <w:hideMark/>
          </w:tcPr>
          <w:p w14:paraId="420CB5F4" w14:textId="77777777" w:rsidR="00B03DBA" w:rsidRPr="00260E89" w:rsidRDefault="00C7771E" w:rsidP="00983C18">
            <w:pPr>
              <w:spacing w:line="276" w:lineRule="auto"/>
              <w:jc w:val="center"/>
              <w:rPr>
                <w:rFonts w:ascii="Lato" w:hAnsi="Lato"/>
                <w:b/>
                <w:sz w:val="20"/>
                <w:szCs w:val="20"/>
              </w:rPr>
            </w:pPr>
            <w:r w:rsidRPr="00260E89">
              <w:rPr>
                <w:rFonts w:ascii="Lato" w:hAnsi="Lato"/>
                <w:b/>
                <w:sz w:val="20"/>
                <w:szCs w:val="20"/>
              </w:rPr>
              <w:t>Działanie</w:t>
            </w:r>
          </w:p>
        </w:tc>
        <w:tc>
          <w:tcPr>
            <w:tcW w:w="1091" w:type="pct"/>
            <w:vAlign w:val="center"/>
            <w:hideMark/>
          </w:tcPr>
          <w:p w14:paraId="7CAD1EAA" w14:textId="77777777" w:rsidR="00B03DBA" w:rsidRPr="00260E89" w:rsidRDefault="00C7771E" w:rsidP="00983C18">
            <w:pPr>
              <w:spacing w:line="276" w:lineRule="auto"/>
              <w:jc w:val="center"/>
              <w:rPr>
                <w:rFonts w:ascii="Lato" w:hAnsi="Lato"/>
                <w:b/>
                <w:sz w:val="20"/>
                <w:szCs w:val="20"/>
              </w:rPr>
            </w:pPr>
            <w:r w:rsidRPr="00260E89">
              <w:rPr>
                <w:rFonts w:ascii="Lato" w:hAnsi="Lato"/>
                <w:b/>
                <w:bCs/>
                <w:sz w:val="20"/>
                <w:szCs w:val="20"/>
              </w:rPr>
              <w:t>Podmiot odpowiedzialny</w:t>
            </w:r>
          </w:p>
        </w:tc>
        <w:tc>
          <w:tcPr>
            <w:tcW w:w="547" w:type="pct"/>
            <w:vAlign w:val="center"/>
            <w:hideMark/>
          </w:tcPr>
          <w:p w14:paraId="187E5579" w14:textId="77777777" w:rsidR="00B03DBA" w:rsidRPr="00260E89" w:rsidRDefault="00C7771E" w:rsidP="00983C18">
            <w:pPr>
              <w:spacing w:line="276" w:lineRule="auto"/>
              <w:jc w:val="center"/>
              <w:rPr>
                <w:rFonts w:ascii="Lato" w:hAnsi="Lato"/>
                <w:b/>
                <w:sz w:val="20"/>
                <w:szCs w:val="20"/>
              </w:rPr>
            </w:pPr>
            <w:r w:rsidRPr="00260E89">
              <w:rPr>
                <w:rFonts w:ascii="Lato" w:hAnsi="Lato"/>
                <w:b/>
                <w:sz w:val="20"/>
                <w:szCs w:val="20"/>
              </w:rPr>
              <w:t>Termin</w:t>
            </w:r>
          </w:p>
        </w:tc>
        <w:tc>
          <w:tcPr>
            <w:tcW w:w="2343" w:type="pct"/>
            <w:vAlign w:val="center"/>
          </w:tcPr>
          <w:p w14:paraId="41A1C438" w14:textId="77777777" w:rsidR="00B03DBA" w:rsidRPr="00260E89" w:rsidRDefault="00C7771E" w:rsidP="00983C18">
            <w:pPr>
              <w:spacing w:line="276" w:lineRule="auto"/>
              <w:jc w:val="center"/>
              <w:rPr>
                <w:rFonts w:ascii="Lato" w:hAnsi="Lato"/>
                <w:b/>
                <w:sz w:val="20"/>
                <w:szCs w:val="20"/>
              </w:rPr>
            </w:pPr>
            <w:r w:rsidRPr="00260E89">
              <w:rPr>
                <w:rFonts w:ascii="Lato" w:hAnsi="Lato"/>
                <w:b/>
                <w:sz w:val="20"/>
                <w:szCs w:val="20"/>
              </w:rPr>
              <w:t>Wpływ projektu na rynek gazu ziemnego w grupie ryzyka</w:t>
            </w:r>
          </w:p>
        </w:tc>
      </w:tr>
      <w:tr w:rsidR="00311916" w:rsidRPr="00F46D30" w14:paraId="65332926" w14:textId="77777777" w:rsidTr="00FA13F0">
        <w:trPr>
          <w:trHeight w:val="425"/>
        </w:trPr>
        <w:tc>
          <w:tcPr>
            <w:tcW w:w="5000" w:type="pct"/>
            <w:gridSpan w:val="4"/>
            <w:tcBorders>
              <w:right w:val="single" w:sz="4" w:space="0" w:color="auto"/>
            </w:tcBorders>
            <w:shd w:val="clear" w:color="auto" w:fill="E7E6E6" w:themeFill="background2"/>
            <w:vAlign w:val="center"/>
          </w:tcPr>
          <w:p w14:paraId="4BE9D8E8" w14:textId="77777777" w:rsidR="00B03DBA" w:rsidRPr="00260E89" w:rsidRDefault="00C7771E" w:rsidP="00983C18">
            <w:pPr>
              <w:spacing w:line="276" w:lineRule="auto"/>
              <w:jc w:val="center"/>
              <w:rPr>
                <w:rFonts w:ascii="Lato" w:hAnsi="Lato"/>
                <w:sz w:val="20"/>
                <w:szCs w:val="20"/>
              </w:rPr>
            </w:pPr>
            <w:r w:rsidRPr="00260E89">
              <w:rPr>
                <w:rFonts w:ascii="Lato" w:hAnsi="Lato"/>
                <w:b/>
                <w:color w:val="000000"/>
                <w:sz w:val="20"/>
                <w:szCs w:val="20"/>
              </w:rPr>
              <w:t>Projekty dywersyfikacyjne</w:t>
            </w:r>
          </w:p>
        </w:tc>
      </w:tr>
      <w:tr w:rsidR="00356B50" w:rsidRPr="00F46D30" w14:paraId="63C758B5" w14:textId="77777777" w:rsidTr="00337358">
        <w:trPr>
          <w:trHeight w:val="3559"/>
        </w:trPr>
        <w:tc>
          <w:tcPr>
            <w:tcW w:w="1019" w:type="pct"/>
            <w:shd w:val="clear" w:color="auto" w:fill="auto"/>
            <w:vAlign w:val="center"/>
            <w:hideMark/>
          </w:tcPr>
          <w:p w14:paraId="76BE9415" w14:textId="77777777" w:rsidR="0043000E" w:rsidRPr="00260E89" w:rsidRDefault="0043000E" w:rsidP="00983C18">
            <w:pPr>
              <w:spacing w:line="276" w:lineRule="auto"/>
              <w:jc w:val="center"/>
              <w:rPr>
                <w:rFonts w:ascii="Lato" w:hAnsi="Lato"/>
                <w:color w:val="000000"/>
                <w:sz w:val="20"/>
                <w:szCs w:val="20"/>
              </w:rPr>
            </w:pPr>
            <w:r w:rsidRPr="00260E89">
              <w:rPr>
                <w:rFonts w:ascii="Lato" w:hAnsi="Lato"/>
                <w:color w:val="000000"/>
                <w:sz w:val="20"/>
                <w:szCs w:val="20"/>
              </w:rPr>
              <w:t>Zwiększenie zdolności regazyfikacji terminalu LNG w Świnoujściu</w:t>
            </w:r>
          </w:p>
        </w:tc>
        <w:tc>
          <w:tcPr>
            <w:tcW w:w="1091" w:type="pct"/>
            <w:shd w:val="clear" w:color="auto" w:fill="auto"/>
            <w:vAlign w:val="center"/>
            <w:hideMark/>
          </w:tcPr>
          <w:p w14:paraId="7EEC90D7" w14:textId="681BEE85" w:rsidR="0043000E" w:rsidRPr="00260E89" w:rsidRDefault="0043000E" w:rsidP="00983C18">
            <w:pPr>
              <w:spacing w:line="276" w:lineRule="auto"/>
              <w:jc w:val="center"/>
              <w:rPr>
                <w:rFonts w:ascii="Lato" w:hAnsi="Lato"/>
                <w:color w:val="000000"/>
                <w:sz w:val="20"/>
                <w:szCs w:val="20"/>
              </w:rPr>
            </w:pPr>
          </w:p>
          <w:p w14:paraId="0843DE72" w14:textId="5F30986E" w:rsidR="0043000E" w:rsidRPr="00260E89" w:rsidRDefault="0043000E" w:rsidP="00983C18">
            <w:pPr>
              <w:spacing w:line="276" w:lineRule="auto"/>
              <w:jc w:val="center"/>
              <w:rPr>
                <w:rFonts w:ascii="Lato" w:hAnsi="Lato"/>
                <w:color w:val="000000"/>
                <w:sz w:val="20"/>
                <w:szCs w:val="20"/>
              </w:rPr>
            </w:pPr>
            <w:r w:rsidRPr="00260E89">
              <w:rPr>
                <w:rFonts w:ascii="Lato" w:hAnsi="Lato"/>
                <w:color w:val="000000"/>
                <w:sz w:val="20"/>
                <w:szCs w:val="20"/>
              </w:rPr>
              <w:t xml:space="preserve">OGP Gaz – System </w:t>
            </w:r>
            <w:r w:rsidR="00F46D30" w:rsidRPr="00260E89">
              <w:rPr>
                <w:rFonts w:ascii="Lato" w:hAnsi="Lato"/>
                <w:color w:val="000000"/>
                <w:sz w:val="20"/>
                <w:szCs w:val="20"/>
              </w:rPr>
              <w:t xml:space="preserve">S.A. </w:t>
            </w:r>
            <w:r w:rsidRPr="00260E89">
              <w:rPr>
                <w:rFonts w:ascii="Lato" w:hAnsi="Lato"/>
                <w:color w:val="000000"/>
                <w:sz w:val="20"/>
                <w:szCs w:val="20"/>
              </w:rPr>
              <w:t>(koordynator przebiegu realizacji inwestycji)</w:t>
            </w:r>
          </w:p>
        </w:tc>
        <w:tc>
          <w:tcPr>
            <w:tcW w:w="547" w:type="pct"/>
            <w:shd w:val="clear" w:color="auto" w:fill="auto"/>
            <w:vAlign w:val="center"/>
            <w:hideMark/>
          </w:tcPr>
          <w:p w14:paraId="2EB975C9" w14:textId="6654A3D4" w:rsidR="0043000E" w:rsidRPr="00260E89" w:rsidRDefault="0043000E" w:rsidP="00983C18">
            <w:pPr>
              <w:spacing w:line="276" w:lineRule="auto"/>
              <w:jc w:val="center"/>
              <w:rPr>
                <w:rFonts w:ascii="Lato" w:hAnsi="Lato"/>
                <w:color w:val="000000"/>
                <w:sz w:val="20"/>
                <w:szCs w:val="20"/>
              </w:rPr>
            </w:pPr>
            <w:r w:rsidRPr="00260E89">
              <w:rPr>
                <w:rFonts w:ascii="Lato" w:hAnsi="Lato"/>
                <w:color w:val="000000"/>
                <w:sz w:val="20"/>
                <w:szCs w:val="20"/>
              </w:rPr>
              <w:t>2023</w:t>
            </w:r>
          </w:p>
        </w:tc>
        <w:tc>
          <w:tcPr>
            <w:tcW w:w="2343" w:type="pct"/>
            <w:vAlign w:val="center"/>
          </w:tcPr>
          <w:p w14:paraId="1BE8669B" w14:textId="6C5A911F" w:rsidR="0043000E" w:rsidRPr="00260E89" w:rsidRDefault="0043000E" w:rsidP="00337358">
            <w:pPr>
              <w:spacing w:line="276" w:lineRule="auto"/>
              <w:jc w:val="center"/>
              <w:rPr>
                <w:rStyle w:val="tlid-translation"/>
                <w:rFonts w:ascii="Lato" w:hAnsi="Lato"/>
                <w:sz w:val="20"/>
                <w:szCs w:val="20"/>
              </w:rPr>
            </w:pPr>
            <w:r w:rsidRPr="00260E89">
              <w:rPr>
                <w:rStyle w:val="tlid-translation"/>
                <w:rFonts w:ascii="Lato" w:hAnsi="Lato"/>
                <w:sz w:val="20"/>
                <w:szCs w:val="20"/>
              </w:rPr>
              <w:t xml:space="preserve">Zwiększenie bezpieczeństwa i stopnia dywersyfikacji dostaw gazu ziemnego w Polsce i pozostałych państwach regionu </w:t>
            </w:r>
            <w:r w:rsidR="00CA570E">
              <w:rPr>
                <w:rStyle w:val="tlid-translation"/>
                <w:rFonts w:ascii="Lato" w:hAnsi="Lato"/>
                <w:sz w:val="20"/>
                <w:szCs w:val="20"/>
              </w:rPr>
              <w:t>M</w:t>
            </w:r>
            <w:r w:rsidRPr="00260E89">
              <w:rPr>
                <w:rStyle w:val="tlid-translation"/>
                <w:rFonts w:ascii="Lato" w:hAnsi="Lato"/>
                <w:sz w:val="20"/>
                <w:szCs w:val="20"/>
              </w:rPr>
              <w:t xml:space="preserve">orza </w:t>
            </w:r>
            <w:r w:rsidR="00CA570E">
              <w:rPr>
                <w:rStyle w:val="tlid-translation"/>
                <w:rFonts w:ascii="Lato" w:hAnsi="Lato"/>
                <w:sz w:val="20"/>
                <w:szCs w:val="20"/>
              </w:rPr>
              <w:t>B</w:t>
            </w:r>
            <w:r w:rsidRPr="00260E89">
              <w:rPr>
                <w:rStyle w:val="tlid-translation"/>
                <w:rFonts w:ascii="Lato" w:hAnsi="Lato"/>
                <w:sz w:val="20"/>
                <w:szCs w:val="20"/>
              </w:rPr>
              <w:t>ałtyckiego oraz Europy Środkowej i Środkowo-Wschodniej.</w:t>
            </w:r>
          </w:p>
          <w:p w14:paraId="3DB4FFD5" w14:textId="77777777" w:rsidR="0043000E" w:rsidRPr="00260E89" w:rsidRDefault="0043000E" w:rsidP="00337358">
            <w:pPr>
              <w:spacing w:line="276" w:lineRule="auto"/>
              <w:jc w:val="center"/>
              <w:rPr>
                <w:rFonts w:ascii="Lato" w:hAnsi="Lato"/>
                <w:color w:val="000000"/>
                <w:sz w:val="20"/>
                <w:szCs w:val="20"/>
              </w:rPr>
            </w:pPr>
            <w:r w:rsidRPr="00260E89">
              <w:rPr>
                <w:rStyle w:val="tlid-translation"/>
                <w:rFonts w:ascii="Lato" w:hAnsi="Lato"/>
                <w:sz w:val="20"/>
                <w:szCs w:val="20"/>
              </w:rPr>
              <w:t>Ograniczenie wrażliwości rynku gazu ziemnego w Polsce oraz w regionie na ryzyko przerw w dostawach z kierunku wschodniego.</w:t>
            </w:r>
          </w:p>
        </w:tc>
      </w:tr>
      <w:tr w:rsidR="00311916" w:rsidRPr="00F46D30" w14:paraId="3551FC6C" w14:textId="77777777" w:rsidTr="00337358">
        <w:trPr>
          <w:trHeight w:val="330"/>
        </w:trPr>
        <w:tc>
          <w:tcPr>
            <w:tcW w:w="1019" w:type="pct"/>
            <w:vAlign w:val="center"/>
          </w:tcPr>
          <w:p w14:paraId="117FB765" w14:textId="77777777" w:rsidR="00B03DBA" w:rsidRPr="00260E89" w:rsidRDefault="00C7771E" w:rsidP="00983C18">
            <w:pPr>
              <w:spacing w:line="276" w:lineRule="auto"/>
              <w:jc w:val="center"/>
              <w:rPr>
                <w:rFonts w:ascii="Lato" w:hAnsi="Lato"/>
                <w:color w:val="000000"/>
                <w:sz w:val="20"/>
                <w:szCs w:val="20"/>
              </w:rPr>
            </w:pPr>
            <w:r w:rsidRPr="00260E89">
              <w:rPr>
                <w:rFonts w:ascii="Lato" w:hAnsi="Lato"/>
                <w:color w:val="000000"/>
                <w:sz w:val="20"/>
                <w:szCs w:val="20"/>
              </w:rPr>
              <w:t>FSRU</w:t>
            </w:r>
          </w:p>
        </w:tc>
        <w:tc>
          <w:tcPr>
            <w:tcW w:w="1091" w:type="pct"/>
            <w:shd w:val="clear" w:color="auto" w:fill="auto"/>
            <w:vAlign w:val="center"/>
          </w:tcPr>
          <w:p w14:paraId="6BAB4FE4" w14:textId="77777777" w:rsidR="00B03DBA" w:rsidRPr="00260E89" w:rsidRDefault="00C7771E" w:rsidP="00983C18">
            <w:pPr>
              <w:spacing w:line="276" w:lineRule="auto"/>
              <w:jc w:val="center"/>
              <w:rPr>
                <w:rFonts w:ascii="Lato" w:hAnsi="Lato"/>
                <w:color w:val="000000"/>
                <w:sz w:val="20"/>
                <w:szCs w:val="20"/>
              </w:rPr>
            </w:pPr>
            <w:r w:rsidRPr="00260E89">
              <w:rPr>
                <w:rFonts w:ascii="Lato" w:hAnsi="Lato"/>
                <w:color w:val="000000"/>
                <w:sz w:val="20"/>
                <w:szCs w:val="20"/>
              </w:rPr>
              <w:t>OGP Gaz - System</w:t>
            </w:r>
          </w:p>
        </w:tc>
        <w:tc>
          <w:tcPr>
            <w:tcW w:w="547" w:type="pct"/>
            <w:vAlign w:val="center"/>
          </w:tcPr>
          <w:p w14:paraId="2624D27E" w14:textId="2540E48C" w:rsidR="00B03DBA" w:rsidRPr="00260E89" w:rsidRDefault="00F77514" w:rsidP="00983C18">
            <w:pPr>
              <w:spacing w:line="276" w:lineRule="auto"/>
              <w:jc w:val="center"/>
              <w:rPr>
                <w:rFonts w:ascii="Lato" w:hAnsi="Lato"/>
                <w:color w:val="000000"/>
                <w:sz w:val="20"/>
                <w:szCs w:val="20"/>
              </w:rPr>
            </w:pPr>
            <w:r w:rsidRPr="00260E89">
              <w:rPr>
                <w:rFonts w:ascii="Lato" w:hAnsi="Lato"/>
                <w:color w:val="000000"/>
                <w:sz w:val="20"/>
                <w:szCs w:val="20"/>
              </w:rPr>
              <w:t>2028</w:t>
            </w:r>
          </w:p>
        </w:tc>
        <w:tc>
          <w:tcPr>
            <w:tcW w:w="2343" w:type="pct"/>
            <w:vAlign w:val="center"/>
          </w:tcPr>
          <w:p w14:paraId="6DABFE91" w14:textId="3D153C91" w:rsidR="00B03DBA" w:rsidRPr="00260E89" w:rsidRDefault="00C7771E" w:rsidP="00337358">
            <w:pPr>
              <w:spacing w:line="276" w:lineRule="auto"/>
              <w:jc w:val="center"/>
              <w:rPr>
                <w:rStyle w:val="tlid-translation"/>
                <w:rFonts w:ascii="Lato" w:hAnsi="Lato"/>
                <w:sz w:val="20"/>
                <w:szCs w:val="20"/>
              </w:rPr>
            </w:pPr>
            <w:r w:rsidRPr="00260E89">
              <w:rPr>
                <w:rStyle w:val="tlid-translation"/>
                <w:rFonts w:ascii="Lato" w:hAnsi="Lato"/>
                <w:sz w:val="20"/>
                <w:szCs w:val="20"/>
              </w:rPr>
              <w:t>Zwiększenie bezpieczeństwa i stopnia dywersyfikacji dostaw gazu ziemnego w Polsce i pozostałych państwach regionu Morza Bałtyckiego oraz Europy Środkowej i Środkowo-Wschodniej.</w:t>
            </w:r>
          </w:p>
          <w:p w14:paraId="7A51F5DC" w14:textId="458C9E49" w:rsidR="00B03DBA" w:rsidRPr="00260E89" w:rsidRDefault="00C7771E" w:rsidP="00337358">
            <w:pPr>
              <w:spacing w:line="276" w:lineRule="auto"/>
              <w:jc w:val="center"/>
              <w:rPr>
                <w:rStyle w:val="tlid-translation"/>
                <w:rFonts w:ascii="Lato" w:hAnsi="Lato"/>
                <w:sz w:val="20"/>
                <w:szCs w:val="20"/>
              </w:rPr>
            </w:pPr>
            <w:r w:rsidRPr="00260E89">
              <w:rPr>
                <w:rStyle w:val="tlid-translation"/>
                <w:rFonts w:ascii="Lato" w:hAnsi="Lato"/>
                <w:sz w:val="20"/>
                <w:szCs w:val="20"/>
              </w:rPr>
              <w:t>Ograniczenie wrażliwości rynku gazu ziemnego w Polsce oraz w regionie na ryzyko przerw w dostawach z kierunku wschodniego.</w:t>
            </w:r>
          </w:p>
        </w:tc>
      </w:tr>
    </w:tbl>
    <w:p w14:paraId="5FCBC4B7" w14:textId="676521B5" w:rsidR="00B03DBA" w:rsidRPr="00C758B1" w:rsidRDefault="00C7771E" w:rsidP="00983C18">
      <w:pPr>
        <w:spacing w:after="0" w:line="276" w:lineRule="auto"/>
        <w:rPr>
          <w:rFonts w:ascii="Lato" w:hAnsi="Lato"/>
        </w:rPr>
      </w:pPr>
      <w:r w:rsidRPr="00C758B1">
        <w:rPr>
          <w:rFonts w:ascii="Lato" w:hAnsi="Lato"/>
        </w:rPr>
        <w:tab/>
      </w:r>
    </w:p>
    <w:tbl>
      <w:tblPr>
        <w:tblStyle w:val="Siatkatabelijasna1"/>
        <w:tblW w:w="5003" w:type="pct"/>
        <w:tblLayout w:type="fixed"/>
        <w:tblLook w:val="04A0" w:firstRow="1" w:lastRow="0" w:firstColumn="1" w:lastColumn="0" w:noHBand="0" w:noVBand="1"/>
      </w:tblPr>
      <w:tblGrid>
        <w:gridCol w:w="5665"/>
        <w:gridCol w:w="1985"/>
        <w:gridCol w:w="1416"/>
      </w:tblGrid>
      <w:tr w:rsidR="00311916" w:rsidRPr="00C758B1" w14:paraId="593C2604" w14:textId="77777777" w:rsidTr="681FA55B">
        <w:trPr>
          <w:trHeight w:val="330"/>
        </w:trPr>
        <w:tc>
          <w:tcPr>
            <w:tcW w:w="5000" w:type="pct"/>
            <w:gridSpan w:val="3"/>
            <w:shd w:val="clear" w:color="auto" w:fill="E7E6E6" w:themeFill="background2"/>
          </w:tcPr>
          <w:p w14:paraId="2746912D" w14:textId="77777777" w:rsidR="00B03DBA" w:rsidRPr="00260E89" w:rsidRDefault="00C7771E" w:rsidP="00983C18">
            <w:pPr>
              <w:spacing w:line="276" w:lineRule="auto"/>
              <w:jc w:val="center"/>
              <w:rPr>
                <w:rStyle w:val="tlid-translation"/>
                <w:rFonts w:ascii="Lato" w:hAnsi="Lato"/>
                <w:b/>
                <w:sz w:val="20"/>
                <w:szCs w:val="20"/>
              </w:rPr>
            </w:pPr>
            <w:r w:rsidRPr="00260E89">
              <w:rPr>
                <w:rStyle w:val="tlid-translation"/>
                <w:rFonts w:ascii="Lato" w:hAnsi="Lato"/>
                <w:b/>
                <w:sz w:val="20"/>
                <w:szCs w:val="20"/>
              </w:rPr>
              <w:t>Projekty wewnątrzkrajowe</w:t>
            </w:r>
          </w:p>
        </w:tc>
      </w:tr>
      <w:tr w:rsidR="00311916" w:rsidRPr="00C758B1" w14:paraId="33040141" w14:textId="77777777" w:rsidTr="681FA55B">
        <w:trPr>
          <w:trHeight w:val="330"/>
        </w:trPr>
        <w:tc>
          <w:tcPr>
            <w:tcW w:w="3124" w:type="pct"/>
            <w:vAlign w:val="center"/>
          </w:tcPr>
          <w:p w14:paraId="738B49E8" w14:textId="77777777" w:rsidR="00B03DBA" w:rsidRPr="00260E89" w:rsidRDefault="00C7771E" w:rsidP="00983C18">
            <w:pPr>
              <w:spacing w:line="276" w:lineRule="auto"/>
              <w:jc w:val="center"/>
              <w:rPr>
                <w:rFonts w:ascii="Lato" w:hAnsi="Lato"/>
                <w:b/>
                <w:color w:val="000000"/>
                <w:sz w:val="20"/>
                <w:szCs w:val="20"/>
              </w:rPr>
            </w:pPr>
            <w:r w:rsidRPr="00260E89">
              <w:rPr>
                <w:rFonts w:ascii="Lato" w:hAnsi="Lato"/>
                <w:b/>
                <w:color w:val="000000"/>
                <w:sz w:val="20"/>
                <w:szCs w:val="20"/>
              </w:rPr>
              <w:t>Działanie</w:t>
            </w:r>
          </w:p>
        </w:tc>
        <w:tc>
          <w:tcPr>
            <w:tcW w:w="1095" w:type="pct"/>
            <w:vAlign w:val="center"/>
          </w:tcPr>
          <w:p w14:paraId="419F3D0C" w14:textId="77777777" w:rsidR="00B03DBA" w:rsidRPr="00260E89" w:rsidRDefault="00C7771E" w:rsidP="00983C18">
            <w:pPr>
              <w:spacing w:line="276" w:lineRule="auto"/>
              <w:jc w:val="center"/>
              <w:rPr>
                <w:rFonts w:ascii="Lato" w:hAnsi="Lato"/>
                <w:b/>
                <w:color w:val="000000"/>
                <w:sz w:val="20"/>
                <w:szCs w:val="20"/>
              </w:rPr>
            </w:pPr>
            <w:r w:rsidRPr="00260E89">
              <w:rPr>
                <w:rFonts w:ascii="Lato" w:hAnsi="Lato"/>
                <w:b/>
                <w:color w:val="000000"/>
                <w:sz w:val="20"/>
                <w:szCs w:val="20"/>
              </w:rPr>
              <w:t>Podmiot odpowiedzialny</w:t>
            </w:r>
          </w:p>
        </w:tc>
        <w:tc>
          <w:tcPr>
            <w:tcW w:w="781" w:type="pct"/>
            <w:vAlign w:val="center"/>
          </w:tcPr>
          <w:p w14:paraId="14F5C144" w14:textId="77777777" w:rsidR="00B03DBA" w:rsidRPr="00260E89" w:rsidRDefault="00C7771E" w:rsidP="00983C18">
            <w:pPr>
              <w:spacing w:line="276" w:lineRule="auto"/>
              <w:jc w:val="center"/>
              <w:rPr>
                <w:rFonts w:ascii="Lato" w:hAnsi="Lato"/>
                <w:b/>
                <w:color w:val="000000"/>
                <w:sz w:val="20"/>
                <w:szCs w:val="20"/>
              </w:rPr>
            </w:pPr>
            <w:r w:rsidRPr="00260E89">
              <w:rPr>
                <w:rFonts w:ascii="Lato" w:hAnsi="Lato"/>
                <w:b/>
                <w:color w:val="000000"/>
                <w:sz w:val="20"/>
                <w:szCs w:val="20"/>
              </w:rPr>
              <w:t>Termin</w:t>
            </w:r>
          </w:p>
        </w:tc>
      </w:tr>
      <w:tr w:rsidR="00311916" w:rsidRPr="00C758B1" w14:paraId="76739E9E" w14:textId="77777777" w:rsidTr="681FA55B">
        <w:trPr>
          <w:trHeight w:val="330"/>
        </w:trPr>
        <w:tc>
          <w:tcPr>
            <w:tcW w:w="3124" w:type="pct"/>
            <w:vAlign w:val="center"/>
          </w:tcPr>
          <w:p w14:paraId="3BB0F341" w14:textId="4622A99D" w:rsidR="00B03DBA" w:rsidRPr="00260E89" w:rsidRDefault="00C7771E" w:rsidP="00983C18">
            <w:pPr>
              <w:spacing w:line="276" w:lineRule="auto"/>
              <w:jc w:val="center"/>
              <w:rPr>
                <w:rFonts w:ascii="Lato" w:hAnsi="Lato"/>
                <w:color w:val="000000"/>
                <w:sz w:val="20"/>
                <w:szCs w:val="20"/>
              </w:rPr>
            </w:pPr>
            <w:r w:rsidRPr="00260E89">
              <w:rPr>
                <w:rFonts w:ascii="Lato" w:hAnsi="Lato"/>
                <w:color w:val="000000"/>
                <w:sz w:val="20"/>
                <w:szCs w:val="20"/>
              </w:rPr>
              <w:t xml:space="preserve">Realizacja </w:t>
            </w:r>
            <w:r w:rsidRPr="00260E89">
              <w:rPr>
                <w:rFonts w:ascii="Lato" w:hAnsi="Lato"/>
                <w:i/>
                <w:color w:val="000000"/>
                <w:sz w:val="20"/>
                <w:szCs w:val="20"/>
              </w:rPr>
              <w:t>Krajowego Dziesięcioletniego Planu Rozwoju Systemu Przesyłowego</w:t>
            </w:r>
            <w:r w:rsidRPr="00260E89">
              <w:rPr>
                <w:rFonts w:ascii="Lato" w:hAnsi="Lato"/>
                <w:color w:val="000000"/>
                <w:sz w:val="20"/>
                <w:szCs w:val="20"/>
              </w:rPr>
              <w:t xml:space="preserve"> w zakresie rozbudowy krajowej sieci przesyłowej </w:t>
            </w:r>
          </w:p>
        </w:tc>
        <w:tc>
          <w:tcPr>
            <w:tcW w:w="1095" w:type="pct"/>
            <w:vAlign w:val="center"/>
          </w:tcPr>
          <w:p w14:paraId="0E70D9E3" w14:textId="27F3FAD4" w:rsidR="00B03DBA" w:rsidRPr="00260E89" w:rsidRDefault="00C7771E" w:rsidP="00983C18">
            <w:pPr>
              <w:spacing w:line="276" w:lineRule="auto"/>
              <w:jc w:val="center"/>
              <w:rPr>
                <w:rFonts w:ascii="Lato" w:hAnsi="Lato"/>
                <w:color w:val="000000"/>
                <w:sz w:val="20"/>
                <w:szCs w:val="20"/>
              </w:rPr>
            </w:pPr>
            <w:r w:rsidRPr="00260E89">
              <w:rPr>
                <w:rFonts w:ascii="Lato" w:hAnsi="Lato"/>
                <w:color w:val="000000"/>
                <w:sz w:val="20"/>
                <w:szCs w:val="20"/>
              </w:rPr>
              <w:t>OGP Gaz-System</w:t>
            </w:r>
            <w:r w:rsidR="00F46D30" w:rsidRPr="00260E89">
              <w:rPr>
                <w:rFonts w:ascii="Lato" w:hAnsi="Lato"/>
                <w:color w:val="000000"/>
                <w:sz w:val="20"/>
                <w:szCs w:val="20"/>
              </w:rPr>
              <w:t xml:space="preserve"> S.A.</w:t>
            </w:r>
          </w:p>
        </w:tc>
        <w:tc>
          <w:tcPr>
            <w:tcW w:w="781" w:type="pct"/>
            <w:vAlign w:val="center"/>
          </w:tcPr>
          <w:p w14:paraId="1A6381B4" w14:textId="3AD1D2EA" w:rsidR="00B03DBA" w:rsidRPr="00260E89" w:rsidRDefault="63A4AC43" w:rsidP="00983C18">
            <w:pPr>
              <w:spacing w:line="276" w:lineRule="auto"/>
              <w:jc w:val="center"/>
              <w:rPr>
                <w:rFonts w:ascii="Lato" w:hAnsi="Lato"/>
                <w:color w:val="000000"/>
                <w:sz w:val="20"/>
                <w:szCs w:val="20"/>
              </w:rPr>
            </w:pPr>
            <w:r w:rsidRPr="00260E89">
              <w:rPr>
                <w:rFonts w:ascii="Lato" w:hAnsi="Lato"/>
                <w:color w:val="000000" w:themeColor="text1"/>
                <w:sz w:val="20"/>
                <w:szCs w:val="20"/>
              </w:rPr>
              <w:t>20</w:t>
            </w:r>
            <w:r w:rsidR="003126F4" w:rsidRPr="00260E89">
              <w:rPr>
                <w:rFonts w:ascii="Lato" w:hAnsi="Lato"/>
                <w:color w:val="000000" w:themeColor="text1"/>
                <w:sz w:val="20"/>
                <w:szCs w:val="20"/>
              </w:rPr>
              <w:t>3</w:t>
            </w:r>
            <w:r w:rsidR="00060FCC" w:rsidRPr="00260E89">
              <w:rPr>
                <w:rFonts w:ascii="Lato" w:hAnsi="Lato"/>
                <w:color w:val="000000" w:themeColor="text1"/>
                <w:sz w:val="20"/>
                <w:szCs w:val="20"/>
              </w:rPr>
              <w:t>0</w:t>
            </w:r>
          </w:p>
        </w:tc>
      </w:tr>
      <w:tr w:rsidR="00311916" w:rsidRPr="00C758B1" w14:paraId="662FA20A" w14:textId="77777777" w:rsidTr="681FA55B">
        <w:trPr>
          <w:trHeight w:val="330"/>
        </w:trPr>
        <w:tc>
          <w:tcPr>
            <w:tcW w:w="3124" w:type="pct"/>
            <w:vAlign w:val="center"/>
          </w:tcPr>
          <w:p w14:paraId="4C99177F" w14:textId="77777777" w:rsidR="00B03DBA" w:rsidRPr="00260E89" w:rsidRDefault="00C7771E" w:rsidP="00983C18">
            <w:pPr>
              <w:spacing w:line="276" w:lineRule="auto"/>
              <w:jc w:val="center"/>
              <w:rPr>
                <w:rFonts w:ascii="Lato" w:hAnsi="Lato"/>
                <w:color w:val="000000"/>
                <w:sz w:val="20"/>
                <w:szCs w:val="20"/>
              </w:rPr>
            </w:pPr>
            <w:r w:rsidRPr="00260E89">
              <w:rPr>
                <w:rFonts w:ascii="Lato" w:hAnsi="Lato"/>
                <w:color w:val="000000"/>
                <w:sz w:val="20"/>
                <w:szCs w:val="20"/>
              </w:rPr>
              <w:t>Realizacja rozbudowy pojemności PMG i KPMG</w:t>
            </w:r>
          </w:p>
        </w:tc>
        <w:tc>
          <w:tcPr>
            <w:tcW w:w="1095" w:type="pct"/>
            <w:vAlign w:val="center"/>
          </w:tcPr>
          <w:p w14:paraId="282745F8" w14:textId="1E951D8C" w:rsidR="00B03DBA" w:rsidRPr="00260E89" w:rsidRDefault="00F46D30" w:rsidP="00983C18">
            <w:pPr>
              <w:spacing w:line="276" w:lineRule="auto"/>
              <w:jc w:val="center"/>
              <w:rPr>
                <w:rFonts w:ascii="Lato" w:hAnsi="Lato"/>
                <w:color w:val="000000"/>
                <w:sz w:val="20"/>
                <w:szCs w:val="20"/>
              </w:rPr>
            </w:pPr>
            <w:r w:rsidRPr="00260E89">
              <w:rPr>
                <w:rFonts w:ascii="Lato" w:hAnsi="Lato"/>
                <w:color w:val="000000"/>
                <w:sz w:val="20"/>
                <w:szCs w:val="20"/>
              </w:rPr>
              <w:t>Orlen S.A.</w:t>
            </w:r>
          </w:p>
        </w:tc>
        <w:tc>
          <w:tcPr>
            <w:tcW w:w="781" w:type="pct"/>
            <w:vAlign w:val="center"/>
          </w:tcPr>
          <w:p w14:paraId="05B404FA" w14:textId="77777777" w:rsidR="00B03DBA" w:rsidRPr="00260E89" w:rsidRDefault="00C7771E" w:rsidP="00983C18">
            <w:pPr>
              <w:spacing w:line="276" w:lineRule="auto"/>
              <w:jc w:val="center"/>
              <w:rPr>
                <w:rFonts w:ascii="Lato" w:hAnsi="Lato"/>
                <w:color w:val="000000"/>
                <w:sz w:val="20"/>
                <w:szCs w:val="20"/>
              </w:rPr>
            </w:pPr>
            <w:r w:rsidRPr="00260E89">
              <w:rPr>
                <w:rFonts w:ascii="Lato" w:hAnsi="Lato"/>
                <w:color w:val="000000"/>
                <w:sz w:val="20"/>
                <w:szCs w:val="20"/>
              </w:rPr>
              <w:t>2021-2030</w:t>
            </w:r>
          </w:p>
        </w:tc>
      </w:tr>
    </w:tbl>
    <w:p w14:paraId="360CF455" w14:textId="237AA045" w:rsidR="001F23FF" w:rsidRPr="00C758B1" w:rsidRDefault="001F23FF" w:rsidP="00983C18">
      <w:pPr>
        <w:spacing w:after="0" w:line="276" w:lineRule="auto"/>
        <w:rPr>
          <w:rFonts w:ascii="Lato" w:hAnsi="Lato"/>
        </w:rPr>
      </w:pPr>
    </w:p>
    <w:p w14:paraId="0E574BAB" w14:textId="43321833" w:rsidR="00316E4B" w:rsidRPr="004D7EBB" w:rsidRDefault="001F23FF" w:rsidP="004D7EBB">
      <w:pPr>
        <w:pStyle w:val="Tekstzwyky"/>
        <w:rPr>
          <w:rFonts w:ascii="Lato" w:hAnsi="Lato"/>
          <w:b/>
        </w:rPr>
      </w:pPr>
      <w:r w:rsidRPr="00C758B1">
        <w:rPr>
          <w:rFonts w:ascii="Lato" w:hAnsi="Lato"/>
        </w:rPr>
        <w:tab/>
      </w:r>
      <w:r w:rsidR="00C7771E" w:rsidRPr="00C758B1">
        <w:rPr>
          <w:rFonts w:ascii="Lato" w:hAnsi="Lato"/>
        </w:rPr>
        <w:t>Rozbudowa infrastruktury gazowej, w szczególności połączeń międzysystemowych</w:t>
      </w:r>
      <w:r w:rsidR="00CA570E">
        <w:rPr>
          <w:rFonts w:ascii="Lato" w:hAnsi="Lato"/>
        </w:rPr>
        <w:t xml:space="preserve">, jak również </w:t>
      </w:r>
      <w:r w:rsidR="00C7771E" w:rsidRPr="00C758B1">
        <w:rPr>
          <w:rFonts w:ascii="Lato" w:hAnsi="Lato"/>
        </w:rPr>
        <w:t xml:space="preserve">zapewnienie nowych </w:t>
      </w:r>
      <w:r w:rsidR="00B70265">
        <w:rPr>
          <w:rFonts w:ascii="Lato" w:hAnsi="Lato"/>
        </w:rPr>
        <w:t>kierunków dostaw</w:t>
      </w:r>
      <w:r w:rsidR="00C7771E" w:rsidRPr="00C758B1">
        <w:rPr>
          <w:rFonts w:ascii="Lato" w:hAnsi="Lato"/>
        </w:rPr>
        <w:t xml:space="preserve"> gazu ziemnego</w:t>
      </w:r>
      <w:r w:rsidR="00CA570E">
        <w:rPr>
          <w:rFonts w:ascii="Lato" w:hAnsi="Lato"/>
        </w:rPr>
        <w:t xml:space="preserve"> </w:t>
      </w:r>
      <w:r w:rsidR="00C7771E" w:rsidRPr="00C758B1">
        <w:rPr>
          <w:rFonts w:ascii="Lato" w:hAnsi="Lato"/>
        </w:rPr>
        <w:t>stanowi jeden z głównych elementów przyczyniających się do zwiększenia poziomu bezpieczeństwa dostaw gazu ziemnego do kraju</w:t>
      </w:r>
      <w:r w:rsidR="00CA570E">
        <w:rPr>
          <w:rFonts w:ascii="Lato" w:hAnsi="Lato"/>
        </w:rPr>
        <w:t xml:space="preserve"> oraz </w:t>
      </w:r>
      <w:r w:rsidR="00C7771E" w:rsidRPr="00C758B1">
        <w:rPr>
          <w:rFonts w:ascii="Lato" w:hAnsi="Lato"/>
        </w:rPr>
        <w:t>integracji z państwami członkowskimi UE.</w:t>
      </w:r>
      <w:r w:rsidR="0045226A" w:rsidRPr="00C758B1">
        <w:rPr>
          <w:rFonts w:ascii="Lato" w:hAnsi="Lato"/>
        </w:rPr>
        <w:t xml:space="preserve"> W 2022</w:t>
      </w:r>
      <w:r w:rsidR="00F46D30">
        <w:rPr>
          <w:rFonts w:ascii="Lato" w:hAnsi="Lato"/>
        </w:rPr>
        <w:t xml:space="preserve"> r.</w:t>
      </w:r>
      <w:r w:rsidR="0045226A" w:rsidRPr="00C758B1">
        <w:rPr>
          <w:rFonts w:ascii="Lato" w:hAnsi="Lato"/>
        </w:rPr>
        <w:t xml:space="preserve"> zostały przekazane do </w:t>
      </w:r>
      <w:r w:rsidR="00E41BAD" w:rsidRPr="00C758B1">
        <w:rPr>
          <w:rFonts w:ascii="Lato" w:hAnsi="Lato"/>
        </w:rPr>
        <w:t>użytkowania</w:t>
      </w:r>
      <w:r w:rsidR="0045226A" w:rsidRPr="00C758B1">
        <w:rPr>
          <w:rFonts w:ascii="Lato" w:hAnsi="Lato"/>
        </w:rPr>
        <w:t xml:space="preserve"> następujące połączenia </w:t>
      </w:r>
      <w:r w:rsidR="008E4E49" w:rsidRPr="00C758B1">
        <w:rPr>
          <w:rFonts w:ascii="Lato" w:hAnsi="Lato"/>
        </w:rPr>
        <w:t>międzysystemowe</w:t>
      </w:r>
      <w:r w:rsidR="0045226A" w:rsidRPr="00C758B1">
        <w:rPr>
          <w:rFonts w:ascii="Lato" w:hAnsi="Lato"/>
        </w:rPr>
        <w:t>, które w znaczący sposób wpłynęły na zwieszenie poziomu bezpieczeństwa dostaw gazu ziemnego do Polski</w:t>
      </w:r>
      <w:r w:rsidR="00266298">
        <w:rPr>
          <w:rFonts w:ascii="Lato" w:hAnsi="Lato"/>
        </w:rPr>
        <w:t>.</w:t>
      </w:r>
      <w:r w:rsidR="0045226A" w:rsidRPr="00C758B1">
        <w:rPr>
          <w:rFonts w:ascii="Lato" w:hAnsi="Lato"/>
        </w:rPr>
        <w:t xml:space="preserve"> </w:t>
      </w:r>
    </w:p>
    <w:p w14:paraId="75E10E84" w14:textId="18CD12CF" w:rsidR="00B03DBA" w:rsidRPr="00337358" w:rsidRDefault="00C7771E" w:rsidP="00337358">
      <w:pPr>
        <w:pStyle w:val="Tabela"/>
        <w:spacing w:before="120" w:after="120"/>
        <w:rPr>
          <w:rFonts w:ascii="Lato" w:hAnsi="Lato"/>
          <w:b w:val="0"/>
        </w:rPr>
      </w:pPr>
      <w:r w:rsidRPr="00337358">
        <w:rPr>
          <w:rFonts w:ascii="Lato" w:hAnsi="Lato"/>
        </w:rPr>
        <w:t xml:space="preserve">Projekt Baltic Pipe </w:t>
      </w:r>
    </w:p>
    <w:p w14:paraId="55F6D191" w14:textId="707D4262" w:rsidR="00B03DBA" w:rsidRPr="00C758B1" w:rsidRDefault="00C7771E" w:rsidP="00337358">
      <w:pPr>
        <w:pStyle w:val="Tekstzwyky"/>
        <w:rPr>
          <w:rFonts w:ascii="Lato" w:hAnsi="Lato"/>
        </w:rPr>
      </w:pPr>
      <w:r w:rsidRPr="00C758B1">
        <w:rPr>
          <w:rFonts w:ascii="Lato" w:hAnsi="Lato"/>
        </w:rPr>
        <w:lastRenderedPageBreak/>
        <w:tab/>
        <w:t>To strategiczny projekt infrastrukturalny</w:t>
      </w:r>
      <w:r w:rsidR="00CA570E">
        <w:rPr>
          <w:rFonts w:ascii="Lato" w:hAnsi="Lato"/>
        </w:rPr>
        <w:t xml:space="preserve">, który zapewnił możliwość </w:t>
      </w:r>
      <w:r w:rsidRPr="00C758B1">
        <w:rPr>
          <w:rFonts w:ascii="Lato" w:hAnsi="Lato"/>
        </w:rPr>
        <w:t>przesyłani</w:t>
      </w:r>
      <w:r w:rsidR="00CA570E">
        <w:rPr>
          <w:rFonts w:ascii="Lato" w:hAnsi="Lato"/>
        </w:rPr>
        <w:t>a</w:t>
      </w:r>
      <w:r w:rsidRPr="00C758B1">
        <w:rPr>
          <w:rFonts w:ascii="Lato" w:hAnsi="Lato"/>
        </w:rPr>
        <w:t xml:space="preserve"> gazu ziemnego bezpośrednio ze złóż zlokalizowanych w Norwegii na rynki w Danii i w Polsce, a także do odbiorców w sąsiednich krajach. Projekt Baltic Pipe umożliwi</w:t>
      </w:r>
      <w:r w:rsidR="0045226A" w:rsidRPr="00C758B1">
        <w:rPr>
          <w:rFonts w:ascii="Lato" w:hAnsi="Lato"/>
        </w:rPr>
        <w:t>a</w:t>
      </w:r>
      <w:r w:rsidRPr="00C758B1">
        <w:rPr>
          <w:rFonts w:ascii="Lato" w:hAnsi="Lato"/>
        </w:rPr>
        <w:t xml:space="preserve"> </w:t>
      </w:r>
      <w:r w:rsidR="00006B72">
        <w:rPr>
          <w:rFonts w:ascii="Lato" w:hAnsi="Lato"/>
        </w:rPr>
        <w:t>również</w:t>
      </w:r>
      <w:r w:rsidRPr="00C758B1">
        <w:rPr>
          <w:rFonts w:ascii="Lato" w:hAnsi="Lato"/>
        </w:rPr>
        <w:t xml:space="preserve"> dostawy gazu ziemnego z Polski na rynek duński i szwedzki. Dywersyfikacja dostaw</w:t>
      </w:r>
      <w:r w:rsidR="00CA570E">
        <w:rPr>
          <w:rFonts w:ascii="Lato" w:hAnsi="Lato"/>
        </w:rPr>
        <w:t xml:space="preserve"> gazu ziemnego,</w:t>
      </w:r>
      <w:r w:rsidRPr="00C758B1">
        <w:rPr>
          <w:rFonts w:ascii="Lato" w:hAnsi="Lato"/>
        </w:rPr>
        <w:t xml:space="preserve"> poprzez umożliwienie dostępu do jego bezpośrednich źródeł</w:t>
      </w:r>
      <w:r w:rsidR="00CA570E">
        <w:rPr>
          <w:rFonts w:ascii="Lato" w:hAnsi="Lato"/>
        </w:rPr>
        <w:t>,</w:t>
      </w:r>
      <w:r w:rsidRPr="00C758B1">
        <w:rPr>
          <w:rFonts w:ascii="Lato" w:hAnsi="Lato"/>
        </w:rPr>
        <w:t xml:space="preserve"> w istotny sposób </w:t>
      </w:r>
      <w:r w:rsidR="00A2308D" w:rsidRPr="00C758B1">
        <w:rPr>
          <w:rFonts w:ascii="Lato" w:hAnsi="Lato"/>
          <w:bCs/>
        </w:rPr>
        <w:t>wpływa</w:t>
      </w:r>
      <w:r w:rsidR="00A2308D" w:rsidRPr="00C758B1">
        <w:rPr>
          <w:rFonts w:ascii="Lato" w:hAnsi="Lato"/>
        </w:rPr>
        <w:t xml:space="preserve"> </w:t>
      </w:r>
      <w:r w:rsidRPr="00C758B1">
        <w:rPr>
          <w:rFonts w:ascii="Lato" w:hAnsi="Lato"/>
        </w:rPr>
        <w:t xml:space="preserve">na poprawę bezpieczeństwa energetycznego całego regionu. </w:t>
      </w:r>
    </w:p>
    <w:p w14:paraId="78D28C00" w14:textId="036CAA10" w:rsidR="00B03DBA" w:rsidRPr="00C758B1" w:rsidRDefault="00C7771E" w:rsidP="00337358">
      <w:pPr>
        <w:pStyle w:val="Tekstzwyky"/>
        <w:rPr>
          <w:rFonts w:ascii="Lato" w:hAnsi="Lato"/>
        </w:rPr>
      </w:pPr>
      <w:r w:rsidRPr="00C758B1">
        <w:rPr>
          <w:rFonts w:ascii="Lato" w:hAnsi="Lato"/>
        </w:rPr>
        <w:tab/>
        <w:t>Korzyści wynikające z budowy Baltic Pipe</w:t>
      </w:r>
      <w:r w:rsidR="00CA570E">
        <w:rPr>
          <w:rFonts w:ascii="Lato" w:hAnsi="Lato"/>
        </w:rPr>
        <w:t xml:space="preserve"> to</w:t>
      </w:r>
      <w:r w:rsidRPr="00C758B1">
        <w:rPr>
          <w:rFonts w:ascii="Lato" w:hAnsi="Lato"/>
        </w:rPr>
        <w:t>:</w:t>
      </w:r>
    </w:p>
    <w:p w14:paraId="4051E485" w14:textId="13757988" w:rsidR="00B03DBA" w:rsidRPr="00006B72" w:rsidRDefault="00C7771E" w:rsidP="00337358">
      <w:pPr>
        <w:pStyle w:val="TekstWypunktowany"/>
        <w:rPr>
          <w:rFonts w:ascii="Lato" w:hAnsi="Lato"/>
        </w:rPr>
      </w:pPr>
      <w:r w:rsidRPr="00337358">
        <w:rPr>
          <w:rFonts w:ascii="Lato" w:hAnsi="Lato"/>
        </w:rPr>
        <w:t>zróżnicowanie i umożliwienie dostępu do nowych źródeł dostaw gazu ziemnego</w:t>
      </w:r>
      <w:r w:rsidR="00CA570E">
        <w:rPr>
          <w:rFonts w:ascii="Lato" w:hAnsi="Lato"/>
        </w:rPr>
        <w:t>, które</w:t>
      </w:r>
      <w:r w:rsidRPr="00337358">
        <w:rPr>
          <w:rFonts w:ascii="Lato" w:hAnsi="Lato"/>
        </w:rPr>
        <w:t> mają istotne znaczenie dla wzmocnienia krajowego</w:t>
      </w:r>
      <w:r w:rsidR="006E461F">
        <w:rPr>
          <w:rFonts w:ascii="Lato" w:hAnsi="Lato"/>
        </w:rPr>
        <w:t xml:space="preserve"> i regionalnego</w:t>
      </w:r>
      <w:r w:rsidRPr="00337358">
        <w:rPr>
          <w:rFonts w:ascii="Lato" w:hAnsi="Lato"/>
        </w:rPr>
        <w:t xml:space="preserve"> bezpieczeń</w:t>
      </w:r>
      <w:r w:rsidRPr="00006B72">
        <w:rPr>
          <w:rFonts w:ascii="Lato" w:hAnsi="Lato"/>
        </w:rPr>
        <w:t>stwa energetycznego</w:t>
      </w:r>
      <w:r w:rsidR="00CA570E">
        <w:rPr>
          <w:rFonts w:ascii="Lato" w:hAnsi="Lato"/>
        </w:rPr>
        <w:t xml:space="preserve">, wzmocnienie </w:t>
      </w:r>
      <w:r w:rsidRPr="00006B72">
        <w:rPr>
          <w:rFonts w:ascii="Lato" w:hAnsi="Lato"/>
        </w:rPr>
        <w:t>konkurencyjnoś</w:t>
      </w:r>
      <w:r w:rsidR="00CA570E">
        <w:rPr>
          <w:rFonts w:ascii="Lato" w:hAnsi="Lato"/>
        </w:rPr>
        <w:t xml:space="preserve">ci, zapewnienie </w:t>
      </w:r>
      <w:r w:rsidRPr="00006B72">
        <w:rPr>
          <w:rFonts w:ascii="Lato" w:hAnsi="Lato"/>
        </w:rPr>
        <w:t>ciągłoś</w:t>
      </w:r>
      <w:r w:rsidR="00CA570E">
        <w:rPr>
          <w:rFonts w:ascii="Lato" w:hAnsi="Lato"/>
        </w:rPr>
        <w:t>ci</w:t>
      </w:r>
      <w:r w:rsidRPr="00006B72">
        <w:rPr>
          <w:rFonts w:ascii="Lato" w:hAnsi="Lato"/>
        </w:rPr>
        <w:t xml:space="preserve"> dosta</w:t>
      </w:r>
      <w:r w:rsidR="0079609F" w:rsidRPr="00006B72">
        <w:rPr>
          <w:rFonts w:ascii="Lato" w:hAnsi="Lato"/>
        </w:rPr>
        <w:t>w</w:t>
      </w:r>
      <w:r w:rsidR="0079609F" w:rsidRPr="00C758B1">
        <w:rPr>
          <w:rFonts w:ascii="Lato" w:hAnsi="Lato"/>
        </w:rPr>
        <w:t>;</w:t>
      </w:r>
    </w:p>
    <w:p w14:paraId="20B89A5C" w14:textId="48D5705F" w:rsidR="00B03DBA" w:rsidRPr="00006B72" w:rsidRDefault="00C7771E" w:rsidP="00006B72">
      <w:pPr>
        <w:pStyle w:val="TekstWypunktowany"/>
        <w:rPr>
          <w:rFonts w:ascii="Lato" w:hAnsi="Lato"/>
        </w:rPr>
      </w:pPr>
      <w:r w:rsidRPr="00006B72">
        <w:rPr>
          <w:rFonts w:ascii="Lato" w:hAnsi="Lato"/>
        </w:rPr>
        <w:t xml:space="preserve">poprawa dywersyfikacji źródeł dostaw w Danii, Szwecji oraz w regionie Morza Bałtyckiego i Europy Środkowo-Wschodniej. Duński i szwedzki rynek gazu </w:t>
      </w:r>
      <w:r w:rsidR="006E461F">
        <w:rPr>
          <w:rFonts w:ascii="Lato" w:hAnsi="Lato"/>
        </w:rPr>
        <w:t xml:space="preserve">ziemnego </w:t>
      </w:r>
      <w:r w:rsidRPr="00006B72">
        <w:rPr>
          <w:rFonts w:ascii="Lato" w:hAnsi="Lato"/>
        </w:rPr>
        <w:t>skorzysta z</w:t>
      </w:r>
      <w:r w:rsidR="006E461F">
        <w:rPr>
          <w:rFonts w:ascii="Lato" w:hAnsi="Lato"/>
        </w:rPr>
        <w:t xml:space="preserve"> </w:t>
      </w:r>
      <w:r w:rsidRPr="00006B72">
        <w:rPr>
          <w:rFonts w:ascii="Lato" w:hAnsi="Lato"/>
        </w:rPr>
        <w:t>dwóch nowych źródeł zaopatrzenia. Inwestycja zapewni im bezpośredni dostęp do norweskiego gazu ziemnego oraz globalnego rynku skroplonego gazu ziemnego (LNG) poprzez Terminal LNG w Świnoujściu</w:t>
      </w:r>
      <w:r w:rsidR="0079609F" w:rsidRPr="00C758B1">
        <w:rPr>
          <w:rFonts w:ascii="Lato" w:hAnsi="Lato"/>
        </w:rPr>
        <w:t>;</w:t>
      </w:r>
    </w:p>
    <w:p w14:paraId="65067F4E" w14:textId="3F44DA5B" w:rsidR="00B03DBA" w:rsidRPr="00006B72" w:rsidRDefault="00C7771E" w:rsidP="00006B72">
      <w:pPr>
        <w:pStyle w:val="TekstWypunktowany"/>
        <w:rPr>
          <w:rFonts w:ascii="Lato" w:hAnsi="Lato"/>
        </w:rPr>
      </w:pPr>
      <w:r w:rsidRPr="00006B72">
        <w:rPr>
          <w:rFonts w:ascii="Lato" w:hAnsi="Lato"/>
        </w:rPr>
        <w:t>uruchomienie nowej, dodatkowej trasy dostaw gazu ziemnego z północy Europy</w:t>
      </w:r>
      <w:r w:rsidR="006E461F">
        <w:rPr>
          <w:rFonts w:ascii="Lato" w:hAnsi="Lato"/>
        </w:rPr>
        <w:t xml:space="preserve"> </w:t>
      </w:r>
      <w:r w:rsidRPr="00006B72">
        <w:rPr>
          <w:rFonts w:ascii="Lato" w:hAnsi="Lato"/>
        </w:rPr>
        <w:t>przyczyni się do strategicznej zmiany obecnej struktury przepływów gazu w Europie Środkowej i Wschodniej</w:t>
      </w:r>
      <w:r w:rsidR="0079609F" w:rsidRPr="00C758B1">
        <w:rPr>
          <w:rFonts w:ascii="Lato" w:hAnsi="Lato"/>
        </w:rPr>
        <w:t>;</w:t>
      </w:r>
    </w:p>
    <w:p w14:paraId="454EC2E7" w14:textId="3107A5F3" w:rsidR="00B03DBA" w:rsidRPr="00006B72" w:rsidRDefault="00C7771E" w:rsidP="00006B72">
      <w:pPr>
        <w:pStyle w:val="TekstWypunktowany"/>
        <w:rPr>
          <w:rFonts w:ascii="Lato" w:hAnsi="Lato"/>
        </w:rPr>
      </w:pPr>
      <w:r w:rsidRPr="00006B72">
        <w:rPr>
          <w:rFonts w:ascii="Lato" w:hAnsi="Lato"/>
        </w:rPr>
        <w:t>zwiększenie konkurencyjności na regionalnych rynkach gazu ziemnego i ułatwienie konwergencji cenowej pomiędzy rynkami; umożliwienie wejścia na rynek nowych uczestników w regionach oddziaływania</w:t>
      </w:r>
      <w:r w:rsidR="00CA570E">
        <w:rPr>
          <w:rFonts w:ascii="Lato" w:hAnsi="Lato"/>
        </w:rPr>
        <w:t xml:space="preserve"> projektu</w:t>
      </w:r>
      <w:r w:rsidRPr="00006B72">
        <w:rPr>
          <w:rFonts w:ascii="Lato" w:hAnsi="Lato"/>
        </w:rPr>
        <w:t xml:space="preserve">. </w:t>
      </w:r>
    </w:p>
    <w:p w14:paraId="79980383" w14:textId="585C8CDF" w:rsidR="00B03DBA" w:rsidRPr="00006B72" w:rsidRDefault="00F46D30" w:rsidP="00006B72">
      <w:pPr>
        <w:pStyle w:val="Tabela"/>
        <w:spacing w:before="120" w:after="120"/>
        <w:rPr>
          <w:rFonts w:ascii="Lato" w:hAnsi="Lato"/>
          <w:b w:val="0"/>
        </w:rPr>
      </w:pPr>
      <w:r>
        <w:rPr>
          <w:rFonts w:ascii="Lato" w:hAnsi="Lato"/>
        </w:rPr>
        <w:t xml:space="preserve">Połączenie międzysystemowe </w:t>
      </w:r>
      <w:r w:rsidR="00C7771E" w:rsidRPr="00006B72">
        <w:rPr>
          <w:rFonts w:ascii="Lato" w:hAnsi="Lato"/>
        </w:rPr>
        <w:t xml:space="preserve">Polska–Litwa </w:t>
      </w:r>
    </w:p>
    <w:p w14:paraId="57CBB27F" w14:textId="3274AC65" w:rsidR="00B03DBA" w:rsidRPr="00C758B1" w:rsidRDefault="00C7771E" w:rsidP="00006B72">
      <w:pPr>
        <w:pStyle w:val="Tekstzwyky"/>
        <w:rPr>
          <w:rFonts w:ascii="Lato" w:hAnsi="Lato"/>
        </w:rPr>
      </w:pPr>
      <w:r w:rsidRPr="00C758B1">
        <w:rPr>
          <w:rFonts w:ascii="Lato" w:hAnsi="Lato"/>
        </w:rPr>
        <w:tab/>
      </w:r>
      <w:r w:rsidR="00A2308D" w:rsidRPr="00C758B1">
        <w:rPr>
          <w:rFonts w:ascii="Lato" w:hAnsi="Lato"/>
        </w:rPr>
        <w:t>Główny</w:t>
      </w:r>
      <w:r w:rsidR="00006B72">
        <w:rPr>
          <w:rFonts w:ascii="Lato" w:hAnsi="Lato"/>
        </w:rPr>
        <w:t>m</w:t>
      </w:r>
      <w:r w:rsidR="00A2308D" w:rsidRPr="00C758B1">
        <w:rPr>
          <w:rFonts w:ascii="Lato" w:hAnsi="Lato"/>
        </w:rPr>
        <w:t xml:space="preserve"> cel</w:t>
      </w:r>
      <w:r w:rsidR="00006B72">
        <w:rPr>
          <w:rFonts w:ascii="Lato" w:hAnsi="Lato"/>
        </w:rPr>
        <w:t>em</w:t>
      </w:r>
      <w:r w:rsidR="00A2308D" w:rsidRPr="00C758B1">
        <w:rPr>
          <w:rFonts w:ascii="Lato" w:hAnsi="Lato"/>
        </w:rPr>
        <w:t xml:space="preserve"> projektu </w:t>
      </w:r>
      <w:r w:rsidR="00006B72">
        <w:rPr>
          <w:rFonts w:ascii="Lato" w:hAnsi="Lato"/>
        </w:rPr>
        <w:t>było</w:t>
      </w:r>
      <w:r w:rsidR="00A2308D" w:rsidRPr="00C758B1">
        <w:rPr>
          <w:rFonts w:ascii="Lato" w:hAnsi="Lato"/>
        </w:rPr>
        <w:t xml:space="preserve"> </w:t>
      </w:r>
      <w:r w:rsidRPr="00C758B1">
        <w:rPr>
          <w:rFonts w:ascii="Lato" w:hAnsi="Lato"/>
        </w:rPr>
        <w:t>połączenie odizolowanych rynków gazu ziemnego państw bałtyckich (Litwy, Łotwy i Estonii) z rynkami gazu U</w:t>
      </w:r>
      <w:r w:rsidR="00F46D30">
        <w:rPr>
          <w:rFonts w:ascii="Lato" w:hAnsi="Lato"/>
        </w:rPr>
        <w:t>E</w:t>
      </w:r>
      <w:r w:rsidRPr="00C758B1">
        <w:rPr>
          <w:rFonts w:ascii="Lato" w:hAnsi="Lato"/>
        </w:rPr>
        <w:t xml:space="preserve"> za pośrednictwem nowego dwukierunkowego </w:t>
      </w:r>
      <w:r w:rsidR="006E461F">
        <w:rPr>
          <w:rFonts w:ascii="Lato" w:hAnsi="Lato"/>
        </w:rPr>
        <w:t>połączenia międzysystemowego</w:t>
      </w:r>
      <w:r w:rsidRPr="00C758B1">
        <w:rPr>
          <w:rFonts w:ascii="Lato" w:hAnsi="Lato"/>
        </w:rPr>
        <w:t>. Projekt umożliwi</w:t>
      </w:r>
      <w:r w:rsidR="00A2308D" w:rsidRPr="00C758B1">
        <w:rPr>
          <w:rFonts w:ascii="Lato" w:hAnsi="Lato"/>
        </w:rPr>
        <w:t>a</w:t>
      </w:r>
      <w:r w:rsidRPr="00C758B1">
        <w:rPr>
          <w:rFonts w:ascii="Lato" w:hAnsi="Lato"/>
        </w:rPr>
        <w:t xml:space="preserve"> integrację rynków gazu ziemnego w rejonie Morza Bałtyckiego, a także zmniejsz</w:t>
      </w:r>
      <w:r w:rsidR="00006B72">
        <w:rPr>
          <w:rFonts w:ascii="Lato" w:hAnsi="Lato"/>
        </w:rPr>
        <w:t>a</w:t>
      </w:r>
      <w:r w:rsidRPr="00C758B1">
        <w:rPr>
          <w:rFonts w:ascii="Lato" w:hAnsi="Lato"/>
        </w:rPr>
        <w:t xml:space="preserve"> uzależnienia krajów bałtyckich </w:t>
      </w:r>
      <w:r w:rsidR="006E461F">
        <w:rPr>
          <w:rFonts w:ascii="Lato" w:hAnsi="Lato"/>
        </w:rPr>
        <w:t>oraz</w:t>
      </w:r>
      <w:r w:rsidRPr="00C758B1">
        <w:rPr>
          <w:rFonts w:ascii="Lato" w:hAnsi="Lato"/>
        </w:rPr>
        <w:t xml:space="preserve"> Finlandii od dostaw</w:t>
      </w:r>
      <w:r w:rsidR="006E461F">
        <w:rPr>
          <w:rFonts w:ascii="Lato" w:hAnsi="Lato"/>
        </w:rPr>
        <w:t xml:space="preserve"> gazu ziemnego</w:t>
      </w:r>
      <w:r w:rsidRPr="00C758B1">
        <w:rPr>
          <w:rFonts w:ascii="Lato" w:hAnsi="Lato"/>
        </w:rPr>
        <w:t xml:space="preserve"> </w:t>
      </w:r>
      <w:r w:rsidR="007C4730">
        <w:rPr>
          <w:rFonts w:ascii="Lato" w:hAnsi="Lato"/>
        </w:rPr>
        <w:t xml:space="preserve">z </w:t>
      </w:r>
      <w:r w:rsidRPr="00C758B1">
        <w:rPr>
          <w:rFonts w:ascii="Lato" w:hAnsi="Lato"/>
        </w:rPr>
        <w:t>kierunku</w:t>
      </w:r>
      <w:r w:rsidR="007C4730">
        <w:rPr>
          <w:rFonts w:ascii="Lato" w:hAnsi="Lato"/>
        </w:rPr>
        <w:t xml:space="preserve"> wschodniego</w:t>
      </w:r>
      <w:r w:rsidRPr="00C758B1">
        <w:rPr>
          <w:rFonts w:ascii="Lato" w:hAnsi="Lato"/>
        </w:rPr>
        <w:t>.</w:t>
      </w:r>
    </w:p>
    <w:p w14:paraId="3C8BA05B" w14:textId="3A9B344D" w:rsidR="00B03DBA" w:rsidRPr="00C758B1" w:rsidRDefault="00C7771E" w:rsidP="00006B72">
      <w:pPr>
        <w:pStyle w:val="Tekstzwyky"/>
        <w:rPr>
          <w:rFonts w:ascii="Lato" w:hAnsi="Lato"/>
        </w:rPr>
      </w:pPr>
      <w:r w:rsidRPr="00C758B1">
        <w:rPr>
          <w:rFonts w:ascii="Lato" w:hAnsi="Lato"/>
        </w:rPr>
        <w:tab/>
        <w:t xml:space="preserve">Korzyści wynikające z budowy połączenia Polska–Litwa: </w:t>
      </w:r>
    </w:p>
    <w:p w14:paraId="5393A451" w14:textId="734E9DDB" w:rsidR="00B03DBA" w:rsidRPr="00006B72" w:rsidRDefault="00C7771E" w:rsidP="00006B72">
      <w:pPr>
        <w:pStyle w:val="TekstWypunktowany"/>
        <w:rPr>
          <w:rFonts w:ascii="Lato" w:hAnsi="Lato"/>
        </w:rPr>
      </w:pPr>
      <w:r w:rsidRPr="00006B72">
        <w:rPr>
          <w:rFonts w:ascii="Lato" w:hAnsi="Lato"/>
        </w:rPr>
        <w:t>dywersyfikacja źródeł dostaw gazu ziemnego, zmniejszenie zależności od jednego dostawcy, zwiększenie bezpieczeństwa energetycznego oraz solidarności energetycznej między państwami członkowskimi, integracja rynków energii w Europie oraz utworzenie wewnętrznego rynku energii</w:t>
      </w:r>
      <w:r w:rsidR="0079609F" w:rsidRPr="00C758B1">
        <w:rPr>
          <w:rFonts w:ascii="Lato" w:hAnsi="Lato"/>
        </w:rPr>
        <w:t>;</w:t>
      </w:r>
    </w:p>
    <w:p w14:paraId="6213886C" w14:textId="76512447" w:rsidR="00B03DBA" w:rsidRPr="00006B72" w:rsidRDefault="00C7771E" w:rsidP="00006B72">
      <w:pPr>
        <w:pStyle w:val="TekstWypunktowany"/>
        <w:rPr>
          <w:rFonts w:ascii="Lato" w:hAnsi="Lato"/>
        </w:rPr>
      </w:pPr>
      <w:r w:rsidRPr="00006B72">
        <w:rPr>
          <w:rFonts w:ascii="Lato" w:hAnsi="Lato"/>
        </w:rPr>
        <w:t>na szczeblu krajowym realizacja połączenia Polska-Litwa jest zgodna z działaniami priorytetowymi związanymi z bezpieczeństwem dostaw gazu ziemnego takimi jak: rozbudowa oraz zwiększenie przepustowości gazowych systemów przesyłowych, budowa połączeń międzysystemowych oraz przedłużenie połączeń z innymi systemami gazowymi</w:t>
      </w:r>
      <w:r w:rsidR="0079609F" w:rsidRPr="00C758B1">
        <w:rPr>
          <w:rFonts w:ascii="Lato" w:hAnsi="Lato"/>
        </w:rPr>
        <w:t>;</w:t>
      </w:r>
    </w:p>
    <w:p w14:paraId="22657EA3" w14:textId="570B9FF6" w:rsidR="00B03DBA" w:rsidRPr="00006B72" w:rsidRDefault="00C7771E" w:rsidP="00006B72">
      <w:pPr>
        <w:pStyle w:val="TekstWypunktowany"/>
        <w:rPr>
          <w:rFonts w:ascii="Lato" w:hAnsi="Lato"/>
        </w:rPr>
      </w:pPr>
      <w:r w:rsidRPr="00006B72">
        <w:rPr>
          <w:rFonts w:ascii="Lato" w:hAnsi="Lato"/>
        </w:rPr>
        <w:t xml:space="preserve">wzrost konkurencyjności północno-wschodnich regionów Polski dzięki powstaniu nowej infrastruktury przesyłowej pozwalającej na odbiór paliw gazowych za pośrednictwem sieci dystrybucyjnej lub poprzez bezpośrednie </w:t>
      </w:r>
      <w:r w:rsidRPr="00006B72">
        <w:rPr>
          <w:rFonts w:ascii="Lato" w:hAnsi="Lato"/>
        </w:rPr>
        <w:lastRenderedPageBreak/>
        <w:t>przyłączenie dużych odbiorców przemysłowych, możliwość gazyfikacji regionów do tej pory pozbawionych dostępu do gazu ziemnego.</w:t>
      </w:r>
    </w:p>
    <w:p w14:paraId="4A6BC8F3" w14:textId="26E01765" w:rsidR="00B03DBA" w:rsidRPr="00006B72" w:rsidRDefault="00DE0CA2" w:rsidP="00006B72">
      <w:pPr>
        <w:pStyle w:val="Tabela"/>
        <w:spacing w:before="120" w:after="120"/>
        <w:contextualSpacing/>
        <w:rPr>
          <w:rFonts w:ascii="Lato" w:hAnsi="Lato"/>
          <w:b w:val="0"/>
        </w:rPr>
      </w:pPr>
      <w:r w:rsidRPr="00DE0CA2">
        <w:rPr>
          <w:rFonts w:ascii="Lato" w:hAnsi="Lato"/>
          <w:bCs/>
        </w:rPr>
        <w:t>Połączenie międzysy</w:t>
      </w:r>
      <w:r>
        <w:rPr>
          <w:rFonts w:ascii="Lato" w:hAnsi="Lato"/>
          <w:bCs/>
        </w:rPr>
        <w:t>s</w:t>
      </w:r>
      <w:r w:rsidRPr="00DE0CA2">
        <w:rPr>
          <w:rFonts w:ascii="Lato" w:hAnsi="Lato"/>
          <w:bCs/>
        </w:rPr>
        <w:t xml:space="preserve">temowe </w:t>
      </w:r>
      <w:r w:rsidR="00C7771E" w:rsidRPr="00006B72">
        <w:rPr>
          <w:rFonts w:ascii="Lato" w:hAnsi="Lato"/>
        </w:rPr>
        <w:t>Polska</w:t>
      </w:r>
      <w:r w:rsidR="00C7771E" w:rsidRPr="00006B72">
        <w:rPr>
          <w:rFonts w:ascii="Lato" w:hAnsi="Lato"/>
          <w:b w:val="0"/>
          <w:bCs/>
        </w:rPr>
        <w:t>–</w:t>
      </w:r>
      <w:r w:rsidR="00C7771E" w:rsidRPr="00006B72">
        <w:rPr>
          <w:rFonts w:ascii="Lato" w:hAnsi="Lato"/>
          <w:bCs/>
        </w:rPr>
        <w:t>Słowacja</w:t>
      </w:r>
      <w:r w:rsidR="00C7771E" w:rsidRPr="00006B72">
        <w:rPr>
          <w:rFonts w:ascii="Lato" w:hAnsi="Lato"/>
        </w:rPr>
        <w:t xml:space="preserve"> </w:t>
      </w:r>
    </w:p>
    <w:p w14:paraId="2408E440" w14:textId="3714ACA7" w:rsidR="00B03DBA" w:rsidRPr="00C758B1" w:rsidRDefault="00C7771E" w:rsidP="00006B72">
      <w:pPr>
        <w:pStyle w:val="Tekstzwyky"/>
        <w:contextualSpacing/>
        <w:rPr>
          <w:rFonts w:ascii="Lato" w:hAnsi="Lato"/>
        </w:rPr>
      </w:pPr>
      <w:r w:rsidRPr="00C758B1">
        <w:rPr>
          <w:rFonts w:ascii="Lato" w:hAnsi="Lato"/>
        </w:rPr>
        <w:tab/>
        <w:t xml:space="preserve">Połączenie Polska–Słowacja jest częścią europejskiej inicjatywy związanej z budową Korytarza Północ–Południe. Nowy kierunek dostaw wpisuje się w strategiczne kierunki określone w </w:t>
      </w:r>
      <w:r w:rsidRPr="007C4730">
        <w:rPr>
          <w:rFonts w:ascii="Lato" w:hAnsi="Lato"/>
          <w:i/>
          <w:iCs/>
        </w:rPr>
        <w:t xml:space="preserve">Polityce energetycznej Polski do </w:t>
      </w:r>
      <w:r w:rsidR="00D264AB" w:rsidRPr="007C4730">
        <w:rPr>
          <w:rFonts w:ascii="Lato" w:hAnsi="Lato"/>
          <w:i/>
          <w:iCs/>
        </w:rPr>
        <w:t>2040</w:t>
      </w:r>
      <w:r w:rsidR="00A2308D" w:rsidRPr="007C4730">
        <w:rPr>
          <w:rFonts w:ascii="Lato" w:hAnsi="Lato"/>
          <w:i/>
          <w:iCs/>
        </w:rPr>
        <w:t xml:space="preserve"> </w:t>
      </w:r>
      <w:r w:rsidRPr="007C4730">
        <w:rPr>
          <w:rFonts w:ascii="Lato" w:hAnsi="Lato"/>
          <w:i/>
          <w:iCs/>
        </w:rPr>
        <w:t>r.</w:t>
      </w:r>
      <w:r w:rsidRPr="00C758B1">
        <w:rPr>
          <w:rFonts w:ascii="Lato" w:hAnsi="Lato"/>
        </w:rPr>
        <w:t xml:space="preserve"> związane z zapewnieniem bezpieczeństwa energetycznego kraju poprzez dywersyfikację źródeł i kierunków dostaw gazu ziemnego.</w:t>
      </w:r>
    </w:p>
    <w:p w14:paraId="04293A27" w14:textId="6C850277" w:rsidR="00B03DBA" w:rsidRPr="00C758B1" w:rsidRDefault="00C7771E" w:rsidP="00006B72">
      <w:pPr>
        <w:pStyle w:val="Tekstzwyky"/>
        <w:rPr>
          <w:rFonts w:ascii="Lato" w:hAnsi="Lato"/>
        </w:rPr>
      </w:pPr>
      <w:r w:rsidRPr="00C758B1">
        <w:rPr>
          <w:rFonts w:ascii="Lato" w:hAnsi="Lato"/>
        </w:rPr>
        <w:tab/>
        <w:t xml:space="preserve">Korzyści wynikające z budowy połączenia Polska–Słowacja: </w:t>
      </w:r>
    </w:p>
    <w:p w14:paraId="3CA8A7E9" w14:textId="132EEF1C" w:rsidR="00B03DBA" w:rsidRPr="00006B72" w:rsidRDefault="00C7771E" w:rsidP="00006B72">
      <w:pPr>
        <w:pStyle w:val="TekstWypunktowany"/>
        <w:rPr>
          <w:rFonts w:ascii="Lato" w:hAnsi="Lato"/>
        </w:rPr>
      </w:pPr>
      <w:r w:rsidRPr="00006B72">
        <w:rPr>
          <w:rFonts w:ascii="Lato" w:hAnsi="Lato"/>
        </w:rPr>
        <w:t>zwiększenie możliwości pokrycia zapotrzebowania na gaz ziemny odbiorców krajowych</w:t>
      </w:r>
      <w:r w:rsidR="00FA3B37" w:rsidRPr="00C758B1">
        <w:rPr>
          <w:rFonts w:ascii="Lato" w:hAnsi="Lato"/>
        </w:rPr>
        <w:t>;</w:t>
      </w:r>
    </w:p>
    <w:p w14:paraId="2D3E62E6" w14:textId="6D7B6B35" w:rsidR="00B03DBA" w:rsidRPr="00006B72" w:rsidRDefault="00C7771E" w:rsidP="00006B72">
      <w:pPr>
        <w:pStyle w:val="TekstWypunktowany"/>
        <w:rPr>
          <w:rFonts w:ascii="Lato" w:hAnsi="Lato"/>
        </w:rPr>
      </w:pPr>
      <w:r w:rsidRPr="00006B72">
        <w:rPr>
          <w:rFonts w:ascii="Lato" w:hAnsi="Lato"/>
        </w:rPr>
        <w:t>zabezpieczenie dostaw gazu ziemnego w sytuacjach kryzysowych</w:t>
      </w:r>
      <w:r w:rsidR="00FA3B37" w:rsidRPr="00C758B1">
        <w:rPr>
          <w:rFonts w:ascii="Lato" w:hAnsi="Lato"/>
        </w:rPr>
        <w:t>;</w:t>
      </w:r>
    </w:p>
    <w:p w14:paraId="70019676" w14:textId="011E9C5E" w:rsidR="00006B72" w:rsidRDefault="00C7771E" w:rsidP="00006B72">
      <w:pPr>
        <w:pStyle w:val="TekstWypunktowany"/>
        <w:rPr>
          <w:rFonts w:ascii="Lato" w:hAnsi="Lato"/>
        </w:rPr>
      </w:pPr>
      <w:r w:rsidRPr="00006B72">
        <w:rPr>
          <w:rFonts w:ascii="Lato" w:hAnsi="Lato"/>
        </w:rPr>
        <w:t>do</w:t>
      </w:r>
      <w:r w:rsidR="007C4730">
        <w:rPr>
          <w:rFonts w:ascii="Lato" w:hAnsi="Lato"/>
        </w:rPr>
        <w:t>stawy</w:t>
      </w:r>
      <w:r w:rsidRPr="00006B72">
        <w:rPr>
          <w:rFonts w:ascii="Lato" w:hAnsi="Lato"/>
        </w:rPr>
        <w:t xml:space="preserve"> gazu ziemnego do południowo-wschodniej części Polski, w której istnieje rozbudowany system przesyłowy oraz infrastruktura magazynowa</w:t>
      </w:r>
      <w:r w:rsidR="00FA3B37" w:rsidRPr="00C758B1">
        <w:rPr>
          <w:rFonts w:ascii="Lato" w:hAnsi="Lato"/>
        </w:rPr>
        <w:t>;</w:t>
      </w:r>
    </w:p>
    <w:p w14:paraId="61B78B5C" w14:textId="0A97C58A" w:rsidR="00006B72" w:rsidRPr="00006B72" w:rsidRDefault="00006B72" w:rsidP="00006B72">
      <w:pPr>
        <w:pStyle w:val="TekstWypunktowany"/>
        <w:rPr>
          <w:rFonts w:ascii="Lato" w:hAnsi="Lato"/>
        </w:rPr>
      </w:pPr>
      <w:r w:rsidRPr="00006B72">
        <w:rPr>
          <w:rFonts w:ascii="Lato" w:hAnsi="Lato"/>
        </w:rPr>
        <w:t xml:space="preserve">eksport gazu ziemnego z Polski w oparciu o dostawy z terminala LNG w Świnoujściu, eksport gazu ziemnego importowanego z norweskiego szelfu kontynentalnego, poprawa bezpieczeństwa energetycznego Słowacji, Polski i całego Regionu Europy </w:t>
      </w:r>
      <w:r w:rsidR="006E461F">
        <w:rPr>
          <w:rFonts w:ascii="Lato" w:hAnsi="Lato"/>
        </w:rPr>
        <w:t>Środkowej i Wschodniej.</w:t>
      </w:r>
      <w:r w:rsidR="00C7771E" w:rsidRPr="00006B72">
        <w:rPr>
          <w:rFonts w:ascii="Lato" w:hAnsi="Lato"/>
        </w:rPr>
        <w:t xml:space="preserve"> </w:t>
      </w:r>
      <w:bookmarkStart w:id="297" w:name="_Toc482280960"/>
      <w:bookmarkStart w:id="298" w:name="_Toc472336748"/>
      <w:bookmarkStart w:id="299" w:name="_Toc440540690"/>
      <w:bookmarkStart w:id="300" w:name="_Toc429586078"/>
    </w:p>
    <w:p w14:paraId="3FA006F9" w14:textId="5974679B" w:rsidR="00B03DBA" w:rsidRPr="00006B72" w:rsidRDefault="00C7771E" w:rsidP="00006B72">
      <w:pPr>
        <w:pStyle w:val="Tabela"/>
        <w:spacing w:before="120" w:after="120"/>
        <w:contextualSpacing/>
        <w:rPr>
          <w:rFonts w:ascii="Lato" w:hAnsi="Lato"/>
          <w:bCs/>
        </w:rPr>
      </w:pPr>
      <w:r w:rsidRPr="00006B72">
        <w:rPr>
          <w:rFonts w:ascii="Lato" w:hAnsi="Lato"/>
          <w:bCs/>
        </w:rPr>
        <w:t>Inicjatywa Korytarza Północ – Południe</w:t>
      </w:r>
      <w:bookmarkEnd w:id="297"/>
      <w:bookmarkEnd w:id="298"/>
      <w:bookmarkEnd w:id="299"/>
      <w:bookmarkEnd w:id="300"/>
    </w:p>
    <w:p w14:paraId="79384C9B" w14:textId="7C57A042" w:rsidR="00B03DBA" w:rsidRPr="00C758B1" w:rsidRDefault="00C7771E" w:rsidP="00006B72">
      <w:pPr>
        <w:pStyle w:val="Tekstzwyky"/>
        <w:rPr>
          <w:rFonts w:ascii="Lato" w:hAnsi="Lato"/>
        </w:rPr>
      </w:pPr>
      <w:r w:rsidRPr="00C758B1">
        <w:rPr>
          <w:rFonts w:ascii="Lato" w:hAnsi="Lato"/>
        </w:rPr>
        <w:tab/>
        <w:t>Realizacja inwestycji związanych z budową Korytarza Północ–Południe pozw</w:t>
      </w:r>
      <w:r w:rsidR="00A2308D" w:rsidRPr="00C758B1">
        <w:rPr>
          <w:rFonts w:ascii="Lato" w:hAnsi="Lato"/>
        </w:rPr>
        <w:t>a</w:t>
      </w:r>
      <w:r w:rsidRPr="00C758B1">
        <w:rPr>
          <w:rFonts w:ascii="Lato" w:hAnsi="Lato"/>
        </w:rPr>
        <w:t>l</w:t>
      </w:r>
      <w:r w:rsidR="00A2308D" w:rsidRPr="00C758B1">
        <w:rPr>
          <w:rFonts w:ascii="Lato" w:hAnsi="Lato"/>
        </w:rPr>
        <w:t>a</w:t>
      </w:r>
      <w:r w:rsidRPr="00C758B1">
        <w:rPr>
          <w:rFonts w:ascii="Lato" w:hAnsi="Lato"/>
        </w:rPr>
        <w:t xml:space="preserve"> </w:t>
      </w:r>
      <w:r w:rsidR="007C4730">
        <w:rPr>
          <w:rFonts w:ascii="Lato" w:hAnsi="Lato"/>
        </w:rPr>
        <w:t>zapewnić efektywne</w:t>
      </w:r>
      <w:r w:rsidRPr="00C758B1">
        <w:rPr>
          <w:rFonts w:ascii="Lato" w:hAnsi="Lato"/>
        </w:rPr>
        <w:t xml:space="preserve"> połączeni</w:t>
      </w:r>
      <w:r w:rsidR="007C4730">
        <w:rPr>
          <w:rFonts w:ascii="Lato" w:hAnsi="Lato"/>
        </w:rPr>
        <w:t>e</w:t>
      </w:r>
      <w:r w:rsidRPr="00C758B1">
        <w:rPr>
          <w:rFonts w:ascii="Lato" w:hAnsi="Lato"/>
        </w:rPr>
        <w:t xml:space="preserve"> krajowego systemu przesyłowego z</w:t>
      </w:r>
      <w:r w:rsidR="006E461F">
        <w:rPr>
          <w:rFonts w:ascii="Lato" w:hAnsi="Lato"/>
        </w:rPr>
        <w:t xml:space="preserve"> </w:t>
      </w:r>
      <w:r w:rsidRPr="00C758B1">
        <w:rPr>
          <w:rFonts w:ascii="Lato" w:hAnsi="Lato"/>
        </w:rPr>
        <w:t xml:space="preserve">europejskim systemem gazociągów magistralnych. </w:t>
      </w:r>
      <w:r w:rsidR="007C4730">
        <w:rPr>
          <w:rFonts w:ascii="Lato" w:hAnsi="Lato"/>
        </w:rPr>
        <w:t>Inwestycja ta u</w:t>
      </w:r>
      <w:r w:rsidRPr="00C758B1">
        <w:rPr>
          <w:rFonts w:ascii="Lato" w:hAnsi="Lato"/>
        </w:rPr>
        <w:t>możliwi</w:t>
      </w:r>
      <w:r w:rsidR="00A2308D" w:rsidRPr="00C758B1">
        <w:rPr>
          <w:rFonts w:ascii="Lato" w:hAnsi="Lato"/>
        </w:rPr>
        <w:t>a</w:t>
      </w:r>
      <w:r w:rsidRPr="00C758B1">
        <w:rPr>
          <w:rFonts w:ascii="Lato" w:hAnsi="Lato"/>
        </w:rPr>
        <w:t xml:space="preserve"> integracj</w:t>
      </w:r>
      <w:r w:rsidR="007C4730">
        <w:rPr>
          <w:rFonts w:ascii="Lato" w:hAnsi="Lato"/>
        </w:rPr>
        <w:t>ę</w:t>
      </w:r>
      <w:r w:rsidRPr="00C758B1">
        <w:rPr>
          <w:rFonts w:ascii="Lato" w:hAnsi="Lato"/>
        </w:rPr>
        <w:t xml:space="preserve"> rynków Europy </w:t>
      </w:r>
      <w:r w:rsidR="006E461F">
        <w:rPr>
          <w:rFonts w:ascii="Lato" w:hAnsi="Lato"/>
        </w:rPr>
        <w:t>Środkowej i Wschodniej</w:t>
      </w:r>
      <w:r w:rsidRPr="00C758B1">
        <w:rPr>
          <w:rFonts w:ascii="Lato" w:hAnsi="Lato"/>
        </w:rPr>
        <w:t xml:space="preserve">, co jest zgodne z unijną polityką energetyczną. </w:t>
      </w:r>
    </w:p>
    <w:p w14:paraId="64E76ED5" w14:textId="2AC29D4D" w:rsidR="00B03DBA" w:rsidRPr="00C758B1" w:rsidRDefault="00DE0CA2" w:rsidP="00006B72">
      <w:pPr>
        <w:pStyle w:val="Tekstzwyky"/>
        <w:rPr>
          <w:rFonts w:ascii="Lato" w:hAnsi="Lato"/>
        </w:rPr>
      </w:pPr>
      <w:r>
        <w:rPr>
          <w:rFonts w:ascii="Lato" w:hAnsi="Lato"/>
        </w:rPr>
        <w:tab/>
      </w:r>
      <w:r w:rsidR="00C7771E" w:rsidRPr="00C758B1">
        <w:rPr>
          <w:rFonts w:ascii="Lato" w:hAnsi="Lato"/>
        </w:rPr>
        <w:t xml:space="preserve">Korzyści wynikające z budowy Korytarza Północ–Południe: </w:t>
      </w:r>
    </w:p>
    <w:p w14:paraId="1D93C842" w14:textId="07195BBB" w:rsidR="00B03DBA" w:rsidRPr="00006B72" w:rsidRDefault="00C7771E" w:rsidP="00006B72">
      <w:pPr>
        <w:pStyle w:val="TekstWypunktowany"/>
        <w:rPr>
          <w:rFonts w:ascii="Lato" w:hAnsi="Lato"/>
        </w:rPr>
      </w:pPr>
      <w:r w:rsidRPr="00006B72">
        <w:rPr>
          <w:rFonts w:ascii="Lato" w:hAnsi="Lato"/>
        </w:rPr>
        <w:t>niezakłócone i realizowane w odpowiednich ilościach dostawy gazu ziemnego do odbiorców krajowych</w:t>
      </w:r>
      <w:r w:rsidR="00FA3B37" w:rsidRPr="00C758B1">
        <w:rPr>
          <w:rFonts w:ascii="Lato" w:hAnsi="Lato"/>
        </w:rPr>
        <w:t>;</w:t>
      </w:r>
    </w:p>
    <w:p w14:paraId="49764E83" w14:textId="72E0D6B8" w:rsidR="00B03DBA" w:rsidRPr="00006B72" w:rsidRDefault="00C7771E" w:rsidP="00006B72">
      <w:pPr>
        <w:pStyle w:val="TekstWypunktowany"/>
        <w:rPr>
          <w:rFonts w:ascii="Lato" w:hAnsi="Lato"/>
        </w:rPr>
      </w:pPr>
      <w:r w:rsidRPr="00006B72">
        <w:rPr>
          <w:rFonts w:ascii="Lato" w:hAnsi="Lato"/>
        </w:rPr>
        <w:t>poprawa bezpieczeństwa funkcjonowania krajowej sieci przesyłowej oraz wzrost przepustowości systemu przesyłowego</w:t>
      </w:r>
      <w:r w:rsidR="00FA3B37" w:rsidRPr="00C758B1">
        <w:rPr>
          <w:rFonts w:ascii="Lato" w:hAnsi="Lato"/>
        </w:rPr>
        <w:t>;</w:t>
      </w:r>
    </w:p>
    <w:p w14:paraId="5AAEDCD1" w14:textId="77777777" w:rsidR="00B03DBA" w:rsidRPr="00006B72" w:rsidRDefault="00C7771E" w:rsidP="00006B72">
      <w:pPr>
        <w:pStyle w:val="TekstWypunktowany"/>
        <w:rPr>
          <w:rFonts w:ascii="Lato" w:hAnsi="Lato"/>
        </w:rPr>
      </w:pPr>
      <w:r w:rsidRPr="00006B72">
        <w:rPr>
          <w:rFonts w:ascii="Lato" w:hAnsi="Lato"/>
        </w:rPr>
        <w:t>rozwój rynku gazu ziemnego poprzez zwiększenie wolumenu dostaw do odbiorców z nowych gazociągów;</w:t>
      </w:r>
    </w:p>
    <w:p w14:paraId="015A26FB" w14:textId="369A3D1E" w:rsidR="00B03DBA" w:rsidRPr="00006B72" w:rsidRDefault="00C7771E" w:rsidP="00006B72">
      <w:pPr>
        <w:pStyle w:val="TekstWypunktowany"/>
        <w:rPr>
          <w:rFonts w:ascii="Lato" w:hAnsi="Lato"/>
        </w:rPr>
      </w:pPr>
      <w:r w:rsidRPr="00006B72">
        <w:rPr>
          <w:rFonts w:ascii="Lato" w:hAnsi="Lato"/>
        </w:rPr>
        <w:t>umożliwienie eksportu i/lub importu gazu z sąsiednich krajów: Słowacja, Czechy, Ukraina, Litwa, Dania</w:t>
      </w:r>
      <w:r w:rsidR="00FA3B37" w:rsidRPr="00C758B1">
        <w:rPr>
          <w:rFonts w:ascii="Lato" w:hAnsi="Lato"/>
        </w:rPr>
        <w:t>;</w:t>
      </w:r>
    </w:p>
    <w:p w14:paraId="7A96119E" w14:textId="56276D81" w:rsidR="00B03DBA" w:rsidRPr="00006B72" w:rsidRDefault="00C7771E" w:rsidP="00006B72">
      <w:pPr>
        <w:pStyle w:val="TekstWypunktowany"/>
        <w:rPr>
          <w:rFonts w:ascii="Lato" w:hAnsi="Lato"/>
        </w:rPr>
      </w:pPr>
      <w:r w:rsidRPr="00006B72">
        <w:rPr>
          <w:rFonts w:ascii="Lato" w:hAnsi="Lato"/>
        </w:rPr>
        <w:t>zwiększenie stopnia integracji regionalnych rynków gazu ziemnego</w:t>
      </w:r>
      <w:r w:rsidR="00FA3B37" w:rsidRPr="00C758B1">
        <w:rPr>
          <w:rFonts w:ascii="Lato" w:hAnsi="Lato"/>
        </w:rPr>
        <w:t>;</w:t>
      </w:r>
    </w:p>
    <w:p w14:paraId="6A2EE191" w14:textId="5E37F4AE" w:rsidR="00B03DBA" w:rsidRPr="00006B72" w:rsidRDefault="00C7771E" w:rsidP="00006B72">
      <w:pPr>
        <w:pStyle w:val="TekstWypunktowany"/>
        <w:rPr>
          <w:rFonts w:ascii="Lato" w:hAnsi="Lato"/>
        </w:rPr>
      </w:pPr>
      <w:r w:rsidRPr="00006B72">
        <w:rPr>
          <w:rFonts w:ascii="Lato" w:hAnsi="Lato"/>
        </w:rPr>
        <w:t>zwiększenie stopnia bezpieczeństwa dostaw</w:t>
      </w:r>
      <w:r w:rsidR="006E461F">
        <w:rPr>
          <w:rFonts w:ascii="Lato" w:hAnsi="Lato"/>
        </w:rPr>
        <w:t xml:space="preserve"> gazu ziemnego</w:t>
      </w:r>
      <w:r w:rsidR="00FA3B37" w:rsidRPr="00C758B1">
        <w:rPr>
          <w:rFonts w:ascii="Lato" w:hAnsi="Lato"/>
        </w:rPr>
        <w:t>;</w:t>
      </w:r>
    </w:p>
    <w:p w14:paraId="23907722" w14:textId="48ABF365" w:rsidR="00B03DBA" w:rsidRPr="00006B72" w:rsidRDefault="00C7771E" w:rsidP="00006B72">
      <w:pPr>
        <w:pStyle w:val="TekstWypunktowany"/>
        <w:rPr>
          <w:rFonts w:ascii="Lato" w:hAnsi="Lato"/>
        </w:rPr>
      </w:pPr>
      <w:r w:rsidRPr="00006B72">
        <w:rPr>
          <w:rFonts w:ascii="Lato" w:hAnsi="Lato"/>
        </w:rPr>
        <w:t xml:space="preserve">umożliwienie dostępu do nowych źródeł dostaw </w:t>
      </w:r>
      <w:r w:rsidR="006E461F">
        <w:rPr>
          <w:rFonts w:ascii="Lato" w:hAnsi="Lato"/>
        </w:rPr>
        <w:t xml:space="preserve">gazu ziemnego </w:t>
      </w:r>
      <w:r w:rsidRPr="00006B72">
        <w:rPr>
          <w:rFonts w:ascii="Lato" w:hAnsi="Lato"/>
        </w:rPr>
        <w:t xml:space="preserve">dla państw Europy </w:t>
      </w:r>
      <w:r w:rsidR="00692C40">
        <w:rPr>
          <w:rFonts w:ascii="Lato" w:hAnsi="Lato"/>
        </w:rPr>
        <w:t>Środkowej i Wschodniej</w:t>
      </w:r>
      <w:r w:rsidR="00FA3B37" w:rsidRPr="00C758B1">
        <w:rPr>
          <w:rFonts w:ascii="Lato" w:hAnsi="Lato"/>
        </w:rPr>
        <w:t>;</w:t>
      </w:r>
    </w:p>
    <w:p w14:paraId="1B0A4591" w14:textId="07EFB414" w:rsidR="00FA3B37" w:rsidRPr="007C4730" w:rsidRDefault="00C7771E" w:rsidP="007C4730">
      <w:pPr>
        <w:pStyle w:val="TekstWypunktowany"/>
        <w:rPr>
          <w:rFonts w:ascii="Lato" w:hAnsi="Lato"/>
        </w:rPr>
      </w:pPr>
      <w:r w:rsidRPr="00C758B1">
        <w:rPr>
          <w:rFonts w:ascii="Lato" w:hAnsi="Lato"/>
        </w:rPr>
        <w:t>stworzenie nowe</w:t>
      </w:r>
      <w:r w:rsidR="007C4730">
        <w:rPr>
          <w:rFonts w:ascii="Lato" w:hAnsi="Lato"/>
        </w:rPr>
        <w:t xml:space="preserve">go kierunku dostaw </w:t>
      </w:r>
      <w:r w:rsidRPr="00C758B1">
        <w:rPr>
          <w:rFonts w:ascii="Lato" w:hAnsi="Lato"/>
        </w:rPr>
        <w:t>gazu</w:t>
      </w:r>
      <w:r w:rsidR="007C4730">
        <w:rPr>
          <w:rFonts w:ascii="Lato" w:hAnsi="Lato"/>
        </w:rPr>
        <w:t xml:space="preserve"> ziemnego</w:t>
      </w:r>
      <w:r w:rsidRPr="00C758B1">
        <w:rPr>
          <w:rFonts w:ascii="Lato" w:hAnsi="Lato"/>
        </w:rPr>
        <w:t xml:space="preserve"> w Europie i efektywne wykorzystanie wewnętrznych gazociągów przesyłowych w poszczególnych krajach.</w:t>
      </w:r>
      <w:bookmarkStart w:id="301" w:name="_Toc12953924"/>
    </w:p>
    <w:p w14:paraId="14C24B6D" w14:textId="77777777" w:rsidR="00FB1BA4" w:rsidRDefault="00FB1BA4">
      <w:pPr>
        <w:spacing w:line="259" w:lineRule="auto"/>
        <w:jc w:val="left"/>
        <w:rPr>
          <w:rFonts w:ascii="Lato" w:eastAsiaTheme="majorEastAsia" w:hAnsi="Lato" w:cstheme="majorBidi"/>
          <w:b/>
          <w:sz w:val="28"/>
          <w:szCs w:val="28"/>
        </w:rPr>
      </w:pPr>
      <w:bookmarkStart w:id="302" w:name="_Toc19782959"/>
      <w:r>
        <w:rPr>
          <w:rFonts w:ascii="Lato" w:hAnsi="Lato"/>
          <w:sz w:val="28"/>
          <w:szCs w:val="28"/>
        </w:rPr>
        <w:br w:type="page"/>
      </w:r>
    </w:p>
    <w:p w14:paraId="40DDB816" w14:textId="48F9085A" w:rsidR="00B03DBA" w:rsidRPr="00006B72" w:rsidRDefault="00C7771E" w:rsidP="00006B72">
      <w:pPr>
        <w:pStyle w:val="Rozdzia1"/>
        <w:rPr>
          <w:rFonts w:ascii="Lato" w:hAnsi="Lato"/>
          <w:sz w:val="28"/>
          <w:szCs w:val="28"/>
        </w:rPr>
      </w:pPr>
      <w:bookmarkStart w:id="303" w:name="_Toc142469582"/>
      <w:r w:rsidRPr="00006B72">
        <w:rPr>
          <w:rFonts w:ascii="Lato" w:hAnsi="Lato"/>
          <w:sz w:val="28"/>
          <w:szCs w:val="28"/>
        </w:rPr>
        <w:lastRenderedPageBreak/>
        <w:t>Obowiązki świadczenia usług użyteczności publicznej związane z bezpieczeństwem dostaw</w:t>
      </w:r>
      <w:bookmarkEnd w:id="301"/>
      <w:bookmarkEnd w:id="302"/>
      <w:bookmarkEnd w:id="303"/>
    </w:p>
    <w:p w14:paraId="14EBEA0E" w14:textId="2A17E7EB" w:rsidR="00B03DBA" w:rsidRPr="00006B72" w:rsidRDefault="00C7771E" w:rsidP="00006B72">
      <w:pPr>
        <w:pStyle w:val="Tekstzwyky"/>
        <w:rPr>
          <w:rFonts w:ascii="Lato" w:hAnsi="Lato"/>
        </w:rPr>
      </w:pPr>
      <w:r w:rsidRPr="00C758B1">
        <w:rPr>
          <w:rFonts w:ascii="Lato" w:hAnsi="Lato"/>
        </w:rPr>
        <w:tab/>
        <w:t xml:space="preserve">Obowiązki użyteczności publicznej związane z bezpieczeństwem dostaw gazu ziemnego </w:t>
      </w:r>
      <w:r w:rsidR="00373405">
        <w:rPr>
          <w:rFonts w:ascii="Lato" w:hAnsi="Lato"/>
        </w:rPr>
        <w:t>uregulowano</w:t>
      </w:r>
      <w:r w:rsidRPr="00C758B1">
        <w:rPr>
          <w:rFonts w:ascii="Lato" w:hAnsi="Lato"/>
        </w:rPr>
        <w:t xml:space="preserve"> w dwóch aktach prawnych: ustawie </w:t>
      </w:r>
      <w:r w:rsidR="00692C40">
        <w:rPr>
          <w:rFonts w:ascii="Lato" w:hAnsi="Lato"/>
        </w:rPr>
        <w:t>–</w:t>
      </w:r>
      <w:r w:rsidRPr="00006B72">
        <w:rPr>
          <w:rFonts w:ascii="Lato" w:hAnsi="Lato"/>
        </w:rPr>
        <w:t xml:space="preserve"> Prawo energetyczne oraz </w:t>
      </w:r>
      <w:r w:rsidR="00631250">
        <w:rPr>
          <w:rFonts w:ascii="Lato" w:hAnsi="Lato"/>
        </w:rPr>
        <w:t xml:space="preserve">w </w:t>
      </w:r>
      <w:r w:rsidRPr="00006B72">
        <w:rPr>
          <w:rFonts w:ascii="Lato" w:hAnsi="Lato"/>
        </w:rPr>
        <w:t xml:space="preserve">ustawie o zapasach. </w:t>
      </w:r>
    </w:p>
    <w:p w14:paraId="397EC832" w14:textId="77777777" w:rsidR="00B03DBA" w:rsidRPr="00C758B1" w:rsidRDefault="00C7771E" w:rsidP="00006B72">
      <w:pPr>
        <w:pStyle w:val="Rozdzia2"/>
        <w:rPr>
          <w:rFonts w:ascii="Lato" w:hAnsi="Lato"/>
        </w:rPr>
      </w:pPr>
      <w:bookmarkStart w:id="304" w:name="_Toc12953925"/>
      <w:bookmarkStart w:id="305" w:name="_Toc19782960"/>
      <w:bookmarkStart w:id="306" w:name="_Toc142469583"/>
      <w:r w:rsidRPr="00C758B1">
        <w:rPr>
          <w:rFonts w:ascii="Lato" w:hAnsi="Lato"/>
        </w:rPr>
        <w:t>Ustawa – Prawo energetyczne</w:t>
      </w:r>
      <w:bookmarkEnd w:id="304"/>
      <w:bookmarkEnd w:id="305"/>
      <w:bookmarkEnd w:id="306"/>
      <w:r w:rsidRPr="00C758B1">
        <w:rPr>
          <w:rFonts w:ascii="Lato" w:hAnsi="Lato"/>
        </w:rPr>
        <w:t xml:space="preserve"> </w:t>
      </w:r>
    </w:p>
    <w:p w14:paraId="4FD2E6FA" w14:textId="29007A24" w:rsidR="00B03DBA" w:rsidRPr="00C758B1" w:rsidRDefault="00F069F0" w:rsidP="00F069F0">
      <w:pPr>
        <w:pStyle w:val="Tekstzwyky"/>
        <w:rPr>
          <w:rFonts w:ascii="Lato" w:hAnsi="Lato"/>
        </w:rPr>
      </w:pPr>
      <w:r>
        <w:rPr>
          <w:rFonts w:ascii="Lato" w:hAnsi="Lato"/>
        </w:rPr>
        <w:tab/>
      </w:r>
      <w:r w:rsidR="00C7771E" w:rsidRPr="00C758B1">
        <w:rPr>
          <w:rFonts w:ascii="Lato" w:hAnsi="Lato"/>
        </w:rPr>
        <w:t>Zgodnie z art. 9c ust. 1 pkt 1</w:t>
      </w:r>
      <w:r w:rsidR="00373405">
        <w:rPr>
          <w:rFonts w:ascii="Lato" w:hAnsi="Lato"/>
        </w:rPr>
        <w:t xml:space="preserve"> i </w:t>
      </w:r>
      <w:r w:rsidR="00C7771E" w:rsidRPr="00C758B1">
        <w:rPr>
          <w:rFonts w:ascii="Lato" w:hAnsi="Lato"/>
        </w:rPr>
        <w:t xml:space="preserve">3 ustawy </w:t>
      </w:r>
      <w:r w:rsidR="00631250">
        <w:rPr>
          <w:rFonts w:ascii="Lato" w:hAnsi="Lato"/>
        </w:rPr>
        <w:t xml:space="preserve">- </w:t>
      </w:r>
      <w:r w:rsidR="00C7771E" w:rsidRPr="00006B72">
        <w:rPr>
          <w:rFonts w:ascii="Lato" w:hAnsi="Lato"/>
          <w:iCs/>
        </w:rPr>
        <w:t>Prawo energetyczne</w:t>
      </w:r>
      <w:r w:rsidR="00C7771E" w:rsidRPr="00C758B1">
        <w:rPr>
          <w:rFonts w:ascii="Lato" w:hAnsi="Lato"/>
          <w:i/>
        </w:rPr>
        <w:t xml:space="preserve"> </w:t>
      </w:r>
      <w:r w:rsidR="00C7771E" w:rsidRPr="00C758B1">
        <w:rPr>
          <w:rFonts w:ascii="Lato" w:hAnsi="Lato"/>
        </w:rPr>
        <w:t xml:space="preserve">operator systemu przesyłowego, </w:t>
      </w:r>
      <w:r w:rsidR="00C7771E" w:rsidRPr="00C758B1">
        <w:rPr>
          <w:rFonts w:ascii="Lato" w:hAnsi="Lato"/>
          <w:sz w:val="23"/>
          <w:szCs w:val="23"/>
        </w:rPr>
        <w:t xml:space="preserve">dystrybucyjnego lub operator systemu połączonego gazowego, </w:t>
      </w:r>
      <w:r w:rsidR="00C7771E" w:rsidRPr="00C758B1">
        <w:rPr>
          <w:rFonts w:ascii="Lato" w:hAnsi="Lato"/>
        </w:rPr>
        <w:t xml:space="preserve">odpowiada za bezpieczeństwo dostarczania paliw gazowych. W tym celu </w:t>
      </w:r>
      <w:r w:rsidR="00006B72">
        <w:rPr>
          <w:rFonts w:ascii="Lato" w:hAnsi="Lato"/>
        </w:rPr>
        <w:t>jest z</w:t>
      </w:r>
      <w:r w:rsidR="00C7771E" w:rsidRPr="00C758B1">
        <w:rPr>
          <w:rFonts w:ascii="Lato" w:hAnsi="Lato"/>
        </w:rPr>
        <w:t xml:space="preserve">obowiązany </w:t>
      </w:r>
      <w:r w:rsidR="00006B72">
        <w:rPr>
          <w:rFonts w:ascii="Lato" w:hAnsi="Lato"/>
        </w:rPr>
        <w:t>do:</w:t>
      </w:r>
      <w:r w:rsidR="00C7771E" w:rsidRPr="00C758B1">
        <w:rPr>
          <w:rFonts w:ascii="Lato" w:hAnsi="Lato"/>
        </w:rPr>
        <w:t xml:space="preserve"> zapewni</w:t>
      </w:r>
      <w:r w:rsidR="00006B72">
        <w:rPr>
          <w:rFonts w:ascii="Lato" w:hAnsi="Lato"/>
        </w:rPr>
        <w:t>enia</w:t>
      </w:r>
      <w:r w:rsidR="00C7771E" w:rsidRPr="00C758B1">
        <w:rPr>
          <w:rFonts w:ascii="Lato" w:hAnsi="Lato"/>
        </w:rPr>
        <w:t xml:space="preserve"> bezpieczeństw</w:t>
      </w:r>
      <w:r w:rsidR="00006B72">
        <w:rPr>
          <w:rFonts w:ascii="Lato" w:hAnsi="Lato"/>
        </w:rPr>
        <w:t>a</w:t>
      </w:r>
      <w:r w:rsidR="00C7771E" w:rsidRPr="00C758B1">
        <w:rPr>
          <w:rFonts w:ascii="Lato" w:hAnsi="Lato"/>
        </w:rPr>
        <w:t xml:space="preserve"> funkcjonowania systemu gazowego oraz ciągłoś</w:t>
      </w:r>
      <w:r w:rsidR="00006B72">
        <w:rPr>
          <w:rFonts w:ascii="Lato" w:hAnsi="Lato"/>
        </w:rPr>
        <w:t>ci</w:t>
      </w:r>
      <w:r w:rsidR="00C7771E" w:rsidRPr="00C758B1">
        <w:rPr>
          <w:rFonts w:ascii="Lato" w:hAnsi="Lato"/>
        </w:rPr>
        <w:t xml:space="preserve"> i niezawodnoś</w:t>
      </w:r>
      <w:r w:rsidR="00006B72">
        <w:rPr>
          <w:rFonts w:ascii="Lato" w:hAnsi="Lato"/>
        </w:rPr>
        <w:t>ci</w:t>
      </w:r>
      <w:r w:rsidR="00C7771E" w:rsidRPr="00C758B1">
        <w:rPr>
          <w:rFonts w:ascii="Lato" w:hAnsi="Lato"/>
        </w:rPr>
        <w:t xml:space="preserve"> realizacji zaopatrzenia w paliwa gazowe, przy zachowaniu wymagań jakościowych podczas eksploatacji, konserwacji i remontów sieci, instalacji i urządzeń, wraz z połączeniami z innymi systemami gazowym oraz zapewni</w:t>
      </w:r>
      <w:r w:rsidR="00006B72">
        <w:rPr>
          <w:rFonts w:ascii="Lato" w:hAnsi="Lato"/>
        </w:rPr>
        <w:t>enia</w:t>
      </w:r>
      <w:r w:rsidR="00C7771E" w:rsidRPr="00C758B1">
        <w:rPr>
          <w:rFonts w:ascii="Lato" w:hAnsi="Lato"/>
        </w:rPr>
        <w:t xml:space="preserve"> realizacj</w:t>
      </w:r>
      <w:r w:rsidR="00006B72">
        <w:rPr>
          <w:rFonts w:ascii="Lato" w:hAnsi="Lato"/>
        </w:rPr>
        <w:t>i</w:t>
      </w:r>
      <w:r w:rsidR="00C7771E" w:rsidRPr="00C758B1">
        <w:rPr>
          <w:rFonts w:ascii="Lato" w:hAnsi="Lato"/>
        </w:rPr>
        <w:t xml:space="preserve"> umów z użytkownikami tego systemu. </w:t>
      </w:r>
    </w:p>
    <w:p w14:paraId="68F3E33A" w14:textId="3D1DE006" w:rsidR="00B03DBA" w:rsidRPr="00C758B1" w:rsidRDefault="00C7771E" w:rsidP="00006B72">
      <w:pPr>
        <w:pStyle w:val="Tekstzwyky"/>
        <w:rPr>
          <w:rFonts w:ascii="Lato" w:hAnsi="Lato"/>
        </w:rPr>
      </w:pPr>
      <w:r w:rsidRPr="00C758B1">
        <w:rPr>
          <w:rFonts w:ascii="Lato" w:hAnsi="Lato"/>
        </w:rPr>
        <w:tab/>
        <w:t>Przep</w:t>
      </w:r>
      <w:r w:rsidR="00692C40">
        <w:rPr>
          <w:rFonts w:ascii="Lato" w:hAnsi="Lato"/>
        </w:rPr>
        <w:t xml:space="preserve">is </w:t>
      </w:r>
      <w:r w:rsidRPr="00C758B1">
        <w:rPr>
          <w:rFonts w:ascii="Lato" w:hAnsi="Lato"/>
        </w:rPr>
        <w:t>art. 4 ust. 1 tej ustawy nakłada na p</w:t>
      </w:r>
      <w:r w:rsidRPr="004A3020">
        <w:rPr>
          <w:rFonts w:ascii="Lato" w:hAnsi="Lato"/>
        </w:rPr>
        <w:t>rzedsiębiorstwo energetyczne zajmujące się przesyłaniem lub dystrybucją paliw gazowych</w:t>
      </w:r>
      <w:r w:rsidR="00692C40" w:rsidRPr="004A3020">
        <w:rPr>
          <w:rFonts w:ascii="Lato" w:hAnsi="Lato"/>
        </w:rPr>
        <w:t>, magazynowaniem paliw gazowych, w tym skroplonego gazu ziemnego, skraplaniem gazu ziemnego lub regazyfikacją skroplonego gazu ziemnego,</w:t>
      </w:r>
      <w:r w:rsidRPr="004A3020">
        <w:rPr>
          <w:rFonts w:ascii="Lato" w:hAnsi="Lato"/>
        </w:rPr>
        <w:t xml:space="preserve"> </w:t>
      </w:r>
      <w:r w:rsidRPr="00C758B1">
        <w:rPr>
          <w:rFonts w:ascii="Lato" w:hAnsi="Lato"/>
        </w:rPr>
        <w:t>obowiązek utrzymywania zdolności urządzeń, instalacji i sieci do realizacji zaopatrzenia w paliwa gazowe w sposób ciągły i niezawodny, przy zachowaniu obowiązujących wymagań jakościowych.</w:t>
      </w:r>
    </w:p>
    <w:p w14:paraId="6F61232D" w14:textId="1A025AB8" w:rsidR="00B03DBA" w:rsidRPr="00C758B1" w:rsidRDefault="00C7771E" w:rsidP="00006B72">
      <w:pPr>
        <w:pStyle w:val="Tekstzwyky"/>
        <w:rPr>
          <w:rFonts w:ascii="Lato" w:hAnsi="Lato"/>
        </w:rPr>
      </w:pPr>
      <w:r w:rsidRPr="00C758B1">
        <w:rPr>
          <w:rFonts w:ascii="Lato" w:hAnsi="Lato"/>
        </w:rPr>
        <w:tab/>
        <w:t>Bezpieczeństwo dostarczania paliw gazowych jest również zapewnione przez sposób, w jaki przedsiębiorstwa energetyczne</w:t>
      </w:r>
      <w:r w:rsidRPr="004A3020">
        <w:rPr>
          <w:rFonts w:ascii="Lato" w:hAnsi="Lato"/>
        </w:rPr>
        <w:t xml:space="preserve"> zajmujące się przesyłaniem lub dystrybucją paliw gazowych </w:t>
      </w:r>
      <w:r w:rsidRPr="00C758B1">
        <w:rPr>
          <w:rFonts w:ascii="Lato" w:hAnsi="Lato"/>
        </w:rPr>
        <w:t xml:space="preserve">planują rozwój swoich systemów. Opracowywany przez te przedsiębiorstwa zgodnie z przepisem art. 16 ustawy – </w:t>
      </w:r>
      <w:r w:rsidRPr="00006B72">
        <w:rPr>
          <w:rFonts w:ascii="Lato" w:hAnsi="Lato"/>
          <w:iCs/>
        </w:rPr>
        <w:t>Prawo energetyczne</w:t>
      </w:r>
      <w:r w:rsidRPr="00C758B1">
        <w:rPr>
          <w:rFonts w:ascii="Lato" w:hAnsi="Lato"/>
          <w:i/>
        </w:rPr>
        <w:t xml:space="preserve"> </w:t>
      </w:r>
      <w:r w:rsidRPr="00C758B1">
        <w:rPr>
          <w:rFonts w:ascii="Lato" w:hAnsi="Lato"/>
        </w:rPr>
        <w:t xml:space="preserve">plan rozwoju w zakresie zaspokojenia obecnego i przyszłego zapotrzebowania na paliwa gazowe </w:t>
      </w:r>
      <w:r w:rsidRPr="004A3020">
        <w:rPr>
          <w:rFonts w:ascii="Lato" w:hAnsi="Lato"/>
        </w:rPr>
        <w:t xml:space="preserve">dla obszaru swojego działania, </w:t>
      </w:r>
      <w:r w:rsidR="00373405" w:rsidRPr="004A3020">
        <w:rPr>
          <w:rFonts w:ascii="Lato" w:hAnsi="Lato"/>
        </w:rPr>
        <w:t xml:space="preserve">który </w:t>
      </w:r>
      <w:r w:rsidRPr="00C758B1">
        <w:rPr>
          <w:rFonts w:ascii="Lato" w:hAnsi="Lato"/>
        </w:rPr>
        <w:t>w szczególności</w:t>
      </w:r>
      <w:r w:rsidR="00373405" w:rsidRPr="00373405">
        <w:rPr>
          <w:rFonts w:ascii="Lato" w:hAnsi="Lato"/>
        </w:rPr>
        <w:t xml:space="preserve"> </w:t>
      </w:r>
      <w:r w:rsidR="00373405" w:rsidRPr="00C758B1">
        <w:rPr>
          <w:rFonts w:ascii="Lato" w:hAnsi="Lato"/>
        </w:rPr>
        <w:t>obejmuje</w:t>
      </w:r>
      <w:r w:rsidRPr="00C758B1">
        <w:rPr>
          <w:rFonts w:ascii="Lato" w:hAnsi="Lato"/>
        </w:rPr>
        <w:t>:</w:t>
      </w:r>
    </w:p>
    <w:p w14:paraId="7C8F5FE4" w14:textId="7D54BDC7" w:rsidR="00B03DBA" w:rsidRPr="00006B72" w:rsidRDefault="00C7771E" w:rsidP="00006B72">
      <w:pPr>
        <w:pStyle w:val="TekstWypunktowany"/>
        <w:rPr>
          <w:rFonts w:ascii="Lato" w:hAnsi="Lato"/>
        </w:rPr>
      </w:pPr>
      <w:r w:rsidRPr="00006B72">
        <w:rPr>
          <w:rFonts w:ascii="Lato" w:hAnsi="Lato"/>
        </w:rPr>
        <w:t>przewidywany zakres dostarczania paliw gazowych</w:t>
      </w:r>
      <w:r w:rsidR="00ED53AC" w:rsidRPr="00C758B1">
        <w:rPr>
          <w:rFonts w:ascii="Lato" w:hAnsi="Lato"/>
        </w:rPr>
        <w:t>;</w:t>
      </w:r>
    </w:p>
    <w:p w14:paraId="235EB96C" w14:textId="37016B50" w:rsidR="00B03DBA" w:rsidRPr="00006B72" w:rsidRDefault="00C7771E" w:rsidP="00006B72">
      <w:pPr>
        <w:pStyle w:val="TekstWypunktowany"/>
        <w:rPr>
          <w:rFonts w:ascii="Lato" w:hAnsi="Lato"/>
        </w:rPr>
      </w:pPr>
      <w:r w:rsidRPr="00006B72">
        <w:rPr>
          <w:rFonts w:ascii="Lato" w:hAnsi="Lato"/>
        </w:rPr>
        <w:t>przedsięwzięcia w zakresie modernizacji, rozbudowy albo budowy sieci oraz planowanych nowych źródeł paliw gazowych</w:t>
      </w:r>
      <w:r w:rsidR="00ED53AC" w:rsidRPr="00C758B1">
        <w:rPr>
          <w:rFonts w:ascii="Lato" w:hAnsi="Lato"/>
        </w:rPr>
        <w:t>;</w:t>
      </w:r>
    </w:p>
    <w:p w14:paraId="03FC2700" w14:textId="635C1C2B" w:rsidR="00B03DBA" w:rsidRPr="00006B72" w:rsidRDefault="00C7771E" w:rsidP="00006B72">
      <w:pPr>
        <w:pStyle w:val="TekstWypunktowany"/>
        <w:rPr>
          <w:rFonts w:ascii="Lato" w:hAnsi="Lato"/>
        </w:rPr>
      </w:pPr>
      <w:r w:rsidRPr="00006B72">
        <w:rPr>
          <w:rFonts w:ascii="Lato" w:hAnsi="Lato"/>
        </w:rPr>
        <w:t>przedsięwzięcia w zakresie modernizacji, rozbudowy lub budowy połączeń z systemami gazowymi innych państw</w:t>
      </w:r>
      <w:r w:rsidR="00ED53AC" w:rsidRPr="00C758B1">
        <w:rPr>
          <w:rFonts w:ascii="Lato" w:hAnsi="Lato"/>
        </w:rPr>
        <w:t>.</w:t>
      </w:r>
    </w:p>
    <w:p w14:paraId="7B70D867" w14:textId="205B6EE1" w:rsidR="00B03DBA" w:rsidRPr="004A3020" w:rsidRDefault="00C7771E" w:rsidP="00006B72">
      <w:pPr>
        <w:pStyle w:val="Tekstzwyky"/>
        <w:rPr>
          <w:rFonts w:ascii="Lato" w:hAnsi="Lato"/>
        </w:rPr>
      </w:pPr>
      <w:r w:rsidRPr="00C758B1">
        <w:rPr>
          <w:rFonts w:ascii="Lato" w:hAnsi="Lato"/>
        </w:rPr>
        <w:tab/>
        <w:t xml:space="preserve">Plan operatora systemu przesyłowego gazowego sporządzany jest na 10 lat, a operatora systemu dystrybucyjnego gazowego na 5 lat. </w:t>
      </w:r>
      <w:r w:rsidRPr="004A3020">
        <w:rPr>
          <w:rFonts w:ascii="Lato" w:hAnsi="Lato"/>
        </w:rPr>
        <w:t>W planach uwzględnia się</w:t>
      </w:r>
      <w:r w:rsidR="00373405" w:rsidRPr="004A3020">
        <w:rPr>
          <w:rFonts w:ascii="Lato" w:hAnsi="Lato"/>
        </w:rPr>
        <w:t xml:space="preserve"> </w:t>
      </w:r>
      <w:r w:rsidRPr="004A3020">
        <w:rPr>
          <w:rFonts w:ascii="Lato" w:hAnsi="Lato"/>
        </w:rPr>
        <w:t xml:space="preserve">zapotrzebowanie na nowe zdolności w systemie przesyłowym lub dystrybucyjnym zgłoszone przez podmioty przyłączone do sieci lub podmioty ubiegające się o przyłączenie do sieci. </w:t>
      </w:r>
      <w:r w:rsidRPr="00C758B1">
        <w:rPr>
          <w:rFonts w:ascii="Lato" w:hAnsi="Lato"/>
        </w:rPr>
        <w:t xml:space="preserve">Plany sporządzane są w ścisłej współpracy </w:t>
      </w:r>
      <w:r w:rsidR="00373405">
        <w:rPr>
          <w:rFonts w:ascii="Lato" w:hAnsi="Lato"/>
        </w:rPr>
        <w:t xml:space="preserve">z </w:t>
      </w:r>
      <w:r w:rsidRPr="00C758B1">
        <w:rPr>
          <w:rFonts w:ascii="Lato" w:hAnsi="Lato"/>
        </w:rPr>
        <w:t>zainteresowany</w:t>
      </w:r>
      <w:r w:rsidR="00373405">
        <w:rPr>
          <w:rFonts w:ascii="Lato" w:hAnsi="Lato"/>
        </w:rPr>
        <w:t>mi</w:t>
      </w:r>
      <w:r w:rsidRPr="00C758B1">
        <w:rPr>
          <w:rFonts w:ascii="Lato" w:hAnsi="Lato"/>
        </w:rPr>
        <w:t xml:space="preserve"> podmiot</w:t>
      </w:r>
      <w:r w:rsidR="00373405">
        <w:rPr>
          <w:rFonts w:ascii="Lato" w:hAnsi="Lato"/>
        </w:rPr>
        <w:t>ami, tj. z</w:t>
      </w:r>
      <w:r w:rsidRPr="00C758B1">
        <w:rPr>
          <w:rFonts w:ascii="Lato" w:hAnsi="Lato"/>
        </w:rPr>
        <w:t xml:space="preserve"> podmiotami przyłączonymi do sieci, gminami oraz w przypadku planu przedsiębiorstw energetycznych zajmujących się przesyłaniem paliw gazowych samorządem województwa, na obszarze którego planowana jest realizacja przedsięwzięcia inwestycyjnego.</w:t>
      </w:r>
    </w:p>
    <w:p w14:paraId="332AEA78" w14:textId="195AA1AF" w:rsidR="00B03DBA" w:rsidRPr="00C758B1" w:rsidRDefault="00C7771E" w:rsidP="00006B72">
      <w:pPr>
        <w:pStyle w:val="Tekstzwyky"/>
        <w:rPr>
          <w:rFonts w:ascii="Lato" w:hAnsi="Lato"/>
        </w:rPr>
      </w:pPr>
      <w:r w:rsidRPr="00C758B1">
        <w:rPr>
          <w:rFonts w:ascii="Lato" w:hAnsi="Lato"/>
        </w:rPr>
        <w:lastRenderedPageBreak/>
        <w:tab/>
        <w:t xml:space="preserve">Na podstawie art. 32 ust. 3 ustawy - </w:t>
      </w:r>
      <w:r w:rsidRPr="0066096C">
        <w:rPr>
          <w:rFonts w:ascii="Lato" w:hAnsi="Lato"/>
          <w:iCs/>
        </w:rPr>
        <w:t>Prawo energetyczne</w:t>
      </w:r>
      <w:r w:rsidRPr="00C758B1">
        <w:rPr>
          <w:rFonts w:ascii="Lato" w:hAnsi="Lato"/>
          <w:i/>
        </w:rPr>
        <w:t xml:space="preserve"> </w:t>
      </w:r>
      <w:r w:rsidRPr="00C758B1">
        <w:rPr>
          <w:rFonts w:ascii="Lato" w:hAnsi="Lato"/>
        </w:rPr>
        <w:t xml:space="preserve">wydane zostało rozporządzenie Rady Ministrów </w:t>
      </w:r>
      <w:r w:rsidR="00DE0CA2">
        <w:rPr>
          <w:rFonts w:ascii="Lato" w:hAnsi="Lato"/>
        </w:rPr>
        <w:t xml:space="preserve">z dnia 24 kwietnia 2017 r. </w:t>
      </w:r>
      <w:r w:rsidRPr="00C758B1">
        <w:rPr>
          <w:rFonts w:ascii="Lato" w:hAnsi="Lato"/>
          <w:i/>
        </w:rPr>
        <w:t>w sprawie minimalnego poziomu dywersyfikacji dostaw gazu</w:t>
      </w:r>
      <w:r w:rsidR="00DE0CA2">
        <w:rPr>
          <w:rFonts w:ascii="Lato" w:hAnsi="Lato"/>
          <w:iCs/>
        </w:rPr>
        <w:t xml:space="preserve"> (Dz. U. z 2017 r. poz. 902)</w:t>
      </w:r>
      <w:r w:rsidRPr="00C758B1">
        <w:rPr>
          <w:rFonts w:ascii="Lato" w:hAnsi="Lato"/>
        </w:rPr>
        <w:t>, w którym określon</w:t>
      </w:r>
      <w:r w:rsidR="0066096C">
        <w:rPr>
          <w:rFonts w:ascii="Lato" w:hAnsi="Lato"/>
        </w:rPr>
        <w:t>o</w:t>
      </w:r>
      <w:r w:rsidRPr="00C758B1">
        <w:rPr>
          <w:rFonts w:ascii="Lato" w:hAnsi="Lato"/>
        </w:rPr>
        <w:t xml:space="preserve"> maksymalny udział gazu </w:t>
      </w:r>
      <w:r w:rsidR="0066096C">
        <w:rPr>
          <w:rFonts w:ascii="Lato" w:hAnsi="Lato"/>
        </w:rPr>
        <w:t xml:space="preserve">ziemnego </w:t>
      </w:r>
      <w:r w:rsidRPr="00C758B1">
        <w:rPr>
          <w:rFonts w:ascii="Lato" w:hAnsi="Lato"/>
        </w:rPr>
        <w:t xml:space="preserve">importowanego z jednego </w:t>
      </w:r>
      <w:r w:rsidR="00615E21">
        <w:rPr>
          <w:rFonts w:ascii="Lato" w:hAnsi="Lato"/>
        </w:rPr>
        <w:t>źródła</w:t>
      </w:r>
      <w:r w:rsidRPr="00C758B1">
        <w:rPr>
          <w:rFonts w:ascii="Lato" w:hAnsi="Lato"/>
        </w:rPr>
        <w:t xml:space="preserve">, w stosunku do całkowitej wielkości gazu importowanego w danym roku. </w:t>
      </w:r>
    </w:p>
    <w:p w14:paraId="1071CB99" w14:textId="006207F7" w:rsidR="00B03DBA" w:rsidRPr="00C758B1" w:rsidRDefault="00C7771E" w:rsidP="00006B72">
      <w:pPr>
        <w:pStyle w:val="Tekstzwyky"/>
        <w:rPr>
          <w:rFonts w:ascii="Lato" w:hAnsi="Lato"/>
        </w:rPr>
      </w:pPr>
      <w:r w:rsidRPr="00C758B1">
        <w:rPr>
          <w:rFonts w:ascii="Lato" w:hAnsi="Lato"/>
        </w:rPr>
        <w:tab/>
      </w:r>
      <w:r w:rsidR="0066096C">
        <w:rPr>
          <w:rFonts w:ascii="Lato" w:hAnsi="Lato"/>
        </w:rPr>
        <w:t xml:space="preserve">Zobowiązanie </w:t>
      </w:r>
      <w:r w:rsidRPr="00C758B1">
        <w:rPr>
          <w:rFonts w:ascii="Lato" w:hAnsi="Lato"/>
        </w:rPr>
        <w:t xml:space="preserve">do świadczenia usługi publicznej w zakresie bezpieczeństwa dostaw gazu ziemnego </w:t>
      </w:r>
      <w:r w:rsidR="0066096C">
        <w:rPr>
          <w:rFonts w:ascii="Lato" w:hAnsi="Lato"/>
        </w:rPr>
        <w:t xml:space="preserve">określa </w:t>
      </w:r>
      <w:r w:rsidRPr="00C758B1">
        <w:rPr>
          <w:rFonts w:ascii="Lato" w:hAnsi="Lato"/>
        </w:rPr>
        <w:t>również art. 40 ust. 1 ww.</w:t>
      </w:r>
      <w:r w:rsidR="0066096C">
        <w:rPr>
          <w:rFonts w:ascii="Lato" w:hAnsi="Lato"/>
        </w:rPr>
        <w:t xml:space="preserve"> ustawy</w:t>
      </w:r>
      <w:r w:rsidRPr="00C758B1">
        <w:rPr>
          <w:rFonts w:ascii="Lato" w:hAnsi="Lato"/>
        </w:rPr>
        <w:t xml:space="preserve">, zgodnie z którym: </w:t>
      </w:r>
      <w:r w:rsidRPr="00C758B1">
        <w:rPr>
          <w:rFonts w:ascii="Lato" w:hAnsi="Lato"/>
          <w:i/>
        </w:rPr>
        <w:t>Prezes URE może nakazać przedsiębiorstwu energetycznemu, pomimo wygaśnięcia koncesji, dalsze prowadzenie działalności objętej koncesją przez okres nie dłuższy niż 2 lata, jeżeli wymaga tego interes społeczny</w:t>
      </w:r>
      <w:r w:rsidRPr="00C758B1">
        <w:rPr>
          <w:rFonts w:ascii="Lato" w:hAnsi="Lato"/>
        </w:rPr>
        <w:t xml:space="preserve">. Wskazać należy, że ewentualne straty ponoszone z tego tytułu przez przedsiębiorstwo pokrywane są przez Skarb Państwa w wysokości ograniczonej do uzasadnionych kosztów działalności określonej w koncesji, przy zachowaniu należytej staranności. </w:t>
      </w:r>
    </w:p>
    <w:p w14:paraId="789C636D" w14:textId="77777777" w:rsidR="00B03DBA" w:rsidRPr="00C758B1" w:rsidRDefault="00C7771E" w:rsidP="00006B72">
      <w:pPr>
        <w:pStyle w:val="Rozdzia2"/>
        <w:rPr>
          <w:rFonts w:ascii="Lato" w:hAnsi="Lato"/>
        </w:rPr>
      </w:pPr>
      <w:bookmarkStart w:id="307" w:name="_Toc12953926"/>
      <w:bookmarkStart w:id="308" w:name="_Toc19782961"/>
      <w:bookmarkStart w:id="309" w:name="_Toc142469584"/>
      <w:r w:rsidRPr="00C758B1">
        <w:rPr>
          <w:rFonts w:ascii="Lato" w:hAnsi="Lato"/>
        </w:rPr>
        <w:t>Ustawa o zapasach</w:t>
      </w:r>
      <w:bookmarkEnd w:id="307"/>
      <w:bookmarkEnd w:id="308"/>
      <w:bookmarkEnd w:id="309"/>
    </w:p>
    <w:p w14:paraId="229F4B4E" w14:textId="6774DE59" w:rsidR="00B03DBA" w:rsidRPr="00C758B1" w:rsidRDefault="00C7771E" w:rsidP="00006B72">
      <w:pPr>
        <w:pStyle w:val="Tekstzwyky"/>
        <w:rPr>
          <w:rFonts w:ascii="Lato" w:hAnsi="Lato"/>
        </w:rPr>
      </w:pPr>
      <w:r w:rsidRPr="00C758B1">
        <w:rPr>
          <w:rFonts w:ascii="Lato" w:hAnsi="Lato"/>
        </w:rPr>
        <w:tab/>
        <w:t xml:space="preserve">W ustawie o zapasach </w:t>
      </w:r>
      <w:r w:rsidR="00597EB5">
        <w:rPr>
          <w:rFonts w:ascii="Lato" w:hAnsi="Lato"/>
        </w:rPr>
        <w:t>określono</w:t>
      </w:r>
      <w:r w:rsidRPr="00C758B1">
        <w:rPr>
          <w:rFonts w:ascii="Lato" w:hAnsi="Lato"/>
        </w:rPr>
        <w:t xml:space="preserve"> obowiązki użyteczności publicznej związane z zapewnieniem bezpieczeństwa dostaw</w:t>
      </w:r>
      <w:r w:rsidR="00597EB5">
        <w:rPr>
          <w:rFonts w:ascii="Lato" w:hAnsi="Lato"/>
        </w:rPr>
        <w:t xml:space="preserve"> gazu ziemnego</w:t>
      </w:r>
      <w:r w:rsidR="0066096C">
        <w:rPr>
          <w:rFonts w:ascii="Lato" w:hAnsi="Lato"/>
        </w:rPr>
        <w:t xml:space="preserve">, przy czym </w:t>
      </w:r>
      <w:r w:rsidRPr="00C758B1">
        <w:rPr>
          <w:rFonts w:ascii="Lato" w:hAnsi="Lato"/>
        </w:rPr>
        <w:t>w przypadku wystąpienia zakłóceń w dostawach lub nieprzewidzianego wzrostu zużycia gazu ziemnego, w</w:t>
      </w:r>
      <w:r w:rsidR="00597EB5">
        <w:rPr>
          <w:rFonts w:ascii="Lato" w:hAnsi="Lato"/>
        </w:rPr>
        <w:t xml:space="preserve"> </w:t>
      </w:r>
      <w:r w:rsidRPr="00C758B1">
        <w:rPr>
          <w:rFonts w:ascii="Lato" w:hAnsi="Lato"/>
        </w:rPr>
        <w:t xml:space="preserve">pierwszej kolejności, przed rozpoczęciem stosowania środków </w:t>
      </w:r>
      <w:r w:rsidR="00615E21">
        <w:rPr>
          <w:rFonts w:ascii="Lato" w:hAnsi="Lato"/>
        </w:rPr>
        <w:t>nierynkowych</w:t>
      </w:r>
      <w:r w:rsidRPr="00C758B1">
        <w:rPr>
          <w:rFonts w:ascii="Lato" w:hAnsi="Lato"/>
        </w:rPr>
        <w:t xml:space="preserve">, przedsiębiorstwa energetyczne są zobowiązane do wykorzystania dostępnych środków o charakterze rynkowym. Środki </w:t>
      </w:r>
      <w:r w:rsidR="00F1036D">
        <w:rPr>
          <w:rFonts w:ascii="Lato" w:hAnsi="Lato"/>
        </w:rPr>
        <w:t>rynkowe</w:t>
      </w:r>
      <w:r w:rsidR="00F1036D" w:rsidRPr="00C758B1">
        <w:rPr>
          <w:rFonts w:ascii="Lato" w:hAnsi="Lato"/>
        </w:rPr>
        <w:t xml:space="preserve"> </w:t>
      </w:r>
      <w:r w:rsidRPr="00C758B1">
        <w:rPr>
          <w:rFonts w:ascii="Lato" w:hAnsi="Lato"/>
        </w:rPr>
        <w:t xml:space="preserve">mogą w szczególności obejmować </w:t>
      </w:r>
      <w:r w:rsidR="00615E21">
        <w:rPr>
          <w:rFonts w:ascii="Lato" w:hAnsi="Lato"/>
        </w:rPr>
        <w:t>zwiększenie</w:t>
      </w:r>
      <w:r w:rsidR="00615E21" w:rsidRPr="00C758B1">
        <w:rPr>
          <w:rFonts w:ascii="Lato" w:hAnsi="Lato"/>
        </w:rPr>
        <w:t xml:space="preserve"> </w:t>
      </w:r>
      <w:r w:rsidRPr="00C758B1">
        <w:rPr>
          <w:rFonts w:ascii="Lato" w:hAnsi="Lato"/>
        </w:rPr>
        <w:t>dostaw gazu ziemnego</w:t>
      </w:r>
      <w:r w:rsidR="00615E21">
        <w:rPr>
          <w:rFonts w:ascii="Lato" w:hAnsi="Lato"/>
        </w:rPr>
        <w:t>,</w:t>
      </w:r>
      <w:r w:rsidRPr="00C758B1">
        <w:rPr>
          <w:rFonts w:ascii="Lato" w:hAnsi="Lato"/>
        </w:rPr>
        <w:t xml:space="preserve"> ograniczenia w poborze </w:t>
      </w:r>
      <w:r w:rsidR="0066096C">
        <w:rPr>
          <w:rFonts w:ascii="Lato" w:hAnsi="Lato"/>
        </w:rPr>
        <w:t xml:space="preserve">gazu ziemnego </w:t>
      </w:r>
      <w:r w:rsidRPr="00C758B1">
        <w:rPr>
          <w:rFonts w:ascii="Lato" w:hAnsi="Lato"/>
        </w:rPr>
        <w:t xml:space="preserve">wynikające z umów z odbiorcami (ograniczenia handlowe) i powinny być określone w procedurach postępowania, które zgodnie z przepisem art. 49 ustawy </w:t>
      </w:r>
      <w:r w:rsidRPr="00006B72">
        <w:rPr>
          <w:rFonts w:ascii="Lato" w:hAnsi="Lato"/>
          <w:iCs/>
        </w:rPr>
        <w:t>o zapasach</w:t>
      </w:r>
      <w:r w:rsidRPr="00C758B1">
        <w:rPr>
          <w:rFonts w:ascii="Lato" w:hAnsi="Lato"/>
          <w:i/>
        </w:rPr>
        <w:t xml:space="preserve"> </w:t>
      </w:r>
      <w:r w:rsidRPr="00C758B1">
        <w:rPr>
          <w:rFonts w:ascii="Lato" w:hAnsi="Lato"/>
        </w:rPr>
        <w:t>przedsiębiorstwo energetyczne wykonujące działalność gospodarczą w zakresie obrot</w:t>
      </w:r>
      <w:r w:rsidR="00615E21">
        <w:rPr>
          <w:rFonts w:ascii="Lato" w:hAnsi="Lato"/>
        </w:rPr>
        <w:t>u</w:t>
      </w:r>
      <w:r w:rsidRPr="00C758B1">
        <w:rPr>
          <w:rFonts w:ascii="Lato" w:hAnsi="Lato"/>
        </w:rPr>
        <w:t xml:space="preserve"> gazem ziemnym z zagranicą, podmiot dokonując</w:t>
      </w:r>
      <w:r w:rsidR="00615E21">
        <w:rPr>
          <w:rFonts w:ascii="Lato" w:hAnsi="Lato"/>
        </w:rPr>
        <w:t>y</w:t>
      </w:r>
      <w:r w:rsidRPr="00C758B1">
        <w:rPr>
          <w:rFonts w:ascii="Lato" w:hAnsi="Lato"/>
        </w:rPr>
        <w:t xml:space="preserve"> przywozu gazu ziemnego oraz podmioty zlecające świadczenie usług przesyłania lub dystrybucji gazu ziemnego są obowiązane posiadać. </w:t>
      </w:r>
    </w:p>
    <w:p w14:paraId="5418A8CE" w14:textId="77777777" w:rsidR="00B03DBA" w:rsidRPr="00C758B1" w:rsidRDefault="00C7771E" w:rsidP="00006B72">
      <w:pPr>
        <w:pStyle w:val="Tekstzwyky"/>
        <w:rPr>
          <w:rFonts w:ascii="Lato" w:hAnsi="Lato"/>
        </w:rPr>
      </w:pPr>
      <w:r w:rsidRPr="00C758B1">
        <w:rPr>
          <w:rFonts w:ascii="Lato" w:hAnsi="Lato"/>
        </w:rPr>
        <w:tab/>
        <w:t xml:space="preserve">Procedury postępowania, po ich uzgodnieniu z podmiotami odpowiedzialnymi za ich realizację, w tym odpowiednio z operatorami innych systemów gazowych lub odbiorcami, są przekazywane niezwłocznie operatorowi systemu przesyłowego gazowego lub operatorowi systemu połączonego gazowego. Zaznaczyć należy, że zgodnie z art. 49 ust. 3 ustawy </w:t>
      </w:r>
      <w:r w:rsidRPr="00006B72">
        <w:rPr>
          <w:rFonts w:ascii="Lato" w:hAnsi="Lato"/>
          <w:iCs/>
        </w:rPr>
        <w:t>o zapasach</w:t>
      </w:r>
      <w:r w:rsidRPr="00C758B1">
        <w:rPr>
          <w:rFonts w:ascii="Lato" w:hAnsi="Lato"/>
        </w:rPr>
        <w:t xml:space="preserve">, obowiązek opracowania procedur postępowania nie stosuje się do odbiorców gazu ziemnego w gospodarstwach domowych. </w:t>
      </w:r>
    </w:p>
    <w:p w14:paraId="0C910971" w14:textId="2094BEB2" w:rsidR="00B03DBA" w:rsidRPr="00C758B1" w:rsidRDefault="00C7771E" w:rsidP="00FE6CEA">
      <w:pPr>
        <w:pStyle w:val="Tekstzwyky"/>
        <w:rPr>
          <w:rFonts w:ascii="Lato" w:hAnsi="Lato"/>
        </w:rPr>
      </w:pPr>
      <w:r w:rsidRPr="00C758B1">
        <w:rPr>
          <w:rFonts w:ascii="Lato" w:hAnsi="Lato"/>
        </w:rPr>
        <w:tab/>
      </w:r>
      <w:r w:rsidR="00597EB5">
        <w:rPr>
          <w:rFonts w:ascii="Lato" w:hAnsi="Lato"/>
        </w:rPr>
        <w:t>P</w:t>
      </w:r>
      <w:r w:rsidRPr="00C758B1">
        <w:rPr>
          <w:rFonts w:ascii="Lato" w:hAnsi="Lato"/>
        </w:rPr>
        <w:t xml:space="preserve">rzedsiębiorstwo energetyczne, wykonujące działalność gospodarczą w zakresie obrotu gazem ziemnym z zagranicą i podmioty dokonujące przywozu gazu ziemnego, w celu zapewnienia zaopatrzenia RP w gaz ziemny oraz minimalizacji skutków zagrożenia bezpieczeństwa paliwowego państwa, wystąpienia sytuacji awaryjnej w sieci gazowej lub nieprzewidzianego wzrostu zużycia gazu ziemnego, </w:t>
      </w:r>
      <w:r w:rsidR="00597EB5">
        <w:rPr>
          <w:rFonts w:ascii="Lato" w:hAnsi="Lato"/>
        </w:rPr>
        <w:t xml:space="preserve">są </w:t>
      </w:r>
      <w:r w:rsidRPr="00C758B1">
        <w:rPr>
          <w:rFonts w:ascii="Lato" w:hAnsi="Lato"/>
        </w:rPr>
        <w:t>obowiązane</w:t>
      </w:r>
      <w:r w:rsidR="00597EB5">
        <w:rPr>
          <w:rFonts w:ascii="Lato" w:hAnsi="Lato"/>
        </w:rPr>
        <w:t xml:space="preserve"> </w:t>
      </w:r>
      <w:r w:rsidRPr="00C758B1">
        <w:rPr>
          <w:rFonts w:ascii="Lato" w:hAnsi="Lato"/>
        </w:rPr>
        <w:t>do utrzymywania zapasów obowiązkowych gazu ziemnego</w:t>
      </w:r>
      <w:r w:rsidR="000B51A0">
        <w:rPr>
          <w:rFonts w:ascii="Lato" w:hAnsi="Lato"/>
        </w:rPr>
        <w:t>, co szerzej zostało opisane w rozdziale 5.2.</w:t>
      </w:r>
      <w:r w:rsidRPr="00C758B1">
        <w:rPr>
          <w:rFonts w:ascii="Lato" w:hAnsi="Lato"/>
        </w:rPr>
        <w:t xml:space="preserve"> </w:t>
      </w:r>
    </w:p>
    <w:p w14:paraId="3323F9E3" w14:textId="77777777" w:rsidR="00B03DBA" w:rsidRPr="00C758B1" w:rsidRDefault="00C7771E" w:rsidP="00597EB5">
      <w:pPr>
        <w:pStyle w:val="Tekstzwyky"/>
        <w:rPr>
          <w:rFonts w:ascii="Lato" w:hAnsi="Lato"/>
        </w:rPr>
      </w:pPr>
      <w:r w:rsidRPr="00C758B1">
        <w:rPr>
          <w:rFonts w:ascii="Lato" w:hAnsi="Lato"/>
        </w:rPr>
        <w:lastRenderedPageBreak/>
        <w:tab/>
        <w:t>Zgodnie z art. 25 ust. 6 ww. ustawy w związku z koniecznością utrzymywania zapasów obowiązkowych przedsiębiorstwo energetyczne, wykonujące działalność gospodarczą w zakresie obrotu gazem ziemnym z zagranicą i podmioty dokonujące przywozu gazu ziemnego, są obowiązane poinformować Prezesa URE o zamiarze rozpoczęcia przywozu gazu ziemnego oraz przekazać operatorowi systemu przesyłowego gazowego lub operatorowi systemów połączonych gazowych informacje o miejscu magazynowania zapasów obowiązkowych gazu ziemnego w celu weryfikacji technicznych możliwości dostarczenia tych zapasów do systemu gazowego</w:t>
      </w:r>
      <w:r w:rsidRPr="00C758B1">
        <w:rPr>
          <w:rFonts w:ascii="Lato" w:hAnsi="Lato"/>
          <w:sz w:val="20"/>
          <w:szCs w:val="20"/>
        </w:rPr>
        <w:t xml:space="preserve"> </w:t>
      </w:r>
      <w:r w:rsidRPr="00C758B1">
        <w:rPr>
          <w:rFonts w:ascii="Lato" w:hAnsi="Lato"/>
        </w:rPr>
        <w:t xml:space="preserve">najpóźniej na 30 dni przed dniem rozpoczęcia tego przywozu. </w:t>
      </w:r>
    </w:p>
    <w:p w14:paraId="06363809" w14:textId="1064885E" w:rsidR="00B03DBA" w:rsidRPr="00C758B1" w:rsidRDefault="00C7771E" w:rsidP="00597EB5">
      <w:pPr>
        <w:pStyle w:val="Tekstzwyky"/>
        <w:rPr>
          <w:rFonts w:ascii="Lato" w:hAnsi="Lato"/>
        </w:rPr>
      </w:pPr>
      <w:r w:rsidRPr="00C758B1">
        <w:rPr>
          <w:rFonts w:ascii="Lato" w:hAnsi="Lato"/>
        </w:rPr>
        <w:tab/>
        <w:t>Zgodnie z art. 28 ww. ustawy</w:t>
      </w:r>
      <w:r w:rsidR="00597EB5">
        <w:rPr>
          <w:rFonts w:ascii="Lato" w:hAnsi="Lato"/>
        </w:rPr>
        <w:t>,</w:t>
      </w:r>
      <w:r w:rsidRPr="00C758B1">
        <w:rPr>
          <w:rFonts w:ascii="Lato" w:hAnsi="Lato"/>
        </w:rPr>
        <w:t xml:space="preserve"> zapasy obowiązkowe gazu ziemnego stanowią majątek przedsiębiorstw energetycznych wykonujących działalność gospodarczą w zakresie obrotu gazem ziemnym z zagranicą i podmiotów dokonujących przywozu gazu ziemnego, chyba że stanowią one, na podstawie zawartej umowy, majątek podmiotu przyjmującego zlecenie utrzymywania zapasów obowiązkowych. Co więcej, koszty ponoszone przez przedsiębiorstwa w związku z realizacją tego obowiązku są zaliczane do kosztów uzasadnionych ich działalności w rozumieniu art. 3 pkt 21 ustawy z dnia 10 kwietnia 1997 r. – Prawo energetyczne.</w:t>
      </w:r>
    </w:p>
    <w:p w14:paraId="69105815" w14:textId="61D94E3A" w:rsidR="00B03DBA" w:rsidRPr="00C758B1" w:rsidRDefault="00C7771E" w:rsidP="00597EB5">
      <w:pPr>
        <w:pStyle w:val="Tekstzwyky"/>
        <w:rPr>
          <w:rFonts w:ascii="Lato" w:hAnsi="Lato"/>
        </w:rPr>
      </w:pPr>
      <w:r w:rsidRPr="00C758B1">
        <w:rPr>
          <w:rFonts w:ascii="Lato" w:hAnsi="Lato"/>
        </w:rPr>
        <w:t>Ponadto</w:t>
      </w:r>
      <w:r w:rsidR="00597EB5">
        <w:rPr>
          <w:rFonts w:ascii="Lato" w:hAnsi="Lato"/>
        </w:rPr>
        <w:t xml:space="preserve"> </w:t>
      </w:r>
      <w:r w:rsidRPr="00C758B1">
        <w:rPr>
          <w:rFonts w:ascii="Lato" w:hAnsi="Lato"/>
        </w:rPr>
        <w:t xml:space="preserve">zgodnie z art. 54 ustawy </w:t>
      </w:r>
      <w:r w:rsidRPr="00597EB5">
        <w:rPr>
          <w:rFonts w:ascii="Lato" w:hAnsi="Lato"/>
          <w:iCs/>
        </w:rPr>
        <w:t>o zapasach</w:t>
      </w:r>
      <w:r w:rsidRPr="00C758B1">
        <w:rPr>
          <w:rFonts w:ascii="Lato" w:hAnsi="Lato"/>
        </w:rPr>
        <w:t xml:space="preserve">, w przypadku: </w:t>
      </w:r>
    </w:p>
    <w:p w14:paraId="330FFAEA" w14:textId="7BD03884" w:rsidR="00B03DBA" w:rsidRPr="00597EB5" w:rsidRDefault="00C7771E" w:rsidP="00597EB5">
      <w:pPr>
        <w:pStyle w:val="TekstWypunktowany"/>
        <w:rPr>
          <w:rFonts w:ascii="Lato" w:hAnsi="Lato"/>
        </w:rPr>
      </w:pPr>
      <w:r w:rsidRPr="00597EB5">
        <w:rPr>
          <w:rFonts w:ascii="Lato" w:hAnsi="Lato"/>
        </w:rPr>
        <w:t>zagrożenia bezpieczeństwa paliwowego państw</w:t>
      </w:r>
      <w:r w:rsidR="00ED53AC" w:rsidRPr="00597EB5">
        <w:rPr>
          <w:rFonts w:ascii="Lato" w:hAnsi="Lato"/>
        </w:rPr>
        <w:t>a</w:t>
      </w:r>
      <w:r w:rsidR="00ED53AC" w:rsidRPr="00C758B1">
        <w:rPr>
          <w:rFonts w:ascii="Lato" w:hAnsi="Lato"/>
        </w:rPr>
        <w:t>;</w:t>
      </w:r>
    </w:p>
    <w:p w14:paraId="0719C252" w14:textId="7E150CE5" w:rsidR="00B03DBA" w:rsidRPr="00597EB5" w:rsidRDefault="00C7771E" w:rsidP="00597EB5">
      <w:pPr>
        <w:pStyle w:val="TekstWypunktowany"/>
        <w:rPr>
          <w:rFonts w:ascii="Lato" w:hAnsi="Lato"/>
        </w:rPr>
      </w:pPr>
      <w:r w:rsidRPr="00597EB5">
        <w:rPr>
          <w:rFonts w:ascii="Lato" w:hAnsi="Lato"/>
        </w:rPr>
        <w:t>nieprzewidzianego wzrostu zużycia gazu ziemnego przez odbiorców</w:t>
      </w:r>
      <w:r w:rsidR="00ED53AC" w:rsidRPr="00C758B1">
        <w:rPr>
          <w:rFonts w:ascii="Lato" w:hAnsi="Lato"/>
        </w:rPr>
        <w:t>;</w:t>
      </w:r>
    </w:p>
    <w:p w14:paraId="02407911" w14:textId="089CB198" w:rsidR="00B03DBA" w:rsidRPr="00597EB5" w:rsidRDefault="00C7771E" w:rsidP="00597EB5">
      <w:pPr>
        <w:pStyle w:val="TekstWypunktowany"/>
        <w:rPr>
          <w:rFonts w:ascii="Lato" w:hAnsi="Lato"/>
        </w:rPr>
      </w:pPr>
      <w:r w:rsidRPr="00597EB5">
        <w:rPr>
          <w:rFonts w:ascii="Lato" w:hAnsi="Lato"/>
        </w:rPr>
        <w:t>wystąpienia zakłóceń w przywozie gazu ziemnego</w:t>
      </w:r>
      <w:r w:rsidR="00ED53AC" w:rsidRPr="00C758B1">
        <w:rPr>
          <w:rFonts w:ascii="Lato" w:hAnsi="Lato"/>
        </w:rPr>
        <w:t>;</w:t>
      </w:r>
    </w:p>
    <w:p w14:paraId="7E713A45" w14:textId="7E55C631" w:rsidR="00B03DBA" w:rsidRPr="00597EB5" w:rsidRDefault="00C7771E" w:rsidP="00597EB5">
      <w:pPr>
        <w:pStyle w:val="TekstWypunktowany"/>
        <w:rPr>
          <w:rFonts w:ascii="Lato" w:hAnsi="Lato"/>
        </w:rPr>
      </w:pPr>
      <w:r w:rsidRPr="00597EB5">
        <w:rPr>
          <w:rFonts w:ascii="Lato" w:hAnsi="Lato"/>
        </w:rPr>
        <w:t>awarii w sieciach operatorów systemów gazowych</w:t>
      </w:r>
      <w:r w:rsidR="00ED53AC" w:rsidRPr="00C758B1">
        <w:rPr>
          <w:rFonts w:ascii="Lato" w:hAnsi="Lato"/>
        </w:rPr>
        <w:t>;</w:t>
      </w:r>
    </w:p>
    <w:p w14:paraId="58D552A4" w14:textId="3BA14BEC" w:rsidR="00B03DBA" w:rsidRPr="00597EB5" w:rsidRDefault="00C7771E" w:rsidP="00597EB5">
      <w:pPr>
        <w:pStyle w:val="TekstWypunktowany"/>
        <w:rPr>
          <w:rFonts w:ascii="Lato" w:hAnsi="Lato"/>
        </w:rPr>
      </w:pPr>
      <w:r w:rsidRPr="00597EB5">
        <w:rPr>
          <w:rFonts w:ascii="Lato" w:hAnsi="Lato"/>
        </w:rPr>
        <w:t>zagrożenia bezpieczeństwa funkcjonowania sieci gazowych</w:t>
      </w:r>
      <w:r w:rsidR="00ED53AC" w:rsidRPr="00C758B1">
        <w:rPr>
          <w:rFonts w:ascii="Lato" w:hAnsi="Lato"/>
        </w:rPr>
        <w:t>;</w:t>
      </w:r>
    </w:p>
    <w:p w14:paraId="0AD04BCD" w14:textId="35EA7BF8" w:rsidR="00B03DBA" w:rsidRPr="00597EB5" w:rsidRDefault="00C7771E" w:rsidP="00597EB5">
      <w:pPr>
        <w:pStyle w:val="TekstWypunktowany"/>
        <w:rPr>
          <w:rFonts w:ascii="Lato" w:hAnsi="Lato"/>
        </w:rPr>
      </w:pPr>
      <w:r w:rsidRPr="00597EB5">
        <w:rPr>
          <w:rFonts w:ascii="Lato" w:hAnsi="Lato"/>
        </w:rPr>
        <w:t>zagrożenia bezpieczeństwa osób</w:t>
      </w:r>
      <w:r w:rsidR="00ED53AC" w:rsidRPr="00C758B1">
        <w:rPr>
          <w:rFonts w:ascii="Lato" w:hAnsi="Lato"/>
        </w:rPr>
        <w:t>;</w:t>
      </w:r>
    </w:p>
    <w:p w14:paraId="73F8B25D" w14:textId="7FA2ADC2" w:rsidR="00B03DBA" w:rsidRPr="00597EB5" w:rsidRDefault="00C7771E" w:rsidP="00597EB5">
      <w:pPr>
        <w:pStyle w:val="TekstWypunktowany"/>
        <w:rPr>
          <w:rFonts w:ascii="Lato" w:hAnsi="Lato"/>
        </w:rPr>
      </w:pPr>
      <w:r w:rsidRPr="00597EB5">
        <w:rPr>
          <w:rFonts w:ascii="Lato" w:hAnsi="Lato"/>
        </w:rPr>
        <w:t>zagrożenia wystąpieniem znacznych strat materialnych</w:t>
      </w:r>
      <w:r w:rsidR="00ED53AC" w:rsidRPr="00C758B1">
        <w:rPr>
          <w:rFonts w:ascii="Lato" w:hAnsi="Lato"/>
        </w:rPr>
        <w:t>;</w:t>
      </w:r>
    </w:p>
    <w:p w14:paraId="26DF9126" w14:textId="1D03F326" w:rsidR="00B03DBA" w:rsidRPr="00597EB5" w:rsidRDefault="00C7771E" w:rsidP="00597EB5">
      <w:pPr>
        <w:pStyle w:val="TekstWypunktowany"/>
        <w:rPr>
          <w:rFonts w:ascii="Lato" w:hAnsi="Lato"/>
        </w:rPr>
      </w:pPr>
      <w:r w:rsidRPr="00597EB5">
        <w:rPr>
          <w:rFonts w:ascii="Lato" w:hAnsi="Lato"/>
        </w:rPr>
        <w:t>konieczności wypełnienia przez RP zobowiązań międzynarodowych</w:t>
      </w:r>
      <w:r w:rsidR="00DE0CA2">
        <w:rPr>
          <w:rFonts w:ascii="Lato" w:hAnsi="Lato"/>
        </w:rPr>
        <w:t>;</w:t>
      </w:r>
    </w:p>
    <w:p w14:paraId="69D01FEA" w14:textId="2C72EA40" w:rsidR="00B03DBA" w:rsidRPr="00C758B1" w:rsidRDefault="00DE0CA2" w:rsidP="00597EB5">
      <w:pPr>
        <w:pStyle w:val="Tekstzwyky"/>
        <w:rPr>
          <w:rFonts w:ascii="Lato" w:hAnsi="Lato"/>
        </w:rPr>
      </w:pPr>
      <w:r>
        <w:rPr>
          <w:rFonts w:ascii="Lato" w:hAnsi="Lato"/>
        </w:rPr>
        <w:t>n</w:t>
      </w:r>
      <w:r w:rsidR="00C7771E" w:rsidRPr="00C758B1">
        <w:rPr>
          <w:rFonts w:ascii="Lato" w:hAnsi="Lato"/>
        </w:rPr>
        <w:t xml:space="preserve">a terytorium RP lub jego części mogą być wprowadzone na czas oznaczony ograniczenia w poborze gazu ziemnego. Polegają one na ograniczeniu maksymalnego godzinowego i dobowego poboru gazu ziemnego. Środek ten dotyczy tylko odbiorców komercyjnych. Zgodnie z art. 58 ust. 4 ustawy </w:t>
      </w:r>
      <w:r w:rsidR="00C7771E" w:rsidRPr="00597EB5">
        <w:rPr>
          <w:rFonts w:ascii="Lato" w:hAnsi="Lato"/>
          <w:iCs/>
        </w:rPr>
        <w:t>o zapasach</w:t>
      </w:r>
      <w:r w:rsidR="00C7771E" w:rsidRPr="00C758B1">
        <w:rPr>
          <w:rFonts w:ascii="Lato" w:hAnsi="Lato"/>
          <w:i/>
        </w:rPr>
        <w:t xml:space="preserve"> </w:t>
      </w:r>
      <w:r w:rsidR="00C7771E" w:rsidRPr="00C758B1">
        <w:rPr>
          <w:rFonts w:ascii="Lato" w:hAnsi="Lato"/>
        </w:rPr>
        <w:t>ograniczenia wynikające z planów wprowadzania ograniczeń nie mają zastosowania do odbiorców gazu ziemnego w gospodarstwach domowych.</w:t>
      </w:r>
    </w:p>
    <w:p w14:paraId="7658C1E3" w14:textId="77777777" w:rsidR="00B74C14" w:rsidRPr="00C758B1" w:rsidRDefault="00B74C14" w:rsidP="00983C18">
      <w:pPr>
        <w:spacing w:line="276" w:lineRule="auto"/>
        <w:jc w:val="left"/>
        <w:rPr>
          <w:rFonts w:ascii="Lato" w:eastAsiaTheme="majorEastAsia" w:hAnsi="Lato" w:cstheme="majorBidi"/>
          <w:b/>
          <w:sz w:val="32"/>
          <w:szCs w:val="32"/>
        </w:rPr>
      </w:pPr>
      <w:bookmarkStart w:id="310" w:name="_Toc18063901"/>
      <w:bookmarkStart w:id="311" w:name="_Toc12953928"/>
      <w:bookmarkEnd w:id="310"/>
      <w:r w:rsidRPr="00C758B1">
        <w:rPr>
          <w:rFonts w:ascii="Lato" w:hAnsi="Lato"/>
        </w:rPr>
        <w:br w:type="page"/>
      </w:r>
    </w:p>
    <w:p w14:paraId="61BAA77B" w14:textId="7AAFCBD8" w:rsidR="00684B86" w:rsidRPr="00631250" w:rsidRDefault="00684B86" w:rsidP="00931800">
      <w:pPr>
        <w:pStyle w:val="Rozdzia1"/>
        <w:rPr>
          <w:rFonts w:ascii="Lato" w:hAnsi="Lato"/>
          <w:sz w:val="28"/>
          <w:szCs w:val="28"/>
        </w:rPr>
      </w:pPr>
      <w:bookmarkStart w:id="312" w:name="_Toc142469585"/>
      <w:bookmarkStart w:id="313" w:name="_Toc19782962"/>
      <w:r w:rsidRPr="00631250">
        <w:rPr>
          <w:rFonts w:ascii="Lato" w:hAnsi="Lato"/>
          <w:sz w:val="28"/>
          <w:szCs w:val="28"/>
        </w:rPr>
        <w:lastRenderedPageBreak/>
        <w:t>Konsultacje z zainteresowanymi stronami</w:t>
      </w:r>
      <w:bookmarkEnd w:id="312"/>
    </w:p>
    <w:p w14:paraId="0868E503" w14:textId="78C69CAB" w:rsidR="003043BB" w:rsidRPr="00C758B1" w:rsidRDefault="00B74C14" w:rsidP="00931800">
      <w:pPr>
        <w:pStyle w:val="Tekstzwyky"/>
        <w:rPr>
          <w:rFonts w:ascii="Lato" w:hAnsi="Lato"/>
        </w:rPr>
      </w:pPr>
      <w:r w:rsidRPr="00C758B1">
        <w:rPr>
          <w:rFonts w:ascii="Lato" w:hAnsi="Lato"/>
        </w:rPr>
        <w:tab/>
      </w:r>
      <w:r w:rsidR="003043BB" w:rsidRPr="00C758B1">
        <w:rPr>
          <w:rFonts w:ascii="Lato" w:hAnsi="Lato"/>
        </w:rPr>
        <w:t xml:space="preserve">W celu skonsultowania projektów </w:t>
      </w:r>
      <w:r w:rsidR="003043BB" w:rsidRPr="00A856C1">
        <w:rPr>
          <w:rFonts w:ascii="Lato" w:hAnsi="Lato"/>
          <w:i/>
          <w:iCs/>
        </w:rPr>
        <w:t>Planu działań zapobiegawczych</w:t>
      </w:r>
      <w:r w:rsidR="003043BB" w:rsidRPr="00C758B1">
        <w:rPr>
          <w:rFonts w:ascii="Lato" w:hAnsi="Lato"/>
        </w:rPr>
        <w:t xml:space="preserve"> i </w:t>
      </w:r>
      <w:r w:rsidR="003043BB" w:rsidRPr="00A856C1">
        <w:rPr>
          <w:rFonts w:ascii="Lato" w:hAnsi="Lato"/>
          <w:i/>
          <w:iCs/>
        </w:rPr>
        <w:t>Planu na wypadek sytuacji nadzwyczajnej</w:t>
      </w:r>
      <w:r w:rsidR="003043BB" w:rsidRPr="00C758B1">
        <w:rPr>
          <w:rFonts w:ascii="Lato" w:hAnsi="Lato"/>
        </w:rPr>
        <w:t xml:space="preserve"> z jak najszerszym gronem podmiotów działających na polskim rynku gazu ziemnego i umożliwienia zgłaszania uwag do projektów, na stronie internetowej Ministerstwa </w:t>
      </w:r>
      <w:r w:rsidR="007509B9">
        <w:rPr>
          <w:rFonts w:ascii="Lato" w:hAnsi="Lato"/>
        </w:rPr>
        <w:t>Klimatu i Środowiska</w:t>
      </w:r>
      <w:r w:rsidR="007509B9" w:rsidRPr="00C758B1">
        <w:rPr>
          <w:rFonts w:ascii="Lato" w:hAnsi="Lato"/>
        </w:rPr>
        <w:t xml:space="preserve"> </w:t>
      </w:r>
      <w:r w:rsidR="003043BB" w:rsidRPr="00C758B1">
        <w:rPr>
          <w:rFonts w:ascii="Lato" w:hAnsi="Lato"/>
        </w:rPr>
        <w:t>ogłoszon</w:t>
      </w:r>
      <w:r w:rsidR="00266298">
        <w:rPr>
          <w:rFonts w:ascii="Lato" w:hAnsi="Lato"/>
        </w:rPr>
        <w:t>o</w:t>
      </w:r>
      <w:r w:rsidR="003043BB" w:rsidRPr="00C758B1">
        <w:rPr>
          <w:rFonts w:ascii="Lato" w:hAnsi="Lato"/>
        </w:rPr>
        <w:t xml:space="preserve"> komunikat o </w:t>
      </w:r>
      <w:r w:rsidR="00266298">
        <w:rPr>
          <w:rFonts w:ascii="Lato" w:hAnsi="Lato"/>
        </w:rPr>
        <w:t>prowadzeniu</w:t>
      </w:r>
      <w:r w:rsidR="003043BB" w:rsidRPr="00C758B1">
        <w:rPr>
          <w:rFonts w:ascii="Lato" w:hAnsi="Lato"/>
        </w:rPr>
        <w:t xml:space="preserve"> konsultacji społecznych. </w:t>
      </w:r>
    </w:p>
    <w:p w14:paraId="4CBBAD7C" w14:textId="5BFB3333" w:rsidR="00A856C1" w:rsidRDefault="00B74C14" w:rsidP="00A856C1">
      <w:pPr>
        <w:pStyle w:val="Tekstzwyky"/>
        <w:rPr>
          <w:rFonts w:ascii="Lato" w:hAnsi="Lato"/>
        </w:rPr>
      </w:pPr>
      <w:r w:rsidRPr="00C758B1">
        <w:rPr>
          <w:rFonts w:ascii="Lato" w:hAnsi="Lato"/>
        </w:rPr>
        <w:tab/>
      </w:r>
    </w:p>
    <w:p w14:paraId="23D54D5B" w14:textId="6405E670" w:rsidR="00212DC5" w:rsidRPr="00C758B1" w:rsidRDefault="00931800" w:rsidP="00931800">
      <w:pPr>
        <w:pStyle w:val="Tekstzwyky"/>
        <w:rPr>
          <w:rFonts w:ascii="Lato" w:hAnsi="Lato"/>
        </w:rPr>
      </w:pPr>
      <w:r>
        <w:rPr>
          <w:rFonts w:ascii="Lato" w:hAnsi="Lato"/>
        </w:rPr>
        <w:br w:type="page"/>
      </w:r>
    </w:p>
    <w:p w14:paraId="613173FC" w14:textId="01E60336" w:rsidR="00B03DBA" w:rsidRPr="00631250" w:rsidRDefault="00C7771E" w:rsidP="00931800">
      <w:pPr>
        <w:pStyle w:val="Rozdzia1"/>
        <w:rPr>
          <w:rFonts w:ascii="Lato" w:hAnsi="Lato"/>
          <w:sz w:val="28"/>
          <w:szCs w:val="28"/>
        </w:rPr>
      </w:pPr>
      <w:bookmarkStart w:id="314" w:name="_Toc142469586"/>
      <w:r w:rsidRPr="00631250">
        <w:rPr>
          <w:rFonts w:ascii="Lato" w:hAnsi="Lato"/>
          <w:sz w:val="28"/>
          <w:szCs w:val="28"/>
        </w:rPr>
        <w:lastRenderedPageBreak/>
        <w:t>Wymiar regionalny</w:t>
      </w:r>
      <w:bookmarkEnd w:id="311"/>
      <w:bookmarkEnd w:id="313"/>
      <w:r w:rsidRPr="00631250">
        <w:rPr>
          <w:rFonts w:ascii="Lato" w:hAnsi="Lato"/>
          <w:sz w:val="28"/>
          <w:szCs w:val="28"/>
        </w:rPr>
        <w:t xml:space="preserve"> </w:t>
      </w:r>
      <w:r w:rsidR="00FE6CEA">
        <w:rPr>
          <w:rFonts w:ascii="Lato" w:hAnsi="Lato"/>
          <w:sz w:val="28"/>
          <w:szCs w:val="28"/>
        </w:rPr>
        <w:t>– grupy ryzyka</w:t>
      </w:r>
      <w:bookmarkEnd w:id="314"/>
    </w:p>
    <w:p w14:paraId="65D3F2F7" w14:textId="6051E7A5" w:rsidR="00A274CA" w:rsidRPr="0066096C" w:rsidRDefault="00A274CA" w:rsidP="00931800">
      <w:pPr>
        <w:pStyle w:val="Akapitzlist"/>
        <w:spacing w:line="276" w:lineRule="auto"/>
        <w:ind w:left="0" w:firstLine="708"/>
        <w:rPr>
          <w:rFonts w:ascii="Lato" w:hAnsi="Lato"/>
          <w:szCs w:val="24"/>
        </w:rPr>
      </w:pPr>
      <w:r w:rsidRPr="00C758B1">
        <w:rPr>
          <w:rFonts w:ascii="Lato" w:hAnsi="Lato"/>
        </w:rPr>
        <w:t xml:space="preserve">W celu zagwarantowania państwom członkowskim dostępu do informacji, które umożliwią zapobieganie lub zareagowanie na potencjalne zakłócenia w dostawach gazu ziemnego w momencie ich wystąpienia, utworzono efektywny system komunikacji oraz wymiany informacji pomiędzy organami właściwymi państw członkowskich w danej </w:t>
      </w:r>
      <w:r w:rsidRPr="0066096C">
        <w:rPr>
          <w:rFonts w:ascii="Lato" w:hAnsi="Lato"/>
          <w:szCs w:val="24"/>
        </w:rPr>
        <w:t>grupie ryzyka.</w:t>
      </w:r>
    </w:p>
    <w:p w14:paraId="0F1CD80F" w14:textId="6A69C465" w:rsidR="00A274CA" w:rsidRPr="0066096C" w:rsidRDefault="0066096C" w:rsidP="0066096C">
      <w:pPr>
        <w:pStyle w:val="Akapitzlist"/>
        <w:spacing w:line="276" w:lineRule="auto"/>
        <w:ind w:left="0" w:firstLine="360"/>
        <w:rPr>
          <w:rFonts w:ascii="Lato" w:hAnsi="Lato"/>
          <w:szCs w:val="24"/>
        </w:rPr>
      </w:pPr>
      <w:r w:rsidRPr="0066096C">
        <w:rPr>
          <w:rFonts w:ascii="Lato" w:hAnsi="Lato"/>
          <w:szCs w:val="24"/>
        </w:rPr>
        <w:t xml:space="preserve">Polska do 2022 r. była członkiem białoruskiej i ukraińskiej grupy ryzyka. Do białoruskiej grupy ryzyka, poza Polską należą: Belgia, </w:t>
      </w:r>
      <w:r w:rsidR="004A400B">
        <w:rPr>
          <w:rFonts w:ascii="Lato" w:hAnsi="Lato"/>
          <w:szCs w:val="24"/>
        </w:rPr>
        <w:t>Czechy,</w:t>
      </w:r>
      <w:r w:rsidRPr="0066096C">
        <w:rPr>
          <w:rFonts w:ascii="Lato" w:hAnsi="Lato"/>
          <w:szCs w:val="24"/>
        </w:rPr>
        <w:t xml:space="preserve"> Dania, Niemcy, Estonia, Łotwa, Litwa, Luksemburg, Niderlandy, Słowacja, Finlandia oraz Szwecja, natomiast do ukraińskiej grupy ryzyka należą: Bułgaria, </w:t>
      </w:r>
      <w:r w:rsidR="004A400B">
        <w:rPr>
          <w:rFonts w:ascii="Lato" w:hAnsi="Lato"/>
          <w:szCs w:val="24"/>
        </w:rPr>
        <w:t>Czechy</w:t>
      </w:r>
      <w:r w:rsidRPr="0066096C">
        <w:rPr>
          <w:rFonts w:ascii="Lato" w:hAnsi="Lato"/>
          <w:szCs w:val="24"/>
        </w:rPr>
        <w:t xml:space="preserve"> Dania, Niemcy, Grecja, Chorwacja, Włochy, Luksemburg, Węgry, Austria, Rumunia, Słowenia, Słowacja oraz Szwecja. W 2022 r. skutkiem realizacji inwestycji zwiększających bezpieczeństwo polskiego systemu gazowego Polska dołączyła do nowych grup ryzyka wskazanych w załączniku nr 1 do rozporządzenia 2017/1938. W wyniku budowy połączenia międzysystemowego Polska-Litwa, Polska dołączyła do północno-wschodniej grupy ryzyka, związanej z dostawami gazu z kierunku wschodniego, do której należą również: </w:t>
      </w:r>
      <w:r w:rsidR="004A400B">
        <w:rPr>
          <w:rFonts w:ascii="Lato" w:hAnsi="Lato"/>
          <w:szCs w:val="24"/>
        </w:rPr>
        <w:t>Czechy,</w:t>
      </w:r>
      <w:r w:rsidRPr="0066096C">
        <w:rPr>
          <w:rFonts w:ascii="Lato" w:hAnsi="Lato"/>
          <w:szCs w:val="24"/>
        </w:rPr>
        <w:t xml:space="preserve"> Dania, Niemcy, Estonia, Łotwa, Litwa, Słowacja, Finlandia oraz Szwecja. Natomiast w wyniku budowy gazociągu Baltic Pipe, łączącego polski system gazowy przez Danię z złożami Norweskiego Szelfu Kontynentalnego, Polska stała się członkiem grup ryzyka ze względu na dostawy z Morza Północnego, tj. norweskiej i duńskiej grupy ryzyka. Do norweskiej grupy ryzyka oprócz Polski należą: Belgia, Dania, Niemcy, Irlandia, Hiszpania, Francja, Włochy, Luksemburg, Niderlandy, Portugalia i Szwecja a do duńskiej grupy ryzyka: Dania, Niemcy, Luksemburg, Niderlandy i Szwecja. </w:t>
      </w:r>
    </w:p>
    <w:p w14:paraId="6ECC2DD2" w14:textId="728CB038" w:rsidR="00A274CA" w:rsidRPr="00C758B1" w:rsidRDefault="00A274CA" w:rsidP="00983C18">
      <w:pPr>
        <w:pStyle w:val="Rozdzia2"/>
        <w:rPr>
          <w:rFonts w:ascii="Lato" w:hAnsi="Lato"/>
        </w:rPr>
      </w:pPr>
      <w:bookmarkStart w:id="315" w:name="_Toc142469587"/>
      <w:r w:rsidRPr="00C758B1">
        <w:rPr>
          <w:rFonts w:ascii="Lato" w:hAnsi="Lato"/>
        </w:rPr>
        <w:t>Środki przyjmowane w poszczególnych stanach kryzysowych</w:t>
      </w:r>
      <w:bookmarkEnd w:id="315"/>
    </w:p>
    <w:p w14:paraId="0E21333F" w14:textId="77777777" w:rsidR="00A274CA" w:rsidRPr="00C758B1" w:rsidRDefault="00A274CA" w:rsidP="00A856C1">
      <w:pPr>
        <w:spacing w:before="240" w:after="120" w:line="276" w:lineRule="auto"/>
        <w:rPr>
          <w:rFonts w:ascii="Lato" w:hAnsi="Lato"/>
          <w:b/>
          <w:bCs/>
        </w:rPr>
      </w:pPr>
      <w:r w:rsidRPr="00C758B1">
        <w:rPr>
          <w:rFonts w:ascii="Lato" w:hAnsi="Lato"/>
          <w:b/>
          <w:bCs/>
        </w:rPr>
        <w:t xml:space="preserve">Stan wczesnego ostrzeżenia </w:t>
      </w:r>
    </w:p>
    <w:p w14:paraId="2AB7C3A4" w14:textId="77777777" w:rsidR="00A274CA" w:rsidRPr="00C758B1" w:rsidRDefault="00A274CA" w:rsidP="00A856C1">
      <w:pPr>
        <w:spacing w:line="276" w:lineRule="auto"/>
        <w:contextualSpacing/>
        <w:rPr>
          <w:rFonts w:ascii="Lato" w:hAnsi="Lato"/>
        </w:rPr>
      </w:pPr>
      <w:r w:rsidRPr="00C758B1">
        <w:rPr>
          <w:rFonts w:ascii="Lato" w:hAnsi="Lato"/>
        </w:rPr>
        <w:tab/>
        <w:t>Ogłoszenie stanu wczesnego ostrzeżenia następuje w momencie, gdy istnieją konkretne, poważne i wiarygodne informacje, że może wystąpić zdarzenie, które może spowodować znaczne pogorszenie sytuacji w zakresie dostaw gazu ziemnego i może doprowadzić do uruchomienia stanu alarmowego lub stanu nadzwyczajnego.</w:t>
      </w:r>
    </w:p>
    <w:p w14:paraId="66D9368E" w14:textId="77777777" w:rsidR="00A274CA" w:rsidRPr="00C758B1" w:rsidRDefault="00A274CA" w:rsidP="00A856C1">
      <w:pPr>
        <w:spacing w:line="276" w:lineRule="auto"/>
        <w:contextualSpacing/>
        <w:rPr>
          <w:rFonts w:ascii="Lato" w:hAnsi="Lato"/>
        </w:rPr>
      </w:pPr>
      <w:r w:rsidRPr="00C758B1">
        <w:rPr>
          <w:rFonts w:ascii="Lato" w:hAnsi="Lato"/>
        </w:rPr>
        <w:tab/>
        <w:t>Właściwy organ państwa członkowskiego, które ogłosiło stan wczesnego ostrzeżenia, powinien niezwłocznie poinformować wszystkie pozostałe państwa członkowskie należące do grupy ryzyka o wprowadzeniu tego stanu, a także o każdym wdrożonym środku lub środku, który ma zostać wdrożony, w celu zaradzenia skutkom zakłócenia w dostawach gazu ziemnego.</w:t>
      </w:r>
    </w:p>
    <w:p w14:paraId="360EC678" w14:textId="77777777" w:rsidR="00A274CA" w:rsidRPr="00C758B1" w:rsidRDefault="00A274CA" w:rsidP="00983C18">
      <w:pPr>
        <w:spacing w:line="276" w:lineRule="auto"/>
        <w:rPr>
          <w:rFonts w:ascii="Lato" w:hAnsi="Lato"/>
        </w:rPr>
      </w:pPr>
      <w:r w:rsidRPr="00C758B1">
        <w:rPr>
          <w:rFonts w:ascii="Lato" w:hAnsi="Lato"/>
        </w:rPr>
        <w:tab/>
        <w:t>Właściwy organ powinien zgłaszać wszelkie zmiany w sytuacji w systemie gazowym ze wskazaniem wszystkich przyjętych lub wstrzymanych środków, jeżeli takie istnieją.</w:t>
      </w:r>
    </w:p>
    <w:p w14:paraId="3B78EB1C" w14:textId="77777777" w:rsidR="00BB583E" w:rsidRDefault="00BB583E" w:rsidP="00A856C1">
      <w:pPr>
        <w:spacing w:after="120" w:line="276" w:lineRule="auto"/>
        <w:rPr>
          <w:rFonts w:ascii="Lato" w:hAnsi="Lato"/>
          <w:b/>
        </w:rPr>
      </w:pPr>
    </w:p>
    <w:p w14:paraId="6FE0BE1C" w14:textId="416ADBA4" w:rsidR="00A274CA" w:rsidRPr="00C758B1" w:rsidRDefault="00A274CA" w:rsidP="00A856C1">
      <w:pPr>
        <w:spacing w:after="120" w:line="276" w:lineRule="auto"/>
        <w:rPr>
          <w:rFonts w:ascii="Lato" w:hAnsi="Lato"/>
          <w:b/>
          <w:sz w:val="22"/>
        </w:rPr>
      </w:pPr>
      <w:r w:rsidRPr="00C758B1">
        <w:rPr>
          <w:rFonts w:ascii="Lato" w:hAnsi="Lato"/>
          <w:b/>
        </w:rPr>
        <w:lastRenderedPageBreak/>
        <w:t>Stan alarmowy</w:t>
      </w:r>
    </w:p>
    <w:p w14:paraId="1BEA342E" w14:textId="221A9E74" w:rsidR="00A274CA" w:rsidRPr="00C758B1" w:rsidRDefault="00A274CA" w:rsidP="00A856C1">
      <w:pPr>
        <w:spacing w:after="0" w:line="276" w:lineRule="auto"/>
        <w:rPr>
          <w:rFonts w:ascii="Lato" w:hAnsi="Lato"/>
        </w:rPr>
      </w:pPr>
      <w:r w:rsidRPr="00C758B1">
        <w:rPr>
          <w:rFonts w:ascii="Lato" w:hAnsi="Lato"/>
        </w:rPr>
        <w:tab/>
        <w:t>Stan alarmowy jest ogłaszany w przypadku</w:t>
      </w:r>
      <w:r w:rsidR="00771E96">
        <w:rPr>
          <w:rFonts w:ascii="Lato" w:hAnsi="Lato"/>
        </w:rPr>
        <w:t>,</w:t>
      </w:r>
      <w:r w:rsidRPr="00C758B1">
        <w:rPr>
          <w:rFonts w:ascii="Lato" w:hAnsi="Lato"/>
        </w:rPr>
        <w:t xml:space="preserve"> gdy wystąpi zakłócenie w dostawach lub nadzwyczajnie wysokie zapotrzebowanie na gaz ziemny, które prowadzi do znacznego pogorszenia sytuacji w zakresie dostaw, ale rynek nadal jest w stanie poradzić sobie z tym zakłóceniem lub sprostać zapotrzebowaniu bez potrzeby stosowania środków nierynkowych.</w:t>
      </w:r>
    </w:p>
    <w:p w14:paraId="02E093DE" w14:textId="197F9D60" w:rsidR="00A274CA" w:rsidRPr="00C758B1" w:rsidRDefault="00A274CA" w:rsidP="00A856C1">
      <w:pPr>
        <w:spacing w:after="0" w:line="276" w:lineRule="auto"/>
        <w:rPr>
          <w:rFonts w:ascii="Lato" w:hAnsi="Lato"/>
        </w:rPr>
      </w:pPr>
      <w:r w:rsidRPr="00C758B1">
        <w:rPr>
          <w:rFonts w:ascii="Lato" w:hAnsi="Lato"/>
        </w:rPr>
        <w:tab/>
        <w:t xml:space="preserve">Właściwy organ państwa członkowskiego, które ogłosiło stan alarmowy, powinien niezwłocznie poinformować wszystkie pozostałe państwa członkowskie należące do </w:t>
      </w:r>
      <w:r w:rsidR="00AD18AB">
        <w:rPr>
          <w:rFonts w:ascii="Lato" w:hAnsi="Lato"/>
        </w:rPr>
        <w:t xml:space="preserve">danej </w:t>
      </w:r>
      <w:r w:rsidRPr="00C758B1">
        <w:rPr>
          <w:rFonts w:ascii="Lato" w:hAnsi="Lato"/>
        </w:rPr>
        <w:t>grupy ryzyka o wprowadzeniu tego stanu, a także o każdym wdrożonym środku lub środku, który ma zostać wdrożony, w celu zaradzenia skutkom zakłócenia w dostawach gazu ziemnego.</w:t>
      </w:r>
    </w:p>
    <w:p w14:paraId="7C95663D" w14:textId="77777777" w:rsidR="00A274CA" w:rsidRPr="00C758B1" w:rsidRDefault="00A274CA" w:rsidP="00983C18">
      <w:pPr>
        <w:spacing w:line="276" w:lineRule="auto"/>
        <w:ind w:firstLine="426"/>
        <w:rPr>
          <w:rFonts w:ascii="Lato" w:hAnsi="Lato"/>
        </w:rPr>
      </w:pPr>
      <w:r w:rsidRPr="00C758B1">
        <w:rPr>
          <w:rFonts w:ascii="Lato" w:hAnsi="Lato"/>
        </w:rPr>
        <w:tab/>
        <w:t>Właściwy organ powinien zgłaszać wszelkie zmiany w sytuacji w systemie gazowym ze wskazaniem wszystkich przyjętych lub wstrzymanych środków, jeżeli takie istnieją.</w:t>
      </w:r>
    </w:p>
    <w:p w14:paraId="0A803404" w14:textId="3C6A7916" w:rsidR="00A274CA" w:rsidRPr="00C758B1" w:rsidRDefault="00A274CA" w:rsidP="00A856C1">
      <w:pPr>
        <w:spacing w:after="120" w:line="276" w:lineRule="auto"/>
        <w:rPr>
          <w:rFonts w:ascii="Lato" w:hAnsi="Lato"/>
          <w:b/>
          <w:sz w:val="22"/>
        </w:rPr>
      </w:pPr>
      <w:r w:rsidRPr="00C758B1">
        <w:rPr>
          <w:rFonts w:ascii="Lato" w:hAnsi="Lato"/>
          <w:b/>
        </w:rPr>
        <w:t>Stan nadzwyczajny</w:t>
      </w:r>
    </w:p>
    <w:p w14:paraId="73583F9D" w14:textId="69BDFA2A" w:rsidR="00A274CA" w:rsidRPr="00C758B1" w:rsidRDefault="00A274CA" w:rsidP="00A856C1">
      <w:pPr>
        <w:spacing w:line="276" w:lineRule="auto"/>
        <w:contextualSpacing/>
        <w:rPr>
          <w:rFonts w:ascii="Lato" w:hAnsi="Lato"/>
        </w:rPr>
      </w:pPr>
      <w:r w:rsidRPr="00C758B1">
        <w:rPr>
          <w:rFonts w:ascii="Lato" w:hAnsi="Lato"/>
        </w:rPr>
        <w:tab/>
        <w:t>Stan nadzwyczajny jest ogłaszany w przypadku</w:t>
      </w:r>
      <w:r w:rsidR="00C14150">
        <w:rPr>
          <w:rFonts w:ascii="Lato" w:hAnsi="Lato"/>
        </w:rPr>
        <w:t>,</w:t>
      </w:r>
      <w:r w:rsidRPr="00C758B1">
        <w:rPr>
          <w:rFonts w:ascii="Lato" w:hAnsi="Lato"/>
        </w:rPr>
        <w:t xml:space="preserve"> gdy zastosowano wszystkie stosowne środki rynkowe, ale dostawy gazu ziemnego są</w:t>
      </w:r>
      <w:r w:rsidR="00A856C1">
        <w:rPr>
          <w:rFonts w:ascii="Lato" w:hAnsi="Lato"/>
        </w:rPr>
        <w:t xml:space="preserve"> </w:t>
      </w:r>
      <w:r w:rsidRPr="00C758B1">
        <w:rPr>
          <w:rFonts w:ascii="Lato" w:hAnsi="Lato"/>
        </w:rPr>
        <w:t>niewystarczające do zaspokojenia pozostałego zapotrzebowania na gaz ziemny, tak że jest konieczne wprowadzenie środków nierynkowych.</w:t>
      </w:r>
    </w:p>
    <w:p w14:paraId="1B8D52CA" w14:textId="2D28DEE4" w:rsidR="00A274CA" w:rsidRPr="00C758B1" w:rsidRDefault="00A274CA" w:rsidP="00A856C1">
      <w:pPr>
        <w:spacing w:line="276" w:lineRule="auto"/>
        <w:contextualSpacing/>
        <w:rPr>
          <w:rFonts w:ascii="Lato" w:hAnsi="Lato"/>
        </w:rPr>
      </w:pPr>
      <w:r w:rsidRPr="00C758B1">
        <w:rPr>
          <w:rFonts w:ascii="Lato" w:hAnsi="Lato"/>
        </w:rPr>
        <w:tab/>
        <w:t xml:space="preserve">Właściwy organ państwa członkowskiego, które ogłosiło stan nadzwyczajny, powinien niezwłocznie poinformować wszystkie pozostałe państwa członkowskie należące do </w:t>
      </w:r>
      <w:r w:rsidR="00AD18AB">
        <w:rPr>
          <w:rFonts w:ascii="Lato" w:hAnsi="Lato"/>
        </w:rPr>
        <w:t xml:space="preserve">danej </w:t>
      </w:r>
      <w:r w:rsidRPr="00C758B1">
        <w:rPr>
          <w:rFonts w:ascii="Lato" w:hAnsi="Lato"/>
        </w:rPr>
        <w:t>grupy ryzyka o wprowadzeniu tego stanu, a także o każdym wdrożonym środku lub środku, który ma zostać wdrożony, w celu zaradzenia skutkom zakłócenia w dostawach gazu ziemnego.</w:t>
      </w:r>
    </w:p>
    <w:p w14:paraId="17ADC077" w14:textId="77777777" w:rsidR="00A274CA" w:rsidRPr="00C758B1" w:rsidRDefault="00A274CA" w:rsidP="00A856C1">
      <w:pPr>
        <w:spacing w:line="276" w:lineRule="auto"/>
        <w:contextualSpacing/>
        <w:rPr>
          <w:rFonts w:ascii="Lato" w:hAnsi="Lato"/>
        </w:rPr>
      </w:pPr>
      <w:r w:rsidRPr="00C758B1">
        <w:rPr>
          <w:rFonts w:ascii="Lato" w:hAnsi="Lato"/>
        </w:rPr>
        <w:tab/>
        <w:t>Właściwy organ powinien zgłaszać wszelkie zmiany w sytuacji w systemie gazowym ze wskazaniem wszystkich przyjętych lub zaprzestanych środków, jeżeli takie istnieją. Środki nierynkowe muszą być dodatkowo wprowadzone w celu, w szczególności, zabezpieczenia dostaw gazu do odbiorców chronionych zgodnie z art. 6 rozporządzenia 2017/1938.</w:t>
      </w:r>
    </w:p>
    <w:p w14:paraId="7FBD47BB" w14:textId="60015C41" w:rsidR="00CE63C5" w:rsidRDefault="00A274CA" w:rsidP="00983C18">
      <w:pPr>
        <w:spacing w:line="276" w:lineRule="auto"/>
        <w:rPr>
          <w:rFonts w:ascii="Lato" w:hAnsi="Lato"/>
        </w:rPr>
      </w:pPr>
      <w:r w:rsidRPr="00C758B1">
        <w:rPr>
          <w:rFonts w:ascii="Lato" w:hAnsi="Lato"/>
        </w:rPr>
        <w:tab/>
        <w:t>Zgodnie z art. 11 ust. 7 rozporządzenia 2017/1938 podczas stanu nadzwyczajnego, na wniosek odpowiedniego operatora systemu przesyłowego energii elektrycznej lub gazu ziemnego, państwo członkowskie może podjąć decyzję o priorytetowym traktowaniu dostaw gazu ziemnego, do niektórych kluczowych elektrowni względem dostaw gazu ziemnego do niektórych kategorii odbiorców chronionych. W związku z powyższym, w poniższej tabeli zestawiono wykaz polskich kluczowych elektrowni i elektrociepłowni wraz z maksymalnym dobowym zużyciem gazu ziemnego przez te jednostki.</w:t>
      </w:r>
    </w:p>
    <w:p w14:paraId="2F3D2073" w14:textId="77777777" w:rsidR="00CE63C5" w:rsidRDefault="00CE63C5">
      <w:pPr>
        <w:spacing w:line="259" w:lineRule="auto"/>
        <w:jc w:val="left"/>
        <w:rPr>
          <w:rFonts w:ascii="Lato" w:hAnsi="Lato"/>
        </w:rPr>
      </w:pPr>
      <w:r>
        <w:rPr>
          <w:rFonts w:ascii="Lato" w:hAnsi="Lato"/>
        </w:rPr>
        <w:br w:type="page"/>
      </w:r>
    </w:p>
    <w:p w14:paraId="1358F790" w14:textId="67199703" w:rsidR="00A274CA" w:rsidRPr="00A856C1" w:rsidRDefault="00A274CA" w:rsidP="00A856C1">
      <w:pPr>
        <w:pStyle w:val="Legenda"/>
        <w:keepNext/>
        <w:spacing w:after="120" w:line="276" w:lineRule="auto"/>
        <w:rPr>
          <w:rFonts w:ascii="Lato" w:eastAsia="Malgun Gothic" w:hAnsi="Lato"/>
          <w:b w:val="0"/>
          <w:bCs w:val="0"/>
          <w:iCs/>
          <w:color w:val="000000" w:themeColor="text1"/>
          <w:sz w:val="22"/>
          <w:szCs w:val="22"/>
        </w:rPr>
      </w:pPr>
      <w:r w:rsidRPr="00A856C1">
        <w:rPr>
          <w:rFonts w:ascii="Lato" w:eastAsia="Malgun Gothic" w:hAnsi="Lato"/>
          <w:bCs w:val="0"/>
          <w:iCs/>
          <w:color w:val="000000" w:themeColor="text1"/>
          <w:sz w:val="22"/>
          <w:szCs w:val="22"/>
        </w:rPr>
        <w:lastRenderedPageBreak/>
        <w:t xml:space="preserve">Tabela </w:t>
      </w:r>
      <w:r w:rsidR="002C139B">
        <w:rPr>
          <w:rFonts w:ascii="Lato" w:eastAsia="Malgun Gothic" w:hAnsi="Lato"/>
          <w:bCs w:val="0"/>
          <w:iCs/>
          <w:color w:val="000000" w:themeColor="text1"/>
          <w:sz w:val="22"/>
          <w:szCs w:val="22"/>
        </w:rPr>
        <w:t>11</w:t>
      </w:r>
      <w:r w:rsidR="00AD18AB">
        <w:rPr>
          <w:rFonts w:ascii="Lato" w:eastAsia="Malgun Gothic" w:hAnsi="Lato"/>
          <w:bCs w:val="0"/>
          <w:iCs/>
          <w:color w:val="000000" w:themeColor="text1"/>
          <w:sz w:val="22"/>
          <w:szCs w:val="22"/>
        </w:rPr>
        <w:t>.</w:t>
      </w:r>
      <w:r w:rsidRPr="00A856C1">
        <w:rPr>
          <w:rFonts w:ascii="Lato" w:eastAsia="Malgun Gothic" w:hAnsi="Lato"/>
          <w:bCs w:val="0"/>
          <w:iCs/>
          <w:color w:val="000000" w:themeColor="text1"/>
          <w:sz w:val="22"/>
          <w:szCs w:val="22"/>
        </w:rPr>
        <w:t xml:space="preserve"> Zu</w:t>
      </w:r>
      <w:r w:rsidRPr="00A856C1">
        <w:rPr>
          <w:rFonts w:ascii="Lato" w:eastAsia="Malgun Gothic" w:hAnsi="Lato" w:cs="Calibri"/>
          <w:bCs w:val="0"/>
          <w:iCs/>
          <w:color w:val="000000" w:themeColor="text1"/>
          <w:sz w:val="22"/>
          <w:szCs w:val="22"/>
        </w:rPr>
        <w:t>ż</w:t>
      </w:r>
      <w:r w:rsidRPr="00A856C1">
        <w:rPr>
          <w:rFonts w:ascii="Lato" w:eastAsia="Malgun Gothic" w:hAnsi="Lato"/>
          <w:bCs w:val="0"/>
          <w:iCs/>
          <w:color w:val="000000" w:themeColor="text1"/>
          <w:sz w:val="22"/>
          <w:szCs w:val="22"/>
        </w:rPr>
        <w:t>ycie gazu ziemnego przez elektrownie i elektrociep</w:t>
      </w:r>
      <w:r w:rsidRPr="00A856C1">
        <w:rPr>
          <w:rFonts w:ascii="Lato" w:eastAsia="Malgun Gothic" w:hAnsi="Lato" w:cs="Malgun Gothic"/>
          <w:bCs w:val="0"/>
          <w:iCs/>
          <w:color w:val="000000" w:themeColor="text1"/>
          <w:sz w:val="22"/>
          <w:szCs w:val="22"/>
        </w:rPr>
        <w:t>ł</w:t>
      </w:r>
      <w:r w:rsidRPr="00A856C1">
        <w:rPr>
          <w:rFonts w:ascii="Lato" w:eastAsia="Malgun Gothic" w:hAnsi="Lato"/>
          <w:bCs w:val="0"/>
          <w:iCs/>
          <w:color w:val="000000" w:themeColor="text1"/>
          <w:sz w:val="22"/>
          <w:szCs w:val="22"/>
        </w:rPr>
        <w:t>ownie</w:t>
      </w:r>
    </w:p>
    <w:tbl>
      <w:tblPr>
        <w:tblStyle w:val="Tabela-Siatka1"/>
        <w:tblW w:w="8931" w:type="dxa"/>
        <w:jc w:val="center"/>
        <w:tblLayout w:type="fixed"/>
        <w:tblLook w:val="04A0" w:firstRow="1" w:lastRow="0" w:firstColumn="1" w:lastColumn="0" w:noHBand="0" w:noVBand="1"/>
      </w:tblPr>
      <w:tblGrid>
        <w:gridCol w:w="1702"/>
        <w:gridCol w:w="1984"/>
        <w:gridCol w:w="1843"/>
        <w:gridCol w:w="1418"/>
        <w:gridCol w:w="1984"/>
      </w:tblGrid>
      <w:tr w:rsidR="006330A8" w:rsidRPr="0064664A" w14:paraId="536E4076" w14:textId="77777777">
        <w:trPr>
          <w:trHeight w:val="704"/>
          <w:jc w:val="center"/>
        </w:trPr>
        <w:tc>
          <w:tcPr>
            <w:tcW w:w="1702" w:type="dxa"/>
            <w:vMerge w:val="restart"/>
            <w:tcBorders>
              <w:bottom w:val="single" w:sz="4" w:space="0" w:color="auto"/>
            </w:tcBorders>
            <w:vAlign w:val="center"/>
          </w:tcPr>
          <w:p w14:paraId="034EE0D9" w14:textId="77777777" w:rsidR="006330A8" w:rsidRPr="00DD5712" w:rsidRDefault="006330A8">
            <w:pPr>
              <w:spacing w:line="276" w:lineRule="auto"/>
              <w:jc w:val="center"/>
              <w:rPr>
                <w:rFonts w:ascii="Lato" w:eastAsia="Malgun Gothic" w:hAnsi="Lato"/>
                <w:b/>
                <w:bCs/>
                <w:sz w:val="16"/>
                <w:szCs w:val="16"/>
              </w:rPr>
            </w:pPr>
            <w:r w:rsidRPr="00DD5712">
              <w:rPr>
                <w:rFonts w:ascii="Lato" w:eastAsia="Malgun Gothic" w:hAnsi="Lato"/>
                <w:b/>
                <w:bCs/>
                <w:sz w:val="16"/>
                <w:szCs w:val="16"/>
              </w:rPr>
              <w:t>Jednostka</w:t>
            </w:r>
          </w:p>
        </w:tc>
        <w:tc>
          <w:tcPr>
            <w:tcW w:w="1984" w:type="dxa"/>
            <w:vMerge w:val="restart"/>
            <w:tcBorders>
              <w:bottom w:val="single" w:sz="4" w:space="0" w:color="auto"/>
            </w:tcBorders>
            <w:vAlign w:val="center"/>
          </w:tcPr>
          <w:p w14:paraId="041497B6" w14:textId="35A45629" w:rsidR="006330A8" w:rsidRPr="00DD5712" w:rsidRDefault="006330A8">
            <w:pPr>
              <w:spacing w:line="276" w:lineRule="auto"/>
              <w:jc w:val="center"/>
              <w:rPr>
                <w:rFonts w:ascii="Lato" w:eastAsia="Malgun Gothic" w:hAnsi="Lato"/>
                <w:b/>
                <w:bCs/>
                <w:sz w:val="16"/>
                <w:szCs w:val="16"/>
              </w:rPr>
            </w:pPr>
            <w:r w:rsidRPr="00DD5712">
              <w:rPr>
                <w:rFonts w:ascii="Lato" w:eastAsia="Malgun Gothic" w:hAnsi="Lato"/>
                <w:b/>
                <w:bCs/>
                <w:sz w:val="16"/>
                <w:szCs w:val="16"/>
              </w:rPr>
              <w:t>Rodzaj paliw gazow</w:t>
            </w:r>
            <w:r w:rsidR="00E270EB">
              <w:rPr>
                <w:rFonts w:ascii="Lato" w:eastAsia="Malgun Gothic" w:hAnsi="Lato"/>
                <w:b/>
                <w:bCs/>
                <w:sz w:val="16"/>
                <w:szCs w:val="16"/>
              </w:rPr>
              <w:t>ych</w:t>
            </w:r>
          </w:p>
        </w:tc>
        <w:tc>
          <w:tcPr>
            <w:tcW w:w="1843" w:type="dxa"/>
            <w:vMerge w:val="restart"/>
            <w:tcBorders>
              <w:bottom w:val="single" w:sz="4" w:space="0" w:color="auto"/>
            </w:tcBorders>
            <w:vAlign w:val="center"/>
          </w:tcPr>
          <w:p w14:paraId="250CE169" w14:textId="77777777" w:rsidR="006330A8" w:rsidRPr="00DD5712" w:rsidRDefault="006330A8">
            <w:pPr>
              <w:spacing w:line="276" w:lineRule="auto"/>
              <w:jc w:val="center"/>
              <w:rPr>
                <w:rFonts w:ascii="Lato" w:eastAsia="Malgun Gothic" w:hAnsi="Lato"/>
                <w:b/>
                <w:bCs/>
                <w:sz w:val="16"/>
                <w:szCs w:val="16"/>
              </w:rPr>
            </w:pPr>
            <w:r w:rsidRPr="00DD5712">
              <w:rPr>
                <w:rFonts w:ascii="Lato" w:eastAsia="Malgun Gothic" w:hAnsi="Lato"/>
                <w:b/>
                <w:bCs/>
                <w:sz w:val="16"/>
                <w:szCs w:val="16"/>
              </w:rPr>
              <w:t>Rodzaj jednostki wytwórczej</w:t>
            </w:r>
          </w:p>
        </w:tc>
        <w:tc>
          <w:tcPr>
            <w:tcW w:w="1418" w:type="dxa"/>
            <w:tcBorders>
              <w:bottom w:val="single" w:sz="4" w:space="0" w:color="auto"/>
            </w:tcBorders>
            <w:vAlign w:val="center"/>
          </w:tcPr>
          <w:p w14:paraId="7A303DC4" w14:textId="77777777" w:rsidR="006330A8" w:rsidRPr="00DD5712" w:rsidRDefault="006330A8">
            <w:pPr>
              <w:spacing w:line="276" w:lineRule="auto"/>
              <w:jc w:val="center"/>
              <w:rPr>
                <w:rFonts w:ascii="Lato" w:eastAsia="Malgun Gothic" w:hAnsi="Lato"/>
                <w:b/>
                <w:bCs/>
                <w:sz w:val="16"/>
                <w:szCs w:val="16"/>
              </w:rPr>
            </w:pPr>
            <w:r w:rsidRPr="00DD5712">
              <w:rPr>
                <w:rFonts w:ascii="Lato" w:eastAsia="Malgun Gothic" w:hAnsi="Lato"/>
                <w:b/>
                <w:bCs/>
                <w:sz w:val="16"/>
                <w:szCs w:val="16"/>
              </w:rPr>
              <w:t>Moc osiągalna</w:t>
            </w:r>
          </w:p>
        </w:tc>
        <w:tc>
          <w:tcPr>
            <w:tcW w:w="1984" w:type="dxa"/>
            <w:vMerge w:val="restart"/>
            <w:tcBorders>
              <w:bottom w:val="single" w:sz="4" w:space="0" w:color="auto"/>
            </w:tcBorders>
            <w:vAlign w:val="center"/>
          </w:tcPr>
          <w:p w14:paraId="27BE87D8" w14:textId="77777777" w:rsidR="006330A8" w:rsidRPr="00DD5712" w:rsidRDefault="006330A8">
            <w:pPr>
              <w:spacing w:line="276" w:lineRule="auto"/>
              <w:jc w:val="center"/>
              <w:rPr>
                <w:rFonts w:ascii="Lato" w:eastAsia="Malgun Gothic" w:hAnsi="Lato"/>
                <w:b/>
                <w:bCs/>
                <w:sz w:val="16"/>
                <w:szCs w:val="16"/>
              </w:rPr>
            </w:pPr>
            <w:r w:rsidRPr="00DD5712">
              <w:rPr>
                <w:rFonts w:ascii="Lato" w:eastAsia="Malgun Gothic" w:hAnsi="Lato"/>
                <w:b/>
                <w:bCs/>
                <w:sz w:val="16"/>
                <w:szCs w:val="16"/>
              </w:rPr>
              <w:t>Maksymalne dobowe zużycie gazu ziemnego w 2022 r. [tys. m³]</w:t>
            </w:r>
          </w:p>
        </w:tc>
      </w:tr>
      <w:tr w:rsidR="006330A8" w:rsidRPr="0064664A" w14:paraId="0F3E4518" w14:textId="77777777">
        <w:trPr>
          <w:trHeight w:val="395"/>
          <w:jc w:val="center"/>
        </w:trPr>
        <w:tc>
          <w:tcPr>
            <w:tcW w:w="1702" w:type="dxa"/>
            <w:vMerge/>
            <w:tcBorders>
              <w:bottom w:val="single" w:sz="4" w:space="0" w:color="auto"/>
            </w:tcBorders>
            <w:vAlign w:val="center"/>
          </w:tcPr>
          <w:p w14:paraId="47ABC449" w14:textId="77777777" w:rsidR="006330A8" w:rsidRPr="00DD5712" w:rsidRDefault="006330A8">
            <w:pPr>
              <w:spacing w:line="276" w:lineRule="auto"/>
              <w:jc w:val="center"/>
              <w:rPr>
                <w:rFonts w:ascii="Lato" w:hAnsi="Lato" w:cs="Arial"/>
                <w:b/>
                <w:bCs/>
                <w:sz w:val="16"/>
                <w:szCs w:val="16"/>
              </w:rPr>
            </w:pPr>
          </w:p>
        </w:tc>
        <w:tc>
          <w:tcPr>
            <w:tcW w:w="1984" w:type="dxa"/>
            <w:vMerge/>
            <w:tcBorders>
              <w:bottom w:val="single" w:sz="4" w:space="0" w:color="auto"/>
            </w:tcBorders>
            <w:vAlign w:val="center"/>
          </w:tcPr>
          <w:p w14:paraId="2396010F" w14:textId="77777777" w:rsidR="006330A8" w:rsidRPr="00DD5712" w:rsidRDefault="006330A8">
            <w:pPr>
              <w:spacing w:line="276" w:lineRule="auto"/>
              <w:jc w:val="center"/>
              <w:rPr>
                <w:rFonts w:ascii="Lato" w:hAnsi="Lato" w:cs="Arial"/>
                <w:b/>
                <w:bCs/>
                <w:sz w:val="16"/>
                <w:szCs w:val="16"/>
              </w:rPr>
            </w:pPr>
          </w:p>
        </w:tc>
        <w:tc>
          <w:tcPr>
            <w:tcW w:w="1843" w:type="dxa"/>
            <w:vMerge/>
            <w:tcBorders>
              <w:bottom w:val="single" w:sz="4" w:space="0" w:color="auto"/>
            </w:tcBorders>
            <w:vAlign w:val="center"/>
          </w:tcPr>
          <w:p w14:paraId="4CB35C70" w14:textId="77777777" w:rsidR="006330A8" w:rsidRPr="00DD5712" w:rsidRDefault="006330A8">
            <w:pPr>
              <w:spacing w:line="276" w:lineRule="auto"/>
              <w:jc w:val="center"/>
              <w:rPr>
                <w:rFonts w:ascii="Lato" w:eastAsia="Malgun Gothic" w:hAnsi="Lato"/>
                <w:b/>
                <w:bCs/>
                <w:sz w:val="16"/>
                <w:szCs w:val="16"/>
              </w:rPr>
            </w:pPr>
          </w:p>
        </w:tc>
        <w:tc>
          <w:tcPr>
            <w:tcW w:w="1418" w:type="dxa"/>
            <w:tcBorders>
              <w:bottom w:val="single" w:sz="4" w:space="0" w:color="auto"/>
            </w:tcBorders>
            <w:vAlign w:val="center"/>
          </w:tcPr>
          <w:p w14:paraId="17EE132D" w14:textId="77777777" w:rsidR="006330A8" w:rsidRPr="00DD5712" w:rsidRDefault="006330A8">
            <w:pPr>
              <w:spacing w:line="276" w:lineRule="auto"/>
              <w:jc w:val="center"/>
              <w:rPr>
                <w:rFonts w:ascii="Lato" w:eastAsia="Malgun Gothic" w:hAnsi="Lato"/>
                <w:b/>
                <w:bCs/>
                <w:sz w:val="16"/>
                <w:szCs w:val="16"/>
              </w:rPr>
            </w:pPr>
            <w:r w:rsidRPr="00DD5712">
              <w:rPr>
                <w:rFonts w:ascii="Lato" w:eastAsia="Malgun Gothic" w:hAnsi="Lato"/>
                <w:b/>
                <w:bCs/>
                <w:sz w:val="16"/>
                <w:szCs w:val="16"/>
              </w:rPr>
              <w:t>[MW]</w:t>
            </w:r>
          </w:p>
        </w:tc>
        <w:tc>
          <w:tcPr>
            <w:tcW w:w="1984" w:type="dxa"/>
            <w:vMerge/>
            <w:tcBorders>
              <w:bottom w:val="single" w:sz="4" w:space="0" w:color="auto"/>
            </w:tcBorders>
            <w:vAlign w:val="center"/>
          </w:tcPr>
          <w:p w14:paraId="23625AB3" w14:textId="77777777" w:rsidR="006330A8" w:rsidRPr="00DD5712" w:rsidRDefault="006330A8">
            <w:pPr>
              <w:spacing w:line="276" w:lineRule="auto"/>
              <w:jc w:val="center"/>
              <w:rPr>
                <w:rFonts w:ascii="Lato" w:eastAsia="Malgun Gothic" w:hAnsi="Lato"/>
                <w:b/>
                <w:bCs/>
                <w:sz w:val="16"/>
                <w:szCs w:val="16"/>
              </w:rPr>
            </w:pPr>
          </w:p>
        </w:tc>
      </w:tr>
      <w:tr w:rsidR="006330A8" w:rsidRPr="0064664A" w14:paraId="237276CB" w14:textId="77777777">
        <w:trPr>
          <w:trHeight w:val="315"/>
          <w:jc w:val="center"/>
        </w:trPr>
        <w:tc>
          <w:tcPr>
            <w:tcW w:w="1702" w:type="dxa"/>
            <w:vAlign w:val="center"/>
          </w:tcPr>
          <w:p w14:paraId="62ED68CE" w14:textId="77777777" w:rsidR="006330A8" w:rsidRPr="00DD5712" w:rsidRDefault="006330A8">
            <w:pPr>
              <w:spacing w:line="276" w:lineRule="auto"/>
              <w:jc w:val="center"/>
              <w:rPr>
                <w:rFonts w:ascii="Lato" w:eastAsia="Malgun Gothic" w:hAnsi="Lato"/>
                <w:sz w:val="16"/>
                <w:szCs w:val="16"/>
              </w:rPr>
            </w:pPr>
            <w:r w:rsidRPr="00DD5712">
              <w:rPr>
                <w:rFonts w:ascii="Lato" w:eastAsia="Malgun Gothic" w:hAnsi="Lato"/>
                <w:sz w:val="16"/>
                <w:szCs w:val="16"/>
              </w:rPr>
              <w:t>EC Płock</w:t>
            </w:r>
          </w:p>
        </w:tc>
        <w:tc>
          <w:tcPr>
            <w:tcW w:w="1984" w:type="dxa"/>
            <w:vAlign w:val="center"/>
          </w:tcPr>
          <w:p w14:paraId="48DAA4CA" w14:textId="77777777" w:rsidR="006330A8" w:rsidRPr="00DD5712" w:rsidRDefault="006330A8">
            <w:pPr>
              <w:spacing w:line="276" w:lineRule="auto"/>
              <w:jc w:val="center"/>
              <w:rPr>
                <w:rFonts w:ascii="Lato" w:eastAsia="Malgun Gothic" w:hAnsi="Lato"/>
                <w:sz w:val="16"/>
                <w:szCs w:val="16"/>
              </w:rPr>
            </w:pPr>
            <w:r w:rsidRPr="00DD5712">
              <w:rPr>
                <w:rFonts w:ascii="Lato" w:eastAsia="Malgun Gothic" w:hAnsi="Lato"/>
                <w:sz w:val="16"/>
                <w:szCs w:val="16"/>
              </w:rPr>
              <w:t>Gaz ziemny wysokometanowy</w:t>
            </w:r>
          </w:p>
        </w:tc>
        <w:tc>
          <w:tcPr>
            <w:tcW w:w="1843" w:type="dxa"/>
            <w:vAlign w:val="center"/>
          </w:tcPr>
          <w:p w14:paraId="06F0C030" w14:textId="77777777" w:rsidR="006330A8" w:rsidRPr="00DD5712" w:rsidRDefault="006330A8">
            <w:pPr>
              <w:spacing w:line="276" w:lineRule="auto"/>
              <w:jc w:val="center"/>
              <w:rPr>
                <w:rFonts w:ascii="Lato" w:eastAsia="Malgun Gothic" w:hAnsi="Lato"/>
                <w:sz w:val="16"/>
                <w:szCs w:val="16"/>
              </w:rPr>
            </w:pPr>
            <w:r w:rsidRPr="00DD5712">
              <w:rPr>
                <w:rFonts w:ascii="Lato" w:hAnsi="Lato" w:cs="Arial"/>
                <w:sz w:val="16"/>
                <w:szCs w:val="16"/>
              </w:rPr>
              <w:t>JWCD</w:t>
            </w:r>
          </w:p>
        </w:tc>
        <w:tc>
          <w:tcPr>
            <w:tcW w:w="1418" w:type="dxa"/>
            <w:vAlign w:val="center"/>
          </w:tcPr>
          <w:p w14:paraId="5D09AD01" w14:textId="77777777" w:rsidR="006330A8" w:rsidRPr="00DD5712" w:rsidRDefault="006330A8">
            <w:pPr>
              <w:spacing w:line="276" w:lineRule="auto"/>
              <w:jc w:val="center"/>
              <w:rPr>
                <w:rFonts w:ascii="Lato" w:eastAsia="Malgun Gothic" w:hAnsi="Lato"/>
                <w:sz w:val="16"/>
                <w:szCs w:val="16"/>
              </w:rPr>
            </w:pPr>
            <w:r w:rsidRPr="00DD5712">
              <w:rPr>
                <w:rFonts w:ascii="Lato" w:eastAsia="Malgun Gothic" w:hAnsi="Lato"/>
                <w:sz w:val="16"/>
                <w:szCs w:val="16"/>
              </w:rPr>
              <w:t>630</w:t>
            </w:r>
          </w:p>
        </w:tc>
        <w:tc>
          <w:tcPr>
            <w:tcW w:w="1984" w:type="dxa"/>
            <w:vAlign w:val="center"/>
          </w:tcPr>
          <w:p w14:paraId="573EE8B6" w14:textId="77777777" w:rsidR="006330A8" w:rsidRPr="00DD5712" w:rsidRDefault="006330A8">
            <w:pPr>
              <w:spacing w:line="276" w:lineRule="auto"/>
              <w:jc w:val="center"/>
              <w:rPr>
                <w:rFonts w:ascii="Lato" w:eastAsia="Malgun Gothic" w:hAnsi="Lato"/>
                <w:sz w:val="16"/>
                <w:szCs w:val="16"/>
              </w:rPr>
            </w:pPr>
            <w:r w:rsidRPr="00DD5712">
              <w:rPr>
                <w:rFonts w:ascii="Lato" w:eastAsia="Malgun Gothic" w:hAnsi="Lato"/>
                <w:sz w:val="16"/>
                <w:szCs w:val="16"/>
              </w:rPr>
              <w:t>2 282</w:t>
            </w:r>
          </w:p>
        </w:tc>
      </w:tr>
      <w:tr w:rsidR="006330A8" w:rsidRPr="0064664A" w14:paraId="0A182DF6" w14:textId="77777777">
        <w:trPr>
          <w:trHeight w:val="333"/>
          <w:jc w:val="center"/>
        </w:trPr>
        <w:tc>
          <w:tcPr>
            <w:tcW w:w="1702" w:type="dxa"/>
            <w:vAlign w:val="center"/>
          </w:tcPr>
          <w:p w14:paraId="79441A11" w14:textId="77777777" w:rsidR="006330A8" w:rsidRPr="00DD5712" w:rsidRDefault="006330A8">
            <w:pPr>
              <w:spacing w:line="276" w:lineRule="auto"/>
              <w:jc w:val="center"/>
              <w:rPr>
                <w:rFonts w:ascii="Lato" w:eastAsia="Malgun Gothic" w:hAnsi="Lato"/>
                <w:sz w:val="16"/>
                <w:szCs w:val="16"/>
              </w:rPr>
            </w:pPr>
            <w:r w:rsidRPr="00DD5712">
              <w:rPr>
                <w:rFonts w:ascii="Lato" w:hAnsi="Lato" w:cs="Arial"/>
                <w:sz w:val="16"/>
                <w:szCs w:val="16"/>
              </w:rPr>
              <w:t>EC Rzeszów -Pasywna</w:t>
            </w:r>
          </w:p>
        </w:tc>
        <w:tc>
          <w:tcPr>
            <w:tcW w:w="1984" w:type="dxa"/>
            <w:vAlign w:val="center"/>
          </w:tcPr>
          <w:p w14:paraId="44A8F397" w14:textId="77777777" w:rsidR="006330A8" w:rsidRPr="00DD5712" w:rsidRDefault="006330A8">
            <w:pPr>
              <w:spacing w:line="276" w:lineRule="auto"/>
              <w:jc w:val="center"/>
              <w:rPr>
                <w:rFonts w:ascii="Lato" w:eastAsia="Malgun Gothic" w:hAnsi="Lato"/>
                <w:sz w:val="16"/>
                <w:szCs w:val="16"/>
              </w:rPr>
            </w:pPr>
            <w:r w:rsidRPr="00DD5712">
              <w:rPr>
                <w:rFonts w:ascii="Lato" w:eastAsia="Malgun Gothic" w:hAnsi="Lato"/>
                <w:sz w:val="16"/>
                <w:szCs w:val="16"/>
              </w:rPr>
              <w:t>Gaz ziemny wysokometanowy</w:t>
            </w:r>
          </w:p>
        </w:tc>
        <w:tc>
          <w:tcPr>
            <w:tcW w:w="1843" w:type="dxa"/>
            <w:vAlign w:val="center"/>
          </w:tcPr>
          <w:p w14:paraId="2095B39C" w14:textId="77777777" w:rsidR="006330A8" w:rsidRPr="00DD5712" w:rsidRDefault="006330A8">
            <w:pPr>
              <w:spacing w:line="276" w:lineRule="auto"/>
              <w:jc w:val="center"/>
              <w:rPr>
                <w:rFonts w:ascii="Lato" w:eastAsia="Malgun Gothic" w:hAnsi="Lato"/>
                <w:sz w:val="16"/>
                <w:szCs w:val="16"/>
              </w:rPr>
            </w:pPr>
            <w:r w:rsidRPr="00DD5712">
              <w:rPr>
                <w:rFonts w:ascii="Lato" w:eastAsia="Malgun Gothic" w:hAnsi="Lato"/>
                <w:sz w:val="16"/>
                <w:szCs w:val="16"/>
              </w:rPr>
              <w:t>nJWCD</w:t>
            </w:r>
          </w:p>
        </w:tc>
        <w:tc>
          <w:tcPr>
            <w:tcW w:w="1418" w:type="dxa"/>
            <w:vAlign w:val="center"/>
          </w:tcPr>
          <w:p w14:paraId="2A1833A7" w14:textId="77777777" w:rsidR="006330A8" w:rsidRPr="00DD5712" w:rsidRDefault="006330A8">
            <w:pPr>
              <w:spacing w:line="276" w:lineRule="auto"/>
              <w:jc w:val="center"/>
              <w:rPr>
                <w:rFonts w:ascii="Lato" w:eastAsia="Malgun Gothic" w:hAnsi="Lato"/>
                <w:sz w:val="16"/>
                <w:szCs w:val="16"/>
              </w:rPr>
            </w:pPr>
            <w:r w:rsidRPr="00DD5712">
              <w:rPr>
                <w:rFonts w:ascii="Lato" w:eastAsia="Malgun Gothic" w:hAnsi="Lato"/>
                <w:sz w:val="16"/>
                <w:szCs w:val="16"/>
              </w:rPr>
              <w:t>101</w:t>
            </w:r>
          </w:p>
        </w:tc>
        <w:tc>
          <w:tcPr>
            <w:tcW w:w="1984" w:type="dxa"/>
            <w:vAlign w:val="center"/>
          </w:tcPr>
          <w:p w14:paraId="7D82482F" w14:textId="77777777" w:rsidR="006330A8" w:rsidRPr="00DD5712" w:rsidRDefault="006330A8">
            <w:pPr>
              <w:spacing w:line="276" w:lineRule="auto"/>
              <w:jc w:val="center"/>
              <w:rPr>
                <w:rFonts w:ascii="Lato" w:eastAsia="Malgun Gothic" w:hAnsi="Lato"/>
                <w:sz w:val="16"/>
                <w:szCs w:val="16"/>
              </w:rPr>
            </w:pPr>
            <w:r w:rsidRPr="00DD5712">
              <w:rPr>
                <w:rFonts w:ascii="Lato" w:eastAsia="Malgun Gothic" w:hAnsi="Lato"/>
                <w:sz w:val="16"/>
                <w:szCs w:val="16"/>
              </w:rPr>
              <w:t>609</w:t>
            </w:r>
          </w:p>
        </w:tc>
      </w:tr>
      <w:tr w:rsidR="006330A8" w:rsidRPr="0064664A" w14:paraId="66FB6F49" w14:textId="77777777">
        <w:trPr>
          <w:trHeight w:val="315"/>
          <w:jc w:val="center"/>
        </w:trPr>
        <w:tc>
          <w:tcPr>
            <w:tcW w:w="1702" w:type="dxa"/>
            <w:vAlign w:val="center"/>
          </w:tcPr>
          <w:p w14:paraId="5CA7E5A5" w14:textId="77777777" w:rsidR="006330A8" w:rsidRPr="00DD5712" w:rsidRDefault="006330A8">
            <w:pPr>
              <w:spacing w:line="276" w:lineRule="auto"/>
              <w:jc w:val="center"/>
              <w:rPr>
                <w:rFonts w:ascii="Lato" w:eastAsia="Malgun Gothic" w:hAnsi="Lato"/>
                <w:sz w:val="16"/>
                <w:szCs w:val="16"/>
              </w:rPr>
            </w:pPr>
            <w:r w:rsidRPr="00DD5712">
              <w:rPr>
                <w:rFonts w:ascii="Lato" w:hAnsi="Lato" w:cs="Arial"/>
                <w:sz w:val="16"/>
                <w:szCs w:val="16"/>
              </w:rPr>
              <w:t>EC Toruń</w:t>
            </w:r>
          </w:p>
        </w:tc>
        <w:tc>
          <w:tcPr>
            <w:tcW w:w="1984" w:type="dxa"/>
            <w:vAlign w:val="center"/>
          </w:tcPr>
          <w:p w14:paraId="3021DC62" w14:textId="77777777" w:rsidR="006330A8" w:rsidRPr="00DD5712" w:rsidRDefault="006330A8">
            <w:pPr>
              <w:spacing w:line="276" w:lineRule="auto"/>
              <w:jc w:val="center"/>
              <w:rPr>
                <w:rFonts w:ascii="Lato" w:eastAsia="Malgun Gothic" w:hAnsi="Lato"/>
                <w:sz w:val="16"/>
                <w:szCs w:val="16"/>
              </w:rPr>
            </w:pPr>
            <w:r w:rsidRPr="00DD5712">
              <w:rPr>
                <w:rFonts w:ascii="Lato" w:eastAsia="Malgun Gothic" w:hAnsi="Lato"/>
                <w:sz w:val="16"/>
                <w:szCs w:val="16"/>
              </w:rPr>
              <w:t>Gaz ziemny wysokometanowy</w:t>
            </w:r>
          </w:p>
        </w:tc>
        <w:tc>
          <w:tcPr>
            <w:tcW w:w="1843" w:type="dxa"/>
            <w:vAlign w:val="center"/>
          </w:tcPr>
          <w:p w14:paraId="1E107598" w14:textId="77777777" w:rsidR="006330A8" w:rsidRPr="00DD5712" w:rsidRDefault="006330A8">
            <w:pPr>
              <w:spacing w:line="276" w:lineRule="auto"/>
              <w:jc w:val="center"/>
              <w:rPr>
                <w:rFonts w:ascii="Lato" w:eastAsia="Malgun Gothic" w:hAnsi="Lato"/>
                <w:sz w:val="16"/>
                <w:szCs w:val="16"/>
              </w:rPr>
            </w:pPr>
            <w:r w:rsidRPr="00DD5712">
              <w:rPr>
                <w:rFonts w:ascii="Lato" w:eastAsia="Malgun Gothic" w:hAnsi="Lato"/>
                <w:sz w:val="16"/>
                <w:szCs w:val="16"/>
              </w:rPr>
              <w:t>nJWCD</w:t>
            </w:r>
          </w:p>
        </w:tc>
        <w:tc>
          <w:tcPr>
            <w:tcW w:w="1418" w:type="dxa"/>
            <w:vAlign w:val="center"/>
          </w:tcPr>
          <w:p w14:paraId="787C0176" w14:textId="77777777" w:rsidR="006330A8" w:rsidRPr="00DD5712" w:rsidRDefault="006330A8">
            <w:pPr>
              <w:spacing w:line="276" w:lineRule="auto"/>
              <w:jc w:val="center"/>
              <w:rPr>
                <w:rFonts w:ascii="Lato" w:eastAsia="Malgun Gothic" w:hAnsi="Lato"/>
                <w:sz w:val="16"/>
                <w:szCs w:val="16"/>
              </w:rPr>
            </w:pPr>
            <w:r w:rsidRPr="00DD5712">
              <w:rPr>
                <w:rFonts w:ascii="Lato" w:eastAsia="Malgun Gothic" w:hAnsi="Lato"/>
                <w:sz w:val="16"/>
                <w:szCs w:val="16"/>
              </w:rPr>
              <w:t>101</w:t>
            </w:r>
          </w:p>
        </w:tc>
        <w:tc>
          <w:tcPr>
            <w:tcW w:w="1984" w:type="dxa"/>
            <w:vAlign w:val="center"/>
          </w:tcPr>
          <w:p w14:paraId="48510361" w14:textId="77777777" w:rsidR="006330A8" w:rsidRPr="00DD5712" w:rsidRDefault="006330A8">
            <w:pPr>
              <w:spacing w:line="276" w:lineRule="auto"/>
              <w:jc w:val="center"/>
              <w:rPr>
                <w:rFonts w:ascii="Lato" w:eastAsia="Malgun Gothic" w:hAnsi="Lato"/>
                <w:sz w:val="16"/>
                <w:szCs w:val="16"/>
              </w:rPr>
            </w:pPr>
            <w:r w:rsidRPr="00DD5712">
              <w:rPr>
                <w:rFonts w:ascii="Lato" w:eastAsia="Malgun Gothic" w:hAnsi="Lato"/>
                <w:sz w:val="16"/>
                <w:szCs w:val="16"/>
              </w:rPr>
              <w:t>999</w:t>
            </w:r>
          </w:p>
        </w:tc>
      </w:tr>
      <w:tr w:rsidR="006330A8" w:rsidRPr="0064664A" w14:paraId="2E4A1DF5" w14:textId="77777777">
        <w:trPr>
          <w:trHeight w:val="333"/>
          <w:jc w:val="center"/>
        </w:trPr>
        <w:tc>
          <w:tcPr>
            <w:tcW w:w="1702" w:type="dxa"/>
            <w:vAlign w:val="center"/>
          </w:tcPr>
          <w:p w14:paraId="56E9358F" w14:textId="77777777" w:rsidR="006330A8" w:rsidRPr="00DD5712" w:rsidRDefault="006330A8">
            <w:pPr>
              <w:spacing w:line="276" w:lineRule="auto"/>
              <w:jc w:val="center"/>
              <w:rPr>
                <w:rFonts w:ascii="Lato" w:eastAsia="Malgun Gothic" w:hAnsi="Lato"/>
                <w:sz w:val="16"/>
                <w:szCs w:val="16"/>
              </w:rPr>
            </w:pPr>
            <w:r w:rsidRPr="00DD5712">
              <w:rPr>
                <w:rFonts w:ascii="Lato" w:hAnsi="Lato" w:cs="Arial"/>
                <w:sz w:val="16"/>
                <w:szCs w:val="16"/>
              </w:rPr>
              <w:t>EC Włocławek</w:t>
            </w:r>
          </w:p>
        </w:tc>
        <w:tc>
          <w:tcPr>
            <w:tcW w:w="1984" w:type="dxa"/>
            <w:vAlign w:val="center"/>
          </w:tcPr>
          <w:p w14:paraId="4BB89A52" w14:textId="77777777" w:rsidR="006330A8" w:rsidRPr="00DD5712" w:rsidRDefault="006330A8">
            <w:pPr>
              <w:spacing w:line="276" w:lineRule="auto"/>
              <w:jc w:val="center"/>
              <w:rPr>
                <w:rFonts w:ascii="Lato" w:eastAsia="Malgun Gothic" w:hAnsi="Lato"/>
                <w:sz w:val="16"/>
                <w:szCs w:val="16"/>
              </w:rPr>
            </w:pPr>
            <w:r w:rsidRPr="00DD5712">
              <w:rPr>
                <w:rFonts w:ascii="Lato" w:eastAsia="Malgun Gothic" w:hAnsi="Lato"/>
                <w:sz w:val="16"/>
                <w:szCs w:val="16"/>
              </w:rPr>
              <w:t>Gaz ziemny wysokometanowy</w:t>
            </w:r>
          </w:p>
        </w:tc>
        <w:tc>
          <w:tcPr>
            <w:tcW w:w="1843" w:type="dxa"/>
            <w:vAlign w:val="center"/>
          </w:tcPr>
          <w:p w14:paraId="040520CC" w14:textId="77777777" w:rsidR="006330A8" w:rsidRPr="00DD5712" w:rsidRDefault="006330A8">
            <w:pPr>
              <w:spacing w:line="276" w:lineRule="auto"/>
              <w:jc w:val="center"/>
              <w:rPr>
                <w:rFonts w:ascii="Lato" w:eastAsia="Malgun Gothic" w:hAnsi="Lato"/>
                <w:sz w:val="16"/>
                <w:szCs w:val="16"/>
              </w:rPr>
            </w:pPr>
            <w:r w:rsidRPr="00DD5712">
              <w:rPr>
                <w:rFonts w:ascii="Lato" w:hAnsi="Lato" w:cs="Arial"/>
                <w:sz w:val="16"/>
                <w:szCs w:val="16"/>
              </w:rPr>
              <w:t>JWCD</w:t>
            </w:r>
          </w:p>
        </w:tc>
        <w:tc>
          <w:tcPr>
            <w:tcW w:w="1418" w:type="dxa"/>
            <w:vAlign w:val="center"/>
          </w:tcPr>
          <w:p w14:paraId="53C7DFE4" w14:textId="77777777" w:rsidR="006330A8" w:rsidRPr="00DD5712" w:rsidRDefault="006330A8">
            <w:pPr>
              <w:spacing w:line="276" w:lineRule="auto"/>
              <w:jc w:val="center"/>
              <w:rPr>
                <w:rFonts w:ascii="Lato" w:eastAsia="Malgun Gothic" w:hAnsi="Lato"/>
                <w:sz w:val="16"/>
                <w:szCs w:val="16"/>
              </w:rPr>
            </w:pPr>
            <w:r w:rsidRPr="00DD5712">
              <w:rPr>
                <w:rFonts w:ascii="Lato" w:eastAsia="Malgun Gothic" w:hAnsi="Lato"/>
                <w:sz w:val="16"/>
                <w:szCs w:val="16"/>
              </w:rPr>
              <w:t>465</w:t>
            </w:r>
          </w:p>
        </w:tc>
        <w:tc>
          <w:tcPr>
            <w:tcW w:w="1984" w:type="dxa"/>
            <w:vAlign w:val="center"/>
          </w:tcPr>
          <w:p w14:paraId="35E506FE" w14:textId="77777777" w:rsidR="006330A8" w:rsidRPr="00DD5712" w:rsidRDefault="006330A8">
            <w:pPr>
              <w:spacing w:line="276" w:lineRule="auto"/>
              <w:jc w:val="center"/>
              <w:rPr>
                <w:rFonts w:ascii="Lato" w:eastAsia="Malgun Gothic" w:hAnsi="Lato"/>
                <w:sz w:val="16"/>
                <w:szCs w:val="16"/>
              </w:rPr>
            </w:pPr>
            <w:r w:rsidRPr="00DD5712">
              <w:rPr>
                <w:rFonts w:ascii="Lato" w:eastAsia="Malgun Gothic" w:hAnsi="Lato"/>
                <w:sz w:val="16"/>
                <w:szCs w:val="16"/>
              </w:rPr>
              <w:t>1 743</w:t>
            </w:r>
          </w:p>
        </w:tc>
      </w:tr>
      <w:tr w:rsidR="006330A8" w:rsidRPr="0064664A" w14:paraId="0B56CF55" w14:textId="77777777">
        <w:trPr>
          <w:trHeight w:val="315"/>
          <w:jc w:val="center"/>
        </w:trPr>
        <w:tc>
          <w:tcPr>
            <w:tcW w:w="1702" w:type="dxa"/>
            <w:vAlign w:val="center"/>
          </w:tcPr>
          <w:p w14:paraId="6C6C181E" w14:textId="77777777" w:rsidR="006330A8" w:rsidRPr="00DD5712" w:rsidRDefault="006330A8">
            <w:pPr>
              <w:spacing w:line="276" w:lineRule="auto"/>
              <w:jc w:val="center"/>
              <w:rPr>
                <w:rFonts w:ascii="Lato" w:eastAsia="Malgun Gothic" w:hAnsi="Lato"/>
                <w:sz w:val="16"/>
                <w:szCs w:val="16"/>
              </w:rPr>
            </w:pPr>
            <w:r w:rsidRPr="00DD5712">
              <w:rPr>
                <w:rFonts w:ascii="Lato" w:hAnsi="Lato" w:cs="Arial"/>
                <w:sz w:val="16"/>
                <w:szCs w:val="16"/>
              </w:rPr>
              <w:t>EC Wrotków -Pasywna</w:t>
            </w:r>
          </w:p>
        </w:tc>
        <w:tc>
          <w:tcPr>
            <w:tcW w:w="1984" w:type="dxa"/>
            <w:vAlign w:val="center"/>
          </w:tcPr>
          <w:p w14:paraId="09E6281E" w14:textId="77777777" w:rsidR="006330A8" w:rsidRPr="00DD5712" w:rsidRDefault="006330A8">
            <w:pPr>
              <w:spacing w:line="276" w:lineRule="auto"/>
              <w:jc w:val="center"/>
              <w:rPr>
                <w:rFonts w:ascii="Lato" w:eastAsia="Malgun Gothic" w:hAnsi="Lato"/>
                <w:sz w:val="16"/>
                <w:szCs w:val="16"/>
              </w:rPr>
            </w:pPr>
            <w:r w:rsidRPr="00DD5712">
              <w:rPr>
                <w:rFonts w:ascii="Lato" w:eastAsia="Malgun Gothic" w:hAnsi="Lato"/>
                <w:sz w:val="16"/>
                <w:szCs w:val="16"/>
              </w:rPr>
              <w:t>Gaz ziemny wysokometanowy</w:t>
            </w:r>
          </w:p>
        </w:tc>
        <w:tc>
          <w:tcPr>
            <w:tcW w:w="1843" w:type="dxa"/>
            <w:vAlign w:val="center"/>
          </w:tcPr>
          <w:p w14:paraId="5D9DCC0E" w14:textId="77777777" w:rsidR="006330A8" w:rsidRPr="00DD5712" w:rsidRDefault="006330A8">
            <w:pPr>
              <w:spacing w:line="276" w:lineRule="auto"/>
              <w:jc w:val="center"/>
              <w:rPr>
                <w:rFonts w:ascii="Lato" w:eastAsia="Malgun Gothic" w:hAnsi="Lato"/>
                <w:sz w:val="16"/>
                <w:szCs w:val="16"/>
              </w:rPr>
            </w:pPr>
            <w:r w:rsidRPr="00DD5712">
              <w:rPr>
                <w:rFonts w:ascii="Lato" w:eastAsia="Malgun Gothic" w:hAnsi="Lato"/>
                <w:sz w:val="16"/>
                <w:szCs w:val="16"/>
              </w:rPr>
              <w:t>nJWCD</w:t>
            </w:r>
          </w:p>
        </w:tc>
        <w:tc>
          <w:tcPr>
            <w:tcW w:w="1418" w:type="dxa"/>
            <w:vAlign w:val="center"/>
          </w:tcPr>
          <w:p w14:paraId="09AA2808" w14:textId="77777777" w:rsidR="006330A8" w:rsidRPr="00DD5712" w:rsidRDefault="006330A8">
            <w:pPr>
              <w:spacing w:line="276" w:lineRule="auto"/>
              <w:jc w:val="center"/>
              <w:rPr>
                <w:rFonts w:ascii="Lato" w:eastAsia="Malgun Gothic" w:hAnsi="Lato"/>
                <w:sz w:val="16"/>
                <w:szCs w:val="16"/>
              </w:rPr>
            </w:pPr>
            <w:r w:rsidRPr="00DD5712">
              <w:rPr>
                <w:rFonts w:ascii="Lato" w:eastAsia="Malgun Gothic" w:hAnsi="Lato"/>
                <w:sz w:val="16"/>
                <w:szCs w:val="16"/>
              </w:rPr>
              <w:t>231</w:t>
            </w:r>
          </w:p>
        </w:tc>
        <w:tc>
          <w:tcPr>
            <w:tcW w:w="1984" w:type="dxa"/>
            <w:vAlign w:val="center"/>
          </w:tcPr>
          <w:p w14:paraId="5FCE6072" w14:textId="77777777" w:rsidR="006330A8" w:rsidRPr="00DD5712" w:rsidRDefault="006330A8">
            <w:pPr>
              <w:spacing w:line="276" w:lineRule="auto"/>
              <w:jc w:val="center"/>
              <w:rPr>
                <w:rFonts w:ascii="Lato" w:eastAsia="Malgun Gothic" w:hAnsi="Lato"/>
                <w:sz w:val="16"/>
                <w:szCs w:val="16"/>
              </w:rPr>
            </w:pPr>
            <w:r w:rsidRPr="00DD5712">
              <w:rPr>
                <w:rFonts w:ascii="Lato" w:eastAsia="Malgun Gothic" w:hAnsi="Lato"/>
                <w:sz w:val="16"/>
                <w:szCs w:val="16"/>
              </w:rPr>
              <w:t>1 089</w:t>
            </w:r>
          </w:p>
        </w:tc>
      </w:tr>
      <w:tr w:rsidR="006330A8" w:rsidRPr="0064664A" w14:paraId="438BD5D3" w14:textId="77777777">
        <w:trPr>
          <w:trHeight w:val="315"/>
          <w:jc w:val="center"/>
        </w:trPr>
        <w:tc>
          <w:tcPr>
            <w:tcW w:w="1702" w:type="dxa"/>
            <w:vAlign w:val="center"/>
          </w:tcPr>
          <w:p w14:paraId="1C5CA229" w14:textId="77777777" w:rsidR="006330A8" w:rsidRPr="00DD5712" w:rsidRDefault="006330A8">
            <w:pPr>
              <w:spacing w:line="276" w:lineRule="auto"/>
              <w:jc w:val="center"/>
              <w:rPr>
                <w:rFonts w:ascii="Lato" w:eastAsia="Malgun Gothic" w:hAnsi="Lato"/>
                <w:sz w:val="16"/>
                <w:szCs w:val="16"/>
              </w:rPr>
            </w:pPr>
            <w:r w:rsidRPr="00DD5712">
              <w:rPr>
                <w:rFonts w:ascii="Lato" w:hAnsi="Lato" w:cs="Arial"/>
                <w:sz w:val="16"/>
                <w:szCs w:val="16"/>
              </w:rPr>
              <w:t>EC Zielona Góra - Pasywna</w:t>
            </w:r>
          </w:p>
        </w:tc>
        <w:tc>
          <w:tcPr>
            <w:tcW w:w="1984" w:type="dxa"/>
            <w:vAlign w:val="center"/>
          </w:tcPr>
          <w:p w14:paraId="28C5ADCD" w14:textId="77777777" w:rsidR="006330A8" w:rsidRPr="00DD5712" w:rsidRDefault="006330A8">
            <w:pPr>
              <w:spacing w:line="276" w:lineRule="auto"/>
              <w:jc w:val="center"/>
              <w:rPr>
                <w:rFonts w:ascii="Lato" w:eastAsia="Malgun Gothic" w:hAnsi="Lato"/>
                <w:sz w:val="16"/>
                <w:szCs w:val="16"/>
              </w:rPr>
            </w:pPr>
            <w:r w:rsidRPr="00DD5712">
              <w:rPr>
                <w:rFonts w:ascii="Lato" w:eastAsia="Malgun Gothic" w:hAnsi="Lato"/>
                <w:sz w:val="16"/>
                <w:szCs w:val="16"/>
              </w:rPr>
              <w:t>Gaz ziemny zaazotowany</w:t>
            </w:r>
          </w:p>
        </w:tc>
        <w:tc>
          <w:tcPr>
            <w:tcW w:w="1843" w:type="dxa"/>
            <w:vAlign w:val="center"/>
          </w:tcPr>
          <w:p w14:paraId="42A96013" w14:textId="77777777" w:rsidR="006330A8" w:rsidRPr="00DD5712" w:rsidRDefault="006330A8">
            <w:pPr>
              <w:spacing w:line="276" w:lineRule="auto"/>
              <w:jc w:val="center"/>
              <w:rPr>
                <w:rFonts w:ascii="Lato" w:eastAsia="Malgun Gothic" w:hAnsi="Lato"/>
                <w:sz w:val="16"/>
                <w:szCs w:val="16"/>
              </w:rPr>
            </w:pPr>
            <w:r w:rsidRPr="00DD5712">
              <w:rPr>
                <w:rFonts w:ascii="Lato" w:eastAsia="Malgun Gothic" w:hAnsi="Lato"/>
                <w:sz w:val="16"/>
                <w:szCs w:val="16"/>
              </w:rPr>
              <w:t>nJWCD</w:t>
            </w:r>
          </w:p>
        </w:tc>
        <w:tc>
          <w:tcPr>
            <w:tcW w:w="1418" w:type="dxa"/>
            <w:vAlign w:val="center"/>
          </w:tcPr>
          <w:p w14:paraId="76D78121" w14:textId="77777777" w:rsidR="006330A8" w:rsidRPr="00DD5712" w:rsidRDefault="006330A8">
            <w:pPr>
              <w:spacing w:line="276" w:lineRule="auto"/>
              <w:jc w:val="center"/>
              <w:rPr>
                <w:rFonts w:ascii="Lato" w:eastAsia="Malgun Gothic" w:hAnsi="Lato"/>
                <w:sz w:val="16"/>
                <w:szCs w:val="16"/>
              </w:rPr>
            </w:pPr>
            <w:r w:rsidRPr="00DD5712">
              <w:rPr>
                <w:rFonts w:ascii="Lato" w:eastAsia="Malgun Gothic" w:hAnsi="Lato"/>
                <w:sz w:val="16"/>
                <w:szCs w:val="16"/>
              </w:rPr>
              <w:t>188</w:t>
            </w:r>
          </w:p>
        </w:tc>
        <w:tc>
          <w:tcPr>
            <w:tcW w:w="1984" w:type="dxa"/>
            <w:vAlign w:val="center"/>
          </w:tcPr>
          <w:p w14:paraId="4481D316" w14:textId="77777777" w:rsidR="006330A8" w:rsidRPr="00DD5712" w:rsidRDefault="006330A8">
            <w:pPr>
              <w:spacing w:line="276" w:lineRule="auto"/>
              <w:jc w:val="center"/>
              <w:rPr>
                <w:rFonts w:ascii="Lato" w:eastAsia="Malgun Gothic" w:hAnsi="Lato"/>
                <w:sz w:val="16"/>
                <w:szCs w:val="16"/>
              </w:rPr>
            </w:pPr>
            <w:r w:rsidRPr="00DD5712">
              <w:rPr>
                <w:rFonts w:ascii="Lato" w:eastAsia="Malgun Gothic" w:hAnsi="Lato"/>
                <w:sz w:val="16"/>
                <w:szCs w:val="16"/>
              </w:rPr>
              <w:t>1 241</w:t>
            </w:r>
          </w:p>
        </w:tc>
      </w:tr>
      <w:tr w:rsidR="006330A8" w:rsidRPr="0064664A" w14:paraId="334A2B95" w14:textId="77777777">
        <w:trPr>
          <w:trHeight w:val="333"/>
          <w:jc w:val="center"/>
        </w:trPr>
        <w:tc>
          <w:tcPr>
            <w:tcW w:w="1702" w:type="dxa"/>
            <w:vAlign w:val="center"/>
          </w:tcPr>
          <w:p w14:paraId="6696C988" w14:textId="77777777" w:rsidR="006330A8" w:rsidRPr="00DD5712" w:rsidRDefault="006330A8">
            <w:pPr>
              <w:spacing w:line="276" w:lineRule="auto"/>
              <w:jc w:val="center"/>
              <w:rPr>
                <w:rFonts w:ascii="Lato" w:eastAsia="Malgun Gothic" w:hAnsi="Lato"/>
                <w:sz w:val="16"/>
                <w:szCs w:val="16"/>
              </w:rPr>
            </w:pPr>
            <w:r w:rsidRPr="00DD5712">
              <w:rPr>
                <w:rFonts w:ascii="Lato" w:hAnsi="Lato" w:cs="Arial"/>
                <w:sz w:val="16"/>
                <w:szCs w:val="16"/>
              </w:rPr>
              <w:t>EC Żerań 2</w:t>
            </w:r>
          </w:p>
        </w:tc>
        <w:tc>
          <w:tcPr>
            <w:tcW w:w="1984" w:type="dxa"/>
            <w:vAlign w:val="center"/>
          </w:tcPr>
          <w:p w14:paraId="41BE43FE" w14:textId="77777777" w:rsidR="006330A8" w:rsidRPr="00DD5712" w:rsidRDefault="006330A8">
            <w:pPr>
              <w:spacing w:line="276" w:lineRule="auto"/>
              <w:jc w:val="center"/>
              <w:rPr>
                <w:rFonts w:ascii="Lato" w:eastAsia="Malgun Gothic" w:hAnsi="Lato"/>
                <w:sz w:val="16"/>
                <w:szCs w:val="16"/>
              </w:rPr>
            </w:pPr>
            <w:r w:rsidRPr="00DD5712">
              <w:rPr>
                <w:rFonts w:ascii="Lato" w:eastAsia="Malgun Gothic" w:hAnsi="Lato"/>
                <w:sz w:val="16"/>
                <w:szCs w:val="16"/>
              </w:rPr>
              <w:t>Gaz ziemny wysokometanowy</w:t>
            </w:r>
          </w:p>
        </w:tc>
        <w:tc>
          <w:tcPr>
            <w:tcW w:w="1843" w:type="dxa"/>
            <w:vAlign w:val="center"/>
          </w:tcPr>
          <w:p w14:paraId="3B433C18" w14:textId="77777777" w:rsidR="006330A8" w:rsidRPr="00DD5712" w:rsidRDefault="006330A8">
            <w:pPr>
              <w:spacing w:line="276" w:lineRule="auto"/>
              <w:jc w:val="center"/>
              <w:rPr>
                <w:rFonts w:ascii="Lato" w:eastAsia="Malgun Gothic" w:hAnsi="Lato"/>
                <w:sz w:val="16"/>
                <w:szCs w:val="16"/>
              </w:rPr>
            </w:pPr>
            <w:r w:rsidRPr="00DD5712">
              <w:rPr>
                <w:rFonts w:ascii="Lato" w:hAnsi="Lato" w:cs="Arial"/>
                <w:sz w:val="16"/>
                <w:szCs w:val="16"/>
              </w:rPr>
              <w:t>JWCD</w:t>
            </w:r>
          </w:p>
        </w:tc>
        <w:tc>
          <w:tcPr>
            <w:tcW w:w="1418" w:type="dxa"/>
            <w:vAlign w:val="center"/>
          </w:tcPr>
          <w:p w14:paraId="1D652FE0" w14:textId="77777777" w:rsidR="006330A8" w:rsidRPr="00DD5712" w:rsidRDefault="006330A8">
            <w:pPr>
              <w:spacing w:line="276" w:lineRule="auto"/>
              <w:jc w:val="center"/>
              <w:rPr>
                <w:rFonts w:ascii="Lato" w:eastAsia="Malgun Gothic" w:hAnsi="Lato"/>
                <w:sz w:val="16"/>
                <w:szCs w:val="16"/>
              </w:rPr>
            </w:pPr>
            <w:r w:rsidRPr="00DD5712">
              <w:rPr>
                <w:rFonts w:ascii="Lato" w:eastAsia="Malgun Gothic" w:hAnsi="Lato"/>
                <w:sz w:val="16"/>
                <w:szCs w:val="16"/>
              </w:rPr>
              <w:t>496</w:t>
            </w:r>
          </w:p>
        </w:tc>
        <w:tc>
          <w:tcPr>
            <w:tcW w:w="1984" w:type="dxa"/>
            <w:vAlign w:val="center"/>
          </w:tcPr>
          <w:p w14:paraId="4DEA5EF8" w14:textId="77777777" w:rsidR="006330A8" w:rsidRPr="00DD5712" w:rsidRDefault="006330A8">
            <w:pPr>
              <w:spacing w:line="276" w:lineRule="auto"/>
              <w:jc w:val="center"/>
              <w:rPr>
                <w:rFonts w:ascii="Lato" w:eastAsia="Malgun Gothic" w:hAnsi="Lato"/>
                <w:sz w:val="16"/>
                <w:szCs w:val="16"/>
              </w:rPr>
            </w:pPr>
            <w:r w:rsidRPr="00DD5712">
              <w:rPr>
                <w:rFonts w:ascii="Lato" w:eastAsia="Malgun Gothic" w:hAnsi="Lato"/>
                <w:sz w:val="16"/>
                <w:szCs w:val="16"/>
              </w:rPr>
              <w:t>2 359</w:t>
            </w:r>
          </w:p>
        </w:tc>
      </w:tr>
      <w:tr w:rsidR="006330A8" w:rsidRPr="0064664A" w14:paraId="4116D3FC" w14:textId="77777777">
        <w:trPr>
          <w:trHeight w:val="315"/>
          <w:jc w:val="center"/>
        </w:trPr>
        <w:tc>
          <w:tcPr>
            <w:tcW w:w="1702" w:type="dxa"/>
            <w:vAlign w:val="center"/>
          </w:tcPr>
          <w:p w14:paraId="3F76C4A7" w14:textId="77777777" w:rsidR="006330A8" w:rsidRPr="00DD5712" w:rsidRDefault="006330A8" w:rsidP="005D73BF">
            <w:pPr>
              <w:spacing w:line="276" w:lineRule="auto"/>
              <w:jc w:val="center"/>
              <w:rPr>
                <w:rFonts w:ascii="Lato" w:eastAsia="Malgun Gothic" w:hAnsi="Lato"/>
                <w:sz w:val="16"/>
                <w:szCs w:val="16"/>
              </w:rPr>
            </w:pPr>
            <w:r w:rsidRPr="00DD5712">
              <w:rPr>
                <w:rFonts w:ascii="Lato" w:hAnsi="Lato" w:cs="Arial"/>
                <w:sz w:val="16"/>
                <w:szCs w:val="16"/>
              </w:rPr>
              <w:t>Gorzów</w:t>
            </w:r>
          </w:p>
        </w:tc>
        <w:tc>
          <w:tcPr>
            <w:tcW w:w="1984" w:type="dxa"/>
            <w:vAlign w:val="center"/>
          </w:tcPr>
          <w:p w14:paraId="4A63061F" w14:textId="77777777" w:rsidR="006330A8" w:rsidRPr="00DD5712" w:rsidRDefault="006330A8">
            <w:pPr>
              <w:spacing w:line="276" w:lineRule="auto"/>
              <w:jc w:val="center"/>
              <w:rPr>
                <w:rFonts w:ascii="Lato" w:eastAsia="Malgun Gothic" w:hAnsi="Lato"/>
                <w:sz w:val="16"/>
                <w:szCs w:val="16"/>
              </w:rPr>
            </w:pPr>
            <w:r w:rsidRPr="00DD5712">
              <w:rPr>
                <w:rFonts w:ascii="Lato" w:eastAsia="Malgun Gothic" w:hAnsi="Lato"/>
                <w:sz w:val="16"/>
                <w:szCs w:val="16"/>
              </w:rPr>
              <w:t>Gaz ziemny zaazotowany</w:t>
            </w:r>
          </w:p>
        </w:tc>
        <w:tc>
          <w:tcPr>
            <w:tcW w:w="1843" w:type="dxa"/>
            <w:vAlign w:val="center"/>
          </w:tcPr>
          <w:p w14:paraId="53EEA9BA" w14:textId="77777777" w:rsidR="006330A8" w:rsidRPr="00DD5712" w:rsidRDefault="006330A8">
            <w:pPr>
              <w:spacing w:line="276" w:lineRule="auto"/>
              <w:jc w:val="center"/>
              <w:rPr>
                <w:rFonts w:ascii="Lato" w:eastAsia="Malgun Gothic" w:hAnsi="Lato"/>
                <w:sz w:val="16"/>
                <w:szCs w:val="16"/>
              </w:rPr>
            </w:pPr>
            <w:r w:rsidRPr="00DD5712">
              <w:rPr>
                <w:rFonts w:ascii="Lato" w:eastAsia="Malgun Gothic" w:hAnsi="Lato"/>
                <w:sz w:val="16"/>
                <w:szCs w:val="16"/>
              </w:rPr>
              <w:t>nJWCD</w:t>
            </w:r>
          </w:p>
        </w:tc>
        <w:tc>
          <w:tcPr>
            <w:tcW w:w="1418" w:type="dxa"/>
            <w:vAlign w:val="center"/>
          </w:tcPr>
          <w:p w14:paraId="05F235F1" w14:textId="77777777" w:rsidR="006330A8" w:rsidRPr="00DD5712" w:rsidRDefault="006330A8">
            <w:pPr>
              <w:spacing w:line="276" w:lineRule="auto"/>
              <w:jc w:val="center"/>
              <w:rPr>
                <w:rFonts w:ascii="Lato" w:eastAsia="Malgun Gothic" w:hAnsi="Lato"/>
                <w:sz w:val="16"/>
                <w:szCs w:val="16"/>
              </w:rPr>
            </w:pPr>
            <w:r w:rsidRPr="00DD5712">
              <w:rPr>
                <w:rFonts w:ascii="Lato" w:eastAsia="Malgun Gothic" w:hAnsi="Lato"/>
                <w:sz w:val="16"/>
                <w:szCs w:val="16"/>
              </w:rPr>
              <w:t>70</w:t>
            </w:r>
          </w:p>
        </w:tc>
        <w:tc>
          <w:tcPr>
            <w:tcW w:w="1984" w:type="dxa"/>
            <w:vMerge w:val="restart"/>
            <w:vAlign w:val="center"/>
          </w:tcPr>
          <w:p w14:paraId="380C0B35" w14:textId="77777777" w:rsidR="006330A8" w:rsidRPr="00DD5712" w:rsidRDefault="006330A8">
            <w:pPr>
              <w:spacing w:line="276" w:lineRule="auto"/>
              <w:jc w:val="center"/>
              <w:rPr>
                <w:rFonts w:ascii="Lato" w:eastAsia="Malgun Gothic" w:hAnsi="Lato"/>
                <w:sz w:val="16"/>
                <w:szCs w:val="16"/>
              </w:rPr>
            </w:pPr>
            <w:r w:rsidRPr="00DD5712">
              <w:rPr>
                <w:rFonts w:ascii="Lato" w:eastAsia="Malgun Gothic" w:hAnsi="Lato"/>
                <w:sz w:val="16"/>
                <w:szCs w:val="16"/>
              </w:rPr>
              <w:t>1 348</w:t>
            </w:r>
          </w:p>
        </w:tc>
      </w:tr>
      <w:tr w:rsidR="006330A8" w:rsidRPr="0064664A" w14:paraId="206B58FB" w14:textId="77777777">
        <w:trPr>
          <w:trHeight w:val="315"/>
          <w:jc w:val="center"/>
        </w:trPr>
        <w:tc>
          <w:tcPr>
            <w:tcW w:w="1702" w:type="dxa"/>
            <w:vAlign w:val="center"/>
          </w:tcPr>
          <w:p w14:paraId="23CF3B52" w14:textId="77777777" w:rsidR="006330A8" w:rsidRPr="00DD5712" w:rsidRDefault="006330A8">
            <w:pPr>
              <w:spacing w:line="276" w:lineRule="auto"/>
              <w:jc w:val="center"/>
              <w:rPr>
                <w:rFonts w:ascii="Lato" w:eastAsia="Malgun Gothic" w:hAnsi="Lato"/>
                <w:sz w:val="16"/>
                <w:szCs w:val="16"/>
              </w:rPr>
            </w:pPr>
            <w:r w:rsidRPr="00DD5712">
              <w:rPr>
                <w:rFonts w:ascii="Lato" w:hAnsi="Lato" w:cs="Arial"/>
                <w:sz w:val="16"/>
                <w:szCs w:val="16"/>
              </w:rPr>
              <w:t>EC Gorzów</w:t>
            </w:r>
          </w:p>
        </w:tc>
        <w:tc>
          <w:tcPr>
            <w:tcW w:w="1984" w:type="dxa"/>
            <w:vAlign w:val="center"/>
          </w:tcPr>
          <w:p w14:paraId="60238B49" w14:textId="77777777" w:rsidR="006330A8" w:rsidRPr="00DD5712" w:rsidRDefault="006330A8">
            <w:pPr>
              <w:spacing w:line="276" w:lineRule="auto"/>
              <w:jc w:val="center"/>
              <w:rPr>
                <w:rFonts w:ascii="Lato" w:eastAsia="Malgun Gothic" w:hAnsi="Lato"/>
                <w:sz w:val="16"/>
                <w:szCs w:val="16"/>
              </w:rPr>
            </w:pPr>
            <w:r w:rsidRPr="00DD5712">
              <w:rPr>
                <w:rFonts w:ascii="Lato" w:eastAsia="Malgun Gothic" w:hAnsi="Lato"/>
                <w:sz w:val="16"/>
                <w:szCs w:val="16"/>
              </w:rPr>
              <w:t>Gaz ziemny zaazotowany oraz wysokometanowy</w:t>
            </w:r>
          </w:p>
        </w:tc>
        <w:tc>
          <w:tcPr>
            <w:tcW w:w="1843" w:type="dxa"/>
            <w:vAlign w:val="center"/>
          </w:tcPr>
          <w:p w14:paraId="4EA348D5" w14:textId="77777777" w:rsidR="006330A8" w:rsidRPr="00DD5712" w:rsidRDefault="006330A8">
            <w:pPr>
              <w:spacing w:line="276" w:lineRule="auto"/>
              <w:jc w:val="center"/>
              <w:rPr>
                <w:rFonts w:ascii="Lato" w:eastAsia="Malgun Gothic" w:hAnsi="Lato"/>
                <w:sz w:val="16"/>
                <w:szCs w:val="16"/>
              </w:rPr>
            </w:pPr>
            <w:r w:rsidRPr="00DD5712">
              <w:rPr>
                <w:rFonts w:ascii="Lato" w:eastAsia="Malgun Gothic" w:hAnsi="Lato"/>
                <w:sz w:val="16"/>
                <w:szCs w:val="16"/>
              </w:rPr>
              <w:t>nJWCD</w:t>
            </w:r>
          </w:p>
        </w:tc>
        <w:tc>
          <w:tcPr>
            <w:tcW w:w="1418" w:type="dxa"/>
            <w:vAlign w:val="center"/>
          </w:tcPr>
          <w:p w14:paraId="692E00FF" w14:textId="77777777" w:rsidR="006330A8" w:rsidRPr="00DD5712" w:rsidRDefault="006330A8">
            <w:pPr>
              <w:spacing w:line="276" w:lineRule="auto"/>
              <w:jc w:val="center"/>
              <w:rPr>
                <w:rFonts w:ascii="Lato" w:eastAsia="Malgun Gothic" w:hAnsi="Lato"/>
                <w:sz w:val="16"/>
                <w:szCs w:val="16"/>
              </w:rPr>
            </w:pPr>
            <w:r w:rsidRPr="00DD5712">
              <w:rPr>
                <w:rFonts w:ascii="Lato" w:eastAsia="Malgun Gothic" w:hAnsi="Lato"/>
                <w:sz w:val="16"/>
                <w:szCs w:val="16"/>
              </w:rPr>
              <w:t>138</w:t>
            </w:r>
          </w:p>
        </w:tc>
        <w:tc>
          <w:tcPr>
            <w:tcW w:w="1984" w:type="dxa"/>
            <w:vMerge/>
            <w:vAlign w:val="center"/>
          </w:tcPr>
          <w:p w14:paraId="24E92CE0" w14:textId="77777777" w:rsidR="006330A8" w:rsidRPr="00DD5712" w:rsidRDefault="006330A8">
            <w:pPr>
              <w:spacing w:line="276" w:lineRule="auto"/>
              <w:jc w:val="center"/>
              <w:rPr>
                <w:rFonts w:ascii="Lato" w:eastAsia="Malgun Gothic" w:hAnsi="Lato"/>
                <w:sz w:val="16"/>
                <w:szCs w:val="16"/>
              </w:rPr>
            </w:pPr>
          </w:p>
        </w:tc>
      </w:tr>
      <w:tr w:rsidR="006330A8" w:rsidRPr="0064664A" w14:paraId="34592F45" w14:textId="77777777">
        <w:trPr>
          <w:trHeight w:val="315"/>
          <w:jc w:val="center"/>
        </w:trPr>
        <w:tc>
          <w:tcPr>
            <w:tcW w:w="1702" w:type="dxa"/>
            <w:vAlign w:val="center"/>
          </w:tcPr>
          <w:p w14:paraId="51415339" w14:textId="77777777" w:rsidR="006330A8" w:rsidRPr="00DD5712" w:rsidRDefault="006330A8">
            <w:pPr>
              <w:spacing w:line="276" w:lineRule="auto"/>
              <w:jc w:val="center"/>
              <w:rPr>
                <w:rFonts w:ascii="Lato" w:hAnsi="Lato" w:cs="Arial"/>
                <w:sz w:val="16"/>
                <w:szCs w:val="16"/>
              </w:rPr>
            </w:pPr>
            <w:r w:rsidRPr="00DD5712">
              <w:rPr>
                <w:rFonts w:ascii="Lato" w:hAnsi="Lato" w:cs="Arial"/>
                <w:sz w:val="16"/>
                <w:szCs w:val="16"/>
              </w:rPr>
              <w:t>Nowa Sarzyna - Pasywna</w:t>
            </w:r>
          </w:p>
        </w:tc>
        <w:tc>
          <w:tcPr>
            <w:tcW w:w="1984" w:type="dxa"/>
            <w:vAlign w:val="center"/>
          </w:tcPr>
          <w:p w14:paraId="52229AD5" w14:textId="77777777" w:rsidR="006330A8" w:rsidRPr="00DD5712" w:rsidRDefault="006330A8">
            <w:pPr>
              <w:spacing w:line="276" w:lineRule="auto"/>
              <w:jc w:val="center"/>
              <w:rPr>
                <w:rFonts w:ascii="Lato" w:eastAsia="Malgun Gothic" w:hAnsi="Lato"/>
                <w:sz w:val="16"/>
                <w:szCs w:val="16"/>
              </w:rPr>
            </w:pPr>
            <w:r w:rsidRPr="00DD5712">
              <w:rPr>
                <w:rFonts w:ascii="Lato" w:eastAsia="Malgun Gothic" w:hAnsi="Lato"/>
                <w:sz w:val="16"/>
                <w:szCs w:val="16"/>
              </w:rPr>
              <w:t>Gaz ziemny wysokometanowy</w:t>
            </w:r>
          </w:p>
        </w:tc>
        <w:tc>
          <w:tcPr>
            <w:tcW w:w="1843" w:type="dxa"/>
            <w:vAlign w:val="center"/>
          </w:tcPr>
          <w:p w14:paraId="149AB127" w14:textId="77777777" w:rsidR="006330A8" w:rsidRPr="00DD5712" w:rsidRDefault="006330A8">
            <w:pPr>
              <w:spacing w:line="276" w:lineRule="auto"/>
              <w:jc w:val="center"/>
              <w:rPr>
                <w:rFonts w:ascii="Lato" w:eastAsia="Malgun Gothic" w:hAnsi="Lato"/>
                <w:sz w:val="16"/>
                <w:szCs w:val="16"/>
              </w:rPr>
            </w:pPr>
            <w:r w:rsidRPr="00DD5712">
              <w:rPr>
                <w:rFonts w:ascii="Lato" w:eastAsia="Malgun Gothic" w:hAnsi="Lato"/>
                <w:sz w:val="16"/>
                <w:szCs w:val="16"/>
              </w:rPr>
              <w:t>nJWCD</w:t>
            </w:r>
          </w:p>
        </w:tc>
        <w:tc>
          <w:tcPr>
            <w:tcW w:w="1418" w:type="dxa"/>
            <w:vAlign w:val="center"/>
          </w:tcPr>
          <w:p w14:paraId="0D8ADB7F" w14:textId="77777777" w:rsidR="006330A8" w:rsidRPr="00DD5712" w:rsidRDefault="006330A8">
            <w:pPr>
              <w:spacing w:line="276" w:lineRule="auto"/>
              <w:jc w:val="center"/>
              <w:rPr>
                <w:rFonts w:ascii="Lato" w:eastAsia="Malgun Gothic" w:hAnsi="Lato"/>
                <w:sz w:val="16"/>
                <w:szCs w:val="16"/>
              </w:rPr>
            </w:pPr>
            <w:r w:rsidRPr="00DD5712">
              <w:rPr>
                <w:rFonts w:ascii="Lato" w:eastAsia="Malgun Gothic" w:hAnsi="Lato"/>
                <w:sz w:val="16"/>
                <w:szCs w:val="16"/>
              </w:rPr>
              <w:t>129</w:t>
            </w:r>
          </w:p>
        </w:tc>
        <w:tc>
          <w:tcPr>
            <w:tcW w:w="1984" w:type="dxa"/>
            <w:vAlign w:val="center"/>
          </w:tcPr>
          <w:p w14:paraId="23133EB3" w14:textId="77777777" w:rsidR="006330A8" w:rsidRPr="00DD5712" w:rsidRDefault="006330A8">
            <w:pPr>
              <w:spacing w:line="276" w:lineRule="auto"/>
              <w:jc w:val="center"/>
              <w:rPr>
                <w:rFonts w:ascii="Lato" w:eastAsia="Malgun Gothic" w:hAnsi="Lato"/>
                <w:sz w:val="16"/>
                <w:szCs w:val="16"/>
              </w:rPr>
            </w:pPr>
            <w:r w:rsidRPr="00DD5712">
              <w:rPr>
                <w:rFonts w:ascii="Lato" w:eastAsia="Malgun Gothic" w:hAnsi="Lato"/>
                <w:sz w:val="16"/>
                <w:szCs w:val="16"/>
              </w:rPr>
              <w:t>590</w:t>
            </w:r>
          </w:p>
        </w:tc>
      </w:tr>
      <w:tr w:rsidR="006330A8" w:rsidRPr="0064664A" w14:paraId="034F5884" w14:textId="77777777">
        <w:trPr>
          <w:trHeight w:val="315"/>
          <w:jc w:val="center"/>
        </w:trPr>
        <w:tc>
          <w:tcPr>
            <w:tcW w:w="1702" w:type="dxa"/>
            <w:vAlign w:val="center"/>
          </w:tcPr>
          <w:p w14:paraId="5C774687" w14:textId="77777777" w:rsidR="006330A8" w:rsidRPr="00DD5712" w:rsidRDefault="006330A8">
            <w:pPr>
              <w:spacing w:line="276" w:lineRule="auto"/>
              <w:jc w:val="center"/>
              <w:rPr>
                <w:rFonts w:ascii="Lato" w:hAnsi="Lato" w:cs="Arial"/>
                <w:sz w:val="16"/>
                <w:szCs w:val="16"/>
              </w:rPr>
            </w:pPr>
            <w:r w:rsidRPr="00DD5712">
              <w:rPr>
                <w:rFonts w:ascii="Lato" w:hAnsi="Lato" w:cs="Arial"/>
                <w:sz w:val="16"/>
                <w:szCs w:val="16"/>
              </w:rPr>
              <w:t>Stalowa Wola 4</w:t>
            </w:r>
          </w:p>
        </w:tc>
        <w:tc>
          <w:tcPr>
            <w:tcW w:w="1984" w:type="dxa"/>
            <w:vAlign w:val="center"/>
          </w:tcPr>
          <w:p w14:paraId="66D9886D" w14:textId="77777777" w:rsidR="006330A8" w:rsidRPr="00DD5712" w:rsidRDefault="006330A8">
            <w:pPr>
              <w:spacing w:line="276" w:lineRule="auto"/>
              <w:jc w:val="center"/>
              <w:rPr>
                <w:rFonts w:ascii="Lato" w:eastAsia="Malgun Gothic" w:hAnsi="Lato"/>
                <w:sz w:val="16"/>
                <w:szCs w:val="16"/>
              </w:rPr>
            </w:pPr>
            <w:r w:rsidRPr="00DD5712">
              <w:rPr>
                <w:rFonts w:ascii="Lato" w:eastAsia="Malgun Gothic" w:hAnsi="Lato"/>
                <w:sz w:val="16"/>
                <w:szCs w:val="16"/>
              </w:rPr>
              <w:t>Gaz ziemny wysokometanowy</w:t>
            </w:r>
          </w:p>
        </w:tc>
        <w:tc>
          <w:tcPr>
            <w:tcW w:w="1843" w:type="dxa"/>
            <w:vAlign w:val="center"/>
          </w:tcPr>
          <w:p w14:paraId="4253A034" w14:textId="77777777" w:rsidR="006330A8" w:rsidRPr="00DD5712" w:rsidRDefault="006330A8">
            <w:pPr>
              <w:spacing w:line="276" w:lineRule="auto"/>
              <w:jc w:val="center"/>
              <w:rPr>
                <w:rFonts w:ascii="Lato" w:eastAsia="Malgun Gothic" w:hAnsi="Lato"/>
                <w:sz w:val="16"/>
                <w:szCs w:val="16"/>
              </w:rPr>
            </w:pPr>
            <w:r w:rsidRPr="00DD5712">
              <w:rPr>
                <w:rFonts w:ascii="Lato" w:hAnsi="Lato" w:cs="Arial"/>
                <w:sz w:val="16"/>
                <w:szCs w:val="16"/>
              </w:rPr>
              <w:t>JWCD</w:t>
            </w:r>
          </w:p>
        </w:tc>
        <w:tc>
          <w:tcPr>
            <w:tcW w:w="1418" w:type="dxa"/>
            <w:vAlign w:val="center"/>
          </w:tcPr>
          <w:p w14:paraId="1D35C63B" w14:textId="77777777" w:rsidR="006330A8" w:rsidRPr="00DD5712" w:rsidRDefault="006330A8">
            <w:pPr>
              <w:spacing w:line="276" w:lineRule="auto"/>
              <w:jc w:val="center"/>
              <w:rPr>
                <w:rFonts w:ascii="Lato" w:eastAsia="Malgun Gothic" w:hAnsi="Lato"/>
                <w:sz w:val="16"/>
                <w:szCs w:val="16"/>
              </w:rPr>
            </w:pPr>
            <w:r w:rsidRPr="00DD5712">
              <w:rPr>
                <w:rFonts w:ascii="Lato" w:eastAsia="Malgun Gothic" w:hAnsi="Lato"/>
                <w:sz w:val="16"/>
                <w:szCs w:val="16"/>
              </w:rPr>
              <w:t>450</w:t>
            </w:r>
          </w:p>
        </w:tc>
        <w:tc>
          <w:tcPr>
            <w:tcW w:w="1984" w:type="dxa"/>
            <w:vAlign w:val="center"/>
          </w:tcPr>
          <w:p w14:paraId="33028905" w14:textId="77777777" w:rsidR="006330A8" w:rsidRPr="00DD5712" w:rsidRDefault="006330A8">
            <w:pPr>
              <w:spacing w:line="276" w:lineRule="auto"/>
              <w:jc w:val="center"/>
              <w:rPr>
                <w:rFonts w:ascii="Lato" w:eastAsia="Malgun Gothic" w:hAnsi="Lato"/>
                <w:sz w:val="16"/>
                <w:szCs w:val="16"/>
              </w:rPr>
            </w:pPr>
            <w:r w:rsidRPr="00DD5712">
              <w:rPr>
                <w:rFonts w:ascii="Lato" w:eastAsia="Malgun Gothic" w:hAnsi="Lato"/>
                <w:sz w:val="16"/>
                <w:szCs w:val="16"/>
              </w:rPr>
              <w:t>1 539</w:t>
            </w:r>
          </w:p>
        </w:tc>
      </w:tr>
    </w:tbl>
    <w:p w14:paraId="1CD1FBC0" w14:textId="77777777" w:rsidR="006330A8" w:rsidRPr="00DD5712" w:rsidRDefault="006330A8" w:rsidP="00631250">
      <w:pPr>
        <w:spacing w:before="120" w:after="120" w:line="276" w:lineRule="auto"/>
        <w:contextualSpacing/>
        <w:rPr>
          <w:rFonts w:ascii="Lato" w:hAnsi="Lato"/>
          <w:i/>
          <w:iCs/>
          <w:sz w:val="16"/>
          <w:szCs w:val="16"/>
        </w:rPr>
      </w:pPr>
      <w:r w:rsidRPr="00DD5712">
        <w:rPr>
          <w:rFonts w:ascii="Lato" w:hAnsi="Lato"/>
          <w:i/>
          <w:iCs/>
          <w:sz w:val="16"/>
          <w:szCs w:val="16"/>
        </w:rPr>
        <w:t>JWCD – Jednostka wytwórcza centralnie dysponowana</w:t>
      </w:r>
    </w:p>
    <w:p w14:paraId="3A37FF38" w14:textId="0D617C94" w:rsidR="00A274CA" w:rsidRPr="00631250" w:rsidRDefault="006330A8" w:rsidP="00631250">
      <w:pPr>
        <w:spacing w:before="120" w:after="120" w:line="276" w:lineRule="auto"/>
        <w:contextualSpacing/>
        <w:rPr>
          <w:rFonts w:ascii="Lato" w:hAnsi="Lato"/>
          <w:i/>
          <w:iCs/>
          <w:sz w:val="16"/>
          <w:szCs w:val="16"/>
        </w:rPr>
      </w:pPr>
      <w:r w:rsidRPr="00DD5712">
        <w:rPr>
          <w:rFonts w:ascii="Lato" w:hAnsi="Lato"/>
          <w:i/>
          <w:iCs/>
          <w:sz w:val="16"/>
          <w:szCs w:val="16"/>
        </w:rPr>
        <w:t>nJWCD – Jednostka wytwórcza nie będąca jednostką centralnie dysponowaną</w:t>
      </w:r>
    </w:p>
    <w:p w14:paraId="786C30D6" w14:textId="317D19ED" w:rsidR="00B03DBA" w:rsidRPr="00C758B1" w:rsidRDefault="00FE6CEA" w:rsidP="00631250">
      <w:pPr>
        <w:pStyle w:val="Rozdzia2"/>
        <w:spacing w:after="120"/>
        <w:rPr>
          <w:rFonts w:ascii="Lato" w:hAnsi="Lato"/>
        </w:rPr>
      </w:pPr>
      <w:bookmarkStart w:id="316" w:name="_Toc140489042"/>
      <w:bookmarkStart w:id="317" w:name="_Toc140581034"/>
      <w:bookmarkStart w:id="318" w:name="_Toc140489043"/>
      <w:bookmarkStart w:id="319" w:name="_Toc140581035"/>
      <w:bookmarkStart w:id="320" w:name="_Toc140489044"/>
      <w:bookmarkStart w:id="321" w:name="_Toc140581036"/>
      <w:bookmarkStart w:id="322" w:name="_Toc140489062"/>
      <w:bookmarkStart w:id="323" w:name="_Toc140581054"/>
      <w:bookmarkStart w:id="324" w:name="_Toc142469588"/>
      <w:bookmarkEnd w:id="316"/>
      <w:bookmarkEnd w:id="317"/>
      <w:bookmarkEnd w:id="318"/>
      <w:bookmarkEnd w:id="319"/>
      <w:bookmarkEnd w:id="320"/>
      <w:bookmarkEnd w:id="321"/>
      <w:bookmarkEnd w:id="322"/>
      <w:bookmarkEnd w:id="323"/>
      <w:r>
        <w:rPr>
          <w:rFonts w:ascii="Lato" w:hAnsi="Lato"/>
        </w:rPr>
        <w:t>Współpraca w ramach grup ryzyka</w:t>
      </w:r>
      <w:bookmarkEnd w:id="324"/>
    </w:p>
    <w:p w14:paraId="17972B0F" w14:textId="77777777" w:rsidR="00A274CA" w:rsidRDefault="00C7771E" w:rsidP="00983C18">
      <w:pPr>
        <w:pStyle w:val="Tekstzwyky"/>
        <w:rPr>
          <w:rFonts w:ascii="Lato" w:hAnsi="Lato"/>
        </w:rPr>
      </w:pPr>
      <w:r w:rsidRPr="00C758B1">
        <w:rPr>
          <w:rFonts w:ascii="Lato" w:hAnsi="Lato"/>
        </w:rPr>
        <w:tab/>
      </w:r>
      <w:r w:rsidR="00A274CA" w:rsidRPr="00C758B1">
        <w:rPr>
          <w:rFonts w:ascii="Lato" w:hAnsi="Lato"/>
        </w:rPr>
        <w:t xml:space="preserve">Polska jest członkiem białoruskiej, ukraińskiej, północno-wschodniej, duńskiej oraz norweskiej grupy ryzyka. Państwa członkowskie będące członkami każdej z grup ryzyka współpracują ze sobą, a także przekazują informacje mogące mieć wpływ na funkcjonowanie rynku gazu w państwach członkowskich grupy. Aby zapewnić bezpieczeństwo dostaw gazu ziemnego, wprowadzono odpowiednie mechanizmy współpracy obejmujące procedury związane z komunikacją oraz przekazywaniem informacji. </w:t>
      </w:r>
    </w:p>
    <w:p w14:paraId="174FF3AE" w14:textId="5045C33E" w:rsidR="00CE63C5" w:rsidRDefault="00AD18AB" w:rsidP="00983C18">
      <w:pPr>
        <w:pStyle w:val="Tekstzwyky"/>
        <w:rPr>
          <w:rFonts w:ascii="Lato" w:hAnsi="Lato"/>
        </w:rPr>
      </w:pPr>
      <w:r>
        <w:rPr>
          <w:rFonts w:ascii="Lato" w:hAnsi="Lato"/>
        </w:rPr>
        <w:tab/>
      </w:r>
      <w:r w:rsidRPr="00C758B1">
        <w:rPr>
          <w:rFonts w:ascii="Lato" w:hAnsi="Lato"/>
        </w:rPr>
        <w:t>Szybka i skuteczna wymiana informacji między właściwymi organami państw członkowskich należących do grupy ryzyka jest kluczowym elementem radzenia sobie z potencjalnymi konsekwencjami zakłóceń w dostawach w tak zróżnicowanym regionie.</w:t>
      </w:r>
    </w:p>
    <w:p w14:paraId="1F5FFEA9" w14:textId="77777777" w:rsidR="00CE63C5" w:rsidRDefault="00CE63C5">
      <w:pPr>
        <w:spacing w:line="259" w:lineRule="auto"/>
        <w:jc w:val="left"/>
        <w:rPr>
          <w:rFonts w:ascii="Lato" w:hAnsi="Lato" w:cs="Times New Roman"/>
          <w:color w:val="000000" w:themeColor="text1"/>
          <w:szCs w:val="24"/>
        </w:rPr>
      </w:pPr>
      <w:r>
        <w:rPr>
          <w:rFonts w:ascii="Lato" w:hAnsi="Lato"/>
        </w:rPr>
        <w:br w:type="page"/>
      </w:r>
    </w:p>
    <w:p w14:paraId="691913A0" w14:textId="61D0F8EF" w:rsidR="00A274CA" w:rsidRPr="00FA13F0" w:rsidRDefault="00A274CA" w:rsidP="00983C18">
      <w:pPr>
        <w:pStyle w:val="Rozdzia3"/>
        <w:rPr>
          <w:rFonts w:ascii="Lato" w:hAnsi="Lato"/>
        </w:rPr>
      </w:pPr>
      <w:bookmarkStart w:id="325" w:name="_Toc142469589"/>
      <w:r w:rsidRPr="00C758B1">
        <w:rPr>
          <w:rFonts w:ascii="Lato" w:hAnsi="Lato"/>
        </w:rPr>
        <w:lastRenderedPageBreak/>
        <w:t>Mechanizmy współpracy</w:t>
      </w:r>
      <w:bookmarkEnd w:id="325"/>
    </w:p>
    <w:p w14:paraId="2D0D3C4D" w14:textId="79CABB3F" w:rsidR="00A274CA" w:rsidRPr="00C758B1" w:rsidRDefault="00A274CA" w:rsidP="005C1A8A">
      <w:pPr>
        <w:pStyle w:val="Rozdzia4"/>
        <w:spacing w:before="120" w:after="120"/>
        <w:rPr>
          <w:rFonts w:ascii="Lato" w:hAnsi="Lato"/>
        </w:rPr>
      </w:pPr>
      <w:r w:rsidRPr="00C758B1">
        <w:rPr>
          <w:rFonts w:ascii="Lato" w:hAnsi="Lato"/>
        </w:rPr>
        <w:t>Procedury w ramach Systemu Koordynacji Regionalnej ds. gazu</w:t>
      </w:r>
      <w:r w:rsidR="00AD18AB">
        <w:rPr>
          <w:rFonts w:ascii="Lato" w:hAnsi="Lato"/>
        </w:rPr>
        <w:t xml:space="preserve"> </w:t>
      </w:r>
      <w:r w:rsidRPr="00C758B1">
        <w:rPr>
          <w:rFonts w:ascii="Lato" w:hAnsi="Lato"/>
        </w:rPr>
        <w:t xml:space="preserve"> </w:t>
      </w:r>
    </w:p>
    <w:p w14:paraId="60F1023F" w14:textId="77777777" w:rsidR="00A274CA" w:rsidRPr="00C758B1" w:rsidRDefault="00A274CA" w:rsidP="00A856C1">
      <w:pPr>
        <w:spacing w:before="240" w:after="0" w:line="276" w:lineRule="auto"/>
        <w:ind w:firstLine="708"/>
        <w:rPr>
          <w:rFonts w:ascii="Lato" w:hAnsi="Lato"/>
        </w:rPr>
      </w:pPr>
      <w:r w:rsidRPr="00C758B1">
        <w:rPr>
          <w:rFonts w:ascii="Lato" w:hAnsi="Lato"/>
        </w:rPr>
        <w:t>Zgodnie z art. 3 ust. 6 rozporządzenia 2017/1938, rola Systemu Koordynacji Regionalnej do spraw Gazu (ReCo System) ustanowionego przez ENTSOG i składającego się ze stałych grup ekspertów, w celu współpracy i wymiany informacji między operatorami systemów przesyłowych w przypadku wystąpienia sytuacji nadzwyczajnej o zasięgu regionalnym lub unijnym, jest bardzo znacząca. ReCo System uważany jest za środek zapobiegawczy. Każdy środek oferowany przez ReCo System może zostać przyjęty w zależności od skali, w której zdarzenie zostało sklasyfikowane.</w:t>
      </w:r>
    </w:p>
    <w:p w14:paraId="375E71FD" w14:textId="06D94FA7" w:rsidR="00A274CA" w:rsidRPr="00C14150" w:rsidRDefault="00A274CA" w:rsidP="005C1A8A">
      <w:pPr>
        <w:pStyle w:val="Rozdzia4"/>
        <w:spacing w:before="120" w:after="120"/>
        <w:rPr>
          <w:rFonts w:ascii="Lato" w:hAnsi="Lato"/>
          <w:sz w:val="24"/>
          <w:szCs w:val="24"/>
        </w:rPr>
      </w:pPr>
      <w:r w:rsidRPr="00C14150">
        <w:rPr>
          <w:rFonts w:ascii="Lato" w:hAnsi="Lato"/>
          <w:sz w:val="24"/>
          <w:szCs w:val="24"/>
        </w:rPr>
        <w:t xml:space="preserve">Solidarność między państwami członkowskimi </w:t>
      </w:r>
    </w:p>
    <w:p w14:paraId="4AB14444" w14:textId="4F144CEB" w:rsidR="00A274CA" w:rsidRPr="00C758B1" w:rsidRDefault="00A274CA" w:rsidP="005C1A8A">
      <w:pPr>
        <w:spacing w:line="276" w:lineRule="auto"/>
        <w:ind w:firstLine="708"/>
        <w:contextualSpacing/>
        <w:rPr>
          <w:rFonts w:ascii="Lato" w:hAnsi="Lato"/>
        </w:rPr>
      </w:pPr>
      <w:r w:rsidRPr="00C758B1">
        <w:rPr>
          <w:rFonts w:ascii="Lato" w:hAnsi="Lato"/>
        </w:rPr>
        <w:t>Jeżeli państwo członkowskie nie jest w stanie pokryć deficytu w dostawach gazu</w:t>
      </w:r>
      <w:r w:rsidR="00AD18AB">
        <w:rPr>
          <w:rFonts w:ascii="Lato" w:hAnsi="Lato"/>
        </w:rPr>
        <w:t xml:space="preserve"> ziemnego</w:t>
      </w:r>
      <w:r w:rsidRPr="00C758B1">
        <w:rPr>
          <w:rFonts w:ascii="Lato" w:hAnsi="Lato"/>
        </w:rPr>
        <w:t xml:space="preserve"> do swoich odbiorców chronionych w ramach solidarności, mimo wyczerpania wszystkich środków rynkowych i wszystkich innych środków przewidzianych w </w:t>
      </w:r>
      <w:r w:rsidRPr="005C1A8A">
        <w:rPr>
          <w:rFonts w:ascii="Lato" w:hAnsi="Lato"/>
          <w:i/>
          <w:iCs/>
        </w:rPr>
        <w:t>Planie na wypadek sytuacji nadzwyczajnej</w:t>
      </w:r>
      <w:r w:rsidRPr="00C758B1">
        <w:rPr>
          <w:rFonts w:ascii="Lato" w:hAnsi="Lato"/>
        </w:rPr>
        <w:t xml:space="preserve">, zgodnie z przepisami art. 13 rozporządzenia (UE) 2017/1938, właściwy organ tego państwa członkowskiego może zwrócić się o zastosowanie mechanizmu solidarności, zgłaszając wniosek </w:t>
      </w:r>
      <w:r w:rsidR="005C1A8A">
        <w:rPr>
          <w:rFonts w:ascii="Lato" w:hAnsi="Lato"/>
        </w:rPr>
        <w:t xml:space="preserve">do </w:t>
      </w:r>
      <w:r w:rsidRPr="00C758B1">
        <w:rPr>
          <w:rFonts w:ascii="Lato" w:hAnsi="Lato"/>
        </w:rPr>
        <w:t>KE i właściwy</w:t>
      </w:r>
      <w:r w:rsidR="005C1A8A">
        <w:rPr>
          <w:rFonts w:ascii="Lato" w:hAnsi="Lato"/>
        </w:rPr>
        <w:t>ch</w:t>
      </w:r>
      <w:r w:rsidRPr="00C758B1">
        <w:rPr>
          <w:rFonts w:ascii="Lato" w:hAnsi="Lato"/>
        </w:rPr>
        <w:t xml:space="preserve"> organ</w:t>
      </w:r>
      <w:r w:rsidR="005C1A8A">
        <w:rPr>
          <w:rFonts w:ascii="Lato" w:hAnsi="Lato"/>
        </w:rPr>
        <w:t>ów</w:t>
      </w:r>
      <w:r w:rsidRPr="00C758B1">
        <w:rPr>
          <w:rFonts w:ascii="Lato" w:hAnsi="Lato"/>
        </w:rPr>
        <w:t xml:space="preserve"> wszystkich państw członkowskich, z którymi jest bezpośrednio połączony lub połączony jest za pośrednictwem państwa trzeciego.</w:t>
      </w:r>
    </w:p>
    <w:p w14:paraId="5E192060" w14:textId="3FFA2A17" w:rsidR="00A274CA" w:rsidRPr="00C758B1" w:rsidRDefault="00A274CA" w:rsidP="005C1A8A">
      <w:pPr>
        <w:spacing w:line="276" w:lineRule="auto"/>
        <w:contextualSpacing/>
        <w:rPr>
          <w:rFonts w:ascii="Lato" w:hAnsi="Lato"/>
        </w:rPr>
      </w:pPr>
      <w:r w:rsidRPr="00C758B1">
        <w:rPr>
          <w:rFonts w:ascii="Lato" w:hAnsi="Lato"/>
        </w:rPr>
        <w:tab/>
        <w:t xml:space="preserve">Właściwy organ </w:t>
      </w:r>
      <w:r w:rsidR="005C1A8A">
        <w:rPr>
          <w:rFonts w:ascii="Lato" w:hAnsi="Lato"/>
        </w:rPr>
        <w:t xml:space="preserve">państwa wnioskującego </w:t>
      </w:r>
      <w:r w:rsidRPr="00C758B1">
        <w:rPr>
          <w:rFonts w:ascii="Lato" w:hAnsi="Lato"/>
        </w:rPr>
        <w:t>powinien również niezwłocznie poinformować właściwe organy wszystkich państw członkowskich należących do grupy ryzyka o zgłoszonym wniosku.</w:t>
      </w:r>
    </w:p>
    <w:p w14:paraId="086800ED" w14:textId="70A80173" w:rsidR="00A274CA" w:rsidRPr="00C758B1" w:rsidRDefault="005C1A8A" w:rsidP="005C1A8A">
      <w:pPr>
        <w:pStyle w:val="Tekstzwyky"/>
        <w:rPr>
          <w:rFonts w:ascii="Lato" w:hAnsi="Lato"/>
        </w:rPr>
      </w:pPr>
      <w:r>
        <w:rPr>
          <w:rFonts w:ascii="Lato" w:hAnsi="Lato"/>
        </w:rPr>
        <w:br w:type="page"/>
      </w:r>
    </w:p>
    <w:p w14:paraId="5B0EDFE0" w14:textId="4A78F231" w:rsidR="00B03DBA" w:rsidRPr="00631250" w:rsidRDefault="006A139A" w:rsidP="00983C18">
      <w:pPr>
        <w:pStyle w:val="Nagwek1"/>
        <w:numPr>
          <w:ilvl w:val="0"/>
          <w:numId w:val="1"/>
        </w:numPr>
        <w:spacing w:after="240" w:line="276" w:lineRule="auto"/>
        <w:rPr>
          <w:rFonts w:ascii="Lato" w:hAnsi="Lato"/>
          <w:sz w:val="28"/>
          <w:szCs w:val="28"/>
        </w:rPr>
      </w:pPr>
      <w:bookmarkStart w:id="326" w:name="_Toc140489067"/>
      <w:bookmarkStart w:id="327" w:name="_Toc140581059"/>
      <w:bookmarkStart w:id="328" w:name="_Toc140489068"/>
      <w:bookmarkStart w:id="329" w:name="_Toc140581060"/>
      <w:bookmarkStart w:id="330" w:name="_Toc140489069"/>
      <w:bookmarkStart w:id="331" w:name="_Toc140581061"/>
      <w:bookmarkStart w:id="332" w:name="_Toc140489070"/>
      <w:bookmarkStart w:id="333" w:name="_Toc140581062"/>
      <w:bookmarkStart w:id="334" w:name="_Toc140489071"/>
      <w:bookmarkStart w:id="335" w:name="_Toc140581063"/>
      <w:bookmarkStart w:id="336" w:name="_Toc140489072"/>
      <w:bookmarkStart w:id="337" w:name="_Toc140581064"/>
      <w:bookmarkStart w:id="338" w:name="_Toc140489073"/>
      <w:bookmarkStart w:id="339" w:name="_Toc140581065"/>
      <w:bookmarkStart w:id="340" w:name="_Toc140489074"/>
      <w:bookmarkStart w:id="341" w:name="_Toc140581066"/>
      <w:bookmarkStart w:id="342" w:name="_Toc140489075"/>
      <w:bookmarkStart w:id="343" w:name="_Toc140581067"/>
      <w:bookmarkStart w:id="344" w:name="_Toc140489076"/>
      <w:bookmarkStart w:id="345" w:name="_Toc140581068"/>
      <w:bookmarkStart w:id="346" w:name="_Toc140489077"/>
      <w:bookmarkStart w:id="347" w:name="_Toc140581069"/>
      <w:bookmarkStart w:id="348" w:name="_Toc140489078"/>
      <w:bookmarkStart w:id="349" w:name="_Toc140581070"/>
      <w:bookmarkStart w:id="350" w:name="_Toc140489079"/>
      <w:bookmarkStart w:id="351" w:name="_Toc140581071"/>
      <w:bookmarkStart w:id="352" w:name="_Toc140489080"/>
      <w:bookmarkStart w:id="353" w:name="_Toc140581072"/>
      <w:bookmarkStart w:id="354" w:name="_Toc140489081"/>
      <w:bookmarkStart w:id="355" w:name="_Toc140581073"/>
      <w:bookmarkStart w:id="356" w:name="_Toc140489082"/>
      <w:bookmarkStart w:id="357" w:name="_Toc140581074"/>
      <w:bookmarkStart w:id="358" w:name="_Toc140489083"/>
      <w:bookmarkStart w:id="359" w:name="_Toc140581075"/>
      <w:bookmarkStart w:id="360" w:name="_Toc140489084"/>
      <w:bookmarkStart w:id="361" w:name="_Toc140581076"/>
      <w:bookmarkStart w:id="362" w:name="_Toc140489085"/>
      <w:bookmarkStart w:id="363" w:name="_Toc140581077"/>
      <w:bookmarkStart w:id="364" w:name="_Toc140489086"/>
      <w:bookmarkStart w:id="365" w:name="_Toc140581078"/>
      <w:bookmarkStart w:id="366" w:name="_Toc140489087"/>
      <w:bookmarkStart w:id="367" w:name="_Toc140581079"/>
      <w:bookmarkStart w:id="368" w:name="_Toc140489088"/>
      <w:bookmarkStart w:id="369" w:name="_Toc140581080"/>
      <w:bookmarkStart w:id="370" w:name="_Toc140489089"/>
      <w:bookmarkStart w:id="371" w:name="_Toc140581081"/>
      <w:bookmarkStart w:id="372" w:name="_Toc140489090"/>
      <w:bookmarkStart w:id="373" w:name="_Toc140581082"/>
      <w:bookmarkStart w:id="374" w:name="_Toc140489091"/>
      <w:bookmarkStart w:id="375" w:name="_Toc140581083"/>
      <w:bookmarkStart w:id="376" w:name="_Toc140489092"/>
      <w:bookmarkStart w:id="377" w:name="_Toc140581084"/>
      <w:bookmarkStart w:id="378" w:name="_Toc140489093"/>
      <w:bookmarkStart w:id="379" w:name="_Toc140581085"/>
      <w:bookmarkStart w:id="380" w:name="_Toc140489096"/>
      <w:bookmarkStart w:id="381" w:name="_Toc140581088"/>
      <w:bookmarkStart w:id="382" w:name="_Toc140489097"/>
      <w:bookmarkStart w:id="383" w:name="_Toc140581089"/>
      <w:bookmarkStart w:id="384" w:name="_Toc140489098"/>
      <w:bookmarkStart w:id="385" w:name="_Toc140581090"/>
      <w:bookmarkStart w:id="386" w:name="_Toc140489151"/>
      <w:bookmarkStart w:id="387" w:name="_Toc140581143"/>
      <w:bookmarkStart w:id="388" w:name="_Toc140489152"/>
      <w:bookmarkStart w:id="389" w:name="_Toc140581144"/>
      <w:bookmarkStart w:id="390" w:name="_Toc140489153"/>
      <w:bookmarkStart w:id="391" w:name="_Toc140581145"/>
      <w:bookmarkStart w:id="392" w:name="_Toc140489154"/>
      <w:bookmarkStart w:id="393" w:name="_Toc140581146"/>
      <w:bookmarkStart w:id="394" w:name="_Toc140489155"/>
      <w:bookmarkStart w:id="395" w:name="_Toc140581147"/>
      <w:bookmarkStart w:id="396" w:name="_Toc140489156"/>
      <w:bookmarkStart w:id="397" w:name="_Toc140581148"/>
      <w:bookmarkStart w:id="398" w:name="_Toc140489157"/>
      <w:bookmarkStart w:id="399" w:name="_Toc140581149"/>
      <w:bookmarkStart w:id="400" w:name="_Toc140489158"/>
      <w:bookmarkStart w:id="401" w:name="_Toc140581150"/>
      <w:bookmarkStart w:id="402" w:name="_Toc140489159"/>
      <w:bookmarkStart w:id="403" w:name="_Toc140581151"/>
      <w:bookmarkStart w:id="404" w:name="_Toc140489181"/>
      <w:bookmarkStart w:id="405" w:name="_Toc140581173"/>
      <w:bookmarkStart w:id="406" w:name="_Toc140489182"/>
      <w:bookmarkStart w:id="407" w:name="_Toc140581174"/>
      <w:bookmarkStart w:id="408" w:name="_Toc140489183"/>
      <w:bookmarkStart w:id="409" w:name="_Toc140581175"/>
      <w:bookmarkStart w:id="410" w:name="_Toc140489184"/>
      <w:bookmarkStart w:id="411" w:name="_Toc140581176"/>
      <w:bookmarkStart w:id="412" w:name="_Toc140489185"/>
      <w:bookmarkStart w:id="413" w:name="_Toc140581177"/>
      <w:bookmarkStart w:id="414" w:name="_Toc140489186"/>
      <w:bookmarkStart w:id="415" w:name="_Toc140581178"/>
      <w:bookmarkStart w:id="416" w:name="_Toc140489187"/>
      <w:bookmarkStart w:id="417" w:name="_Toc140581179"/>
      <w:bookmarkStart w:id="418" w:name="_Toc140489188"/>
      <w:bookmarkStart w:id="419" w:name="_Toc140581180"/>
      <w:bookmarkStart w:id="420" w:name="_Toc140489189"/>
      <w:bookmarkStart w:id="421" w:name="_Toc140581181"/>
      <w:bookmarkStart w:id="422" w:name="_Toc140489190"/>
      <w:bookmarkStart w:id="423" w:name="_Toc140581182"/>
      <w:bookmarkStart w:id="424" w:name="_Toc140489191"/>
      <w:bookmarkStart w:id="425" w:name="_Toc140581183"/>
      <w:bookmarkStart w:id="426" w:name="_Toc140489192"/>
      <w:bookmarkStart w:id="427" w:name="_Toc140581184"/>
      <w:bookmarkStart w:id="428" w:name="_Toc140489193"/>
      <w:bookmarkStart w:id="429" w:name="_Toc140581185"/>
      <w:bookmarkStart w:id="430" w:name="_Toc140489194"/>
      <w:bookmarkStart w:id="431" w:name="_Toc140581186"/>
      <w:bookmarkStart w:id="432" w:name="_Toc140489195"/>
      <w:bookmarkStart w:id="433" w:name="_Toc140581187"/>
      <w:bookmarkStart w:id="434" w:name="_Toc140489196"/>
      <w:bookmarkStart w:id="435" w:name="_Toc140581188"/>
      <w:bookmarkStart w:id="436" w:name="_Toc140489197"/>
      <w:bookmarkStart w:id="437" w:name="_Toc140581189"/>
      <w:bookmarkStart w:id="438" w:name="_Toc140489198"/>
      <w:bookmarkStart w:id="439" w:name="_Toc140581190"/>
      <w:bookmarkStart w:id="440" w:name="_Toc140489199"/>
      <w:bookmarkStart w:id="441" w:name="_Toc140581191"/>
      <w:bookmarkStart w:id="442" w:name="_Toc140489200"/>
      <w:bookmarkStart w:id="443" w:name="_Toc140581192"/>
      <w:bookmarkStart w:id="444" w:name="_Toc140489201"/>
      <w:bookmarkStart w:id="445" w:name="_Toc140581193"/>
      <w:bookmarkStart w:id="446" w:name="_Toc140489202"/>
      <w:bookmarkStart w:id="447" w:name="_Toc140581194"/>
      <w:bookmarkStart w:id="448" w:name="_Toc140489203"/>
      <w:bookmarkStart w:id="449" w:name="_Toc140581195"/>
      <w:bookmarkStart w:id="450" w:name="_Toc140489204"/>
      <w:bookmarkStart w:id="451" w:name="_Toc140581196"/>
      <w:bookmarkStart w:id="452" w:name="_Toc140489205"/>
      <w:bookmarkStart w:id="453" w:name="_Toc140581197"/>
      <w:bookmarkStart w:id="454" w:name="_Toc140489206"/>
      <w:bookmarkStart w:id="455" w:name="_Toc140581198"/>
      <w:bookmarkStart w:id="456" w:name="_Toc140489207"/>
      <w:bookmarkStart w:id="457" w:name="_Toc140581199"/>
      <w:bookmarkStart w:id="458" w:name="_Toc140489208"/>
      <w:bookmarkStart w:id="459" w:name="_Toc140581200"/>
      <w:bookmarkStart w:id="460" w:name="_Toc140489209"/>
      <w:bookmarkStart w:id="461" w:name="_Toc140581201"/>
      <w:bookmarkStart w:id="462" w:name="_Toc140489210"/>
      <w:bookmarkStart w:id="463" w:name="_Toc140581202"/>
      <w:bookmarkStart w:id="464" w:name="_Toc140489211"/>
      <w:bookmarkStart w:id="465" w:name="_Toc140581203"/>
      <w:bookmarkStart w:id="466" w:name="_Toc140489212"/>
      <w:bookmarkStart w:id="467" w:name="_Toc140581204"/>
      <w:bookmarkStart w:id="468" w:name="_Toc140489213"/>
      <w:bookmarkStart w:id="469" w:name="_Toc140581205"/>
      <w:bookmarkStart w:id="470" w:name="_Toc140489214"/>
      <w:bookmarkStart w:id="471" w:name="_Toc140581206"/>
      <w:bookmarkStart w:id="472" w:name="_Toc140489217"/>
      <w:bookmarkStart w:id="473" w:name="_Toc140581209"/>
      <w:bookmarkStart w:id="474" w:name="_Toc140489218"/>
      <w:bookmarkStart w:id="475" w:name="_Toc140581210"/>
      <w:bookmarkStart w:id="476" w:name="_Toc140489219"/>
      <w:bookmarkStart w:id="477" w:name="_Toc140581211"/>
      <w:bookmarkStart w:id="478" w:name="_Toc140489220"/>
      <w:bookmarkStart w:id="479" w:name="_Toc140581212"/>
      <w:bookmarkStart w:id="480" w:name="_Toc140489221"/>
      <w:bookmarkStart w:id="481" w:name="_Toc140581213"/>
      <w:bookmarkStart w:id="482" w:name="_Toc140489274"/>
      <w:bookmarkStart w:id="483" w:name="_Toc140581266"/>
      <w:bookmarkStart w:id="484" w:name="_Toc140489275"/>
      <w:bookmarkStart w:id="485" w:name="_Toc140581267"/>
      <w:bookmarkStart w:id="486" w:name="_Toc140489276"/>
      <w:bookmarkStart w:id="487" w:name="_Toc140581268"/>
      <w:bookmarkStart w:id="488" w:name="_Toc140489277"/>
      <w:bookmarkStart w:id="489" w:name="_Toc140581269"/>
      <w:bookmarkStart w:id="490" w:name="_Toc140489278"/>
      <w:bookmarkStart w:id="491" w:name="_Toc140581270"/>
      <w:bookmarkStart w:id="492" w:name="_Toc140489279"/>
      <w:bookmarkStart w:id="493" w:name="_Toc140581271"/>
      <w:bookmarkStart w:id="494" w:name="_Toc140489280"/>
      <w:bookmarkStart w:id="495" w:name="_Toc140581272"/>
      <w:bookmarkStart w:id="496" w:name="_Toc140489281"/>
      <w:bookmarkStart w:id="497" w:name="_Toc140581273"/>
      <w:bookmarkStart w:id="498" w:name="_Toc140489282"/>
      <w:bookmarkStart w:id="499" w:name="_Toc140581274"/>
      <w:bookmarkStart w:id="500" w:name="_Toc140489283"/>
      <w:bookmarkStart w:id="501" w:name="_Toc140581275"/>
      <w:bookmarkStart w:id="502" w:name="_Toc140489284"/>
      <w:bookmarkStart w:id="503" w:name="_Toc140581276"/>
      <w:bookmarkStart w:id="504" w:name="_Toc140489285"/>
      <w:bookmarkStart w:id="505" w:name="_Toc140581277"/>
      <w:bookmarkStart w:id="506" w:name="_Toc140489286"/>
      <w:bookmarkStart w:id="507" w:name="_Toc140581278"/>
      <w:bookmarkStart w:id="508" w:name="_Toc140489287"/>
      <w:bookmarkStart w:id="509" w:name="_Toc140581279"/>
      <w:bookmarkStart w:id="510" w:name="_Toc142469590"/>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r w:rsidRPr="00631250">
        <w:rPr>
          <w:rFonts w:ascii="Lato" w:hAnsi="Lato"/>
          <w:sz w:val="28"/>
          <w:szCs w:val="28"/>
        </w:rPr>
        <w:lastRenderedPageBreak/>
        <w:t>Sprawozdawczość</w:t>
      </w:r>
      <w:bookmarkEnd w:id="510"/>
    </w:p>
    <w:p w14:paraId="3BDD0477" w14:textId="153AEEE2" w:rsidR="006A139A" w:rsidRPr="00C758B1" w:rsidRDefault="00935443" w:rsidP="005C1A8A">
      <w:pPr>
        <w:pStyle w:val="Tekstzwyky"/>
        <w:rPr>
          <w:rFonts w:ascii="Lato" w:hAnsi="Lato"/>
        </w:rPr>
      </w:pPr>
      <w:r w:rsidRPr="00C758B1">
        <w:rPr>
          <w:rFonts w:ascii="Lato" w:hAnsi="Lato"/>
        </w:rPr>
        <w:tab/>
      </w:r>
      <w:r w:rsidR="006A139A" w:rsidRPr="00C758B1">
        <w:rPr>
          <w:rFonts w:ascii="Lato" w:hAnsi="Lato"/>
        </w:rPr>
        <w:t xml:space="preserve">Podmioty realizujące działania wskazane w tabeli 18 niniejszego Planu, zobowiązane są do składania </w:t>
      </w:r>
      <w:r w:rsidR="00AD18AB">
        <w:rPr>
          <w:rFonts w:ascii="Lato" w:hAnsi="Lato"/>
        </w:rPr>
        <w:t xml:space="preserve">ministrowi właściwemu do spraw energii </w:t>
      </w:r>
      <w:r w:rsidR="006A139A" w:rsidRPr="00C758B1">
        <w:rPr>
          <w:rFonts w:ascii="Lato" w:hAnsi="Lato"/>
        </w:rPr>
        <w:t xml:space="preserve">kwartalnych sprawozdań z realizacji działań służących poprawie bezpieczeństwa dostaw gazu ziemnego. Sprawozdania te zawierają harmonogram prac, przewidywany termin zakończenia inwestycji, zagrożenia dla realizacji inwestycji zidentyfikowane przez podmiot realizujący oraz jej wpływ na scenariusze kryzysowe zidentyfikowane w aktualnej </w:t>
      </w:r>
      <w:r w:rsidR="006A139A" w:rsidRPr="005C1A8A">
        <w:rPr>
          <w:rFonts w:ascii="Lato" w:hAnsi="Lato"/>
          <w:i/>
          <w:iCs/>
        </w:rPr>
        <w:t>Ocenie ryzyka</w:t>
      </w:r>
      <w:r w:rsidR="006A139A" w:rsidRPr="00C758B1">
        <w:rPr>
          <w:rFonts w:ascii="Lato" w:hAnsi="Lato"/>
        </w:rPr>
        <w:t xml:space="preserve"> oraz </w:t>
      </w:r>
      <w:r w:rsidR="006A139A" w:rsidRPr="005C1A8A">
        <w:rPr>
          <w:rFonts w:ascii="Lato" w:hAnsi="Lato"/>
          <w:i/>
          <w:iCs/>
        </w:rPr>
        <w:t>Planie działań zapobiegawczych</w:t>
      </w:r>
      <w:r w:rsidR="006A139A" w:rsidRPr="00C758B1">
        <w:rPr>
          <w:rFonts w:ascii="Lato" w:hAnsi="Lato"/>
        </w:rPr>
        <w:t>.</w:t>
      </w:r>
    </w:p>
    <w:p w14:paraId="3F540425" w14:textId="76D9AB4E" w:rsidR="006A139A" w:rsidRPr="00C758B1" w:rsidRDefault="00935443" w:rsidP="005C1A8A">
      <w:pPr>
        <w:pStyle w:val="Tekstzwyky"/>
        <w:rPr>
          <w:rFonts w:ascii="Lato" w:hAnsi="Lato"/>
        </w:rPr>
      </w:pPr>
      <w:r w:rsidRPr="00C758B1">
        <w:rPr>
          <w:rFonts w:ascii="Lato" w:hAnsi="Lato"/>
        </w:rPr>
        <w:tab/>
      </w:r>
      <w:r w:rsidR="006A139A" w:rsidRPr="00C758B1">
        <w:rPr>
          <w:rFonts w:ascii="Lato" w:hAnsi="Lato"/>
        </w:rPr>
        <w:t xml:space="preserve">Ponadto do dnia 1 września każdego roku operator systemu przesyłowego w porozumieniu z </w:t>
      </w:r>
      <w:r w:rsidR="00C14150">
        <w:rPr>
          <w:rFonts w:ascii="Lato" w:hAnsi="Lato"/>
        </w:rPr>
        <w:t>przedsiębiorstwami</w:t>
      </w:r>
      <w:r w:rsidR="006A139A" w:rsidRPr="00C758B1">
        <w:rPr>
          <w:rFonts w:ascii="Lato" w:hAnsi="Lato"/>
        </w:rPr>
        <w:t xml:space="preserve"> dokonującymi przywozu gazu ziemnego na terytorium Polski przygotowuje dla organu właściwego raport dotyczący przygotowania systemu gazowego do sezonu zimowego z uwzględnieniem analizy pokrycia szczytowego zapotrzebowania na gaz ziemny w warunkach bezawaryjnych.</w:t>
      </w:r>
    </w:p>
    <w:p w14:paraId="64AF7F5F" w14:textId="77777777" w:rsidR="00B03DBA" w:rsidRPr="00C758B1" w:rsidRDefault="00B03DBA" w:rsidP="00983C18">
      <w:pPr>
        <w:spacing w:line="276" w:lineRule="auto"/>
        <w:rPr>
          <w:rFonts w:ascii="Lato" w:hAnsi="Lato"/>
        </w:rPr>
      </w:pPr>
    </w:p>
    <w:sectPr w:rsidR="00B03DBA" w:rsidRPr="00C758B1" w:rsidSect="00B03DBA">
      <w:type w:val="continuous"/>
      <w:pgSz w:w="11906" w:h="16838"/>
      <w:pgMar w:top="1417" w:right="1417"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D34AD" w14:textId="77777777" w:rsidR="00164A38" w:rsidRDefault="00164A38">
      <w:pPr>
        <w:spacing w:after="0"/>
      </w:pPr>
      <w:r>
        <w:separator/>
      </w:r>
    </w:p>
  </w:endnote>
  <w:endnote w:type="continuationSeparator" w:id="0">
    <w:p w14:paraId="215F0EAE" w14:textId="77777777" w:rsidR="00164A38" w:rsidRDefault="00164A38">
      <w:pPr>
        <w:spacing w:after="0"/>
      </w:pPr>
      <w:r>
        <w:continuationSeparator/>
      </w:r>
    </w:p>
  </w:endnote>
  <w:endnote w:type="continuationNotice" w:id="1">
    <w:p w14:paraId="10CF0D1E" w14:textId="77777777" w:rsidR="00164A38" w:rsidRDefault="00164A3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rbel">
    <w:panose1 w:val="020B0503020204020204"/>
    <w:charset w:val="EE"/>
    <w:family w:val="swiss"/>
    <w:pitch w:val="variable"/>
    <w:sig w:usb0="A00002EF" w:usb1="4000A44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EE"/>
    <w:family w:val="roman"/>
    <w:pitch w:val="variable"/>
    <w:sig w:usb0="E00006FF" w:usb1="420024FF" w:usb2="02000000" w:usb3="00000000" w:csb0="0000019F" w:csb1="00000000"/>
  </w:font>
  <w:font w:name="Lato">
    <w:panose1 w:val="020F0502020204030203"/>
    <w:charset w:val="EE"/>
    <w:family w:val="swiss"/>
    <w:pitch w:val="variable"/>
    <w:sig w:usb0="800000AF" w:usb1="4000604A" w:usb2="00000000" w:usb3="00000000" w:csb0="00000093" w:csb1="00000000"/>
  </w:font>
  <w:font w:name="EUAlbertina">
    <w:altName w:val="EU Albertina"/>
    <w:panose1 w:val="00000000000000000000"/>
    <w:charset w:val="EE"/>
    <w:family w:val="roman"/>
    <w:notTrueType/>
    <w:pitch w:val="default"/>
    <w:sig w:usb0="00000005" w:usb1="00000000" w:usb2="00000000" w:usb3="00000000" w:csb0="00000002" w:csb1="00000000"/>
  </w:font>
  <w:font w:name="Century Gothic">
    <w:panose1 w:val="020B0502020202020204"/>
    <w:charset w:val="EE"/>
    <w:family w:val="swiss"/>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Helv">
    <w:panose1 w:val="020B0604020202030204"/>
    <w:charset w:val="00"/>
    <w:family w:val="swiss"/>
    <w:pitch w:val="variable"/>
    <w:sig w:usb0="00000003" w:usb1="00000000" w:usb2="00000000" w:usb3="00000000" w:csb0="00000001" w:csb1="00000000"/>
  </w:font>
  <w:font w:name="TimesNewRomanPSMT">
    <w:altName w:val="Times New Roman"/>
    <w:charset w:val="00"/>
    <w:family w:val="auto"/>
    <w:pitch w:val="variable"/>
    <w:sig w:usb0="00000000" w:usb1="C0007841"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4796554"/>
      <w:docPartObj>
        <w:docPartGallery w:val="Page Numbers (Bottom of Page)"/>
        <w:docPartUnique/>
      </w:docPartObj>
    </w:sdtPr>
    <w:sdtEndPr>
      <w:rPr>
        <w:rFonts w:ascii="Century Gothic" w:hAnsi="Century Gothic"/>
        <w:sz w:val="20"/>
        <w:szCs w:val="20"/>
      </w:rPr>
    </w:sdtEndPr>
    <w:sdtContent>
      <w:p w14:paraId="210D68D1" w14:textId="77777777" w:rsidR="006E2831" w:rsidRPr="00F523DE" w:rsidRDefault="006E2831">
        <w:pPr>
          <w:pStyle w:val="Stopka"/>
          <w:jc w:val="center"/>
          <w:rPr>
            <w:rFonts w:ascii="Century Gothic" w:hAnsi="Century Gothic"/>
            <w:sz w:val="20"/>
            <w:szCs w:val="20"/>
          </w:rPr>
        </w:pPr>
        <w:r w:rsidRPr="00F523DE">
          <w:rPr>
            <w:rFonts w:ascii="Century Gothic" w:hAnsi="Century Gothic"/>
            <w:sz w:val="20"/>
            <w:szCs w:val="20"/>
          </w:rPr>
          <w:fldChar w:fldCharType="begin"/>
        </w:r>
        <w:r w:rsidRPr="00F523DE">
          <w:rPr>
            <w:rFonts w:ascii="Century Gothic" w:hAnsi="Century Gothic"/>
            <w:sz w:val="20"/>
            <w:szCs w:val="20"/>
          </w:rPr>
          <w:instrText>PAGE   \* MERGEFORMAT</w:instrText>
        </w:r>
        <w:r w:rsidRPr="00F523DE">
          <w:rPr>
            <w:rFonts w:ascii="Century Gothic" w:hAnsi="Century Gothic"/>
            <w:sz w:val="20"/>
            <w:szCs w:val="20"/>
          </w:rPr>
          <w:fldChar w:fldCharType="separate"/>
        </w:r>
        <w:r w:rsidRPr="00F523DE">
          <w:rPr>
            <w:rFonts w:ascii="Century Gothic" w:hAnsi="Century Gothic"/>
            <w:noProof/>
            <w:sz w:val="20"/>
            <w:szCs w:val="20"/>
          </w:rPr>
          <w:t>2</w:t>
        </w:r>
        <w:r w:rsidRPr="00F523DE">
          <w:rPr>
            <w:rFonts w:ascii="Century Gothic" w:hAnsi="Century Gothic"/>
            <w:sz w:val="20"/>
            <w:szCs w:val="20"/>
          </w:rPr>
          <w:fldChar w:fldCharType="end"/>
        </w:r>
      </w:p>
    </w:sdtContent>
  </w:sdt>
  <w:p w14:paraId="1A7AE9E0" w14:textId="77777777" w:rsidR="006E2831" w:rsidRDefault="006E283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70"/>
      <w:gridCol w:w="3070"/>
      <w:gridCol w:w="3070"/>
    </w:tblGrid>
    <w:tr w:rsidR="25DB566B" w14:paraId="73C63D92" w14:textId="77777777" w:rsidTr="25DB566B">
      <w:trPr>
        <w:trHeight w:val="300"/>
      </w:trPr>
      <w:tc>
        <w:tcPr>
          <w:tcW w:w="3070" w:type="dxa"/>
        </w:tcPr>
        <w:p w14:paraId="21AB1E36" w14:textId="6F921C7C" w:rsidR="25DB566B" w:rsidRDefault="25DB566B" w:rsidP="25DB566B">
          <w:pPr>
            <w:pStyle w:val="Nagwek"/>
            <w:ind w:left="-115"/>
          </w:pPr>
        </w:p>
      </w:tc>
      <w:tc>
        <w:tcPr>
          <w:tcW w:w="3070" w:type="dxa"/>
        </w:tcPr>
        <w:p w14:paraId="3CA3F10A" w14:textId="5F87E46A" w:rsidR="25DB566B" w:rsidRDefault="25DB566B" w:rsidP="25DB566B">
          <w:pPr>
            <w:pStyle w:val="Nagwek"/>
            <w:jc w:val="center"/>
          </w:pPr>
        </w:p>
      </w:tc>
      <w:tc>
        <w:tcPr>
          <w:tcW w:w="3070" w:type="dxa"/>
        </w:tcPr>
        <w:p w14:paraId="0A44D1E3" w14:textId="60C37B9D" w:rsidR="25DB566B" w:rsidRDefault="25DB566B" w:rsidP="25DB566B">
          <w:pPr>
            <w:pStyle w:val="Nagwek"/>
            <w:ind w:right="-115"/>
            <w:jc w:val="right"/>
          </w:pPr>
        </w:p>
      </w:tc>
    </w:tr>
  </w:tbl>
  <w:p w14:paraId="4491A288" w14:textId="7AD05DBC" w:rsidR="00B52AF3" w:rsidRDefault="00B52AF3">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70"/>
      <w:gridCol w:w="3070"/>
      <w:gridCol w:w="3070"/>
    </w:tblGrid>
    <w:tr w:rsidR="25DB566B" w14:paraId="02C136A9" w14:textId="77777777" w:rsidTr="25DB566B">
      <w:trPr>
        <w:trHeight w:val="300"/>
      </w:trPr>
      <w:tc>
        <w:tcPr>
          <w:tcW w:w="3070" w:type="dxa"/>
        </w:tcPr>
        <w:p w14:paraId="47DA5C2E" w14:textId="03AFB88E" w:rsidR="25DB566B" w:rsidRDefault="25DB566B" w:rsidP="25DB566B">
          <w:pPr>
            <w:pStyle w:val="Nagwek"/>
            <w:ind w:left="-115"/>
          </w:pPr>
        </w:p>
      </w:tc>
      <w:tc>
        <w:tcPr>
          <w:tcW w:w="3070" w:type="dxa"/>
        </w:tcPr>
        <w:p w14:paraId="1B7E29B8" w14:textId="4A228A25" w:rsidR="25DB566B" w:rsidRDefault="25DB566B" w:rsidP="25DB566B">
          <w:pPr>
            <w:pStyle w:val="Nagwek"/>
            <w:jc w:val="center"/>
          </w:pPr>
        </w:p>
      </w:tc>
      <w:tc>
        <w:tcPr>
          <w:tcW w:w="3070" w:type="dxa"/>
        </w:tcPr>
        <w:p w14:paraId="22E67F3B" w14:textId="56C58003" w:rsidR="25DB566B" w:rsidRDefault="25DB566B" w:rsidP="25DB566B">
          <w:pPr>
            <w:pStyle w:val="Nagwek"/>
            <w:ind w:right="-115"/>
            <w:jc w:val="right"/>
          </w:pPr>
        </w:p>
      </w:tc>
    </w:tr>
  </w:tbl>
  <w:p w14:paraId="6B612F9A" w14:textId="415A9FB7" w:rsidR="00B52AF3" w:rsidRDefault="00B52AF3">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70"/>
      <w:gridCol w:w="3070"/>
      <w:gridCol w:w="3070"/>
    </w:tblGrid>
    <w:tr w:rsidR="25DB566B" w14:paraId="39E10DEF" w14:textId="77777777" w:rsidTr="25DB566B">
      <w:trPr>
        <w:trHeight w:val="300"/>
      </w:trPr>
      <w:tc>
        <w:tcPr>
          <w:tcW w:w="3070" w:type="dxa"/>
        </w:tcPr>
        <w:p w14:paraId="2BB7083E" w14:textId="11531406" w:rsidR="25DB566B" w:rsidRDefault="25DB566B" w:rsidP="25DB566B">
          <w:pPr>
            <w:pStyle w:val="Nagwek"/>
            <w:ind w:left="-115"/>
          </w:pPr>
        </w:p>
      </w:tc>
      <w:tc>
        <w:tcPr>
          <w:tcW w:w="3070" w:type="dxa"/>
        </w:tcPr>
        <w:p w14:paraId="4F57CF62" w14:textId="7CC48ABA" w:rsidR="25DB566B" w:rsidRDefault="25DB566B" w:rsidP="25DB566B">
          <w:pPr>
            <w:pStyle w:val="Nagwek"/>
            <w:jc w:val="center"/>
          </w:pPr>
        </w:p>
      </w:tc>
      <w:tc>
        <w:tcPr>
          <w:tcW w:w="3070" w:type="dxa"/>
        </w:tcPr>
        <w:p w14:paraId="4647A592" w14:textId="393AFD1A" w:rsidR="25DB566B" w:rsidRDefault="25DB566B" w:rsidP="25DB566B">
          <w:pPr>
            <w:pStyle w:val="Nagwek"/>
            <w:ind w:right="-115"/>
            <w:jc w:val="right"/>
          </w:pPr>
        </w:p>
      </w:tc>
    </w:tr>
  </w:tbl>
  <w:p w14:paraId="74204ED3" w14:textId="6056B445" w:rsidR="00B52AF3" w:rsidRDefault="00B52AF3">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70"/>
      <w:gridCol w:w="3070"/>
      <w:gridCol w:w="3070"/>
    </w:tblGrid>
    <w:tr w:rsidR="0067393E" w14:paraId="086C285F" w14:textId="77777777" w:rsidTr="25DB566B">
      <w:trPr>
        <w:trHeight w:val="300"/>
      </w:trPr>
      <w:tc>
        <w:tcPr>
          <w:tcW w:w="3070" w:type="dxa"/>
        </w:tcPr>
        <w:p w14:paraId="506E22EC" w14:textId="77777777" w:rsidR="0067393E" w:rsidRDefault="0067393E" w:rsidP="25DB566B">
          <w:pPr>
            <w:pStyle w:val="Nagwek"/>
            <w:ind w:left="-115"/>
          </w:pPr>
        </w:p>
      </w:tc>
      <w:tc>
        <w:tcPr>
          <w:tcW w:w="3070" w:type="dxa"/>
        </w:tcPr>
        <w:p w14:paraId="2C3EA774" w14:textId="77777777" w:rsidR="0067393E" w:rsidRDefault="0067393E" w:rsidP="25DB566B">
          <w:pPr>
            <w:pStyle w:val="Nagwek"/>
            <w:jc w:val="center"/>
          </w:pPr>
        </w:p>
      </w:tc>
      <w:tc>
        <w:tcPr>
          <w:tcW w:w="3070" w:type="dxa"/>
        </w:tcPr>
        <w:p w14:paraId="7AAAE04F" w14:textId="77777777" w:rsidR="0067393E" w:rsidRDefault="0067393E" w:rsidP="25DB566B">
          <w:pPr>
            <w:pStyle w:val="Nagwek"/>
            <w:ind w:right="-115"/>
            <w:jc w:val="right"/>
          </w:pPr>
        </w:p>
      </w:tc>
    </w:tr>
  </w:tbl>
  <w:p w14:paraId="385566C1" w14:textId="77777777" w:rsidR="0067393E" w:rsidRDefault="0067393E">
    <w:pPr>
      <w:pStyle w:val="Stopk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70"/>
      <w:gridCol w:w="3070"/>
      <w:gridCol w:w="3070"/>
    </w:tblGrid>
    <w:tr w:rsidR="25DB566B" w14:paraId="7A817F6D" w14:textId="77777777" w:rsidTr="25DB566B">
      <w:trPr>
        <w:trHeight w:val="300"/>
      </w:trPr>
      <w:tc>
        <w:tcPr>
          <w:tcW w:w="3070" w:type="dxa"/>
        </w:tcPr>
        <w:p w14:paraId="05305C45" w14:textId="57E9F651" w:rsidR="25DB566B" w:rsidRDefault="25DB566B" w:rsidP="25DB566B">
          <w:pPr>
            <w:pStyle w:val="Nagwek"/>
            <w:ind w:left="-115"/>
          </w:pPr>
        </w:p>
      </w:tc>
      <w:tc>
        <w:tcPr>
          <w:tcW w:w="3070" w:type="dxa"/>
        </w:tcPr>
        <w:p w14:paraId="3E2B2DBC" w14:textId="338F5173" w:rsidR="25DB566B" w:rsidRDefault="25DB566B" w:rsidP="25DB566B">
          <w:pPr>
            <w:pStyle w:val="Nagwek"/>
            <w:jc w:val="center"/>
          </w:pPr>
        </w:p>
      </w:tc>
      <w:tc>
        <w:tcPr>
          <w:tcW w:w="3070" w:type="dxa"/>
        </w:tcPr>
        <w:p w14:paraId="788CC9F1" w14:textId="1E183FAB" w:rsidR="25DB566B" w:rsidRDefault="25DB566B" w:rsidP="25DB566B">
          <w:pPr>
            <w:pStyle w:val="Nagwek"/>
            <w:ind w:right="-115"/>
            <w:jc w:val="right"/>
          </w:pPr>
        </w:p>
      </w:tc>
    </w:tr>
  </w:tbl>
  <w:p w14:paraId="30A71C8C" w14:textId="2C0F98F0" w:rsidR="00B52AF3" w:rsidRDefault="00B52AF3">
    <w:pPr>
      <w:pStyle w:val="Stopk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34DA3" w14:textId="77777777" w:rsidR="002E3ED1" w:rsidRDefault="002E3ED1">
    <w:pPr>
      <w:pStyle w:val="Stopk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4462505"/>
      <w:docPartObj>
        <w:docPartGallery w:val="Page Numbers (Bottom of Page)"/>
        <w:docPartUnique/>
      </w:docPartObj>
    </w:sdtPr>
    <w:sdtContent>
      <w:p w14:paraId="3261BEBA" w14:textId="4D294C9E" w:rsidR="00786A20" w:rsidRDefault="00786A20">
        <w:pPr>
          <w:pStyle w:val="Stopka"/>
          <w:jc w:val="center"/>
        </w:pPr>
        <w:r>
          <w:fldChar w:fldCharType="begin"/>
        </w:r>
        <w:r>
          <w:instrText>PAGE   \* MERGEFORMAT</w:instrText>
        </w:r>
        <w:r>
          <w:fldChar w:fldCharType="separate"/>
        </w:r>
        <w:r w:rsidR="0091640B">
          <w:rPr>
            <w:noProof/>
          </w:rPr>
          <w:t>65</w:t>
        </w:r>
        <w:r>
          <w:fldChar w:fldCharType="end"/>
        </w:r>
      </w:p>
    </w:sdtContent>
  </w:sdt>
  <w:p w14:paraId="6ADEC4F4" w14:textId="77777777" w:rsidR="00786A20" w:rsidRDefault="00786A20"/>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AF739" w14:textId="77777777" w:rsidR="00786A20" w:rsidRDefault="00786A20">
    <w:pPr>
      <w:pStyle w:val="Stopka"/>
    </w:pPr>
    <w:r>
      <w:tab/>
    </w:r>
    <w:r w:rsidRPr="00914B49">
      <w:rPr>
        <w:color w:val="FFFFFF" w:themeColor="background1"/>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DE2F7" w14:textId="77777777" w:rsidR="00164A38" w:rsidRDefault="00164A38">
      <w:pPr>
        <w:spacing w:after="0"/>
      </w:pPr>
      <w:r>
        <w:separator/>
      </w:r>
    </w:p>
  </w:footnote>
  <w:footnote w:type="continuationSeparator" w:id="0">
    <w:p w14:paraId="7B81C5B5" w14:textId="77777777" w:rsidR="00164A38" w:rsidRDefault="00164A38">
      <w:pPr>
        <w:spacing w:after="0"/>
      </w:pPr>
      <w:r>
        <w:continuationSeparator/>
      </w:r>
    </w:p>
  </w:footnote>
  <w:footnote w:type="continuationNotice" w:id="1">
    <w:p w14:paraId="2CD679A8" w14:textId="77777777" w:rsidR="00164A38" w:rsidRDefault="00164A38">
      <w:pPr>
        <w:spacing w:after="0"/>
      </w:pPr>
    </w:p>
  </w:footnote>
  <w:footnote w:id="2">
    <w:p w14:paraId="2DC40C25" w14:textId="4A715276" w:rsidR="004F42B0" w:rsidRPr="00727892" w:rsidRDefault="004F42B0" w:rsidP="004F42B0">
      <w:pPr>
        <w:pStyle w:val="Tekstprzypisudolnego"/>
        <w:jc w:val="both"/>
        <w:rPr>
          <w:rFonts w:ascii="Lato" w:hAnsi="Lato"/>
          <w:sz w:val="18"/>
          <w:szCs w:val="18"/>
        </w:rPr>
      </w:pPr>
      <w:r w:rsidRPr="00727892">
        <w:rPr>
          <w:rStyle w:val="Odwoanieprzypisudolnego"/>
          <w:rFonts w:ascii="Lato" w:hAnsi="Lato"/>
          <w:sz w:val="18"/>
          <w:szCs w:val="18"/>
        </w:rPr>
        <w:footnoteRef/>
      </w:r>
      <w:r w:rsidRPr="00727892">
        <w:rPr>
          <w:rFonts w:ascii="Lato" w:hAnsi="Lato"/>
          <w:sz w:val="18"/>
          <w:szCs w:val="18"/>
        </w:rPr>
        <w:t xml:space="preserve"> W dniu 2 listopada 2022 r. do Krajowego Rejestru Sądowego </w:t>
      </w:r>
      <w:r w:rsidR="00782DD6">
        <w:rPr>
          <w:rFonts w:ascii="Lato" w:hAnsi="Lato"/>
          <w:sz w:val="18"/>
          <w:szCs w:val="18"/>
        </w:rPr>
        <w:t xml:space="preserve">wpisano </w:t>
      </w:r>
      <w:r w:rsidRPr="00727892">
        <w:rPr>
          <w:rFonts w:ascii="Lato" w:hAnsi="Lato"/>
          <w:sz w:val="18"/>
          <w:szCs w:val="18"/>
        </w:rPr>
        <w:t>połączenie spółki PGNiG S.A. z PKN Orlen S.A. – mając na względzie, że połączenie spółek PGNiG S.A. i PKN Orlen S.A. nastąpiło w IV kw. 2022 r. w niniejszym dokumencie działania prowadzone przez przejętą spółkę prezentowana będzie jeszcze pod nazwą PGNiG S.A.</w:t>
      </w:r>
    </w:p>
  </w:footnote>
  <w:footnote w:id="3">
    <w:p w14:paraId="7E8EFCEE" w14:textId="413B9EEB" w:rsidR="00786A20" w:rsidRPr="00727892" w:rsidRDefault="00786A20" w:rsidP="003043BB">
      <w:pPr>
        <w:pStyle w:val="Tekstprzypisudolnego"/>
        <w:rPr>
          <w:rFonts w:ascii="Lato" w:hAnsi="Lato"/>
          <w:sz w:val="18"/>
          <w:szCs w:val="18"/>
        </w:rPr>
      </w:pPr>
      <w:r w:rsidRPr="00727892">
        <w:rPr>
          <w:rStyle w:val="Odwoanieprzypisudolnego"/>
          <w:rFonts w:ascii="Lato" w:hAnsi="Lato"/>
          <w:sz w:val="18"/>
          <w:szCs w:val="18"/>
        </w:rPr>
        <w:footnoteRef/>
      </w:r>
      <w:r w:rsidRPr="00727892">
        <w:rPr>
          <w:rFonts w:ascii="Lato" w:hAnsi="Lato"/>
          <w:sz w:val="18"/>
          <w:szCs w:val="18"/>
        </w:rPr>
        <w:t xml:space="preserve"> Zdolność odbioru z instalacji magazynowych przy pojemności odpowiadającej wielkości zapasów obowiązkowych</w:t>
      </w:r>
      <w:r w:rsidR="00727892">
        <w:rPr>
          <w:rFonts w:ascii="Lato" w:hAnsi="Lato"/>
          <w:sz w:val="18"/>
          <w:szCs w:val="18"/>
        </w:rPr>
        <w:t>.</w:t>
      </w:r>
    </w:p>
  </w:footnote>
  <w:footnote w:id="4">
    <w:p w14:paraId="2EB04D08" w14:textId="59D30D09" w:rsidR="00086AFF" w:rsidRDefault="00086AFF">
      <w:pPr>
        <w:pStyle w:val="Tekstprzypisudolnego"/>
      </w:pPr>
      <w:r w:rsidRPr="00F9642E">
        <w:rPr>
          <w:rStyle w:val="Odwoanieprzypisudolnego"/>
          <w:rFonts w:ascii="Lato" w:hAnsi="Lato"/>
        </w:rPr>
        <w:footnoteRef/>
      </w:r>
      <w:r w:rsidRPr="00F9642E">
        <w:rPr>
          <w:rFonts w:ascii="Lato" w:hAnsi="Lato"/>
        </w:rPr>
        <w:t xml:space="preserve"> </w:t>
      </w:r>
      <w:r w:rsidRPr="00DB1FF2">
        <w:rPr>
          <w:rFonts w:ascii="Lato" w:hAnsi="Lato"/>
          <w:sz w:val="18"/>
          <w:szCs w:val="18"/>
        </w:rPr>
        <w:t>W okresie od 1 października 2022 do 30 września 2024 r., ze względu na szczególne uwarunkowania związane z sytuacją na rynku gazu wydłużono czas do 50 dni.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08291" w14:textId="77777777" w:rsidR="006E2831" w:rsidRPr="004220D7" w:rsidRDefault="006E2831">
    <w:pPr>
      <w:keepNext/>
      <w:outlineLvl w:val="8"/>
      <w:rPr>
        <w:rFonts w:ascii="Century Gothic" w:hAnsi="Century Gothic"/>
        <w:bCs/>
        <w:sz w:val="20"/>
        <w:szCs w:val="20"/>
      </w:rPr>
    </w:pPr>
  </w:p>
  <w:p w14:paraId="570DD688" w14:textId="77777777" w:rsidR="006E2831" w:rsidRDefault="006E283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70"/>
      <w:gridCol w:w="3070"/>
      <w:gridCol w:w="3070"/>
    </w:tblGrid>
    <w:tr w:rsidR="25DB566B" w14:paraId="2B908752" w14:textId="77777777" w:rsidTr="25DB566B">
      <w:trPr>
        <w:trHeight w:val="300"/>
      </w:trPr>
      <w:tc>
        <w:tcPr>
          <w:tcW w:w="3070" w:type="dxa"/>
        </w:tcPr>
        <w:p w14:paraId="07707FFA" w14:textId="0AA55F4D" w:rsidR="25DB566B" w:rsidRDefault="25DB566B" w:rsidP="25DB566B">
          <w:pPr>
            <w:pStyle w:val="Nagwek"/>
            <w:ind w:left="-115"/>
          </w:pPr>
        </w:p>
      </w:tc>
      <w:tc>
        <w:tcPr>
          <w:tcW w:w="3070" w:type="dxa"/>
        </w:tcPr>
        <w:p w14:paraId="4C987A4F" w14:textId="1C6CE963" w:rsidR="25DB566B" w:rsidRDefault="25DB566B" w:rsidP="25DB566B">
          <w:pPr>
            <w:pStyle w:val="Nagwek"/>
            <w:jc w:val="center"/>
          </w:pPr>
        </w:p>
      </w:tc>
      <w:tc>
        <w:tcPr>
          <w:tcW w:w="3070" w:type="dxa"/>
        </w:tcPr>
        <w:p w14:paraId="7CB60A12" w14:textId="080E703B" w:rsidR="25DB566B" w:rsidRDefault="25DB566B" w:rsidP="25DB566B">
          <w:pPr>
            <w:pStyle w:val="Nagwek"/>
            <w:ind w:right="-115"/>
            <w:jc w:val="right"/>
          </w:pPr>
        </w:p>
      </w:tc>
    </w:tr>
  </w:tbl>
  <w:p w14:paraId="2592E64A" w14:textId="382A6B2A" w:rsidR="00B52AF3" w:rsidRDefault="00B52AF3">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70"/>
      <w:gridCol w:w="3070"/>
      <w:gridCol w:w="3070"/>
    </w:tblGrid>
    <w:tr w:rsidR="25DB566B" w14:paraId="1EF71291" w14:textId="77777777" w:rsidTr="25DB566B">
      <w:trPr>
        <w:trHeight w:val="300"/>
      </w:trPr>
      <w:tc>
        <w:tcPr>
          <w:tcW w:w="3070" w:type="dxa"/>
        </w:tcPr>
        <w:p w14:paraId="6A27CAB1" w14:textId="1DF2AAD3" w:rsidR="25DB566B" w:rsidRDefault="25DB566B" w:rsidP="25DB566B">
          <w:pPr>
            <w:pStyle w:val="Nagwek"/>
            <w:ind w:left="-115"/>
          </w:pPr>
        </w:p>
      </w:tc>
      <w:tc>
        <w:tcPr>
          <w:tcW w:w="3070" w:type="dxa"/>
        </w:tcPr>
        <w:p w14:paraId="680FAFA5" w14:textId="7C26AD66" w:rsidR="25DB566B" w:rsidRDefault="25DB566B" w:rsidP="25DB566B">
          <w:pPr>
            <w:pStyle w:val="Nagwek"/>
            <w:jc w:val="center"/>
          </w:pPr>
        </w:p>
      </w:tc>
      <w:tc>
        <w:tcPr>
          <w:tcW w:w="3070" w:type="dxa"/>
        </w:tcPr>
        <w:p w14:paraId="08CB57F6" w14:textId="6C492BD5" w:rsidR="25DB566B" w:rsidRDefault="25DB566B" w:rsidP="25DB566B">
          <w:pPr>
            <w:pStyle w:val="Nagwek"/>
            <w:ind w:right="-115"/>
            <w:jc w:val="right"/>
          </w:pPr>
        </w:p>
      </w:tc>
    </w:tr>
  </w:tbl>
  <w:p w14:paraId="0796DD61" w14:textId="04CE02B2" w:rsidR="00B52AF3" w:rsidRDefault="00B52AF3">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70"/>
      <w:gridCol w:w="3070"/>
      <w:gridCol w:w="3070"/>
    </w:tblGrid>
    <w:tr w:rsidR="25DB566B" w14:paraId="2F56AE94" w14:textId="77777777" w:rsidTr="25DB566B">
      <w:trPr>
        <w:trHeight w:val="300"/>
      </w:trPr>
      <w:tc>
        <w:tcPr>
          <w:tcW w:w="3070" w:type="dxa"/>
        </w:tcPr>
        <w:p w14:paraId="4A7E1686" w14:textId="4CCAB254" w:rsidR="25DB566B" w:rsidRDefault="25DB566B" w:rsidP="25DB566B">
          <w:pPr>
            <w:pStyle w:val="Nagwek"/>
            <w:ind w:left="-115"/>
          </w:pPr>
        </w:p>
      </w:tc>
      <w:tc>
        <w:tcPr>
          <w:tcW w:w="3070" w:type="dxa"/>
        </w:tcPr>
        <w:p w14:paraId="0E9FB110" w14:textId="67B84F59" w:rsidR="25DB566B" w:rsidRDefault="25DB566B" w:rsidP="25DB566B">
          <w:pPr>
            <w:pStyle w:val="Nagwek"/>
            <w:jc w:val="center"/>
          </w:pPr>
        </w:p>
      </w:tc>
      <w:tc>
        <w:tcPr>
          <w:tcW w:w="3070" w:type="dxa"/>
        </w:tcPr>
        <w:p w14:paraId="5F62909D" w14:textId="74496DBA" w:rsidR="25DB566B" w:rsidRDefault="25DB566B" w:rsidP="25DB566B">
          <w:pPr>
            <w:pStyle w:val="Nagwek"/>
            <w:ind w:right="-115"/>
            <w:jc w:val="right"/>
          </w:pPr>
        </w:p>
      </w:tc>
    </w:tr>
  </w:tbl>
  <w:p w14:paraId="0EFB9EFF" w14:textId="421C9092" w:rsidR="00B52AF3" w:rsidRDefault="00B52AF3">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70"/>
      <w:gridCol w:w="3070"/>
      <w:gridCol w:w="3070"/>
    </w:tblGrid>
    <w:tr w:rsidR="0067393E" w14:paraId="6963AD29" w14:textId="77777777" w:rsidTr="25DB566B">
      <w:trPr>
        <w:trHeight w:val="300"/>
      </w:trPr>
      <w:tc>
        <w:tcPr>
          <w:tcW w:w="3070" w:type="dxa"/>
        </w:tcPr>
        <w:p w14:paraId="3CE3AB14" w14:textId="77777777" w:rsidR="0067393E" w:rsidRDefault="0067393E" w:rsidP="25DB566B">
          <w:pPr>
            <w:pStyle w:val="Nagwek"/>
            <w:ind w:left="-115"/>
          </w:pPr>
        </w:p>
      </w:tc>
      <w:tc>
        <w:tcPr>
          <w:tcW w:w="3070" w:type="dxa"/>
        </w:tcPr>
        <w:p w14:paraId="0526F290" w14:textId="77777777" w:rsidR="0067393E" w:rsidRDefault="0067393E" w:rsidP="25DB566B">
          <w:pPr>
            <w:pStyle w:val="Nagwek"/>
            <w:jc w:val="center"/>
          </w:pPr>
        </w:p>
      </w:tc>
      <w:tc>
        <w:tcPr>
          <w:tcW w:w="3070" w:type="dxa"/>
        </w:tcPr>
        <w:p w14:paraId="42343F0D" w14:textId="77777777" w:rsidR="0067393E" w:rsidRDefault="0067393E" w:rsidP="25DB566B">
          <w:pPr>
            <w:pStyle w:val="Nagwek"/>
            <w:ind w:right="-115"/>
            <w:jc w:val="right"/>
          </w:pPr>
        </w:p>
      </w:tc>
    </w:tr>
  </w:tbl>
  <w:p w14:paraId="2FF6FD20" w14:textId="77777777" w:rsidR="0067393E" w:rsidRDefault="0067393E">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70"/>
      <w:gridCol w:w="3070"/>
      <w:gridCol w:w="3070"/>
    </w:tblGrid>
    <w:tr w:rsidR="25DB566B" w14:paraId="4113BF83" w14:textId="77777777" w:rsidTr="25DB566B">
      <w:trPr>
        <w:trHeight w:val="300"/>
      </w:trPr>
      <w:tc>
        <w:tcPr>
          <w:tcW w:w="3070" w:type="dxa"/>
        </w:tcPr>
        <w:p w14:paraId="7195F1A0" w14:textId="2A508236" w:rsidR="25DB566B" w:rsidRDefault="25DB566B" w:rsidP="25DB566B">
          <w:pPr>
            <w:pStyle w:val="Nagwek"/>
            <w:ind w:left="-115"/>
          </w:pPr>
        </w:p>
      </w:tc>
      <w:tc>
        <w:tcPr>
          <w:tcW w:w="3070" w:type="dxa"/>
        </w:tcPr>
        <w:p w14:paraId="3A7D19C7" w14:textId="1E79D1B0" w:rsidR="25DB566B" w:rsidRDefault="25DB566B" w:rsidP="25DB566B">
          <w:pPr>
            <w:pStyle w:val="Nagwek"/>
            <w:jc w:val="center"/>
          </w:pPr>
        </w:p>
      </w:tc>
      <w:tc>
        <w:tcPr>
          <w:tcW w:w="3070" w:type="dxa"/>
        </w:tcPr>
        <w:p w14:paraId="1DEA74E2" w14:textId="591C6F6F" w:rsidR="25DB566B" w:rsidRDefault="25DB566B" w:rsidP="25DB566B">
          <w:pPr>
            <w:pStyle w:val="Nagwek"/>
            <w:ind w:right="-115"/>
            <w:jc w:val="right"/>
          </w:pPr>
        </w:p>
      </w:tc>
    </w:tr>
  </w:tbl>
  <w:p w14:paraId="4F9FA15C" w14:textId="11BAF4CE" w:rsidR="00B52AF3" w:rsidRDefault="00B52AF3">
    <w:pPr>
      <w:pStyle w:val="Nagwek"/>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8E61D" w14:textId="77777777" w:rsidR="002E3ED1" w:rsidRDefault="002E3ED1">
    <w:pPr>
      <w:pStyle w:val="Nagwek"/>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72855" w14:textId="77777777" w:rsidR="00786A20" w:rsidRPr="004220D7" w:rsidRDefault="00786A20" w:rsidP="00B03DBA">
    <w:pPr>
      <w:keepNext/>
      <w:outlineLvl w:val="8"/>
      <w:rPr>
        <w:rFonts w:ascii="Century Gothic" w:hAnsi="Century Gothic"/>
        <w:bCs/>
        <w:sz w:val="20"/>
        <w:szCs w:val="20"/>
      </w:rPr>
    </w:pPr>
  </w:p>
  <w:p w14:paraId="3FE312CE" w14:textId="77777777" w:rsidR="00786A20" w:rsidRDefault="00786A2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73625" w14:textId="77777777" w:rsidR="002E3ED1" w:rsidRDefault="002E3ED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34374"/>
    <w:multiLevelType w:val="hybridMultilevel"/>
    <w:tmpl w:val="87DC7E1C"/>
    <w:lvl w:ilvl="0" w:tplc="104A2692">
      <w:start w:val="1"/>
      <w:numFmt w:val="lowerLetter"/>
      <w:lvlText w:val="%1)"/>
      <w:lvlJc w:val="left"/>
      <w:pPr>
        <w:ind w:left="720" w:hanging="360"/>
      </w:pPr>
    </w:lvl>
    <w:lvl w:ilvl="1" w:tplc="03C4EFA0" w:tentative="1">
      <w:start w:val="1"/>
      <w:numFmt w:val="lowerLetter"/>
      <w:lvlText w:val="%2."/>
      <w:lvlJc w:val="left"/>
      <w:pPr>
        <w:ind w:left="1440" w:hanging="360"/>
      </w:pPr>
    </w:lvl>
    <w:lvl w:ilvl="2" w:tplc="7BCEEA32" w:tentative="1">
      <w:start w:val="1"/>
      <w:numFmt w:val="lowerRoman"/>
      <w:lvlText w:val="%3."/>
      <w:lvlJc w:val="right"/>
      <w:pPr>
        <w:ind w:left="2160" w:hanging="180"/>
      </w:pPr>
    </w:lvl>
    <w:lvl w:ilvl="3" w:tplc="FF922E58" w:tentative="1">
      <w:start w:val="1"/>
      <w:numFmt w:val="decimal"/>
      <w:lvlText w:val="%4."/>
      <w:lvlJc w:val="left"/>
      <w:pPr>
        <w:ind w:left="2880" w:hanging="360"/>
      </w:pPr>
    </w:lvl>
    <w:lvl w:ilvl="4" w:tplc="37AAFA7C" w:tentative="1">
      <w:start w:val="1"/>
      <w:numFmt w:val="lowerLetter"/>
      <w:lvlText w:val="%5."/>
      <w:lvlJc w:val="left"/>
      <w:pPr>
        <w:ind w:left="3600" w:hanging="360"/>
      </w:pPr>
    </w:lvl>
    <w:lvl w:ilvl="5" w:tplc="185E0D96" w:tentative="1">
      <w:start w:val="1"/>
      <w:numFmt w:val="lowerRoman"/>
      <w:lvlText w:val="%6."/>
      <w:lvlJc w:val="right"/>
      <w:pPr>
        <w:ind w:left="4320" w:hanging="180"/>
      </w:pPr>
    </w:lvl>
    <w:lvl w:ilvl="6" w:tplc="A38234B4" w:tentative="1">
      <w:start w:val="1"/>
      <w:numFmt w:val="decimal"/>
      <w:lvlText w:val="%7."/>
      <w:lvlJc w:val="left"/>
      <w:pPr>
        <w:ind w:left="5040" w:hanging="360"/>
      </w:pPr>
    </w:lvl>
    <w:lvl w:ilvl="7" w:tplc="5DA2751E" w:tentative="1">
      <w:start w:val="1"/>
      <w:numFmt w:val="lowerLetter"/>
      <w:lvlText w:val="%8."/>
      <w:lvlJc w:val="left"/>
      <w:pPr>
        <w:ind w:left="5760" w:hanging="360"/>
      </w:pPr>
    </w:lvl>
    <w:lvl w:ilvl="8" w:tplc="5AEC7B6C" w:tentative="1">
      <w:start w:val="1"/>
      <w:numFmt w:val="lowerRoman"/>
      <w:lvlText w:val="%9."/>
      <w:lvlJc w:val="right"/>
      <w:pPr>
        <w:ind w:left="6480" w:hanging="180"/>
      </w:pPr>
    </w:lvl>
  </w:abstractNum>
  <w:abstractNum w:abstractNumId="1" w15:restartNumberingAfterBreak="0">
    <w:nsid w:val="08C94353"/>
    <w:multiLevelType w:val="hybridMultilevel"/>
    <w:tmpl w:val="FBAEFC5A"/>
    <w:lvl w:ilvl="0" w:tplc="57EC6A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ADC4701"/>
    <w:multiLevelType w:val="singleLevel"/>
    <w:tmpl w:val="E0E06E22"/>
    <w:lvl w:ilvl="0">
      <w:start w:val="1"/>
      <w:numFmt w:val="decimal"/>
      <w:pStyle w:val="ParaNo"/>
      <w:lvlText w:val="%1."/>
      <w:lvlJc w:val="left"/>
      <w:pPr>
        <w:tabs>
          <w:tab w:val="num" w:pos="360"/>
        </w:tabs>
      </w:pPr>
      <w:rPr>
        <w:rFonts w:ascii="Times" w:hAnsi="Times" w:cs="Times New Roman" w:hint="default"/>
        <w:b w:val="0"/>
        <w:i w:val="0"/>
        <w:caps w:val="0"/>
        <w:strike w:val="0"/>
        <w:dstrike w:val="0"/>
        <w:vanish w:val="0"/>
        <w:color w:val="000000"/>
        <w:sz w:val="24"/>
        <w:u w:val="none"/>
        <w:vertAlign w:val="baseline"/>
      </w:rPr>
    </w:lvl>
  </w:abstractNum>
  <w:abstractNum w:abstractNumId="3" w15:restartNumberingAfterBreak="0">
    <w:nsid w:val="0B637583"/>
    <w:multiLevelType w:val="hybridMultilevel"/>
    <w:tmpl w:val="EA9C160C"/>
    <w:lvl w:ilvl="0" w:tplc="57EC6A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E271A08"/>
    <w:multiLevelType w:val="hybridMultilevel"/>
    <w:tmpl w:val="BBD0C74A"/>
    <w:lvl w:ilvl="0" w:tplc="A3DE1260">
      <w:start w:val="1"/>
      <w:numFmt w:val="bullet"/>
      <w:lvlText w:val="−"/>
      <w:lvlJc w:val="left"/>
      <w:pPr>
        <w:ind w:left="720" w:hanging="360"/>
      </w:pPr>
      <w:rPr>
        <w:rFonts w:ascii="Times New Roman" w:hAnsi="Times New Roman"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FFD12FB"/>
    <w:multiLevelType w:val="hybridMultilevel"/>
    <w:tmpl w:val="D15C2B88"/>
    <w:lvl w:ilvl="0" w:tplc="88664042">
      <w:start w:val="1"/>
      <w:numFmt w:val="decimal"/>
      <w:lvlText w:val="%1."/>
      <w:lvlJc w:val="left"/>
      <w:pPr>
        <w:tabs>
          <w:tab w:val="num" w:pos="720"/>
        </w:tabs>
        <w:ind w:left="720" w:hanging="360"/>
      </w:pPr>
    </w:lvl>
    <w:lvl w:ilvl="1" w:tplc="91F01DC6">
      <w:start w:val="1"/>
      <w:numFmt w:val="lowerLetter"/>
      <w:lvlText w:val="%2."/>
      <w:lvlJc w:val="left"/>
      <w:pPr>
        <w:tabs>
          <w:tab w:val="num" w:pos="1440"/>
        </w:tabs>
        <w:ind w:left="1440" w:hanging="360"/>
      </w:pPr>
      <w:rPr>
        <w:rFonts w:cs="Times New Roman"/>
      </w:rPr>
    </w:lvl>
    <w:lvl w:ilvl="2" w:tplc="8620048E">
      <w:start w:val="1"/>
      <w:numFmt w:val="decimal"/>
      <w:lvlText w:val="%3)"/>
      <w:lvlJc w:val="left"/>
      <w:pPr>
        <w:ind w:left="1211" w:hanging="360"/>
      </w:pPr>
      <w:rPr>
        <w:rFonts w:hint="default"/>
      </w:rPr>
    </w:lvl>
    <w:lvl w:ilvl="3" w:tplc="31329A5A" w:tentative="1">
      <w:start w:val="1"/>
      <w:numFmt w:val="decimal"/>
      <w:lvlText w:val="%4."/>
      <w:lvlJc w:val="left"/>
      <w:pPr>
        <w:tabs>
          <w:tab w:val="num" w:pos="2880"/>
        </w:tabs>
        <w:ind w:left="2880" w:hanging="360"/>
      </w:pPr>
      <w:rPr>
        <w:rFonts w:cs="Times New Roman"/>
      </w:rPr>
    </w:lvl>
    <w:lvl w:ilvl="4" w:tplc="F5EC0498" w:tentative="1">
      <w:start w:val="1"/>
      <w:numFmt w:val="lowerLetter"/>
      <w:lvlText w:val="%5."/>
      <w:lvlJc w:val="left"/>
      <w:pPr>
        <w:tabs>
          <w:tab w:val="num" w:pos="3600"/>
        </w:tabs>
        <w:ind w:left="3600" w:hanging="360"/>
      </w:pPr>
      <w:rPr>
        <w:rFonts w:cs="Times New Roman"/>
      </w:rPr>
    </w:lvl>
    <w:lvl w:ilvl="5" w:tplc="8D324D08" w:tentative="1">
      <w:start w:val="1"/>
      <w:numFmt w:val="lowerRoman"/>
      <w:lvlText w:val="%6."/>
      <w:lvlJc w:val="right"/>
      <w:pPr>
        <w:tabs>
          <w:tab w:val="num" w:pos="4320"/>
        </w:tabs>
        <w:ind w:left="4320" w:hanging="180"/>
      </w:pPr>
      <w:rPr>
        <w:rFonts w:cs="Times New Roman"/>
      </w:rPr>
    </w:lvl>
    <w:lvl w:ilvl="6" w:tplc="909675EA" w:tentative="1">
      <w:start w:val="1"/>
      <w:numFmt w:val="decimal"/>
      <w:lvlText w:val="%7."/>
      <w:lvlJc w:val="left"/>
      <w:pPr>
        <w:tabs>
          <w:tab w:val="num" w:pos="5040"/>
        </w:tabs>
        <w:ind w:left="5040" w:hanging="360"/>
      </w:pPr>
      <w:rPr>
        <w:rFonts w:cs="Times New Roman"/>
      </w:rPr>
    </w:lvl>
    <w:lvl w:ilvl="7" w:tplc="EBBE843A" w:tentative="1">
      <w:start w:val="1"/>
      <w:numFmt w:val="lowerLetter"/>
      <w:lvlText w:val="%8."/>
      <w:lvlJc w:val="left"/>
      <w:pPr>
        <w:tabs>
          <w:tab w:val="num" w:pos="5760"/>
        </w:tabs>
        <w:ind w:left="5760" w:hanging="360"/>
      </w:pPr>
      <w:rPr>
        <w:rFonts w:cs="Times New Roman"/>
      </w:rPr>
    </w:lvl>
    <w:lvl w:ilvl="8" w:tplc="4028D23C" w:tentative="1">
      <w:start w:val="1"/>
      <w:numFmt w:val="lowerRoman"/>
      <w:lvlText w:val="%9."/>
      <w:lvlJc w:val="right"/>
      <w:pPr>
        <w:tabs>
          <w:tab w:val="num" w:pos="6480"/>
        </w:tabs>
        <w:ind w:left="6480" w:hanging="180"/>
      </w:pPr>
      <w:rPr>
        <w:rFonts w:cs="Times New Roman"/>
      </w:rPr>
    </w:lvl>
  </w:abstractNum>
  <w:abstractNum w:abstractNumId="6" w15:restartNumberingAfterBreak="0">
    <w:nsid w:val="10D914B8"/>
    <w:multiLevelType w:val="hybridMultilevel"/>
    <w:tmpl w:val="21C61552"/>
    <w:lvl w:ilvl="0" w:tplc="57EC6A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2FE41CB"/>
    <w:multiLevelType w:val="hybridMultilevel"/>
    <w:tmpl w:val="681E9CDA"/>
    <w:lvl w:ilvl="0" w:tplc="EDBE1978">
      <w:start w:val="1"/>
      <w:numFmt w:val="bullet"/>
      <w:pStyle w:val="TekstWypunktowany"/>
      <w:lvlText w:val=""/>
      <w:lvlJc w:val="left"/>
      <w:pPr>
        <w:ind w:left="720" w:hanging="360"/>
      </w:pPr>
      <w:rPr>
        <w:rFonts w:ascii="Symbol" w:hAnsi="Symbol" w:hint="default"/>
      </w:rPr>
    </w:lvl>
    <w:lvl w:ilvl="1" w:tplc="86608356" w:tentative="1">
      <w:start w:val="1"/>
      <w:numFmt w:val="bullet"/>
      <w:lvlText w:val="o"/>
      <w:lvlJc w:val="left"/>
      <w:pPr>
        <w:ind w:left="1440" w:hanging="360"/>
      </w:pPr>
      <w:rPr>
        <w:rFonts w:ascii="Courier New" w:hAnsi="Courier New" w:cs="Courier New" w:hint="default"/>
      </w:rPr>
    </w:lvl>
    <w:lvl w:ilvl="2" w:tplc="21A40BAC" w:tentative="1">
      <w:start w:val="1"/>
      <w:numFmt w:val="bullet"/>
      <w:lvlText w:val=""/>
      <w:lvlJc w:val="left"/>
      <w:pPr>
        <w:ind w:left="2160" w:hanging="360"/>
      </w:pPr>
      <w:rPr>
        <w:rFonts w:ascii="Wingdings" w:hAnsi="Wingdings" w:hint="default"/>
      </w:rPr>
    </w:lvl>
    <w:lvl w:ilvl="3" w:tplc="2F80B562" w:tentative="1">
      <w:start w:val="1"/>
      <w:numFmt w:val="bullet"/>
      <w:lvlText w:val=""/>
      <w:lvlJc w:val="left"/>
      <w:pPr>
        <w:ind w:left="2880" w:hanging="360"/>
      </w:pPr>
      <w:rPr>
        <w:rFonts w:ascii="Symbol" w:hAnsi="Symbol" w:hint="default"/>
      </w:rPr>
    </w:lvl>
    <w:lvl w:ilvl="4" w:tplc="DF044978" w:tentative="1">
      <w:start w:val="1"/>
      <w:numFmt w:val="bullet"/>
      <w:lvlText w:val="o"/>
      <w:lvlJc w:val="left"/>
      <w:pPr>
        <w:ind w:left="3600" w:hanging="360"/>
      </w:pPr>
      <w:rPr>
        <w:rFonts w:ascii="Courier New" w:hAnsi="Courier New" w:cs="Courier New" w:hint="default"/>
      </w:rPr>
    </w:lvl>
    <w:lvl w:ilvl="5" w:tplc="DA407752" w:tentative="1">
      <w:start w:val="1"/>
      <w:numFmt w:val="bullet"/>
      <w:lvlText w:val=""/>
      <w:lvlJc w:val="left"/>
      <w:pPr>
        <w:ind w:left="4320" w:hanging="360"/>
      </w:pPr>
      <w:rPr>
        <w:rFonts w:ascii="Wingdings" w:hAnsi="Wingdings" w:hint="default"/>
      </w:rPr>
    </w:lvl>
    <w:lvl w:ilvl="6" w:tplc="00A878FE" w:tentative="1">
      <w:start w:val="1"/>
      <w:numFmt w:val="bullet"/>
      <w:lvlText w:val=""/>
      <w:lvlJc w:val="left"/>
      <w:pPr>
        <w:ind w:left="5040" w:hanging="360"/>
      </w:pPr>
      <w:rPr>
        <w:rFonts w:ascii="Symbol" w:hAnsi="Symbol" w:hint="default"/>
      </w:rPr>
    </w:lvl>
    <w:lvl w:ilvl="7" w:tplc="036CA806" w:tentative="1">
      <w:start w:val="1"/>
      <w:numFmt w:val="bullet"/>
      <w:lvlText w:val="o"/>
      <w:lvlJc w:val="left"/>
      <w:pPr>
        <w:ind w:left="5760" w:hanging="360"/>
      </w:pPr>
      <w:rPr>
        <w:rFonts w:ascii="Courier New" w:hAnsi="Courier New" w:cs="Courier New" w:hint="default"/>
      </w:rPr>
    </w:lvl>
    <w:lvl w:ilvl="8" w:tplc="857078F0" w:tentative="1">
      <w:start w:val="1"/>
      <w:numFmt w:val="bullet"/>
      <w:lvlText w:val=""/>
      <w:lvlJc w:val="left"/>
      <w:pPr>
        <w:ind w:left="6480" w:hanging="360"/>
      </w:pPr>
      <w:rPr>
        <w:rFonts w:ascii="Wingdings" w:hAnsi="Wingdings" w:hint="default"/>
      </w:rPr>
    </w:lvl>
  </w:abstractNum>
  <w:abstractNum w:abstractNumId="8" w15:restartNumberingAfterBreak="0">
    <w:nsid w:val="13734727"/>
    <w:multiLevelType w:val="hybridMultilevel"/>
    <w:tmpl w:val="BC26B886"/>
    <w:lvl w:ilvl="0" w:tplc="E54656C8">
      <w:start w:val="1"/>
      <w:numFmt w:val="lowerLetter"/>
      <w:lvlText w:val="%1)"/>
      <w:lvlJc w:val="left"/>
      <w:pPr>
        <w:ind w:left="720" w:hanging="360"/>
      </w:pPr>
      <w:rPr>
        <w:rFonts w:hint="default"/>
        <w:b w:val="0"/>
      </w:rPr>
    </w:lvl>
    <w:lvl w:ilvl="1" w:tplc="CEEA65F4" w:tentative="1">
      <w:start w:val="1"/>
      <w:numFmt w:val="bullet"/>
      <w:lvlText w:val="o"/>
      <w:lvlJc w:val="left"/>
      <w:pPr>
        <w:ind w:left="1440" w:hanging="360"/>
      </w:pPr>
      <w:rPr>
        <w:rFonts w:ascii="Courier New" w:hAnsi="Courier New" w:cs="Courier New" w:hint="default"/>
      </w:rPr>
    </w:lvl>
    <w:lvl w:ilvl="2" w:tplc="A364BBF0" w:tentative="1">
      <w:start w:val="1"/>
      <w:numFmt w:val="bullet"/>
      <w:lvlText w:val=""/>
      <w:lvlJc w:val="left"/>
      <w:pPr>
        <w:ind w:left="2160" w:hanging="360"/>
      </w:pPr>
      <w:rPr>
        <w:rFonts w:ascii="Wingdings" w:hAnsi="Wingdings" w:hint="default"/>
      </w:rPr>
    </w:lvl>
    <w:lvl w:ilvl="3" w:tplc="85745388" w:tentative="1">
      <w:start w:val="1"/>
      <w:numFmt w:val="bullet"/>
      <w:lvlText w:val=""/>
      <w:lvlJc w:val="left"/>
      <w:pPr>
        <w:ind w:left="2880" w:hanging="360"/>
      </w:pPr>
      <w:rPr>
        <w:rFonts w:ascii="Symbol" w:hAnsi="Symbol" w:hint="default"/>
      </w:rPr>
    </w:lvl>
    <w:lvl w:ilvl="4" w:tplc="12CED2BC" w:tentative="1">
      <w:start w:val="1"/>
      <w:numFmt w:val="bullet"/>
      <w:lvlText w:val="o"/>
      <w:lvlJc w:val="left"/>
      <w:pPr>
        <w:ind w:left="3600" w:hanging="360"/>
      </w:pPr>
      <w:rPr>
        <w:rFonts w:ascii="Courier New" w:hAnsi="Courier New" w:cs="Courier New" w:hint="default"/>
      </w:rPr>
    </w:lvl>
    <w:lvl w:ilvl="5" w:tplc="0916CB38" w:tentative="1">
      <w:start w:val="1"/>
      <w:numFmt w:val="bullet"/>
      <w:lvlText w:val=""/>
      <w:lvlJc w:val="left"/>
      <w:pPr>
        <w:ind w:left="4320" w:hanging="360"/>
      </w:pPr>
      <w:rPr>
        <w:rFonts w:ascii="Wingdings" w:hAnsi="Wingdings" w:hint="default"/>
      </w:rPr>
    </w:lvl>
    <w:lvl w:ilvl="6" w:tplc="BE0ED3B0" w:tentative="1">
      <w:start w:val="1"/>
      <w:numFmt w:val="bullet"/>
      <w:lvlText w:val=""/>
      <w:lvlJc w:val="left"/>
      <w:pPr>
        <w:ind w:left="5040" w:hanging="360"/>
      </w:pPr>
      <w:rPr>
        <w:rFonts w:ascii="Symbol" w:hAnsi="Symbol" w:hint="default"/>
      </w:rPr>
    </w:lvl>
    <w:lvl w:ilvl="7" w:tplc="9538F038" w:tentative="1">
      <w:start w:val="1"/>
      <w:numFmt w:val="bullet"/>
      <w:lvlText w:val="o"/>
      <w:lvlJc w:val="left"/>
      <w:pPr>
        <w:ind w:left="5760" w:hanging="360"/>
      </w:pPr>
      <w:rPr>
        <w:rFonts w:ascii="Courier New" w:hAnsi="Courier New" w:cs="Courier New" w:hint="default"/>
      </w:rPr>
    </w:lvl>
    <w:lvl w:ilvl="8" w:tplc="46744770" w:tentative="1">
      <w:start w:val="1"/>
      <w:numFmt w:val="bullet"/>
      <w:lvlText w:val=""/>
      <w:lvlJc w:val="left"/>
      <w:pPr>
        <w:ind w:left="6480" w:hanging="360"/>
      </w:pPr>
      <w:rPr>
        <w:rFonts w:ascii="Wingdings" w:hAnsi="Wingdings" w:hint="default"/>
      </w:rPr>
    </w:lvl>
  </w:abstractNum>
  <w:abstractNum w:abstractNumId="9" w15:restartNumberingAfterBreak="0">
    <w:nsid w:val="16A02234"/>
    <w:multiLevelType w:val="hybridMultilevel"/>
    <w:tmpl w:val="5FEA126A"/>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07B39F8"/>
    <w:multiLevelType w:val="hybridMultilevel"/>
    <w:tmpl w:val="3CCEF92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4C96833"/>
    <w:multiLevelType w:val="hybridMultilevel"/>
    <w:tmpl w:val="61E273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56E2A4B"/>
    <w:multiLevelType w:val="hybridMultilevel"/>
    <w:tmpl w:val="68B67C42"/>
    <w:lvl w:ilvl="0" w:tplc="57EC6AE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CF624CB"/>
    <w:multiLevelType w:val="hybridMultilevel"/>
    <w:tmpl w:val="45A6577A"/>
    <w:lvl w:ilvl="0" w:tplc="A3904C9C">
      <w:start w:val="1"/>
      <w:numFmt w:val="bullet"/>
      <w:lvlText w:val="−"/>
      <w:lvlJc w:val="left"/>
      <w:pPr>
        <w:ind w:left="720" w:hanging="360"/>
      </w:pPr>
      <w:rPr>
        <w:rFonts w:ascii="Times New Roman" w:hAnsi="Times New Roman" w:hint="default"/>
        <w:b w:val="0"/>
      </w:rPr>
    </w:lvl>
    <w:lvl w:ilvl="1" w:tplc="810E975A" w:tentative="1">
      <w:start w:val="1"/>
      <w:numFmt w:val="bullet"/>
      <w:lvlText w:val="o"/>
      <w:lvlJc w:val="left"/>
      <w:pPr>
        <w:ind w:left="1440" w:hanging="360"/>
      </w:pPr>
      <w:rPr>
        <w:rFonts w:ascii="Courier New" w:hAnsi="Courier New" w:cs="Courier New" w:hint="default"/>
      </w:rPr>
    </w:lvl>
    <w:lvl w:ilvl="2" w:tplc="BC22EE46" w:tentative="1">
      <w:start w:val="1"/>
      <w:numFmt w:val="bullet"/>
      <w:lvlText w:val=""/>
      <w:lvlJc w:val="left"/>
      <w:pPr>
        <w:ind w:left="2160" w:hanging="360"/>
      </w:pPr>
      <w:rPr>
        <w:rFonts w:ascii="Wingdings" w:hAnsi="Wingdings" w:hint="default"/>
      </w:rPr>
    </w:lvl>
    <w:lvl w:ilvl="3" w:tplc="9A9CB7FA" w:tentative="1">
      <w:start w:val="1"/>
      <w:numFmt w:val="bullet"/>
      <w:lvlText w:val=""/>
      <w:lvlJc w:val="left"/>
      <w:pPr>
        <w:ind w:left="2880" w:hanging="360"/>
      </w:pPr>
      <w:rPr>
        <w:rFonts w:ascii="Symbol" w:hAnsi="Symbol" w:hint="default"/>
      </w:rPr>
    </w:lvl>
    <w:lvl w:ilvl="4" w:tplc="6AA4A3C4" w:tentative="1">
      <w:start w:val="1"/>
      <w:numFmt w:val="bullet"/>
      <w:lvlText w:val="o"/>
      <w:lvlJc w:val="left"/>
      <w:pPr>
        <w:ind w:left="3600" w:hanging="360"/>
      </w:pPr>
      <w:rPr>
        <w:rFonts w:ascii="Courier New" w:hAnsi="Courier New" w:cs="Courier New" w:hint="default"/>
      </w:rPr>
    </w:lvl>
    <w:lvl w:ilvl="5" w:tplc="0652F792" w:tentative="1">
      <w:start w:val="1"/>
      <w:numFmt w:val="bullet"/>
      <w:lvlText w:val=""/>
      <w:lvlJc w:val="left"/>
      <w:pPr>
        <w:ind w:left="4320" w:hanging="360"/>
      </w:pPr>
      <w:rPr>
        <w:rFonts w:ascii="Wingdings" w:hAnsi="Wingdings" w:hint="default"/>
      </w:rPr>
    </w:lvl>
    <w:lvl w:ilvl="6" w:tplc="4C0CEBD6" w:tentative="1">
      <w:start w:val="1"/>
      <w:numFmt w:val="bullet"/>
      <w:lvlText w:val=""/>
      <w:lvlJc w:val="left"/>
      <w:pPr>
        <w:ind w:left="5040" w:hanging="360"/>
      </w:pPr>
      <w:rPr>
        <w:rFonts w:ascii="Symbol" w:hAnsi="Symbol" w:hint="default"/>
      </w:rPr>
    </w:lvl>
    <w:lvl w:ilvl="7" w:tplc="FF8E9C2A" w:tentative="1">
      <w:start w:val="1"/>
      <w:numFmt w:val="bullet"/>
      <w:lvlText w:val="o"/>
      <w:lvlJc w:val="left"/>
      <w:pPr>
        <w:ind w:left="5760" w:hanging="360"/>
      </w:pPr>
      <w:rPr>
        <w:rFonts w:ascii="Courier New" w:hAnsi="Courier New" w:cs="Courier New" w:hint="default"/>
      </w:rPr>
    </w:lvl>
    <w:lvl w:ilvl="8" w:tplc="7CA0AD4C" w:tentative="1">
      <w:start w:val="1"/>
      <w:numFmt w:val="bullet"/>
      <w:lvlText w:val=""/>
      <w:lvlJc w:val="left"/>
      <w:pPr>
        <w:ind w:left="6480" w:hanging="360"/>
      </w:pPr>
      <w:rPr>
        <w:rFonts w:ascii="Wingdings" w:hAnsi="Wingdings" w:hint="default"/>
      </w:rPr>
    </w:lvl>
  </w:abstractNum>
  <w:abstractNum w:abstractNumId="14" w15:restartNumberingAfterBreak="0">
    <w:nsid w:val="2DC64EE5"/>
    <w:multiLevelType w:val="hybridMultilevel"/>
    <w:tmpl w:val="D43A70AC"/>
    <w:lvl w:ilvl="0" w:tplc="A3DE1260">
      <w:start w:val="1"/>
      <w:numFmt w:val="bullet"/>
      <w:lvlText w:val="−"/>
      <w:lvlJc w:val="left"/>
      <w:pPr>
        <w:ind w:left="720" w:hanging="360"/>
      </w:pPr>
      <w:rPr>
        <w:rFonts w:ascii="Times New Roman" w:hAnsi="Times New Roman"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F7B397B"/>
    <w:multiLevelType w:val="multilevel"/>
    <w:tmpl w:val="C63ED7AC"/>
    <w:lvl w:ilvl="0">
      <w:start w:val="1"/>
      <w:numFmt w:val="upperRoman"/>
      <w:lvlText w:val="%1."/>
      <w:lvlJc w:val="righ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pStyle w:val="tekst"/>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420A31"/>
    <w:multiLevelType w:val="hybridMultilevel"/>
    <w:tmpl w:val="5B1CB3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F9A3C43"/>
    <w:multiLevelType w:val="multilevel"/>
    <w:tmpl w:val="E6F02E08"/>
    <w:lvl w:ilvl="0">
      <w:start w:val="1"/>
      <w:numFmt w:val="decimal"/>
      <w:pStyle w:val="Rozdzia1"/>
      <w:lvlText w:val="%1."/>
      <w:lvlJc w:val="left"/>
      <w:pPr>
        <w:ind w:left="360" w:hanging="360"/>
      </w:pPr>
      <w:rPr>
        <w:rFonts w:hint="default"/>
      </w:rPr>
    </w:lvl>
    <w:lvl w:ilvl="1">
      <w:start w:val="1"/>
      <w:numFmt w:val="decimal"/>
      <w:pStyle w:val="Rozdzia2"/>
      <w:isLgl/>
      <w:lvlText w:val="%1.%2."/>
      <w:lvlJc w:val="left"/>
      <w:pPr>
        <w:ind w:left="720" w:hanging="720"/>
      </w:pPr>
      <w:rPr>
        <w:rFonts w:hint="default"/>
      </w:rPr>
    </w:lvl>
    <w:lvl w:ilvl="2">
      <w:start w:val="1"/>
      <w:numFmt w:val="decimal"/>
      <w:pStyle w:val="Rozdzia3"/>
      <w:isLgl/>
      <w:lvlText w:val="%1.%2.%3."/>
      <w:lvlJc w:val="left"/>
      <w:pPr>
        <w:ind w:left="1080" w:hanging="1080"/>
      </w:pPr>
      <w:rPr>
        <w:rFonts w:hint="default"/>
      </w:rPr>
    </w:lvl>
    <w:lvl w:ilvl="3">
      <w:start w:val="1"/>
      <w:numFmt w:val="decimal"/>
      <w:pStyle w:val="Rozdzia4"/>
      <w:isLgl/>
      <w:lvlText w:val="%1.%2.%3.%4."/>
      <w:lvlJc w:val="left"/>
      <w:pPr>
        <w:ind w:left="284" w:hanging="284"/>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8" w15:restartNumberingAfterBreak="0">
    <w:nsid w:val="4303002D"/>
    <w:multiLevelType w:val="hybridMultilevel"/>
    <w:tmpl w:val="CDBAF990"/>
    <w:lvl w:ilvl="0" w:tplc="57EC6AE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44314036"/>
    <w:multiLevelType w:val="hybridMultilevel"/>
    <w:tmpl w:val="36F8236C"/>
    <w:lvl w:ilvl="0" w:tplc="A3DE1260">
      <w:start w:val="1"/>
      <w:numFmt w:val="bullet"/>
      <w:lvlText w:val="−"/>
      <w:lvlJc w:val="left"/>
      <w:pPr>
        <w:ind w:left="720" w:hanging="360"/>
      </w:pPr>
      <w:rPr>
        <w:rFonts w:ascii="Times New Roman" w:hAnsi="Times New Roman" w:hint="default"/>
        <w:b w:val="0"/>
      </w:rPr>
    </w:lvl>
    <w:lvl w:ilvl="1" w:tplc="2BF246B8" w:tentative="1">
      <w:start w:val="1"/>
      <w:numFmt w:val="bullet"/>
      <w:lvlText w:val="o"/>
      <w:lvlJc w:val="left"/>
      <w:pPr>
        <w:ind w:left="1440" w:hanging="360"/>
      </w:pPr>
      <w:rPr>
        <w:rFonts w:ascii="Courier New" w:hAnsi="Courier New" w:cs="Courier New" w:hint="default"/>
      </w:rPr>
    </w:lvl>
    <w:lvl w:ilvl="2" w:tplc="7B60B186" w:tentative="1">
      <w:start w:val="1"/>
      <w:numFmt w:val="bullet"/>
      <w:lvlText w:val=""/>
      <w:lvlJc w:val="left"/>
      <w:pPr>
        <w:ind w:left="2160" w:hanging="360"/>
      </w:pPr>
      <w:rPr>
        <w:rFonts w:ascii="Wingdings" w:hAnsi="Wingdings" w:hint="default"/>
      </w:rPr>
    </w:lvl>
    <w:lvl w:ilvl="3" w:tplc="D0F85072" w:tentative="1">
      <w:start w:val="1"/>
      <w:numFmt w:val="bullet"/>
      <w:lvlText w:val=""/>
      <w:lvlJc w:val="left"/>
      <w:pPr>
        <w:ind w:left="2880" w:hanging="360"/>
      </w:pPr>
      <w:rPr>
        <w:rFonts w:ascii="Symbol" w:hAnsi="Symbol" w:hint="default"/>
      </w:rPr>
    </w:lvl>
    <w:lvl w:ilvl="4" w:tplc="7B1E8B7A" w:tentative="1">
      <w:start w:val="1"/>
      <w:numFmt w:val="bullet"/>
      <w:lvlText w:val="o"/>
      <w:lvlJc w:val="left"/>
      <w:pPr>
        <w:ind w:left="3600" w:hanging="360"/>
      </w:pPr>
      <w:rPr>
        <w:rFonts w:ascii="Courier New" w:hAnsi="Courier New" w:cs="Courier New" w:hint="default"/>
      </w:rPr>
    </w:lvl>
    <w:lvl w:ilvl="5" w:tplc="4FCA75E0" w:tentative="1">
      <w:start w:val="1"/>
      <w:numFmt w:val="bullet"/>
      <w:lvlText w:val=""/>
      <w:lvlJc w:val="left"/>
      <w:pPr>
        <w:ind w:left="4320" w:hanging="360"/>
      </w:pPr>
      <w:rPr>
        <w:rFonts w:ascii="Wingdings" w:hAnsi="Wingdings" w:hint="default"/>
      </w:rPr>
    </w:lvl>
    <w:lvl w:ilvl="6" w:tplc="759A0A88" w:tentative="1">
      <w:start w:val="1"/>
      <w:numFmt w:val="bullet"/>
      <w:lvlText w:val=""/>
      <w:lvlJc w:val="left"/>
      <w:pPr>
        <w:ind w:left="5040" w:hanging="360"/>
      </w:pPr>
      <w:rPr>
        <w:rFonts w:ascii="Symbol" w:hAnsi="Symbol" w:hint="default"/>
      </w:rPr>
    </w:lvl>
    <w:lvl w:ilvl="7" w:tplc="5344C512" w:tentative="1">
      <w:start w:val="1"/>
      <w:numFmt w:val="bullet"/>
      <w:lvlText w:val="o"/>
      <w:lvlJc w:val="left"/>
      <w:pPr>
        <w:ind w:left="5760" w:hanging="360"/>
      </w:pPr>
      <w:rPr>
        <w:rFonts w:ascii="Courier New" w:hAnsi="Courier New" w:cs="Courier New" w:hint="default"/>
      </w:rPr>
    </w:lvl>
    <w:lvl w:ilvl="8" w:tplc="C75A4E42" w:tentative="1">
      <w:start w:val="1"/>
      <w:numFmt w:val="bullet"/>
      <w:lvlText w:val=""/>
      <w:lvlJc w:val="left"/>
      <w:pPr>
        <w:ind w:left="6480" w:hanging="360"/>
      </w:pPr>
      <w:rPr>
        <w:rFonts w:ascii="Wingdings" w:hAnsi="Wingdings" w:hint="default"/>
      </w:rPr>
    </w:lvl>
  </w:abstractNum>
  <w:abstractNum w:abstractNumId="20" w15:restartNumberingAfterBreak="0">
    <w:nsid w:val="4D132055"/>
    <w:multiLevelType w:val="hybridMultilevel"/>
    <w:tmpl w:val="A7F29B08"/>
    <w:lvl w:ilvl="0" w:tplc="F55C7428">
      <w:start w:val="1"/>
      <w:numFmt w:val="lowerLetter"/>
      <w:lvlText w:val="%1)"/>
      <w:lvlJc w:val="left"/>
      <w:pPr>
        <w:ind w:left="927" w:hanging="360"/>
      </w:pPr>
    </w:lvl>
    <w:lvl w:ilvl="1" w:tplc="C3507DBE">
      <w:start w:val="1"/>
      <w:numFmt w:val="lowerLetter"/>
      <w:lvlText w:val="%2."/>
      <w:lvlJc w:val="left"/>
      <w:pPr>
        <w:ind w:left="1440" w:hanging="360"/>
      </w:pPr>
    </w:lvl>
    <w:lvl w:ilvl="2" w:tplc="5540E6F8" w:tentative="1">
      <w:start w:val="1"/>
      <w:numFmt w:val="lowerRoman"/>
      <w:lvlText w:val="%3."/>
      <w:lvlJc w:val="right"/>
      <w:pPr>
        <w:ind w:left="2160" w:hanging="180"/>
      </w:pPr>
    </w:lvl>
    <w:lvl w:ilvl="3" w:tplc="468E357E" w:tentative="1">
      <w:start w:val="1"/>
      <w:numFmt w:val="decimal"/>
      <w:lvlText w:val="%4."/>
      <w:lvlJc w:val="left"/>
      <w:pPr>
        <w:ind w:left="2880" w:hanging="360"/>
      </w:pPr>
    </w:lvl>
    <w:lvl w:ilvl="4" w:tplc="8E40BE34" w:tentative="1">
      <w:start w:val="1"/>
      <w:numFmt w:val="lowerLetter"/>
      <w:lvlText w:val="%5."/>
      <w:lvlJc w:val="left"/>
      <w:pPr>
        <w:ind w:left="3600" w:hanging="360"/>
      </w:pPr>
    </w:lvl>
    <w:lvl w:ilvl="5" w:tplc="75C68B04" w:tentative="1">
      <w:start w:val="1"/>
      <w:numFmt w:val="lowerRoman"/>
      <w:lvlText w:val="%6."/>
      <w:lvlJc w:val="right"/>
      <w:pPr>
        <w:ind w:left="4320" w:hanging="180"/>
      </w:pPr>
    </w:lvl>
    <w:lvl w:ilvl="6" w:tplc="8626068A" w:tentative="1">
      <w:start w:val="1"/>
      <w:numFmt w:val="decimal"/>
      <w:lvlText w:val="%7."/>
      <w:lvlJc w:val="left"/>
      <w:pPr>
        <w:ind w:left="5040" w:hanging="360"/>
      </w:pPr>
    </w:lvl>
    <w:lvl w:ilvl="7" w:tplc="270EC498" w:tentative="1">
      <w:start w:val="1"/>
      <w:numFmt w:val="lowerLetter"/>
      <w:lvlText w:val="%8."/>
      <w:lvlJc w:val="left"/>
      <w:pPr>
        <w:ind w:left="5760" w:hanging="360"/>
      </w:pPr>
    </w:lvl>
    <w:lvl w:ilvl="8" w:tplc="9402AEA4" w:tentative="1">
      <w:start w:val="1"/>
      <w:numFmt w:val="lowerRoman"/>
      <w:lvlText w:val="%9."/>
      <w:lvlJc w:val="right"/>
      <w:pPr>
        <w:ind w:left="6480" w:hanging="180"/>
      </w:pPr>
    </w:lvl>
  </w:abstractNum>
  <w:abstractNum w:abstractNumId="21" w15:restartNumberingAfterBreak="0">
    <w:nsid w:val="60AD2834"/>
    <w:multiLevelType w:val="hybridMultilevel"/>
    <w:tmpl w:val="F76A24A4"/>
    <w:lvl w:ilvl="0" w:tplc="57EC6AE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90874435">
    <w:abstractNumId w:val="17"/>
  </w:num>
  <w:num w:numId="2" w16cid:durableId="783575706">
    <w:abstractNumId w:val="2"/>
  </w:num>
  <w:num w:numId="3" w16cid:durableId="1842044397">
    <w:abstractNumId w:val="20"/>
  </w:num>
  <w:num w:numId="4" w16cid:durableId="1071386426">
    <w:abstractNumId w:val="19"/>
  </w:num>
  <w:num w:numId="5" w16cid:durableId="1772581772">
    <w:abstractNumId w:val="13"/>
  </w:num>
  <w:num w:numId="6" w16cid:durableId="422804244">
    <w:abstractNumId w:val="15"/>
  </w:num>
  <w:num w:numId="7" w16cid:durableId="2137992020">
    <w:abstractNumId w:val="7"/>
  </w:num>
  <w:num w:numId="8" w16cid:durableId="6607440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660241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5765520">
    <w:abstractNumId w:val="8"/>
    <w:lvlOverride w:ilvl="0">
      <w:startOverride w:val="1"/>
    </w:lvlOverride>
    <w:lvlOverride w:ilvl="1"/>
    <w:lvlOverride w:ilvl="2"/>
    <w:lvlOverride w:ilvl="3"/>
    <w:lvlOverride w:ilvl="4"/>
    <w:lvlOverride w:ilvl="5"/>
    <w:lvlOverride w:ilvl="6"/>
    <w:lvlOverride w:ilvl="7"/>
    <w:lvlOverride w:ilvl="8"/>
  </w:num>
  <w:num w:numId="11" w16cid:durableId="359093943">
    <w:abstractNumId w:val="21"/>
  </w:num>
  <w:num w:numId="12" w16cid:durableId="405078293">
    <w:abstractNumId w:val="10"/>
  </w:num>
  <w:num w:numId="13" w16cid:durableId="574753011">
    <w:abstractNumId w:val="1"/>
  </w:num>
  <w:num w:numId="14" w16cid:durableId="1844933030">
    <w:abstractNumId w:val="18"/>
  </w:num>
  <w:num w:numId="15" w16cid:durableId="1632855594">
    <w:abstractNumId w:val="12"/>
  </w:num>
  <w:num w:numId="16" w16cid:durableId="1893468006">
    <w:abstractNumId w:val="6"/>
  </w:num>
  <w:num w:numId="17" w16cid:durableId="2143382742">
    <w:abstractNumId w:val="3"/>
  </w:num>
  <w:num w:numId="18" w16cid:durableId="1384869419">
    <w:abstractNumId w:val="9"/>
  </w:num>
  <w:num w:numId="19" w16cid:durableId="490799784">
    <w:abstractNumId w:val="4"/>
  </w:num>
  <w:num w:numId="20" w16cid:durableId="2081051411">
    <w:abstractNumId w:val="16"/>
  </w:num>
  <w:num w:numId="21" w16cid:durableId="2121144625">
    <w:abstractNumId w:val="14"/>
  </w:num>
  <w:num w:numId="22" w16cid:durableId="356925745">
    <w:abstractNumId w:val="11"/>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or">
    <w15:presenceInfo w15:providerId="None" w15:userId="Au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916"/>
    <w:rsid w:val="00000FBE"/>
    <w:rsid w:val="00001DF8"/>
    <w:rsid w:val="00004298"/>
    <w:rsid w:val="00006B72"/>
    <w:rsid w:val="00006F9A"/>
    <w:rsid w:val="000133A7"/>
    <w:rsid w:val="000151BE"/>
    <w:rsid w:val="00016585"/>
    <w:rsid w:val="00022851"/>
    <w:rsid w:val="000229B5"/>
    <w:rsid w:val="000253FA"/>
    <w:rsid w:val="000259CC"/>
    <w:rsid w:val="00031A93"/>
    <w:rsid w:val="00032DC0"/>
    <w:rsid w:val="000343BE"/>
    <w:rsid w:val="00035955"/>
    <w:rsid w:val="000412E5"/>
    <w:rsid w:val="000431B5"/>
    <w:rsid w:val="000477C1"/>
    <w:rsid w:val="00050A66"/>
    <w:rsid w:val="00051E57"/>
    <w:rsid w:val="0005315C"/>
    <w:rsid w:val="000548A0"/>
    <w:rsid w:val="00057580"/>
    <w:rsid w:val="00060FCC"/>
    <w:rsid w:val="00061194"/>
    <w:rsid w:val="000732E2"/>
    <w:rsid w:val="000762A8"/>
    <w:rsid w:val="000806C5"/>
    <w:rsid w:val="00080801"/>
    <w:rsid w:val="00081686"/>
    <w:rsid w:val="00081BB3"/>
    <w:rsid w:val="00083399"/>
    <w:rsid w:val="00086AFF"/>
    <w:rsid w:val="0008772E"/>
    <w:rsid w:val="00091597"/>
    <w:rsid w:val="0009191E"/>
    <w:rsid w:val="00092EEE"/>
    <w:rsid w:val="00097F69"/>
    <w:rsid w:val="000A111D"/>
    <w:rsid w:val="000A2776"/>
    <w:rsid w:val="000A419F"/>
    <w:rsid w:val="000A5326"/>
    <w:rsid w:val="000A6C73"/>
    <w:rsid w:val="000A7C68"/>
    <w:rsid w:val="000B0B44"/>
    <w:rsid w:val="000B3566"/>
    <w:rsid w:val="000B380A"/>
    <w:rsid w:val="000B4525"/>
    <w:rsid w:val="000B51A0"/>
    <w:rsid w:val="000C3B10"/>
    <w:rsid w:val="000C3C0E"/>
    <w:rsid w:val="000C4B13"/>
    <w:rsid w:val="000C6378"/>
    <w:rsid w:val="000C7B36"/>
    <w:rsid w:val="000D42F8"/>
    <w:rsid w:val="000D7764"/>
    <w:rsid w:val="000D7A95"/>
    <w:rsid w:val="000E09B1"/>
    <w:rsid w:val="000E40A9"/>
    <w:rsid w:val="000E5D72"/>
    <w:rsid w:val="000E729C"/>
    <w:rsid w:val="000E76C4"/>
    <w:rsid w:val="000E780A"/>
    <w:rsid w:val="000F0C1D"/>
    <w:rsid w:val="000F1FA6"/>
    <w:rsid w:val="000F365C"/>
    <w:rsid w:val="000F3D6B"/>
    <w:rsid w:val="000F52C5"/>
    <w:rsid w:val="000F696B"/>
    <w:rsid w:val="00102345"/>
    <w:rsid w:val="00107414"/>
    <w:rsid w:val="001079B8"/>
    <w:rsid w:val="00107E67"/>
    <w:rsid w:val="0011070D"/>
    <w:rsid w:val="00113C2E"/>
    <w:rsid w:val="0011521D"/>
    <w:rsid w:val="00115C79"/>
    <w:rsid w:val="00117B08"/>
    <w:rsid w:val="00120E33"/>
    <w:rsid w:val="00122027"/>
    <w:rsid w:val="00122E51"/>
    <w:rsid w:val="00131F35"/>
    <w:rsid w:val="00132841"/>
    <w:rsid w:val="00137A86"/>
    <w:rsid w:val="0014014C"/>
    <w:rsid w:val="0014121A"/>
    <w:rsid w:val="00141381"/>
    <w:rsid w:val="0014238C"/>
    <w:rsid w:val="001446DC"/>
    <w:rsid w:val="00145B81"/>
    <w:rsid w:val="001502F5"/>
    <w:rsid w:val="00153153"/>
    <w:rsid w:val="00156729"/>
    <w:rsid w:val="001620E9"/>
    <w:rsid w:val="0016372A"/>
    <w:rsid w:val="00163926"/>
    <w:rsid w:val="00164A38"/>
    <w:rsid w:val="001676B1"/>
    <w:rsid w:val="001708AB"/>
    <w:rsid w:val="001749EB"/>
    <w:rsid w:val="00175458"/>
    <w:rsid w:val="00177F38"/>
    <w:rsid w:val="00180644"/>
    <w:rsid w:val="00181C06"/>
    <w:rsid w:val="00183B81"/>
    <w:rsid w:val="00185C3C"/>
    <w:rsid w:val="00190CA3"/>
    <w:rsid w:val="00192491"/>
    <w:rsid w:val="001A0B30"/>
    <w:rsid w:val="001A7062"/>
    <w:rsid w:val="001B0B6F"/>
    <w:rsid w:val="001B1D8F"/>
    <w:rsid w:val="001B251C"/>
    <w:rsid w:val="001B64C9"/>
    <w:rsid w:val="001C0F04"/>
    <w:rsid w:val="001C417B"/>
    <w:rsid w:val="001C44E3"/>
    <w:rsid w:val="001C610D"/>
    <w:rsid w:val="001D7FBB"/>
    <w:rsid w:val="001E0337"/>
    <w:rsid w:val="001E069C"/>
    <w:rsid w:val="001E1C0D"/>
    <w:rsid w:val="001E3972"/>
    <w:rsid w:val="001E3C4F"/>
    <w:rsid w:val="001F23FF"/>
    <w:rsid w:val="001F4E5D"/>
    <w:rsid w:val="001F751F"/>
    <w:rsid w:val="00201AF2"/>
    <w:rsid w:val="00202AF8"/>
    <w:rsid w:val="00204178"/>
    <w:rsid w:val="00212DC5"/>
    <w:rsid w:val="00213267"/>
    <w:rsid w:val="002135F1"/>
    <w:rsid w:val="00220BB4"/>
    <w:rsid w:val="00221145"/>
    <w:rsid w:val="00221C10"/>
    <w:rsid w:val="002223E5"/>
    <w:rsid w:val="00223D99"/>
    <w:rsid w:val="0022459F"/>
    <w:rsid w:val="00224AC6"/>
    <w:rsid w:val="00225042"/>
    <w:rsid w:val="00227576"/>
    <w:rsid w:val="00227975"/>
    <w:rsid w:val="00232EA5"/>
    <w:rsid w:val="0023344A"/>
    <w:rsid w:val="0023583C"/>
    <w:rsid w:val="00240368"/>
    <w:rsid w:val="00244FA2"/>
    <w:rsid w:val="00245AD3"/>
    <w:rsid w:val="00246531"/>
    <w:rsid w:val="00247E9D"/>
    <w:rsid w:val="00250168"/>
    <w:rsid w:val="002522AF"/>
    <w:rsid w:val="002536B3"/>
    <w:rsid w:val="002558F5"/>
    <w:rsid w:val="00257046"/>
    <w:rsid w:val="0025787F"/>
    <w:rsid w:val="00257C49"/>
    <w:rsid w:val="00260E89"/>
    <w:rsid w:val="00261587"/>
    <w:rsid w:val="00261F7B"/>
    <w:rsid w:val="00264ED9"/>
    <w:rsid w:val="00265775"/>
    <w:rsid w:val="00265896"/>
    <w:rsid w:val="00265FC5"/>
    <w:rsid w:val="00266298"/>
    <w:rsid w:val="002708BB"/>
    <w:rsid w:val="00270AE5"/>
    <w:rsid w:val="002734CA"/>
    <w:rsid w:val="00277199"/>
    <w:rsid w:val="00277658"/>
    <w:rsid w:val="00277718"/>
    <w:rsid w:val="00280BFC"/>
    <w:rsid w:val="00282F36"/>
    <w:rsid w:val="00284A8B"/>
    <w:rsid w:val="00286704"/>
    <w:rsid w:val="002869CD"/>
    <w:rsid w:val="00290A60"/>
    <w:rsid w:val="00296B2B"/>
    <w:rsid w:val="002A2D64"/>
    <w:rsid w:val="002A418D"/>
    <w:rsid w:val="002B078B"/>
    <w:rsid w:val="002B07AE"/>
    <w:rsid w:val="002C0B0A"/>
    <w:rsid w:val="002C139B"/>
    <w:rsid w:val="002C2C9C"/>
    <w:rsid w:val="002C5EAA"/>
    <w:rsid w:val="002C6483"/>
    <w:rsid w:val="002C6E53"/>
    <w:rsid w:val="002D0957"/>
    <w:rsid w:val="002D5A69"/>
    <w:rsid w:val="002D7CBE"/>
    <w:rsid w:val="002E0AC8"/>
    <w:rsid w:val="002E0D0F"/>
    <w:rsid w:val="002E2CE9"/>
    <w:rsid w:val="002E3ED1"/>
    <w:rsid w:val="002E516A"/>
    <w:rsid w:val="002E66BF"/>
    <w:rsid w:val="002F00A5"/>
    <w:rsid w:val="002F0653"/>
    <w:rsid w:val="002F262E"/>
    <w:rsid w:val="002F2FE7"/>
    <w:rsid w:val="002F47C4"/>
    <w:rsid w:val="003043BB"/>
    <w:rsid w:val="0030685F"/>
    <w:rsid w:val="00307F43"/>
    <w:rsid w:val="00310F13"/>
    <w:rsid w:val="00311916"/>
    <w:rsid w:val="003126F4"/>
    <w:rsid w:val="003134A9"/>
    <w:rsid w:val="00313C8E"/>
    <w:rsid w:val="0031428B"/>
    <w:rsid w:val="00314585"/>
    <w:rsid w:val="00314C88"/>
    <w:rsid w:val="00316E4B"/>
    <w:rsid w:val="0032493E"/>
    <w:rsid w:val="00324980"/>
    <w:rsid w:val="0032697A"/>
    <w:rsid w:val="0033242D"/>
    <w:rsid w:val="0033713F"/>
    <w:rsid w:val="00337358"/>
    <w:rsid w:val="00345A1C"/>
    <w:rsid w:val="00345CAD"/>
    <w:rsid w:val="00350573"/>
    <w:rsid w:val="00350EDE"/>
    <w:rsid w:val="00355667"/>
    <w:rsid w:val="00356B50"/>
    <w:rsid w:val="00356BE0"/>
    <w:rsid w:val="00357E2E"/>
    <w:rsid w:val="00357EA8"/>
    <w:rsid w:val="003613DE"/>
    <w:rsid w:val="00364782"/>
    <w:rsid w:val="0036571A"/>
    <w:rsid w:val="00366EC5"/>
    <w:rsid w:val="00367B3D"/>
    <w:rsid w:val="0037083A"/>
    <w:rsid w:val="00372640"/>
    <w:rsid w:val="00373405"/>
    <w:rsid w:val="0037382B"/>
    <w:rsid w:val="0037385B"/>
    <w:rsid w:val="00376738"/>
    <w:rsid w:val="00376CC7"/>
    <w:rsid w:val="00381EF8"/>
    <w:rsid w:val="00382D87"/>
    <w:rsid w:val="00382F29"/>
    <w:rsid w:val="00383F87"/>
    <w:rsid w:val="00387262"/>
    <w:rsid w:val="00387449"/>
    <w:rsid w:val="0038793A"/>
    <w:rsid w:val="00391613"/>
    <w:rsid w:val="0039480B"/>
    <w:rsid w:val="003966F3"/>
    <w:rsid w:val="003A0A53"/>
    <w:rsid w:val="003A14D4"/>
    <w:rsid w:val="003A37BC"/>
    <w:rsid w:val="003A3D02"/>
    <w:rsid w:val="003A5317"/>
    <w:rsid w:val="003A63C1"/>
    <w:rsid w:val="003B31EC"/>
    <w:rsid w:val="003B3F02"/>
    <w:rsid w:val="003C4109"/>
    <w:rsid w:val="003C65C5"/>
    <w:rsid w:val="003D004B"/>
    <w:rsid w:val="003D0179"/>
    <w:rsid w:val="003D4C4A"/>
    <w:rsid w:val="003D7F62"/>
    <w:rsid w:val="003E39CC"/>
    <w:rsid w:val="003E7536"/>
    <w:rsid w:val="003F0FCF"/>
    <w:rsid w:val="003F1592"/>
    <w:rsid w:val="003F1988"/>
    <w:rsid w:val="003F2F61"/>
    <w:rsid w:val="003F36BE"/>
    <w:rsid w:val="003F5E05"/>
    <w:rsid w:val="003F6FA1"/>
    <w:rsid w:val="0040156F"/>
    <w:rsid w:val="004020C8"/>
    <w:rsid w:val="00403217"/>
    <w:rsid w:val="00406325"/>
    <w:rsid w:val="00406630"/>
    <w:rsid w:val="00407115"/>
    <w:rsid w:val="00414233"/>
    <w:rsid w:val="00415639"/>
    <w:rsid w:val="00415A05"/>
    <w:rsid w:val="00416956"/>
    <w:rsid w:val="004179E3"/>
    <w:rsid w:val="004202A2"/>
    <w:rsid w:val="00420A3E"/>
    <w:rsid w:val="00423BDF"/>
    <w:rsid w:val="00423F7E"/>
    <w:rsid w:val="004250C2"/>
    <w:rsid w:val="00426678"/>
    <w:rsid w:val="00426A0B"/>
    <w:rsid w:val="00427627"/>
    <w:rsid w:val="004276DD"/>
    <w:rsid w:val="0043000E"/>
    <w:rsid w:val="0043138F"/>
    <w:rsid w:val="00435AA4"/>
    <w:rsid w:val="00441D63"/>
    <w:rsid w:val="00443795"/>
    <w:rsid w:val="004438F6"/>
    <w:rsid w:val="00444052"/>
    <w:rsid w:val="0044766A"/>
    <w:rsid w:val="00447A82"/>
    <w:rsid w:val="00452033"/>
    <w:rsid w:val="0045226A"/>
    <w:rsid w:val="00455792"/>
    <w:rsid w:val="00457C7E"/>
    <w:rsid w:val="0046042A"/>
    <w:rsid w:val="004632AF"/>
    <w:rsid w:val="004654D5"/>
    <w:rsid w:val="0046650B"/>
    <w:rsid w:val="00470163"/>
    <w:rsid w:val="0047343C"/>
    <w:rsid w:val="0047574B"/>
    <w:rsid w:val="00481B29"/>
    <w:rsid w:val="00486B32"/>
    <w:rsid w:val="00490D17"/>
    <w:rsid w:val="004949FE"/>
    <w:rsid w:val="00494FBD"/>
    <w:rsid w:val="00496A44"/>
    <w:rsid w:val="00496E10"/>
    <w:rsid w:val="00497813"/>
    <w:rsid w:val="004A3020"/>
    <w:rsid w:val="004A400B"/>
    <w:rsid w:val="004A43E9"/>
    <w:rsid w:val="004A5640"/>
    <w:rsid w:val="004A5670"/>
    <w:rsid w:val="004B29C2"/>
    <w:rsid w:val="004B385F"/>
    <w:rsid w:val="004B38AC"/>
    <w:rsid w:val="004B3A0A"/>
    <w:rsid w:val="004B5446"/>
    <w:rsid w:val="004B64D4"/>
    <w:rsid w:val="004C0034"/>
    <w:rsid w:val="004C1DA8"/>
    <w:rsid w:val="004C318E"/>
    <w:rsid w:val="004C3662"/>
    <w:rsid w:val="004C439A"/>
    <w:rsid w:val="004C62FB"/>
    <w:rsid w:val="004D07C8"/>
    <w:rsid w:val="004D10CA"/>
    <w:rsid w:val="004D252B"/>
    <w:rsid w:val="004D463C"/>
    <w:rsid w:val="004D46CF"/>
    <w:rsid w:val="004D4C5D"/>
    <w:rsid w:val="004D6A74"/>
    <w:rsid w:val="004D7EBB"/>
    <w:rsid w:val="004E0F6C"/>
    <w:rsid w:val="004E2F33"/>
    <w:rsid w:val="004E421D"/>
    <w:rsid w:val="004E4999"/>
    <w:rsid w:val="004E66B6"/>
    <w:rsid w:val="004F05FA"/>
    <w:rsid w:val="004F0642"/>
    <w:rsid w:val="004F0DBF"/>
    <w:rsid w:val="004F18C6"/>
    <w:rsid w:val="004F1F4A"/>
    <w:rsid w:val="004F22B2"/>
    <w:rsid w:val="004F42B0"/>
    <w:rsid w:val="00505522"/>
    <w:rsid w:val="00514789"/>
    <w:rsid w:val="00515F01"/>
    <w:rsid w:val="00516043"/>
    <w:rsid w:val="00524003"/>
    <w:rsid w:val="005253F4"/>
    <w:rsid w:val="0052773B"/>
    <w:rsid w:val="00530149"/>
    <w:rsid w:val="0053225F"/>
    <w:rsid w:val="00532EA8"/>
    <w:rsid w:val="00535BEA"/>
    <w:rsid w:val="00537A84"/>
    <w:rsid w:val="00550C18"/>
    <w:rsid w:val="00551B44"/>
    <w:rsid w:val="005537C3"/>
    <w:rsid w:val="00553B66"/>
    <w:rsid w:val="005577BE"/>
    <w:rsid w:val="0055791C"/>
    <w:rsid w:val="005604EA"/>
    <w:rsid w:val="005677FE"/>
    <w:rsid w:val="00567D7A"/>
    <w:rsid w:val="00570F12"/>
    <w:rsid w:val="00575E79"/>
    <w:rsid w:val="0057785A"/>
    <w:rsid w:val="005830B3"/>
    <w:rsid w:val="00583C71"/>
    <w:rsid w:val="00585F91"/>
    <w:rsid w:val="00586AB0"/>
    <w:rsid w:val="0058785E"/>
    <w:rsid w:val="00591B63"/>
    <w:rsid w:val="005935AF"/>
    <w:rsid w:val="00594B3F"/>
    <w:rsid w:val="00597EB5"/>
    <w:rsid w:val="005A24CC"/>
    <w:rsid w:val="005A2A0A"/>
    <w:rsid w:val="005B2663"/>
    <w:rsid w:val="005B45CB"/>
    <w:rsid w:val="005B7DD8"/>
    <w:rsid w:val="005C04D7"/>
    <w:rsid w:val="005C1A8A"/>
    <w:rsid w:val="005C4B38"/>
    <w:rsid w:val="005D4A5E"/>
    <w:rsid w:val="005D73BF"/>
    <w:rsid w:val="005E03CC"/>
    <w:rsid w:val="005E06CA"/>
    <w:rsid w:val="005E2AF3"/>
    <w:rsid w:val="005E4F26"/>
    <w:rsid w:val="005F3DDE"/>
    <w:rsid w:val="005F4549"/>
    <w:rsid w:val="005F4D9D"/>
    <w:rsid w:val="005F6828"/>
    <w:rsid w:val="0060162E"/>
    <w:rsid w:val="006031E8"/>
    <w:rsid w:val="00606069"/>
    <w:rsid w:val="006071C4"/>
    <w:rsid w:val="006119E8"/>
    <w:rsid w:val="006130C4"/>
    <w:rsid w:val="006139EC"/>
    <w:rsid w:val="00614370"/>
    <w:rsid w:val="00615E21"/>
    <w:rsid w:val="00616075"/>
    <w:rsid w:val="00616EEA"/>
    <w:rsid w:val="00625474"/>
    <w:rsid w:val="0062678B"/>
    <w:rsid w:val="00630443"/>
    <w:rsid w:val="00631250"/>
    <w:rsid w:val="00631AEB"/>
    <w:rsid w:val="0063270A"/>
    <w:rsid w:val="006330A8"/>
    <w:rsid w:val="006351E7"/>
    <w:rsid w:val="00640EBD"/>
    <w:rsid w:val="006419C4"/>
    <w:rsid w:val="00642E8D"/>
    <w:rsid w:val="00644C34"/>
    <w:rsid w:val="00646890"/>
    <w:rsid w:val="00650562"/>
    <w:rsid w:val="00650CD8"/>
    <w:rsid w:val="0065341A"/>
    <w:rsid w:val="006545E6"/>
    <w:rsid w:val="00655C27"/>
    <w:rsid w:val="00655DCA"/>
    <w:rsid w:val="0065795A"/>
    <w:rsid w:val="006602E4"/>
    <w:rsid w:val="00660392"/>
    <w:rsid w:val="0066096C"/>
    <w:rsid w:val="00664AE6"/>
    <w:rsid w:val="006665B0"/>
    <w:rsid w:val="00670F89"/>
    <w:rsid w:val="00671DAD"/>
    <w:rsid w:val="006724A1"/>
    <w:rsid w:val="00673897"/>
    <w:rsid w:val="0067393E"/>
    <w:rsid w:val="00681403"/>
    <w:rsid w:val="006835A9"/>
    <w:rsid w:val="00684B86"/>
    <w:rsid w:val="00684E98"/>
    <w:rsid w:val="00692C40"/>
    <w:rsid w:val="00692D8B"/>
    <w:rsid w:val="006975A4"/>
    <w:rsid w:val="006976B2"/>
    <w:rsid w:val="00697FB6"/>
    <w:rsid w:val="006A139A"/>
    <w:rsid w:val="006A2125"/>
    <w:rsid w:val="006A26EE"/>
    <w:rsid w:val="006A2807"/>
    <w:rsid w:val="006A3149"/>
    <w:rsid w:val="006A46B7"/>
    <w:rsid w:val="006A631F"/>
    <w:rsid w:val="006A6E5C"/>
    <w:rsid w:val="006B006F"/>
    <w:rsid w:val="006B0AED"/>
    <w:rsid w:val="006B166A"/>
    <w:rsid w:val="006B1E35"/>
    <w:rsid w:val="006B4317"/>
    <w:rsid w:val="006B499A"/>
    <w:rsid w:val="006B5464"/>
    <w:rsid w:val="006C184C"/>
    <w:rsid w:val="006C2AAD"/>
    <w:rsid w:val="006C4BE6"/>
    <w:rsid w:val="006C6C9C"/>
    <w:rsid w:val="006C6F47"/>
    <w:rsid w:val="006D108E"/>
    <w:rsid w:val="006D265A"/>
    <w:rsid w:val="006D2725"/>
    <w:rsid w:val="006D2A72"/>
    <w:rsid w:val="006D2D95"/>
    <w:rsid w:val="006D45FB"/>
    <w:rsid w:val="006D5708"/>
    <w:rsid w:val="006D72CE"/>
    <w:rsid w:val="006E0158"/>
    <w:rsid w:val="006E0A74"/>
    <w:rsid w:val="006E2831"/>
    <w:rsid w:val="006E320C"/>
    <w:rsid w:val="006E461F"/>
    <w:rsid w:val="006F0BDA"/>
    <w:rsid w:val="006F3005"/>
    <w:rsid w:val="006F37D3"/>
    <w:rsid w:val="006F60C9"/>
    <w:rsid w:val="006F6C0B"/>
    <w:rsid w:val="006F72A0"/>
    <w:rsid w:val="007011E2"/>
    <w:rsid w:val="00705EB8"/>
    <w:rsid w:val="00706DE4"/>
    <w:rsid w:val="00711310"/>
    <w:rsid w:val="007146B0"/>
    <w:rsid w:val="007157E6"/>
    <w:rsid w:val="00720A5B"/>
    <w:rsid w:val="0072293F"/>
    <w:rsid w:val="00723847"/>
    <w:rsid w:val="00723D84"/>
    <w:rsid w:val="00727395"/>
    <w:rsid w:val="0072748B"/>
    <w:rsid w:val="007276DF"/>
    <w:rsid w:val="00727892"/>
    <w:rsid w:val="00730C94"/>
    <w:rsid w:val="00733616"/>
    <w:rsid w:val="0073394F"/>
    <w:rsid w:val="00733E28"/>
    <w:rsid w:val="00736F2B"/>
    <w:rsid w:val="007407BD"/>
    <w:rsid w:val="00742344"/>
    <w:rsid w:val="0074264C"/>
    <w:rsid w:val="007454C7"/>
    <w:rsid w:val="00747E26"/>
    <w:rsid w:val="00747FAE"/>
    <w:rsid w:val="007509B9"/>
    <w:rsid w:val="007522E1"/>
    <w:rsid w:val="007524DC"/>
    <w:rsid w:val="007577C2"/>
    <w:rsid w:val="0076306B"/>
    <w:rsid w:val="00764352"/>
    <w:rsid w:val="00766CA9"/>
    <w:rsid w:val="00766F35"/>
    <w:rsid w:val="00771E96"/>
    <w:rsid w:val="0077245E"/>
    <w:rsid w:val="00773B7D"/>
    <w:rsid w:val="00775462"/>
    <w:rsid w:val="00782734"/>
    <w:rsid w:val="00782DD6"/>
    <w:rsid w:val="00786A20"/>
    <w:rsid w:val="00790950"/>
    <w:rsid w:val="00792F46"/>
    <w:rsid w:val="00794204"/>
    <w:rsid w:val="00794C56"/>
    <w:rsid w:val="0079609F"/>
    <w:rsid w:val="007A111C"/>
    <w:rsid w:val="007A4D81"/>
    <w:rsid w:val="007A5906"/>
    <w:rsid w:val="007A6CB9"/>
    <w:rsid w:val="007A6EDF"/>
    <w:rsid w:val="007B3C73"/>
    <w:rsid w:val="007C4730"/>
    <w:rsid w:val="007C5539"/>
    <w:rsid w:val="007C7F6C"/>
    <w:rsid w:val="007D149C"/>
    <w:rsid w:val="007D2566"/>
    <w:rsid w:val="007D4AE2"/>
    <w:rsid w:val="007D7A7A"/>
    <w:rsid w:val="007E38A1"/>
    <w:rsid w:val="007E570E"/>
    <w:rsid w:val="007E67C0"/>
    <w:rsid w:val="007E79FD"/>
    <w:rsid w:val="007F0DB5"/>
    <w:rsid w:val="007F4793"/>
    <w:rsid w:val="008032F6"/>
    <w:rsid w:val="0081067F"/>
    <w:rsid w:val="008124FC"/>
    <w:rsid w:val="00812605"/>
    <w:rsid w:val="00815C16"/>
    <w:rsid w:val="00816276"/>
    <w:rsid w:val="00816F67"/>
    <w:rsid w:val="00821A3C"/>
    <w:rsid w:val="00826F35"/>
    <w:rsid w:val="00831DC8"/>
    <w:rsid w:val="00832202"/>
    <w:rsid w:val="00837A47"/>
    <w:rsid w:val="00847209"/>
    <w:rsid w:val="00847573"/>
    <w:rsid w:val="00847A04"/>
    <w:rsid w:val="0085755C"/>
    <w:rsid w:val="00860F99"/>
    <w:rsid w:val="008611D9"/>
    <w:rsid w:val="008627E6"/>
    <w:rsid w:val="0086414B"/>
    <w:rsid w:val="008642E4"/>
    <w:rsid w:val="008667C9"/>
    <w:rsid w:val="0087048C"/>
    <w:rsid w:val="008713D9"/>
    <w:rsid w:val="00875411"/>
    <w:rsid w:val="00880D69"/>
    <w:rsid w:val="00881BEA"/>
    <w:rsid w:val="00881E37"/>
    <w:rsid w:val="008830DE"/>
    <w:rsid w:val="00883E24"/>
    <w:rsid w:val="00886CD0"/>
    <w:rsid w:val="00891437"/>
    <w:rsid w:val="0089156C"/>
    <w:rsid w:val="008924B8"/>
    <w:rsid w:val="0089259B"/>
    <w:rsid w:val="008933D0"/>
    <w:rsid w:val="008A1566"/>
    <w:rsid w:val="008A398F"/>
    <w:rsid w:val="008A3FC2"/>
    <w:rsid w:val="008A4625"/>
    <w:rsid w:val="008A4A64"/>
    <w:rsid w:val="008B3C39"/>
    <w:rsid w:val="008C0950"/>
    <w:rsid w:val="008C1127"/>
    <w:rsid w:val="008C4C41"/>
    <w:rsid w:val="008C5015"/>
    <w:rsid w:val="008D0533"/>
    <w:rsid w:val="008D13A8"/>
    <w:rsid w:val="008E01B9"/>
    <w:rsid w:val="008E2803"/>
    <w:rsid w:val="008E40A7"/>
    <w:rsid w:val="008E48A3"/>
    <w:rsid w:val="008E4E49"/>
    <w:rsid w:val="008E637E"/>
    <w:rsid w:val="008E7788"/>
    <w:rsid w:val="008F0C58"/>
    <w:rsid w:val="008F3AE5"/>
    <w:rsid w:val="00904623"/>
    <w:rsid w:val="00907683"/>
    <w:rsid w:val="00911F77"/>
    <w:rsid w:val="00913D30"/>
    <w:rsid w:val="009147BD"/>
    <w:rsid w:val="00915048"/>
    <w:rsid w:val="0091640B"/>
    <w:rsid w:val="00921363"/>
    <w:rsid w:val="00921372"/>
    <w:rsid w:val="00924A2A"/>
    <w:rsid w:val="00926586"/>
    <w:rsid w:val="00927FA0"/>
    <w:rsid w:val="00930141"/>
    <w:rsid w:val="00931800"/>
    <w:rsid w:val="00932D5F"/>
    <w:rsid w:val="0093342A"/>
    <w:rsid w:val="00933C45"/>
    <w:rsid w:val="00934713"/>
    <w:rsid w:val="00935443"/>
    <w:rsid w:val="009417FB"/>
    <w:rsid w:val="0094190B"/>
    <w:rsid w:val="0094275A"/>
    <w:rsid w:val="009464B0"/>
    <w:rsid w:val="00953440"/>
    <w:rsid w:val="00954099"/>
    <w:rsid w:val="00954684"/>
    <w:rsid w:val="00954CA5"/>
    <w:rsid w:val="00956851"/>
    <w:rsid w:val="00965D6F"/>
    <w:rsid w:val="00965E9D"/>
    <w:rsid w:val="009719EA"/>
    <w:rsid w:val="00971F90"/>
    <w:rsid w:val="00972839"/>
    <w:rsid w:val="009741E2"/>
    <w:rsid w:val="0097499A"/>
    <w:rsid w:val="00976327"/>
    <w:rsid w:val="00977E1D"/>
    <w:rsid w:val="00983413"/>
    <w:rsid w:val="00983C18"/>
    <w:rsid w:val="00993B51"/>
    <w:rsid w:val="0099642E"/>
    <w:rsid w:val="009A2CCF"/>
    <w:rsid w:val="009A6BBE"/>
    <w:rsid w:val="009B05E4"/>
    <w:rsid w:val="009B2A90"/>
    <w:rsid w:val="009B3D1F"/>
    <w:rsid w:val="009B6049"/>
    <w:rsid w:val="009B65B8"/>
    <w:rsid w:val="009B7CD4"/>
    <w:rsid w:val="009C3D6F"/>
    <w:rsid w:val="009C6BEB"/>
    <w:rsid w:val="009C7464"/>
    <w:rsid w:val="009C7DE0"/>
    <w:rsid w:val="009D2085"/>
    <w:rsid w:val="009D24A5"/>
    <w:rsid w:val="009D35EA"/>
    <w:rsid w:val="009D6DA3"/>
    <w:rsid w:val="009E2566"/>
    <w:rsid w:val="009E3B8A"/>
    <w:rsid w:val="009E41E8"/>
    <w:rsid w:val="009E69D9"/>
    <w:rsid w:val="009E7E74"/>
    <w:rsid w:val="009F1BEF"/>
    <w:rsid w:val="009F26DB"/>
    <w:rsid w:val="009F535A"/>
    <w:rsid w:val="009F5807"/>
    <w:rsid w:val="009F6FCB"/>
    <w:rsid w:val="00A02065"/>
    <w:rsid w:val="00A02441"/>
    <w:rsid w:val="00A03EA6"/>
    <w:rsid w:val="00A064C6"/>
    <w:rsid w:val="00A07BE9"/>
    <w:rsid w:val="00A12E00"/>
    <w:rsid w:val="00A13CB0"/>
    <w:rsid w:val="00A141DA"/>
    <w:rsid w:val="00A14BC9"/>
    <w:rsid w:val="00A1631F"/>
    <w:rsid w:val="00A20F24"/>
    <w:rsid w:val="00A2212F"/>
    <w:rsid w:val="00A22745"/>
    <w:rsid w:val="00A2308D"/>
    <w:rsid w:val="00A274CA"/>
    <w:rsid w:val="00A379E8"/>
    <w:rsid w:val="00A40772"/>
    <w:rsid w:val="00A40CB5"/>
    <w:rsid w:val="00A41E5A"/>
    <w:rsid w:val="00A43906"/>
    <w:rsid w:val="00A440C5"/>
    <w:rsid w:val="00A45AEC"/>
    <w:rsid w:val="00A50A5A"/>
    <w:rsid w:val="00A519E0"/>
    <w:rsid w:val="00A549B5"/>
    <w:rsid w:val="00A55143"/>
    <w:rsid w:val="00A55A2E"/>
    <w:rsid w:val="00A66E48"/>
    <w:rsid w:val="00A72AD6"/>
    <w:rsid w:val="00A76913"/>
    <w:rsid w:val="00A779F1"/>
    <w:rsid w:val="00A77BE1"/>
    <w:rsid w:val="00A819AD"/>
    <w:rsid w:val="00A81D7A"/>
    <w:rsid w:val="00A83219"/>
    <w:rsid w:val="00A856C1"/>
    <w:rsid w:val="00A87774"/>
    <w:rsid w:val="00A87CCA"/>
    <w:rsid w:val="00A9186E"/>
    <w:rsid w:val="00A929A8"/>
    <w:rsid w:val="00A972E3"/>
    <w:rsid w:val="00AA06EB"/>
    <w:rsid w:val="00AA0A62"/>
    <w:rsid w:val="00AB3A3A"/>
    <w:rsid w:val="00AB559F"/>
    <w:rsid w:val="00AB7C1B"/>
    <w:rsid w:val="00AC1095"/>
    <w:rsid w:val="00AC19F5"/>
    <w:rsid w:val="00AC3E9B"/>
    <w:rsid w:val="00AC5829"/>
    <w:rsid w:val="00AC70AE"/>
    <w:rsid w:val="00AD07C3"/>
    <w:rsid w:val="00AD18AB"/>
    <w:rsid w:val="00AD3160"/>
    <w:rsid w:val="00AD51DD"/>
    <w:rsid w:val="00AD76BD"/>
    <w:rsid w:val="00AD76F4"/>
    <w:rsid w:val="00AE085A"/>
    <w:rsid w:val="00AE5E42"/>
    <w:rsid w:val="00AF178B"/>
    <w:rsid w:val="00AF48A5"/>
    <w:rsid w:val="00AF53C2"/>
    <w:rsid w:val="00B00146"/>
    <w:rsid w:val="00B00155"/>
    <w:rsid w:val="00B0301B"/>
    <w:rsid w:val="00B03DBA"/>
    <w:rsid w:val="00B048C2"/>
    <w:rsid w:val="00B066E2"/>
    <w:rsid w:val="00B101D9"/>
    <w:rsid w:val="00B10A65"/>
    <w:rsid w:val="00B13A02"/>
    <w:rsid w:val="00B174BD"/>
    <w:rsid w:val="00B20392"/>
    <w:rsid w:val="00B22C18"/>
    <w:rsid w:val="00B23F29"/>
    <w:rsid w:val="00B3192F"/>
    <w:rsid w:val="00B370CA"/>
    <w:rsid w:val="00B37C0A"/>
    <w:rsid w:val="00B40D05"/>
    <w:rsid w:val="00B44A9C"/>
    <w:rsid w:val="00B52AF3"/>
    <w:rsid w:val="00B53050"/>
    <w:rsid w:val="00B545CD"/>
    <w:rsid w:val="00B54915"/>
    <w:rsid w:val="00B54D1B"/>
    <w:rsid w:val="00B554B7"/>
    <w:rsid w:val="00B5711F"/>
    <w:rsid w:val="00B62F05"/>
    <w:rsid w:val="00B64E75"/>
    <w:rsid w:val="00B65882"/>
    <w:rsid w:val="00B70265"/>
    <w:rsid w:val="00B70612"/>
    <w:rsid w:val="00B70705"/>
    <w:rsid w:val="00B71ECF"/>
    <w:rsid w:val="00B73835"/>
    <w:rsid w:val="00B74C14"/>
    <w:rsid w:val="00B75E8B"/>
    <w:rsid w:val="00B76612"/>
    <w:rsid w:val="00B828C2"/>
    <w:rsid w:val="00B82FB0"/>
    <w:rsid w:val="00B8447F"/>
    <w:rsid w:val="00B85038"/>
    <w:rsid w:val="00B85BAC"/>
    <w:rsid w:val="00B85CBC"/>
    <w:rsid w:val="00B8638E"/>
    <w:rsid w:val="00B86D10"/>
    <w:rsid w:val="00B879ED"/>
    <w:rsid w:val="00B90550"/>
    <w:rsid w:val="00B907AB"/>
    <w:rsid w:val="00B90AE2"/>
    <w:rsid w:val="00B91FC0"/>
    <w:rsid w:val="00B94428"/>
    <w:rsid w:val="00B951C8"/>
    <w:rsid w:val="00B96A56"/>
    <w:rsid w:val="00B97DAF"/>
    <w:rsid w:val="00BA1A77"/>
    <w:rsid w:val="00BA3528"/>
    <w:rsid w:val="00BA35F8"/>
    <w:rsid w:val="00BA4692"/>
    <w:rsid w:val="00BA526D"/>
    <w:rsid w:val="00BB07C0"/>
    <w:rsid w:val="00BB1FFF"/>
    <w:rsid w:val="00BB22EE"/>
    <w:rsid w:val="00BB2545"/>
    <w:rsid w:val="00BB2DB4"/>
    <w:rsid w:val="00BB2EA2"/>
    <w:rsid w:val="00BB448C"/>
    <w:rsid w:val="00BB583E"/>
    <w:rsid w:val="00BB6AE5"/>
    <w:rsid w:val="00BB6FD2"/>
    <w:rsid w:val="00BC1B79"/>
    <w:rsid w:val="00BC31A4"/>
    <w:rsid w:val="00BC3D77"/>
    <w:rsid w:val="00BC43C0"/>
    <w:rsid w:val="00BC5991"/>
    <w:rsid w:val="00BD0AEB"/>
    <w:rsid w:val="00BD412A"/>
    <w:rsid w:val="00BD5A8A"/>
    <w:rsid w:val="00BD5B7F"/>
    <w:rsid w:val="00BE0C7D"/>
    <w:rsid w:val="00BE200F"/>
    <w:rsid w:val="00BE4C4F"/>
    <w:rsid w:val="00BE727E"/>
    <w:rsid w:val="00BF1DF1"/>
    <w:rsid w:val="00BF25F7"/>
    <w:rsid w:val="00BF508C"/>
    <w:rsid w:val="00BF6CD1"/>
    <w:rsid w:val="00BF6E3F"/>
    <w:rsid w:val="00C00B0A"/>
    <w:rsid w:val="00C01EB0"/>
    <w:rsid w:val="00C02BA5"/>
    <w:rsid w:val="00C05FD1"/>
    <w:rsid w:val="00C0725F"/>
    <w:rsid w:val="00C1207F"/>
    <w:rsid w:val="00C131F1"/>
    <w:rsid w:val="00C14150"/>
    <w:rsid w:val="00C16A62"/>
    <w:rsid w:val="00C17333"/>
    <w:rsid w:val="00C21075"/>
    <w:rsid w:val="00C2123F"/>
    <w:rsid w:val="00C31111"/>
    <w:rsid w:val="00C351DB"/>
    <w:rsid w:val="00C40B82"/>
    <w:rsid w:val="00C4241E"/>
    <w:rsid w:val="00C4402B"/>
    <w:rsid w:val="00C440D5"/>
    <w:rsid w:val="00C478D1"/>
    <w:rsid w:val="00C50974"/>
    <w:rsid w:val="00C51DE4"/>
    <w:rsid w:val="00C52537"/>
    <w:rsid w:val="00C54F41"/>
    <w:rsid w:val="00C55C33"/>
    <w:rsid w:val="00C619CC"/>
    <w:rsid w:val="00C6259E"/>
    <w:rsid w:val="00C628AC"/>
    <w:rsid w:val="00C65681"/>
    <w:rsid w:val="00C6626E"/>
    <w:rsid w:val="00C706A8"/>
    <w:rsid w:val="00C70FAD"/>
    <w:rsid w:val="00C71656"/>
    <w:rsid w:val="00C71AC7"/>
    <w:rsid w:val="00C7584D"/>
    <w:rsid w:val="00C758B1"/>
    <w:rsid w:val="00C7771E"/>
    <w:rsid w:val="00C82154"/>
    <w:rsid w:val="00C844AA"/>
    <w:rsid w:val="00C90547"/>
    <w:rsid w:val="00C942FC"/>
    <w:rsid w:val="00C960D6"/>
    <w:rsid w:val="00CA062E"/>
    <w:rsid w:val="00CA1743"/>
    <w:rsid w:val="00CA3EDF"/>
    <w:rsid w:val="00CA4624"/>
    <w:rsid w:val="00CA4E63"/>
    <w:rsid w:val="00CA570E"/>
    <w:rsid w:val="00CA7365"/>
    <w:rsid w:val="00CB10F1"/>
    <w:rsid w:val="00CB2DC6"/>
    <w:rsid w:val="00CB336F"/>
    <w:rsid w:val="00CB3813"/>
    <w:rsid w:val="00CC7608"/>
    <w:rsid w:val="00CD203A"/>
    <w:rsid w:val="00CD331C"/>
    <w:rsid w:val="00CD3372"/>
    <w:rsid w:val="00CD5A43"/>
    <w:rsid w:val="00CE2EC1"/>
    <w:rsid w:val="00CE63C5"/>
    <w:rsid w:val="00CE72DC"/>
    <w:rsid w:val="00CF3AB1"/>
    <w:rsid w:val="00D03444"/>
    <w:rsid w:val="00D04E5D"/>
    <w:rsid w:val="00D0617B"/>
    <w:rsid w:val="00D0655F"/>
    <w:rsid w:val="00D07C80"/>
    <w:rsid w:val="00D100BC"/>
    <w:rsid w:val="00D1163A"/>
    <w:rsid w:val="00D12057"/>
    <w:rsid w:val="00D1222E"/>
    <w:rsid w:val="00D128A1"/>
    <w:rsid w:val="00D13F3B"/>
    <w:rsid w:val="00D14CD9"/>
    <w:rsid w:val="00D170D1"/>
    <w:rsid w:val="00D21BFB"/>
    <w:rsid w:val="00D24820"/>
    <w:rsid w:val="00D25465"/>
    <w:rsid w:val="00D264AB"/>
    <w:rsid w:val="00D3024E"/>
    <w:rsid w:val="00D329C0"/>
    <w:rsid w:val="00D34078"/>
    <w:rsid w:val="00D34347"/>
    <w:rsid w:val="00D34DE4"/>
    <w:rsid w:val="00D41C1D"/>
    <w:rsid w:val="00D42EDB"/>
    <w:rsid w:val="00D454CA"/>
    <w:rsid w:val="00D5155A"/>
    <w:rsid w:val="00D520CA"/>
    <w:rsid w:val="00D533CB"/>
    <w:rsid w:val="00D554EC"/>
    <w:rsid w:val="00D55AB6"/>
    <w:rsid w:val="00D55F77"/>
    <w:rsid w:val="00D61740"/>
    <w:rsid w:val="00D643E1"/>
    <w:rsid w:val="00D64610"/>
    <w:rsid w:val="00D64D87"/>
    <w:rsid w:val="00D65295"/>
    <w:rsid w:val="00D66F5D"/>
    <w:rsid w:val="00D70DB9"/>
    <w:rsid w:val="00D7390A"/>
    <w:rsid w:val="00D8037C"/>
    <w:rsid w:val="00D805C5"/>
    <w:rsid w:val="00D83238"/>
    <w:rsid w:val="00D879FE"/>
    <w:rsid w:val="00D90D18"/>
    <w:rsid w:val="00D91402"/>
    <w:rsid w:val="00D936FB"/>
    <w:rsid w:val="00D94D67"/>
    <w:rsid w:val="00D95CB2"/>
    <w:rsid w:val="00D96BCB"/>
    <w:rsid w:val="00DA067A"/>
    <w:rsid w:val="00DA125A"/>
    <w:rsid w:val="00DA2742"/>
    <w:rsid w:val="00DA488D"/>
    <w:rsid w:val="00DA48A4"/>
    <w:rsid w:val="00DA4B1C"/>
    <w:rsid w:val="00DA56C7"/>
    <w:rsid w:val="00DA6D69"/>
    <w:rsid w:val="00DB0413"/>
    <w:rsid w:val="00DB22B3"/>
    <w:rsid w:val="00DB4A7C"/>
    <w:rsid w:val="00DB715E"/>
    <w:rsid w:val="00DC26DF"/>
    <w:rsid w:val="00DC7562"/>
    <w:rsid w:val="00DC7AB1"/>
    <w:rsid w:val="00DD1D6B"/>
    <w:rsid w:val="00DD22D6"/>
    <w:rsid w:val="00DD374A"/>
    <w:rsid w:val="00DD3946"/>
    <w:rsid w:val="00DD3A72"/>
    <w:rsid w:val="00DD453F"/>
    <w:rsid w:val="00DE0CA2"/>
    <w:rsid w:val="00DE12FC"/>
    <w:rsid w:val="00DE3DED"/>
    <w:rsid w:val="00DE4CF3"/>
    <w:rsid w:val="00DE5275"/>
    <w:rsid w:val="00DE756F"/>
    <w:rsid w:val="00DF11BD"/>
    <w:rsid w:val="00DF20D2"/>
    <w:rsid w:val="00DF2836"/>
    <w:rsid w:val="00DF2AEE"/>
    <w:rsid w:val="00DF3A14"/>
    <w:rsid w:val="00DF3AC8"/>
    <w:rsid w:val="00DF67CF"/>
    <w:rsid w:val="00DF6971"/>
    <w:rsid w:val="00E0261B"/>
    <w:rsid w:val="00E03D27"/>
    <w:rsid w:val="00E047C1"/>
    <w:rsid w:val="00E05BF5"/>
    <w:rsid w:val="00E10B4A"/>
    <w:rsid w:val="00E12405"/>
    <w:rsid w:val="00E17489"/>
    <w:rsid w:val="00E200E3"/>
    <w:rsid w:val="00E215AF"/>
    <w:rsid w:val="00E2429B"/>
    <w:rsid w:val="00E24527"/>
    <w:rsid w:val="00E246AB"/>
    <w:rsid w:val="00E24AAF"/>
    <w:rsid w:val="00E25ED0"/>
    <w:rsid w:val="00E270EB"/>
    <w:rsid w:val="00E30B65"/>
    <w:rsid w:val="00E3550E"/>
    <w:rsid w:val="00E37203"/>
    <w:rsid w:val="00E3746A"/>
    <w:rsid w:val="00E37BAB"/>
    <w:rsid w:val="00E41BAD"/>
    <w:rsid w:val="00E4290A"/>
    <w:rsid w:val="00E42D90"/>
    <w:rsid w:val="00E42D96"/>
    <w:rsid w:val="00E50610"/>
    <w:rsid w:val="00E53BC5"/>
    <w:rsid w:val="00E53E78"/>
    <w:rsid w:val="00E544A6"/>
    <w:rsid w:val="00E57B0E"/>
    <w:rsid w:val="00E63315"/>
    <w:rsid w:val="00E64963"/>
    <w:rsid w:val="00E64C68"/>
    <w:rsid w:val="00E65097"/>
    <w:rsid w:val="00E65F12"/>
    <w:rsid w:val="00E7194B"/>
    <w:rsid w:val="00E726DD"/>
    <w:rsid w:val="00E73D58"/>
    <w:rsid w:val="00E77DCF"/>
    <w:rsid w:val="00E8219D"/>
    <w:rsid w:val="00E83A44"/>
    <w:rsid w:val="00E8515F"/>
    <w:rsid w:val="00E868EF"/>
    <w:rsid w:val="00E87981"/>
    <w:rsid w:val="00E87FC2"/>
    <w:rsid w:val="00E90B2E"/>
    <w:rsid w:val="00E92BEB"/>
    <w:rsid w:val="00E92CA8"/>
    <w:rsid w:val="00E95000"/>
    <w:rsid w:val="00E958E2"/>
    <w:rsid w:val="00E96038"/>
    <w:rsid w:val="00E97305"/>
    <w:rsid w:val="00EA0506"/>
    <w:rsid w:val="00EA33AD"/>
    <w:rsid w:val="00EA5F03"/>
    <w:rsid w:val="00EA68AC"/>
    <w:rsid w:val="00EB2027"/>
    <w:rsid w:val="00EB54A1"/>
    <w:rsid w:val="00EB5741"/>
    <w:rsid w:val="00EB68F1"/>
    <w:rsid w:val="00EC1E8B"/>
    <w:rsid w:val="00EC48CC"/>
    <w:rsid w:val="00EC57AF"/>
    <w:rsid w:val="00EC6DA3"/>
    <w:rsid w:val="00ED18D5"/>
    <w:rsid w:val="00ED3E12"/>
    <w:rsid w:val="00ED53AC"/>
    <w:rsid w:val="00ED6317"/>
    <w:rsid w:val="00EE0884"/>
    <w:rsid w:val="00EE0BEC"/>
    <w:rsid w:val="00EE106F"/>
    <w:rsid w:val="00EE2D0B"/>
    <w:rsid w:val="00EE3AAE"/>
    <w:rsid w:val="00EE4300"/>
    <w:rsid w:val="00EE4B64"/>
    <w:rsid w:val="00EE598E"/>
    <w:rsid w:val="00EE5F98"/>
    <w:rsid w:val="00EE62B2"/>
    <w:rsid w:val="00EF1FA6"/>
    <w:rsid w:val="00EF4FFA"/>
    <w:rsid w:val="00EF5E43"/>
    <w:rsid w:val="00EF5F7F"/>
    <w:rsid w:val="00EF6771"/>
    <w:rsid w:val="00EF6EEA"/>
    <w:rsid w:val="00EF7E26"/>
    <w:rsid w:val="00F02B07"/>
    <w:rsid w:val="00F04CB9"/>
    <w:rsid w:val="00F069F0"/>
    <w:rsid w:val="00F1036D"/>
    <w:rsid w:val="00F117C2"/>
    <w:rsid w:val="00F17440"/>
    <w:rsid w:val="00F300C3"/>
    <w:rsid w:val="00F308AC"/>
    <w:rsid w:val="00F32D41"/>
    <w:rsid w:val="00F34545"/>
    <w:rsid w:val="00F34E81"/>
    <w:rsid w:val="00F35FA8"/>
    <w:rsid w:val="00F36BD2"/>
    <w:rsid w:val="00F403B2"/>
    <w:rsid w:val="00F418B0"/>
    <w:rsid w:val="00F41FF1"/>
    <w:rsid w:val="00F456C5"/>
    <w:rsid w:val="00F46D30"/>
    <w:rsid w:val="00F46D86"/>
    <w:rsid w:val="00F4731B"/>
    <w:rsid w:val="00F47AA6"/>
    <w:rsid w:val="00F50F48"/>
    <w:rsid w:val="00F5123A"/>
    <w:rsid w:val="00F522D0"/>
    <w:rsid w:val="00F53514"/>
    <w:rsid w:val="00F55155"/>
    <w:rsid w:val="00F726EB"/>
    <w:rsid w:val="00F73AFA"/>
    <w:rsid w:val="00F769DA"/>
    <w:rsid w:val="00F77514"/>
    <w:rsid w:val="00F80DEE"/>
    <w:rsid w:val="00F82BF3"/>
    <w:rsid w:val="00F84568"/>
    <w:rsid w:val="00F84627"/>
    <w:rsid w:val="00F8602E"/>
    <w:rsid w:val="00F87302"/>
    <w:rsid w:val="00F90175"/>
    <w:rsid w:val="00F92A51"/>
    <w:rsid w:val="00F930AC"/>
    <w:rsid w:val="00F962BF"/>
    <w:rsid w:val="00F9642E"/>
    <w:rsid w:val="00FA0720"/>
    <w:rsid w:val="00FA13F0"/>
    <w:rsid w:val="00FA1DAA"/>
    <w:rsid w:val="00FA3B37"/>
    <w:rsid w:val="00FA3DEE"/>
    <w:rsid w:val="00FA4866"/>
    <w:rsid w:val="00FB03C1"/>
    <w:rsid w:val="00FB1499"/>
    <w:rsid w:val="00FB1BA4"/>
    <w:rsid w:val="00FB3302"/>
    <w:rsid w:val="00FB469E"/>
    <w:rsid w:val="00FB777F"/>
    <w:rsid w:val="00FC03A5"/>
    <w:rsid w:val="00FC0AF8"/>
    <w:rsid w:val="00FD029B"/>
    <w:rsid w:val="00FD227B"/>
    <w:rsid w:val="00FD456F"/>
    <w:rsid w:val="00FD5E37"/>
    <w:rsid w:val="00FE15D0"/>
    <w:rsid w:val="00FE2080"/>
    <w:rsid w:val="00FE330F"/>
    <w:rsid w:val="00FE6CEA"/>
    <w:rsid w:val="00FE7BD3"/>
    <w:rsid w:val="00FF0CED"/>
    <w:rsid w:val="013061BB"/>
    <w:rsid w:val="0138F366"/>
    <w:rsid w:val="028A1813"/>
    <w:rsid w:val="03D7488D"/>
    <w:rsid w:val="0609DCFD"/>
    <w:rsid w:val="063EB380"/>
    <w:rsid w:val="069080FC"/>
    <w:rsid w:val="06C24E8D"/>
    <w:rsid w:val="086796A5"/>
    <w:rsid w:val="09102414"/>
    <w:rsid w:val="0B859E7F"/>
    <w:rsid w:val="0CDCB55A"/>
    <w:rsid w:val="0EC3A2CD"/>
    <w:rsid w:val="0F514605"/>
    <w:rsid w:val="0FCAE73A"/>
    <w:rsid w:val="1039AFE4"/>
    <w:rsid w:val="1049CB71"/>
    <w:rsid w:val="1178024F"/>
    <w:rsid w:val="125A9C63"/>
    <w:rsid w:val="12EACC6D"/>
    <w:rsid w:val="15F9420D"/>
    <w:rsid w:val="1601FBEF"/>
    <w:rsid w:val="165C9830"/>
    <w:rsid w:val="18134C96"/>
    <w:rsid w:val="1838B13B"/>
    <w:rsid w:val="192603FA"/>
    <w:rsid w:val="1A87F36C"/>
    <w:rsid w:val="1B642199"/>
    <w:rsid w:val="1B8F4CCF"/>
    <w:rsid w:val="1BF9868B"/>
    <w:rsid w:val="1CF43E79"/>
    <w:rsid w:val="1D1AD52C"/>
    <w:rsid w:val="1D87E69F"/>
    <w:rsid w:val="1D992260"/>
    <w:rsid w:val="1E900EDA"/>
    <w:rsid w:val="1EAF1FB3"/>
    <w:rsid w:val="1FC36758"/>
    <w:rsid w:val="226AB2EF"/>
    <w:rsid w:val="23328EBC"/>
    <w:rsid w:val="2597ABDB"/>
    <w:rsid w:val="25DB566B"/>
    <w:rsid w:val="2681F862"/>
    <w:rsid w:val="271A5E90"/>
    <w:rsid w:val="275D2828"/>
    <w:rsid w:val="2825E8B9"/>
    <w:rsid w:val="292D17FC"/>
    <w:rsid w:val="299916EA"/>
    <w:rsid w:val="2A5EF732"/>
    <w:rsid w:val="2A9C0A99"/>
    <w:rsid w:val="2AFA7A38"/>
    <w:rsid w:val="2DCF83CE"/>
    <w:rsid w:val="2E1BDCDC"/>
    <w:rsid w:val="2E6502AB"/>
    <w:rsid w:val="2EA4ACCD"/>
    <w:rsid w:val="30387224"/>
    <w:rsid w:val="311F0184"/>
    <w:rsid w:val="315DC8F2"/>
    <w:rsid w:val="32D5F614"/>
    <w:rsid w:val="33B57160"/>
    <w:rsid w:val="35B70AD0"/>
    <w:rsid w:val="3683E71F"/>
    <w:rsid w:val="36E96012"/>
    <w:rsid w:val="36EF1038"/>
    <w:rsid w:val="3759BDA2"/>
    <w:rsid w:val="39F3F6BC"/>
    <w:rsid w:val="3AF888C8"/>
    <w:rsid w:val="3DE7A921"/>
    <w:rsid w:val="3EBA5055"/>
    <w:rsid w:val="4393B351"/>
    <w:rsid w:val="44CE3FAC"/>
    <w:rsid w:val="47BD6B7C"/>
    <w:rsid w:val="480F3041"/>
    <w:rsid w:val="4ABF6BA4"/>
    <w:rsid w:val="4DA738F3"/>
    <w:rsid w:val="4F4BC174"/>
    <w:rsid w:val="507E7D2E"/>
    <w:rsid w:val="51E414E8"/>
    <w:rsid w:val="54A3020E"/>
    <w:rsid w:val="56A381A9"/>
    <w:rsid w:val="56E96563"/>
    <w:rsid w:val="583F520A"/>
    <w:rsid w:val="5AE879B7"/>
    <w:rsid w:val="5B99A24F"/>
    <w:rsid w:val="5C2946E0"/>
    <w:rsid w:val="5C6134A2"/>
    <w:rsid w:val="5D0D7B3D"/>
    <w:rsid w:val="5D6EFCAE"/>
    <w:rsid w:val="5D6F1C30"/>
    <w:rsid w:val="5F7F4618"/>
    <w:rsid w:val="60BE6E36"/>
    <w:rsid w:val="62640F13"/>
    <w:rsid w:val="62A12CFC"/>
    <w:rsid w:val="63A4AC43"/>
    <w:rsid w:val="640BB06A"/>
    <w:rsid w:val="6504ACB5"/>
    <w:rsid w:val="664167F9"/>
    <w:rsid w:val="66427A41"/>
    <w:rsid w:val="67CF4EEC"/>
    <w:rsid w:val="681FA55B"/>
    <w:rsid w:val="683A52F1"/>
    <w:rsid w:val="68937914"/>
    <w:rsid w:val="68C61004"/>
    <w:rsid w:val="69A831FF"/>
    <w:rsid w:val="6B337897"/>
    <w:rsid w:val="6B6E513C"/>
    <w:rsid w:val="6CAF3391"/>
    <w:rsid w:val="6CECB205"/>
    <w:rsid w:val="6D30D01B"/>
    <w:rsid w:val="6DFCDD1F"/>
    <w:rsid w:val="6F8BE874"/>
    <w:rsid w:val="700326FF"/>
    <w:rsid w:val="7114FE6D"/>
    <w:rsid w:val="7141F8FC"/>
    <w:rsid w:val="717056C4"/>
    <w:rsid w:val="722BEDA2"/>
    <w:rsid w:val="725DBBCB"/>
    <w:rsid w:val="73F6CF1D"/>
    <w:rsid w:val="75FF27EA"/>
    <w:rsid w:val="76F8D548"/>
    <w:rsid w:val="776DB136"/>
    <w:rsid w:val="7805298E"/>
    <w:rsid w:val="78F65B62"/>
    <w:rsid w:val="7A3C12E2"/>
    <w:rsid w:val="7C7841BC"/>
    <w:rsid w:val="7DD0ED7A"/>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B66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41803"/>
    <w:pPr>
      <w:spacing w:line="240" w:lineRule="auto"/>
      <w:jc w:val="both"/>
    </w:pPr>
    <w:rPr>
      <w:rFonts w:ascii="Corbel" w:hAnsi="Corbel"/>
      <w:sz w:val="24"/>
    </w:rPr>
  </w:style>
  <w:style w:type="paragraph" w:styleId="Nagwek1">
    <w:name w:val="heading 1"/>
    <w:basedOn w:val="Normalny"/>
    <w:next w:val="Normalny"/>
    <w:link w:val="Nagwek1Znak"/>
    <w:uiPriority w:val="99"/>
    <w:qFormat/>
    <w:rsid w:val="00AF7E5E"/>
    <w:pPr>
      <w:keepNext/>
      <w:keepLines/>
      <w:spacing w:before="240" w:after="0"/>
      <w:outlineLvl w:val="0"/>
    </w:pPr>
    <w:rPr>
      <w:rFonts w:eastAsiaTheme="majorEastAsia" w:cstheme="majorBidi"/>
      <w:b/>
      <w:sz w:val="32"/>
      <w:szCs w:val="32"/>
    </w:rPr>
  </w:style>
  <w:style w:type="paragraph" w:styleId="Nagwek2">
    <w:name w:val="heading 2"/>
    <w:basedOn w:val="Normalny"/>
    <w:next w:val="Normalny"/>
    <w:link w:val="Nagwek2Znak"/>
    <w:uiPriority w:val="99"/>
    <w:unhideWhenUsed/>
    <w:qFormat/>
    <w:rsid w:val="00AF7E5E"/>
    <w:pPr>
      <w:keepNext/>
      <w:keepLines/>
      <w:spacing w:before="40" w:after="0"/>
      <w:outlineLvl w:val="1"/>
    </w:pPr>
    <w:rPr>
      <w:rFonts w:eastAsiaTheme="majorEastAsia" w:cstheme="majorBidi"/>
      <w:b/>
      <w:sz w:val="28"/>
      <w:szCs w:val="26"/>
    </w:rPr>
  </w:style>
  <w:style w:type="paragraph" w:styleId="Nagwek3">
    <w:name w:val="heading 3"/>
    <w:basedOn w:val="Normalny"/>
    <w:next w:val="Normalny"/>
    <w:link w:val="Nagwek3Znak"/>
    <w:uiPriority w:val="99"/>
    <w:unhideWhenUsed/>
    <w:qFormat/>
    <w:rsid w:val="00AF7E5E"/>
    <w:pPr>
      <w:keepNext/>
      <w:keepLines/>
      <w:spacing w:before="40" w:after="0"/>
      <w:outlineLvl w:val="2"/>
    </w:pPr>
    <w:rPr>
      <w:rFonts w:eastAsiaTheme="majorEastAsia" w:cstheme="majorBidi"/>
      <w:b/>
      <w:szCs w:val="24"/>
    </w:rPr>
  </w:style>
  <w:style w:type="paragraph" w:styleId="Nagwek4">
    <w:name w:val="heading 4"/>
    <w:basedOn w:val="Normalny"/>
    <w:next w:val="Normalny"/>
    <w:link w:val="Nagwek4Znak"/>
    <w:uiPriority w:val="99"/>
    <w:qFormat/>
    <w:rsid w:val="00000068"/>
    <w:pPr>
      <w:keepNext/>
      <w:spacing w:before="240" w:after="60"/>
      <w:jc w:val="left"/>
      <w:outlineLvl w:val="3"/>
    </w:pPr>
    <w:rPr>
      <w:rFonts w:eastAsia="Times New Roman" w:cs="Times New Roman"/>
      <w:b/>
      <w:bCs/>
      <w:sz w:val="22"/>
      <w:szCs w:val="28"/>
      <w:lang w:eastAsia="pl-PL"/>
    </w:rPr>
  </w:style>
  <w:style w:type="paragraph" w:styleId="Nagwek5">
    <w:name w:val="heading 5"/>
    <w:basedOn w:val="Normalny"/>
    <w:next w:val="Normalny"/>
    <w:link w:val="Nagwek5Znak"/>
    <w:uiPriority w:val="99"/>
    <w:qFormat/>
    <w:rsid w:val="00000068"/>
    <w:pPr>
      <w:spacing w:before="240" w:after="60"/>
      <w:jc w:val="left"/>
      <w:outlineLvl w:val="4"/>
    </w:pPr>
    <w:rPr>
      <w:rFonts w:ascii="Calibri" w:eastAsia="Times New Roman" w:hAnsi="Calibri" w:cs="Times New Roman"/>
      <w:b/>
      <w:bCs/>
      <w:i/>
      <w:iCs/>
      <w:sz w:val="26"/>
      <w:szCs w:val="26"/>
      <w:lang w:eastAsia="pl-PL"/>
    </w:rPr>
  </w:style>
  <w:style w:type="paragraph" w:styleId="Nagwek7">
    <w:name w:val="heading 7"/>
    <w:basedOn w:val="Normalny"/>
    <w:next w:val="Normalny"/>
    <w:link w:val="Nagwek7Znak"/>
    <w:uiPriority w:val="99"/>
    <w:qFormat/>
    <w:rsid w:val="00000068"/>
    <w:pPr>
      <w:keepNext/>
      <w:keepLines/>
      <w:spacing w:before="200" w:after="0" w:line="276" w:lineRule="auto"/>
      <w:jc w:val="left"/>
      <w:outlineLvl w:val="6"/>
    </w:pPr>
    <w:rPr>
      <w:rFonts w:ascii="Cambria" w:eastAsia="Times New Roman" w:hAnsi="Cambria" w:cs="Times New Roman"/>
      <w:i/>
      <w:iCs/>
      <w:color w:val="404040"/>
      <w:sz w:val="22"/>
    </w:rPr>
  </w:style>
  <w:style w:type="paragraph" w:styleId="Nagwek9">
    <w:name w:val="heading 9"/>
    <w:basedOn w:val="Normalny"/>
    <w:next w:val="Normalny"/>
    <w:link w:val="Nagwek9Znak"/>
    <w:uiPriority w:val="99"/>
    <w:qFormat/>
    <w:rsid w:val="00000068"/>
    <w:pPr>
      <w:keepNext/>
      <w:keepLines/>
      <w:spacing w:before="200" w:after="0" w:line="276" w:lineRule="auto"/>
      <w:jc w:val="left"/>
      <w:outlineLvl w:val="8"/>
    </w:pPr>
    <w:rPr>
      <w:rFonts w:ascii="Cambria" w:eastAsia="Times New Roman" w:hAnsi="Cambria" w:cs="Times New Roman"/>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AF7E5E"/>
    <w:rPr>
      <w:rFonts w:ascii="Corbel" w:eastAsiaTheme="majorEastAsia" w:hAnsi="Corbel" w:cstheme="majorBidi"/>
      <w:b/>
      <w:sz w:val="32"/>
      <w:szCs w:val="32"/>
    </w:rPr>
  </w:style>
  <w:style w:type="character" w:customStyle="1" w:styleId="Nagwek2Znak">
    <w:name w:val="Nagłówek 2 Znak"/>
    <w:basedOn w:val="Domylnaczcionkaakapitu"/>
    <w:link w:val="Nagwek2"/>
    <w:uiPriority w:val="99"/>
    <w:rsid w:val="00AF7E5E"/>
    <w:rPr>
      <w:rFonts w:ascii="Corbel" w:eastAsiaTheme="majorEastAsia" w:hAnsi="Corbel" w:cstheme="majorBidi"/>
      <w:b/>
      <w:sz w:val="28"/>
      <w:szCs w:val="26"/>
    </w:rPr>
  </w:style>
  <w:style w:type="character" w:customStyle="1" w:styleId="Nagwek3Znak">
    <w:name w:val="Nagłówek 3 Znak"/>
    <w:basedOn w:val="Domylnaczcionkaakapitu"/>
    <w:link w:val="Nagwek3"/>
    <w:uiPriority w:val="99"/>
    <w:rsid w:val="00AF7E5E"/>
    <w:rPr>
      <w:rFonts w:ascii="Corbel" w:eastAsiaTheme="majorEastAsia" w:hAnsi="Corbel" w:cstheme="majorBidi"/>
      <w:b/>
      <w:sz w:val="24"/>
      <w:szCs w:val="24"/>
    </w:rPr>
  </w:style>
  <w:style w:type="character" w:customStyle="1" w:styleId="Nagwek4Znak">
    <w:name w:val="Nagłówek 4 Znak"/>
    <w:basedOn w:val="Domylnaczcionkaakapitu"/>
    <w:link w:val="Nagwek4"/>
    <w:uiPriority w:val="99"/>
    <w:rsid w:val="00000068"/>
    <w:rPr>
      <w:rFonts w:ascii="Corbel" w:eastAsia="Times New Roman" w:hAnsi="Corbel" w:cs="Times New Roman"/>
      <w:b/>
      <w:bCs/>
      <w:szCs w:val="28"/>
      <w:lang w:eastAsia="pl-PL"/>
    </w:rPr>
  </w:style>
  <w:style w:type="character" w:customStyle="1" w:styleId="Nagwek5Znak">
    <w:name w:val="Nagłówek 5 Znak"/>
    <w:basedOn w:val="Domylnaczcionkaakapitu"/>
    <w:link w:val="Nagwek5"/>
    <w:uiPriority w:val="99"/>
    <w:rsid w:val="00000068"/>
    <w:rPr>
      <w:rFonts w:ascii="Calibri" w:eastAsia="Times New Roman" w:hAnsi="Calibri" w:cs="Times New Roman"/>
      <w:b/>
      <w:bCs/>
      <w:i/>
      <w:iCs/>
      <w:sz w:val="26"/>
      <w:szCs w:val="26"/>
      <w:lang w:eastAsia="pl-PL"/>
    </w:rPr>
  </w:style>
  <w:style w:type="character" w:customStyle="1" w:styleId="Nagwek7Znak">
    <w:name w:val="Nagłówek 7 Znak"/>
    <w:basedOn w:val="Domylnaczcionkaakapitu"/>
    <w:link w:val="Nagwek7"/>
    <w:uiPriority w:val="99"/>
    <w:rsid w:val="00000068"/>
    <w:rPr>
      <w:rFonts w:ascii="Cambria" w:eastAsia="Times New Roman" w:hAnsi="Cambria" w:cs="Times New Roman"/>
      <w:i/>
      <w:iCs/>
      <w:color w:val="404040"/>
    </w:rPr>
  </w:style>
  <w:style w:type="character" w:customStyle="1" w:styleId="Nagwek9Znak">
    <w:name w:val="Nagłówek 9 Znak"/>
    <w:basedOn w:val="Domylnaczcionkaakapitu"/>
    <w:link w:val="Nagwek9"/>
    <w:uiPriority w:val="99"/>
    <w:rsid w:val="00000068"/>
    <w:rPr>
      <w:rFonts w:ascii="Cambria" w:eastAsia="Times New Roman" w:hAnsi="Cambria" w:cs="Times New Roman"/>
      <w:i/>
      <w:iCs/>
      <w:color w:val="404040"/>
      <w:sz w:val="20"/>
      <w:szCs w:val="20"/>
    </w:rPr>
  </w:style>
  <w:style w:type="paragraph" w:styleId="Akapitzlist">
    <w:name w:val="List Paragraph"/>
    <w:aliases w:val="Punkt. 1,Styl 1,TABELA,źródła,Nagłowek 3,punktowane_snoroa"/>
    <w:basedOn w:val="Normalny"/>
    <w:link w:val="AkapitzlistZnak"/>
    <w:uiPriority w:val="34"/>
    <w:qFormat/>
    <w:rsid w:val="00AF7E5E"/>
    <w:pPr>
      <w:ind w:left="720"/>
      <w:contextualSpacing/>
    </w:pPr>
  </w:style>
  <w:style w:type="character" w:customStyle="1" w:styleId="AkapitzlistZnak">
    <w:name w:val="Akapit z listą Znak"/>
    <w:aliases w:val="Punkt. 1 Znak,Styl 1 Znak,TABELA Znak,źródła Znak,Nagłowek 3 Znak,punktowane_snoroa Znak"/>
    <w:basedOn w:val="Domylnaczcionkaakapitu"/>
    <w:link w:val="Akapitzlist"/>
    <w:uiPriority w:val="34"/>
    <w:locked/>
    <w:rsid w:val="00D95859"/>
    <w:rPr>
      <w:rFonts w:ascii="Corbel" w:hAnsi="Corbel"/>
      <w:sz w:val="24"/>
    </w:rPr>
  </w:style>
  <w:style w:type="paragraph" w:customStyle="1" w:styleId="StandardowyTekst">
    <w:name w:val="StandardowyTekst"/>
    <w:basedOn w:val="Normalny"/>
    <w:link w:val="StandardowyTekstZnak"/>
    <w:uiPriority w:val="99"/>
    <w:rsid w:val="00BD280A"/>
    <w:pPr>
      <w:spacing w:after="0" w:line="320" w:lineRule="atLeast"/>
    </w:pPr>
    <w:rPr>
      <w:rFonts w:ascii="Times New Roman" w:eastAsia="Times New Roman" w:hAnsi="Times New Roman" w:cs="Times New Roman"/>
      <w:sz w:val="22"/>
      <w:szCs w:val="20"/>
      <w:lang w:eastAsia="pl-PL"/>
    </w:rPr>
  </w:style>
  <w:style w:type="table" w:styleId="Tabela-Siatka">
    <w:name w:val="Table Grid"/>
    <w:basedOn w:val="Standardowy"/>
    <w:uiPriority w:val="39"/>
    <w:rsid w:val="00BD280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rsid w:val="00D65DFC"/>
    <w:rPr>
      <w:rFonts w:cs="Times New Roman"/>
      <w:sz w:val="16"/>
    </w:rPr>
  </w:style>
  <w:style w:type="paragraph" w:styleId="Tekstdymka">
    <w:name w:val="Balloon Text"/>
    <w:basedOn w:val="Normalny"/>
    <w:link w:val="TekstdymkaZnak"/>
    <w:autoRedefine/>
    <w:uiPriority w:val="99"/>
    <w:semiHidden/>
    <w:rsid w:val="00000068"/>
    <w:pPr>
      <w:spacing w:after="0"/>
      <w:jc w:val="left"/>
    </w:pPr>
    <w:rPr>
      <w:rFonts w:ascii="Times New Roman" w:eastAsia="Times New Roman" w:hAnsi="Times New Roman" w:cs="Times New Roman"/>
      <w:sz w:val="16"/>
      <w:szCs w:val="20"/>
      <w:lang w:eastAsia="pl-PL"/>
    </w:rPr>
  </w:style>
  <w:style w:type="character" w:customStyle="1" w:styleId="TekstdymkaZnak">
    <w:name w:val="Tekst dymka Znak"/>
    <w:basedOn w:val="Domylnaczcionkaakapitu"/>
    <w:link w:val="Tekstdymka"/>
    <w:uiPriority w:val="99"/>
    <w:semiHidden/>
    <w:rsid w:val="00000068"/>
    <w:rPr>
      <w:rFonts w:ascii="Times New Roman" w:eastAsia="Times New Roman" w:hAnsi="Times New Roman" w:cs="Times New Roman"/>
      <w:sz w:val="16"/>
      <w:szCs w:val="20"/>
      <w:lang w:eastAsia="pl-PL"/>
    </w:rPr>
  </w:style>
  <w:style w:type="character" w:styleId="Odwoanieprzypisudolnego">
    <w:name w:val="footnote reference"/>
    <w:aliases w:val="(Footnote Reference),Appel note de bas de,BVI fnr,EN Footnote Reference,Exposant 3 Point,Footnote Reference Superscript,Footnote reference number,Footnote symbol,SUPERS,Times 10 Point,Voetnootverwijzing,note TESI"/>
    <w:basedOn w:val="Domylnaczcionkaakapitu"/>
    <w:rsid w:val="00000068"/>
    <w:rPr>
      <w:rFonts w:cs="Times New Roman"/>
      <w:vertAlign w:val="superscript"/>
    </w:rPr>
  </w:style>
  <w:style w:type="paragraph" w:styleId="Tekstprzypisudolnego">
    <w:name w:val="footnote text"/>
    <w:aliases w:val="-E Fußnotentext,-E Fuﬂnotentext,Footnote,Footnote text,Fußnote,Fußnotentext Ursprung,Fuﬂnotentext Ursprung,Podrozdzia3,Podrozdział,Tekst przypisu Znak Znak Znak Znak,Tekst przypisu Znak Znak Znak Znak Znak"/>
    <w:basedOn w:val="Normalny"/>
    <w:link w:val="TekstprzypisudolnegoZnak"/>
    <w:uiPriority w:val="99"/>
    <w:rsid w:val="00356B50"/>
    <w:pPr>
      <w:spacing w:after="0"/>
      <w:jc w:val="left"/>
    </w:pPr>
    <w:rPr>
      <w:rFonts w:ascii="Times New Roman" w:eastAsia="Times New Roman" w:hAnsi="Times New Roman" w:cs="Times New Roman"/>
      <w:sz w:val="20"/>
      <w:szCs w:val="20"/>
    </w:rPr>
  </w:style>
  <w:style w:type="character" w:customStyle="1" w:styleId="TekstprzypisudolnegoZnak">
    <w:name w:val="Tekst przypisu dolnego Znak"/>
    <w:aliases w:val="-E Fußnotentext Znak,-E Fuﬂnotentext Znak,Footnote Znak,Footnote text Znak,Fußnote Znak,Fußnotentext Ursprung Znak,Fuﬂnotentext Ursprung Znak,Podrozdzia3 Znak,Podrozdział Znak,Tekst przypisu Znak Znak Znak Znak Znak1"/>
    <w:basedOn w:val="Domylnaczcionkaakapitu"/>
    <w:link w:val="Tekstprzypisudolnego"/>
    <w:uiPriority w:val="99"/>
    <w:rsid w:val="00000068"/>
    <w:rPr>
      <w:rFonts w:ascii="Times New Roman" w:eastAsia="Times New Roman" w:hAnsi="Times New Roman" w:cs="Times New Roman"/>
      <w:sz w:val="20"/>
      <w:szCs w:val="20"/>
    </w:rPr>
  </w:style>
  <w:style w:type="character" w:customStyle="1" w:styleId="FootnoteTextChar">
    <w:name w:val="Footnote Text Char"/>
    <w:aliases w:val="-E Fußnotentext Char,-E Fuﬂnotentext Char,Footnote Char,Footnote text Char,Fußnote Char,Fußnotentext Ursprung Char,Fuﬂnotentext Ursprung Char,Podrozdzia3 Char,Podrozdział Char,Tekst przypisu Znak Znak Znak Znak Char"/>
    <w:basedOn w:val="Domylnaczcionkaakapitu"/>
    <w:uiPriority w:val="99"/>
    <w:semiHidden/>
    <w:locked/>
    <w:rsid w:val="00000068"/>
    <w:rPr>
      <w:lang w:val="pl-PL" w:eastAsia="en-US"/>
    </w:rPr>
  </w:style>
  <w:style w:type="paragraph" w:customStyle="1" w:styleId="ParaNo">
    <w:name w:val="ParaNo."/>
    <w:basedOn w:val="Normalny"/>
    <w:uiPriority w:val="99"/>
    <w:rsid w:val="00000068"/>
    <w:pPr>
      <w:numPr>
        <w:numId w:val="2"/>
      </w:numPr>
      <w:tabs>
        <w:tab w:val="clear" w:pos="360"/>
      </w:tabs>
      <w:spacing w:after="200" w:line="288" w:lineRule="auto"/>
    </w:pPr>
    <w:rPr>
      <w:rFonts w:ascii="Times New Roman" w:eastAsia="Times New Roman" w:hAnsi="Times New Roman" w:cs="Times New Roman"/>
      <w:szCs w:val="20"/>
      <w:lang w:val="en-GB"/>
    </w:rPr>
  </w:style>
  <w:style w:type="paragraph" w:styleId="Spistreci1">
    <w:name w:val="toc 1"/>
    <w:basedOn w:val="Normalny"/>
    <w:next w:val="Normalny"/>
    <w:autoRedefine/>
    <w:uiPriority w:val="39"/>
    <w:rsid w:val="00BB583E"/>
    <w:pPr>
      <w:tabs>
        <w:tab w:val="left" w:pos="8789"/>
      </w:tabs>
      <w:spacing w:after="0"/>
      <w:ind w:left="284" w:hanging="284"/>
      <w:jc w:val="left"/>
    </w:pPr>
    <w:rPr>
      <w:rFonts w:eastAsia="Times New Roman" w:cs="Times New Roman"/>
      <w:b/>
      <w:bCs/>
      <w:caps/>
      <w:noProof/>
      <w:sz w:val="20"/>
      <w:szCs w:val="20"/>
      <w:lang w:eastAsia="pl-PL"/>
    </w:rPr>
  </w:style>
  <w:style w:type="paragraph" w:styleId="Mapadokumentu">
    <w:name w:val="Document Map"/>
    <w:basedOn w:val="Normalny"/>
    <w:link w:val="MapadokumentuZnak"/>
    <w:uiPriority w:val="99"/>
    <w:semiHidden/>
    <w:rsid w:val="00000068"/>
    <w:pPr>
      <w:shd w:val="clear" w:color="auto" w:fill="000080"/>
      <w:spacing w:after="0"/>
      <w:jc w:val="left"/>
    </w:pPr>
    <w:rPr>
      <w:rFonts w:ascii="Times New Roman" w:eastAsia="Times New Roman" w:hAnsi="Times New Roman" w:cs="Times New Roman"/>
      <w:sz w:val="2"/>
      <w:szCs w:val="20"/>
      <w:lang w:eastAsia="pl-PL"/>
    </w:rPr>
  </w:style>
  <w:style w:type="character" w:customStyle="1" w:styleId="MapadokumentuZnak">
    <w:name w:val="Mapa dokumentu Znak"/>
    <w:basedOn w:val="Domylnaczcionkaakapitu"/>
    <w:link w:val="Mapadokumentu"/>
    <w:uiPriority w:val="99"/>
    <w:semiHidden/>
    <w:rsid w:val="00000068"/>
    <w:rPr>
      <w:rFonts w:ascii="Times New Roman" w:eastAsia="Times New Roman" w:hAnsi="Times New Roman" w:cs="Times New Roman"/>
      <w:sz w:val="2"/>
      <w:szCs w:val="20"/>
      <w:shd w:val="clear" w:color="auto" w:fill="000080"/>
      <w:lang w:eastAsia="pl-PL"/>
    </w:rPr>
  </w:style>
  <w:style w:type="character" w:styleId="Pogrubienie">
    <w:name w:val="Strong"/>
    <w:basedOn w:val="Domylnaczcionkaakapitu"/>
    <w:uiPriority w:val="99"/>
    <w:qFormat/>
    <w:rsid w:val="00000068"/>
    <w:rPr>
      <w:rFonts w:cs="Times New Roman"/>
      <w:b/>
    </w:rPr>
  </w:style>
  <w:style w:type="paragraph" w:styleId="Tekstpodstawowy">
    <w:name w:val="Body Text"/>
    <w:basedOn w:val="Normalny"/>
    <w:link w:val="TekstpodstawowyZnak"/>
    <w:uiPriority w:val="99"/>
    <w:rsid w:val="00000068"/>
    <w:pPr>
      <w:spacing w:after="120"/>
      <w:jc w:val="left"/>
    </w:pPr>
    <w:rPr>
      <w:rFonts w:ascii="Times New Roman" w:eastAsia="Times New Roman" w:hAnsi="Times New Roman" w:cs="Times New Roman"/>
      <w:szCs w:val="24"/>
      <w:lang w:eastAsia="pl-PL"/>
    </w:rPr>
  </w:style>
  <w:style w:type="character" w:customStyle="1" w:styleId="TekstpodstawowyZnak">
    <w:name w:val="Tekst podstawowy Znak"/>
    <w:basedOn w:val="Domylnaczcionkaakapitu"/>
    <w:link w:val="Tekstpodstawowy"/>
    <w:uiPriority w:val="99"/>
    <w:rsid w:val="00000068"/>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rsid w:val="00000068"/>
    <w:pPr>
      <w:spacing w:after="0"/>
      <w:jc w:val="left"/>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000068"/>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rsid w:val="00000068"/>
    <w:rPr>
      <w:rFonts w:cs="Times New Roman"/>
      <w:vertAlign w:val="superscript"/>
    </w:rPr>
  </w:style>
  <w:style w:type="paragraph" w:styleId="Tekstkomentarza">
    <w:name w:val="annotation text"/>
    <w:basedOn w:val="Normalny"/>
    <w:link w:val="TekstkomentarzaZnak"/>
    <w:uiPriority w:val="99"/>
    <w:rsid w:val="00000068"/>
    <w:pPr>
      <w:spacing w:after="0"/>
      <w:jc w:val="left"/>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rsid w:val="00000068"/>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000068"/>
    <w:rPr>
      <w:b/>
      <w:bCs/>
    </w:rPr>
  </w:style>
  <w:style w:type="character" w:customStyle="1" w:styleId="TematkomentarzaZnak">
    <w:name w:val="Temat komentarza Znak"/>
    <w:basedOn w:val="TekstkomentarzaZnak"/>
    <w:link w:val="Tematkomentarza"/>
    <w:uiPriority w:val="99"/>
    <w:semiHidden/>
    <w:rsid w:val="00000068"/>
    <w:rPr>
      <w:rFonts w:ascii="Times New Roman" w:eastAsia="Times New Roman" w:hAnsi="Times New Roman" w:cs="Times New Roman"/>
      <w:b/>
      <w:bCs/>
      <w:sz w:val="20"/>
      <w:szCs w:val="20"/>
      <w:lang w:eastAsia="pl-PL"/>
    </w:rPr>
  </w:style>
  <w:style w:type="paragraph" w:styleId="NormalnyWeb">
    <w:name w:val="Normal (Web)"/>
    <w:basedOn w:val="Normalny"/>
    <w:uiPriority w:val="99"/>
    <w:rsid w:val="00000068"/>
    <w:pPr>
      <w:spacing w:before="100" w:beforeAutospacing="1" w:after="100" w:afterAutospacing="1"/>
      <w:jc w:val="left"/>
    </w:pPr>
    <w:rPr>
      <w:rFonts w:ascii="Times New Roman" w:eastAsia="Times New Roman" w:hAnsi="Times New Roman" w:cs="Times New Roman"/>
      <w:szCs w:val="24"/>
      <w:lang w:eastAsia="pl-PL"/>
    </w:rPr>
  </w:style>
  <w:style w:type="character" w:styleId="Hipercze">
    <w:name w:val="Hyperlink"/>
    <w:basedOn w:val="Domylnaczcionkaakapitu"/>
    <w:uiPriority w:val="99"/>
    <w:rsid w:val="00000068"/>
    <w:rPr>
      <w:rFonts w:cs="Times New Roman"/>
      <w:color w:val="FFFFFF"/>
      <w:u w:val="single"/>
    </w:rPr>
  </w:style>
  <w:style w:type="paragraph" w:customStyle="1" w:styleId="bodytext">
    <w:name w:val="bodytext"/>
    <w:basedOn w:val="Normalny"/>
    <w:rsid w:val="00000068"/>
    <w:pPr>
      <w:spacing w:after="0"/>
      <w:jc w:val="left"/>
    </w:pPr>
    <w:rPr>
      <w:rFonts w:ascii="Times New Roman" w:eastAsia="Times New Roman" w:hAnsi="Times New Roman" w:cs="Times New Roman"/>
      <w:szCs w:val="24"/>
      <w:lang w:eastAsia="pl-PL"/>
    </w:rPr>
  </w:style>
  <w:style w:type="paragraph" w:styleId="Stopka">
    <w:name w:val="footer"/>
    <w:basedOn w:val="Normalny"/>
    <w:link w:val="StopkaZnak"/>
    <w:uiPriority w:val="99"/>
    <w:rsid w:val="00000068"/>
    <w:pPr>
      <w:tabs>
        <w:tab w:val="center" w:pos="4536"/>
        <w:tab w:val="right" w:pos="9072"/>
      </w:tabs>
      <w:spacing w:after="0"/>
      <w:jc w:val="left"/>
    </w:pPr>
    <w:rPr>
      <w:rFonts w:ascii="Times New Roman" w:eastAsia="Times New Roman" w:hAnsi="Times New Roman" w:cs="Times New Roman"/>
      <w:szCs w:val="24"/>
      <w:lang w:eastAsia="pl-PL"/>
    </w:rPr>
  </w:style>
  <w:style w:type="character" w:customStyle="1" w:styleId="StopkaZnak">
    <w:name w:val="Stopka Znak"/>
    <w:basedOn w:val="Domylnaczcionkaakapitu"/>
    <w:link w:val="Stopka"/>
    <w:uiPriority w:val="99"/>
    <w:rsid w:val="00000068"/>
    <w:rPr>
      <w:rFonts w:ascii="Times New Roman" w:eastAsia="Times New Roman" w:hAnsi="Times New Roman" w:cs="Times New Roman"/>
      <w:sz w:val="24"/>
      <w:szCs w:val="24"/>
      <w:lang w:eastAsia="pl-PL"/>
    </w:rPr>
  </w:style>
  <w:style w:type="character" w:styleId="Numerstrony">
    <w:name w:val="page number"/>
    <w:basedOn w:val="Domylnaczcionkaakapitu"/>
    <w:uiPriority w:val="99"/>
    <w:rsid w:val="00000068"/>
    <w:rPr>
      <w:rFonts w:cs="Times New Roman"/>
    </w:rPr>
  </w:style>
  <w:style w:type="paragraph" w:styleId="Tytu">
    <w:name w:val="Title"/>
    <w:basedOn w:val="Normalny"/>
    <w:link w:val="TytuZnak"/>
    <w:uiPriority w:val="99"/>
    <w:qFormat/>
    <w:rsid w:val="00000068"/>
    <w:pPr>
      <w:spacing w:after="0"/>
      <w:jc w:val="center"/>
    </w:pPr>
    <w:rPr>
      <w:rFonts w:ascii="Cambria" w:eastAsia="Times New Roman" w:hAnsi="Cambria" w:cs="Times New Roman"/>
      <w:b/>
      <w:bCs/>
      <w:kern w:val="28"/>
      <w:sz w:val="32"/>
      <w:szCs w:val="32"/>
      <w:lang w:eastAsia="pl-PL"/>
    </w:rPr>
  </w:style>
  <w:style w:type="character" w:customStyle="1" w:styleId="TytuZnak">
    <w:name w:val="Tytuł Znak"/>
    <w:basedOn w:val="Domylnaczcionkaakapitu"/>
    <w:link w:val="Tytu"/>
    <w:uiPriority w:val="99"/>
    <w:rsid w:val="00000068"/>
    <w:rPr>
      <w:rFonts w:ascii="Cambria" w:eastAsia="Times New Roman" w:hAnsi="Cambria" w:cs="Times New Roman"/>
      <w:b/>
      <w:bCs/>
      <w:kern w:val="28"/>
      <w:sz w:val="32"/>
      <w:szCs w:val="32"/>
      <w:lang w:eastAsia="pl-PL"/>
    </w:rPr>
  </w:style>
  <w:style w:type="paragraph" w:styleId="Tekstpodstawowywcity">
    <w:name w:val="Body Text Indent"/>
    <w:basedOn w:val="Normalny"/>
    <w:link w:val="TekstpodstawowywcityZnak"/>
    <w:uiPriority w:val="99"/>
    <w:rsid w:val="00000068"/>
    <w:pPr>
      <w:spacing w:after="120"/>
      <w:ind w:left="283"/>
      <w:jc w:val="left"/>
    </w:pPr>
    <w:rPr>
      <w:rFonts w:ascii="Times New Roman" w:eastAsia="Times New Roman" w:hAnsi="Times New Roman" w:cs="Times New Roman"/>
      <w:szCs w:val="24"/>
      <w:lang w:eastAsia="pl-PL"/>
    </w:rPr>
  </w:style>
  <w:style w:type="character" w:customStyle="1" w:styleId="TekstpodstawowywcityZnak">
    <w:name w:val="Tekst podstawowy wcięty Znak"/>
    <w:basedOn w:val="Domylnaczcionkaakapitu"/>
    <w:link w:val="Tekstpodstawowywcity"/>
    <w:uiPriority w:val="99"/>
    <w:rsid w:val="00000068"/>
    <w:rPr>
      <w:rFonts w:ascii="Times New Roman" w:eastAsia="Times New Roman" w:hAnsi="Times New Roman" w:cs="Times New Roman"/>
      <w:sz w:val="24"/>
      <w:szCs w:val="24"/>
      <w:lang w:eastAsia="pl-PL"/>
    </w:rPr>
  </w:style>
  <w:style w:type="paragraph" w:customStyle="1" w:styleId="Bezodstpw1">
    <w:name w:val="Bez odstępów1"/>
    <w:uiPriority w:val="99"/>
    <w:rsid w:val="00000068"/>
    <w:pPr>
      <w:spacing w:after="0" w:line="240" w:lineRule="auto"/>
    </w:pPr>
    <w:rPr>
      <w:rFonts w:ascii="Calibri" w:eastAsia="Times New Roman" w:hAnsi="Calibri" w:cs="Times New Roman"/>
    </w:rPr>
  </w:style>
  <w:style w:type="paragraph" w:styleId="Legenda">
    <w:name w:val="caption"/>
    <w:basedOn w:val="Normalny"/>
    <w:next w:val="Normalny"/>
    <w:uiPriority w:val="99"/>
    <w:qFormat/>
    <w:rsid w:val="00000068"/>
    <w:pPr>
      <w:spacing w:after="0"/>
      <w:jc w:val="left"/>
    </w:pPr>
    <w:rPr>
      <w:rFonts w:ascii="Times New Roman" w:eastAsia="Times New Roman" w:hAnsi="Times New Roman" w:cs="Times New Roman"/>
      <w:b/>
      <w:bCs/>
      <w:sz w:val="20"/>
      <w:szCs w:val="20"/>
      <w:lang w:eastAsia="pl-PL"/>
    </w:rPr>
  </w:style>
  <w:style w:type="paragraph" w:styleId="Spistreci3">
    <w:name w:val="toc 3"/>
    <w:basedOn w:val="Normalny"/>
    <w:next w:val="Normalny"/>
    <w:autoRedefine/>
    <w:uiPriority w:val="39"/>
    <w:rsid w:val="00FB1BA4"/>
    <w:pPr>
      <w:tabs>
        <w:tab w:val="left" w:pos="1200"/>
        <w:tab w:val="left" w:pos="8789"/>
      </w:tabs>
      <w:spacing w:after="0" w:line="276" w:lineRule="auto"/>
      <w:ind w:left="482"/>
      <w:jc w:val="left"/>
    </w:pPr>
    <w:rPr>
      <w:rFonts w:eastAsia="Times New Roman" w:cs="Times New Roman"/>
      <w:iCs/>
      <w:noProof/>
      <w:sz w:val="20"/>
      <w:szCs w:val="20"/>
      <w:lang w:eastAsia="pl-PL"/>
    </w:rPr>
  </w:style>
  <w:style w:type="paragraph" w:styleId="Spistreci2">
    <w:name w:val="toc 2"/>
    <w:basedOn w:val="Normalny"/>
    <w:next w:val="Normalny"/>
    <w:autoRedefine/>
    <w:uiPriority w:val="39"/>
    <w:rsid w:val="00EE3AAE"/>
    <w:pPr>
      <w:tabs>
        <w:tab w:val="left" w:pos="709"/>
        <w:tab w:val="left" w:pos="8789"/>
      </w:tabs>
      <w:spacing w:after="0" w:line="276" w:lineRule="auto"/>
      <w:ind w:left="709" w:hanging="568"/>
      <w:jc w:val="left"/>
    </w:pPr>
    <w:rPr>
      <w:rFonts w:ascii="Lato" w:eastAsia="Times New Roman" w:hAnsi="Lato" w:cs="Times New Roman"/>
      <w:smallCaps/>
      <w:noProof/>
      <w:sz w:val="20"/>
      <w:szCs w:val="20"/>
      <w:lang w:eastAsia="pl-PL"/>
    </w:rPr>
  </w:style>
  <w:style w:type="paragraph" w:styleId="Spistreci4">
    <w:name w:val="toc 4"/>
    <w:basedOn w:val="Normalny"/>
    <w:next w:val="Normalny"/>
    <w:autoRedefine/>
    <w:uiPriority w:val="99"/>
    <w:rsid w:val="00000068"/>
    <w:pPr>
      <w:spacing w:after="0"/>
      <w:ind w:left="720"/>
      <w:jc w:val="left"/>
    </w:pPr>
    <w:rPr>
      <w:rFonts w:ascii="Times New Roman" w:eastAsia="Times New Roman" w:hAnsi="Times New Roman" w:cs="Times New Roman"/>
      <w:sz w:val="18"/>
      <w:szCs w:val="18"/>
      <w:lang w:eastAsia="pl-PL"/>
    </w:rPr>
  </w:style>
  <w:style w:type="paragraph" w:styleId="Spistreci5">
    <w:name w:val="toc 5"/>
    <w:basedOn w:val="Normalny"/>
    <w:next w:val="Normalny"/>
    <w:autoRedefine/>
    <w:uiPriority w:val="99"/>
    <w:rsid w:val="00000068"/>
    <w:pPr>
      <w:spacing w:after="0"/>
      <w:ind w:left="960"/>
      <w:jc w:val="left"/>
    </w:pPr>
    <w:rPr>
      <w:rFonts w:ascii="Times New Roman" w:eastAsia="Times New Roman" w:hAnsi="Times New Roman" w:cs="Times New Roman"/>
      <w:sz w:val="18"/>
      <w:szCs w:val="18"/>
      <w:lang w:eastAsia="pl-PL"/>
    </w:rPr>
  </w:style>
  <w:style w:type="paragraph" w:styleId="Spistreci6">
    <w:name w:val="toc 6"/>
    <w:basedOn w:val="Normalny"/>
    <w:next w:val="Normalny"/>
    <w:autoRedefine/>
    <w:uiPriority w:val="99"/>
    <w:rsid w:val="00000068"/>
    <w:pPr>
      <w:spacing w:after="0"/>
      <w:ind w:left="1200"/>
      <w:jc w:val="left"/>
    </w:pPr>
    <w:rPr>
      <w:rFonts w:ascii="Times New Roman" w:eastAsia="Times New Roman" w:hAnsi="Times New Roman" w:cs="Times New Roman"/>
      <w:sz w:val="18"/>
      <w:szCs w:val="18"/>
      <w:lang w:eastAsia="pl-PL"/>
    </w:rPr>
  </w:style>
  <w:style w:type="paragraph" w:styleId="Spistreci7">
    <w:name w:val="toc 7"/>
    <w:basedOn w:val="Normalny"/>
    <w:next w:val="Normalny"/>
    <w:autoRedefine/>
    <w:uiPriority w:val="99"/>
    <w:rsid w:val="00000068"/>
    <w:pPr>
      <w:spacing w:after="0"/>
      <w:ind w:left="1440"/>
      <w:jc w:val="left"/>
    </w:pPr>
    <w:rPr>
      <w:rFonts w:ascii="Times New Roman" w:eastAsia="Times New Roman" w:hAnsi="Times New Roman" w:cs="Times New Roman"/>
      <w:sz w:val="18"/>
      <w:szCs w:val="18"/>
      <w:lang w:eastAsia="pl-PL"/>
    </w:rPr>
  </w:style>
  <w:style w:type="paragraph" w:styleId="Spistreci8">
    <w:name w:val="toc 8"/>
    <w:basedOn w:val="Normalny"/>
    <w:next w:val="Normalny"/>
    <w:autoRedefine/>
    <w:uiPriority w:val="99"/>
    <w:rsid w:val="00000068"/>
    <w:pPr>
      <w:spacing w:after="0"/>
      <w:ind w:left="1680"/>
      <w:jc w:val="left"/>
    </w:pPr>
    <w:rPr>
      <w:rFonts w:ascii="Times New Roman" w:eastAsia="Times New Roman" w:hAnsi="Times New Roman" w:cs="Times New Roman"/>
      <w:sz w:val="18"/>
      <w:szCs w:val="18"/>
      <w:lang w:eastAsia="pl-PL"/>
    </w:rPr>
  </w:style>
  <w:style w:type="paragraph" w:styleId="Spistreci9">
    <w:name w:val="toc 9"/>
    <w:basedOn w:val="Normalny"/>
    <w:next w:val="Normalny"/>
    <w:autoRedefine/>
    <w:uiPriority w:val="99"/>
    <w:rsid w:val="00000068"/>
    <w:pPr>
      <w:spacing w:after="0"/>
      <w:ind w:left="1920"/>
      <w:jc w:val="left"/>
    </w:pPr>
    <w:rPr>
      <w:rFonts w:ascii="Times New Roman" w:eastAsia="Times New Roman" w:hAnsi="Times New Roman" w:cs="Times New Roman"/>
      <w:sz w:val="18"/>
      <w:szCs w:val="18"/>
      <w:lang w:eastAsia="pl-PL"/>
    </w:rPr>
  </w:style>
  <w:style w:type="paragraph" w:styleId="Tekstpodstawowy2">
    <w:name w:val="Body Text 2"/>
    <w:basedOn w:val="Normalny"/>
    <w:link w:val="Tekstpodstawowy2Znak"/>
    <w:uiPriority w:val="99"/>
    <w:rsid w:val="00000068"/>
    <w:pPr>
      <w:spacing w:after="120" w:line="480" w:lineRule="auto"/>
      <w:jc w:val="left"/>
    </w:pPr>
    <w:rPr>
      <w:rFonts w:ascii="Times New Roman" w:eastAsia="Times New Roman" w:hAnsi="Times New Roman" w:cs="Times New Roman"/>
      <w:szCs w:val="24"/>
      <w:lang w:eastAsia="pl-PL"/>
    </w:rPr>
  </w:style>
  <w:style w:type="character" w:customStyle="1" w:styleId="Tekstpodstawowy2Znak">
    <w:name w:val="Tekst podstawowy 2 Znak"/>
    <w:basedOn w:val="Domylnaczcionkaakapitu"/>
    <w:link w:val="Tekstpodstawowy2"/>
    <w:uiPriority w:val="99"/>
    <w:rsid w:val="00000068"/>
    <w:rPr>
      <w:rFonts w:ascii="Times New Roman" w:eastAsia="Times New Roman" w:hAnsi="Times New Roman" w:cs="Times New Roman"/>
      <w:sz w:val="24"/>
      <w:szCs w:val="24"/>
      <w:lang w:eastAsia="pl-PL"/>
    </w:rPr>
  </w:style>
  <w:style w:type="paragraph" w:customStyle="1" w:styleId="Akapitzlist1">
    <w:name w:val="Akapit z listą1"/>
    <w:basedOn w:val="Normalny"/>
    <w:uiPriority w:val="99"/>
    <w:rsid w:val="00000068"/>
    <w:pPr>
      <w:spacing w:after="200" w:line="276" w:lineRule="auto"/>
      <w:ind w:left="720"/>
      <w:contextualSpacing/>
      <w:jc w:val="left"/>
    </w:pPr>
    <w:rPr>
      <w:rFonts w:ascii="Calibri" w:eastAsia="Times New Roman" w:hAnsi="Calibri" w:cs="Times New Roman"/>
      <w:sz w:val="22"/>
    </w:rPr>
  </w:style>
  <w:style w:type="character" w:styleId="UyteHipercze">
    <w:name w:val="FollowedHyperlink"/>
    <w:basedOn w:val="Domylnaczcionkaakapitu"/>
    <w:uiPriority w:val="99"/>
    <w:rsid w:val="00000068"/>
    <w:rPr>
      <w:rFonts w:cs="Times New Roman"/>
      <w:color w:val="800080"/>
      <w:u w:val="single"/>
    </w:rPr>
  </w:style>
  <w:style w:type="paragraph" w:styleId="Tekstpodstawowywcity3">
    <w:name w:val="Body Text Indent 3"/>
    <w:basedOn w:val="Normalny"/>
    <w:link w:val="Tekstpodstawowywcity3Znak"/>
    <w:uiPriority w:val="99"/>
    <w:rsid w:val="00000068"/>
    <w:pPr>
      <w:spacing w:after="120"/>
      <w:ind w:left="283"/>
      <w:jc w:val="left"/>
    </w:pPr>
    <w:rPr>
      <w:rFonts w:ascii="Times New Roman" w:eastAsia="Times New Roman" w:hAnsi="Times New Roman" w:cs="Times New Roman"/>
      <w:sz w:val="16"/>
      <w:szCs w:val="16"/>
      <w:lang w:eastAsia="pl-PL"/>
    </w:rPr>
  </w:style>
  <w:style w:type="character" w:customStyle="1" w:styleId="Tekstpodstawowywcity3Znak">
    <w:name w:val="Tekst podstawowy wcięty 3 Znak"/>
    <w:basedOn w:val="Domylnaczcionkaakapitu"/>
    <w:link w:val="Tekstpodstawowywcity3"/>
    <w:uiPriority w:val="99"/>
    <w:rsid w:val="00000068"/>
    <w:rPr>
      <w:rFonts w:ascii="Times New Roman" w:eastAsia="Times New Roman" w:hAnsi="Times New Roman" w:cs="Times New Roman"/>
      <w:sz w:val="16"/>
      <w:szCs w:val="16"/>
      <w:lang w:eastAsia="pl-PL"/>
    </w:rPr>
  </w:style>
  <w:style w:type="paragraph" w:styleId="Tekstpodstawowywcity2">
    <w:name w:val="Body Text Indent 2"/>
    <w:basedOn w:val="Normalny"/>
    <w:link w:val="Tekstpodstawowywcity2Znak"/>
    <w:uiPriority w:val="99"/>
    <w:rsid w:val="00000068"/>
    <w:pPr>
      <w:spacing w:after="120" w:line="480" w:lineRule="auto"/>
      <w:ind w:left="283"/>
      <w:jc w:val="left"/>
    </w:pPr>
    <w:rPr>
      <w:rFonts w:ascii="Times New Roman" w:eastAsia="Times New Roman" w:hAnsi="Times New Roman" w:cs="Times New Roman"/>
      <w:szCs w:val="24"/>
      <w:lang w:eastAsia="pl-PL"/>
    </w:rPr>
  </w:style>
  <w:style w:type="character" w:customStyle="1" w:styleId="Tekstpodstawowywcity2Znak">
    <w:name w:val="Tekst podstawowy wcięty 2 Znak"/>
    <w:basedOn w:val="Domylnaczcionkaakapitu"/>
    <w:link w:val="Tekstpodstawowywcity2"/>
    <w:uiPriority w:val="99"/>
    <w:rsid w:val="00000068"/>
    <w:rPr>
      <w:rFonts w:ascii="Times New Roman" w:eastAsia="Times New Roman" w:hAnsi="Times New Roman" w:cs="Times New Roman"/>
      <w:sz w:val="24"/>
      <w:szCs w:val="24"/>
      <w:lang w:eastAsia="pl-PL"/>
    </w:rPr>
  </w:style>
  <w:style w:type="paragraph" w:customStyle="1" w:styleId="ListParagraph1">
    <w:name w:val="List Paragraph1"/>
    <w:basedOn w:val="Normalny"/>
    <w:uiPriority w:val="99"/>
    <w:rsid w:val="00000068"/>
    <w:pPr>
      <w:spacing w:after="200" w:line="276" w:lineRule="auto"/>
      <w:ind w:left="720"/>
      <w:contextualSpacing/>
      <w:jc w:val="left"/>
    </w:pPr>
    <w:rPr>
      <w:rFonts w:ascii="Calibri" w:eastAsia="Times New Roman" w:hAnsi="Calibri" w:cs="Times New Roman"/>
      <w:sz w:val="22"/>
    </w:rPr>
  </w:style>
  <w:style w:type="paragraph" w:styleId="Nagwek">
    <w:name w:val="header"/>
    <w:basedOn w:val="Normalny"/>
    <w:link w:val="NagwekZnak"/>
    <w:uiPriority w:val="99"/>
    <w:rsid w:val="00000068"/>
    <w:pPr>
      <w:tabs>
        <w:tab w:val="center" w:pos="4536"/>
        <w:tab w:val="right" w:pos="9072"/>
      </w:tabs>
      <w:spacing w:after="0"/>
      <w:jc w:val="left"/>
    </w:pPr>
    <w:rPr>
      <w:rFonts w:ascii="Times New Roman" w:eastAsia="Times New Roman" w:hAnsi="Times New Roman" w:cs="Times New Roman"/>
      <w:szCs w:val="24"/>
      <w:lang w:eastAsia="pl-PL"/>
    </w:rPr>
  </w:style>
  <w:style w:type="character" w:customStyle="1" w:styleId="NagwekZnak">
    <w:name w:val="Nagłówek Znak"/>
    <w:basedOn w:val="Domylnaczcionkaakapitu"/>
    <w:link w:val="Nagwek"/>
    <w:uiPriority w:val="99"/>
    <w:rsid w:val="00000068"/>
    <w:rPr>
      <w:rFonts w:ascii="Times New Roman" w:eastAsia="Times New Roman" w:hAnsi="Times New Roman" w:cs="Times New Roman"/>
      <w:sz w:val="24"/>
      <w:szCs w:val="24"/>
      <w:lang w:eastAsia="pl-PL"/>
    </w:rPr>
  </w:style>
  <w:style w:type="paragraph" w:customStyle="1" w:styleId="Akapitzlist2">
    <w:name w:val="Akapit z listą2"/>
    <w:basedOn w:val="Normalny"/>
    <w:uiPriority w:val="99"/>
    <w:rsid w:val="00000068"/>
    <w:pPr>
      <w:spacing w:after="0"/>
      <w:ind w:left="720"/>
      <w:contextualSpacing/>
      <w:jc w:val="left"/>
    </w:pPr>
    <w:rPr>
      <w:rFonts w:ascii="Times New Roman" w:eastAsia="Times New Roman" w:hAnsi="Times New Roman" w:cs="Times New Roman"/>
      <w:szCs w:val="24"/>
      <w:lang w:eastAsia="pl-PL"/>
    </w:rPr>
  </w:style>
  <w:style w:type="character" w:customStyle="1" w:styleId="ZnakZnak3">
    <w:name w:val="Znak Znak3"/>
    <w:uiPriority w:val="99"/>
    <w:semiHidden/>
    <w:locked/>
    <w:rsid w:val="00000068"/>
    <w:rPr>
      <w:lang w:val="pl-PL" w:eastAsia="pl-PL"/>
    </w:rPr>
  </w:style>
  <w:style w:type="paragraph" w:customStyle="1" w:styleId="Bezodstpw2">
    <w:name w:val="Bez odstępów2"/>
    <w:uiPriority w:val="99"/>
    <w:rsid w:val="00000068"/>
    <w:pPr>
      <w:spacing w:after="0" w:line="240" w:lineRule="auto"/>
    </w:pPr>
    <w:rPr>
      <w:rFonts w:ascii="Calibri" w:eastAsia="Times New Roman" w:hAnsi="Calibri" w:cs="Times New Roman"/>
    </w:rPr>
  </w:style>
  <w:style w:type="character" w:customStyle="1" w:styleId="ZnakZnak31">
    <w:name w:val="Znak Znak31"/>
    <w:uiPriority w:val="99"/>
    <w:semiHidden/>
    <w:locked/>
    <w:rsid w:val="00000068"/>
    <w:rPr>
      <w:lang w:val="pl-PL" w:eastAsia="pl-PL"/>
    </w:rPr>
  </w:style>
  <w:style w:type="table" w:styleId="Tabela-Elegancki">
    <w:name w:val="Table Elegant"/>
    <w:basedOn w:val="Standardowy"/>
    <w:uiPriority w:val="99"/>
    <w:rsid w:val="00000068"/>
    <w:pPr>
      <w:spacing w:after="0" w:line="240" w:lineRule="auto"/>
    </w:pPr>
    <w:rPr>
      <w:rFonts w:ascii="Times New Roman" w:eastAsia="Times New Roman" w:hAnsi="Times New Roman" w:cs="Times New Roman"/>
      <w:sz w:val="20"/>
      <w:szCs w:val="20"/>
      <w:lang w:eastAsia="pl-P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character" w:customStyle="1" w:styleId="wyroznienie">
    <w:name w:val="wyroznienie"/>
    <w:basedOn w:val="Domylnaczcionkaakapitu"/>
    <w:uiPriority w:val="99"/>
    <w:rsid w:val="00000068"/>
    <w:rPr>
      <w:rFonts w:cs="Times New Roman"/>
    </w:rPr>
  </w:style>
  <w:style w:type="character" w:customStyle="1" w:styleId="min">
    <w:name w:val="min"/>
    <w:basedOn w:val="Domylnaczcionkaakapitu"/>
    <w:uiPriority w:val="99"/>
    <w:rsid w:val="00000068"/>
    <w:rPr>
      <w:rFonts w:cs="Times New Roman"/>
    </w:rPr>
  </w:style>
  <w:style w:type="paragraph" w:styleId="Bezodstpw">
    <w:name w:val="No Spacing"/>
    <w:uiPriority w:val="1"/>
    <w:qFormat/>
    <w:rsid w:val="00000068"/>
    <w:pPr>
      <w:spacing w:after="0" w:line="240" w:lineRule="auto"/>
    </w:pPr>
    <w:rPr>
      <w:rFonts w:ascii="Calibri" w:eastAsia="Times New Roman" w:hAnsi="Calibri" w:cs="Times New Roman"/>
    </w:rPr>
  </w:style>
  <w:style w:type="paragraph" w:styleId="Nagwekspisutreci">
    <w:name w:val="TOC Heading"/>
    <w:basedOn w:val="Nagwek1"/>
    <w:next w:val="Normalny"/>
    <w:uiPriority w:val="39"/>
    <w:qFormat/>
    <w:rsid w:val="00000068"/>
    <w:pPr>
      <w:spacing w:before="480" w:line="276" w:lineRule="auto"/>
      <w:jc w:val="left"/>
      <w:outlineLvl w:val="9"/>
    </w:pPr>
    <w:rPr>
      <w:rFonts w:ascii="Cambria" w:eastAsia="Times New Roman" w:hAnsi="Cambria" w:cs="Times New Roman"/>
      <w:bCs/>
      <w:color w:val="365F91"/>
      <w:sz w:val="28"/>
      <w:szCs w:val="28"/>
      <w:lang w:eastAsia="pl-PL"/>
    </w:rPr>
  </w:style>
  <w:style w:type="table" w:customStyle="1" w:styleId="Tabela-Siatka1">
    <w:name w:val="Tabela - Siatka1"/>
    <w:uiPriority w:val="99"/>
    <w:rsid w:val="0000006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kapitzlist21">
    <w:name w:val="Akapit z listą21"/>
    <w:basedOn w:val="Normalny"/>
    <w:uiPriority w:val="99"/>
    <w:rsid w:val="00000068"/>
    <w:pPr>
      <w:spacing w:after="0"/>
      <w:ind w:left="720"/>
      <w:contextualSpacing/>
      <w:jc w:val="left"/>
    </w:pPr>
    <w:rPr>
      <w:rFonts w:ascii="Times New Roman" w:eastAsia="Times New Roman" w:hAnsi="Times New Roman" w:cs="Times New Roman"/>
      <w:szCs w:val="24"/>
      <w:lang w:eastAsia="pl-PL"/>
    </w:rPr>
  </w:style>
  <w:style w:type="paragraph" w:customStyle="1" w:styleId="Bezodstpw21">
    <w:name w:val="Bez odstępów21"/>
    <w:uiPriority w:val="99"/>
    <w:rsid w:val="00000068"/>
    <w:pPr>
      <w:spacing w:after="0" w:line="240" w:lineRule="auto"/>
    </w:pPr>
    <w:rPr>
      <w:rFonts w:ascii="Calibri" w:eastAsia="Times New Roman" w:hAnsi="Calibri" w:cs="Times New Roman"/>
    </w:rPr>
  </w:style>
  <w:style w:type="paragraph" w:customStyle="1" w:styleId="Default">
    <w:name w:val="Default"/>
    <w:rsid w:val="00000068"/>
    <w:pPr>
      <w:autoSpaceDE w:val="0"/>
      <w:autoSpaceDN w:val="0"/>
      <w:adjustRightInd w:val="0"/>
      <w:spacing w:after="0" w:line="240" w:lineRule="auto"/>
    </w:pPr>
    <w:rPr>
      <w:rFonts w:ascii="EUAlbertina" w:eastAsia="Times New Roman" w:hAnsi="EUAlbertina" w:cs="EUAlbertina"/>
      <w:color w:val="000000"/>
      <w:sz w:val="24"/>
      <w:szCs w:val="24"/>
      <w:lang w:eastAsia="pl-PL"/>
    </w:rPr>
  </w:style>
  <w:style w:type="character" w:customStyle="1" w:styleId="tlid-translation">
    <w:name w:val="tlid-translation"/>
    <w:basedOn w:val="Domylnaczcionkaakapitu"/>
    <w:rsid w:val="00000068"/>
  </w:style>
  <w:style w:type="paragraph" w:customStyle="1" w:styleId="PlanRozwoju">
    <w:name w:val="Plan Rozwoju"/>
    <w:basedOn w:val="Normalny"/>
    <w:qFormat/>
    <w:rsid w:val="00000068"/>
    <w:pPr>
      <w:spacing w:after="0" w:line="276" w:lineRule="auto"/>
    </w:pPr>
    <w:rPr>
      <w:rFonts w:ascii="Century Gothic" w:hAnsi="Century Gothic"/>
      <w:sz w:val="20"/>
    </w:rPr>
  </w:style>
  <w:style w:type="paragraph" w:customStyle="1" w:styleId="tekst2">
    <w:name w:val="tekst2"/>
    <w:basedOn w:val="Normalny"/>
    <w:link w:val="tekst2Znak"/>
    <w:qFormat/>
    <w:rsid w:val="00C44504"/>
    <w:rPr>
      <w:rFonts w:ascii="Century Gothic" w:hAnsi="Century Gothic"/>
      <w:sz w:val="20"/>
    </w:rPr>
  </w:style>
  <w:style w:type="character" w:customStyle="1" w:styleId="tekst2Znak">
    <w:name w:val="tekst2 Znak"/>
    <w:basedOn w:val="Domylnaczcionkaakapitu"/>
    <w:link w:val="tekst2"/>
    <w:rsid w:val="00C44504"/>
    <w:rPr>
      <w:rFonts w:ascii="Century Gothic" w:hAnsi="Century Gothic"/>
      <w:sz w:val="20"/>
    </w:rPr>
  </w:style>
  <w:style w:type="table" w:customStyle="1" w:styleId="Zwykatabela11">
    <w:name w:val="Zwykła tabela 11"/>
    <w:basedOn w:val="Standardowy"/>
    <w:uiPriority w:val="41"/>
    <w:rsid w:val="00C4450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ECtextChar">
    <w:name w:val="PEC text Char"/>
    <w:basedOn w:val="Domylnaczcionkaakapitu"/>
    <w:link w:val="PECtext"/>
    <w:locked/>
    <w:rsid w:val="000F08D5"/>
    <w:rPr>
      <w:rFonts w:ascii="Arial" w:hAnsi="Arial" w:cs="Arial"/>
      <w:color w:val="000000"/>
    </w:rPr>
  </w:style>
  <w:style w:type="paragraph" w:customStyle="1" w:styleId="PECtext">
    <w:name w:val="PEC text"/>
    <w:aliases w:val="Block"/>
    <w:link w:val="PECtextChar"/>
    <w:qFormat/>
    <w:rsid w:val="000F08D5"/>
    <w:pPr>
      <w:spacing w:before="200" w:after="0" w:line="240" w:lineRule="auto"/>
    </w:pPr>
    <w:rPr>
      <w:rFonts w:ascii="Arial" w:hAnsi="Arial" w:cs="Arial"/>
      <w:color w:val="000000"/>
    </w:rPr>
  </w:style>
  <w:style w:type="paragraph" w:customStyle="1" w:styleId="tekst">
    <w:name w:val="tekst"/>
    <w:basedOn w:val="Tekstpodstawowy2"/>
    <w:qFormat/>
    <w:rsid w:val="004B5059"/>
    <w:pPr>
      <w:numPr>
        <w:ilvl w:val="3"/>
        <w:numId w:val="6"/>
      </w:numPr>
      <w:tabs>
        <w:tab w:val="left" w:pos="709"/>
      </w:tabs>
      <w:spacing w:before="120"/>
      <w:jc w:val="both"/>
    </w:pPr>
    <w:rPr>
      <w:rFonts w:ascii="Century Gothic" w:eastAsiaTheme="minorHAnsi" w:hAnsi="Century Gothic" w:cstheme="minorBidi"/>
      <w:b/>
      <w:i/>
      <w:sz w:val="20"/>
      <w:szCs w:val="20"/>
      <w:lang w:val="en-GB" w:eastAsia="en-US"/>
    </w:rPr>
  </w:style>
  <w:style w:type="table" w:customStyle="1" w:styleId="Zwykatabela31">
    <w:name w:val="Zwykła tabela 31"/>
    <w:basedOn w:val="Standardowy"/>
    <w:uiPriority w:val="43"/>
    <w:rsid w:val="004B505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trescpisma">
    <w:name w:val="tresc.pisma"/>
    <w:basedOn w:val="Normalny"/>
    <w:qFormat/>
    <w:rsid w:val="00C151B8"/>
    <w:pPr>
      <w:spacing w:after="0" w:line="360" w:lineRule="auto"/>
      <w:ind w:left="-426" w:firstLine="709"/>
    </w:pPr>
    <w:rPr>
      <w:rFonts w:ascii="Times New Roman" w:eastAsia="Calibri" w:hAnsi="Times New Roman" w:cs="Times New Roman"/>
      <w:szCs w:val="24"/>
      <w:lang w:eastAsia="pl-PL"/>
    </w:rPr>
  </w:style>
  <w:style w:type="character" w:styleId="Odwoaniedelikatne">
    <w:name w:val="Subtle Reference"/>
    <w:basedOn w:val="Domylnaczcionkaakapitu"/>
    <w:uiPriority w:val="31"/>
    <w:qFormat/>
    <w:rsid w:val="004A067D"/>
    <w:rPr>
      <w:smallCaps/>
      <w:color w:val="5A5A5A" w:themeColor="text1" w:themeTint="A5"/>
    </w:rPr>
  </w:style>
  <w:style w:type="character" w:styleId="Odwoanieintensywne">
    <w:name w:val="Intense Reference"/>
    <w:basedOn w:val="Domylnaczcionkaakapitu"/>
    <w:uiPriority w:val="32"/>
    <w:qFormat/>
    <w:rsid w:val="004A067D"/>
    <w:rPr>
      <w:b/>
      <w:bCs/>
      <w:smallCaps/>
      <w:color w:val="5B9BD5" w:themeColor="accent1"/>
      <w:spacing w:val="5"/>
    </w:rPr>
  </w:style>
  <w:style w:type="character" w:customStyle="1" w:styleId="text-justify">
    <w:name w:val="text-justify"/>
    <w:basedOn w:val="Domylnaczcionkaakapitu"/>
    <w:rsid w:val="000C2346"/>
  </w:style>
  <w:style w:type="table" w:customStyle="1" w:styleId="Siatkatabelijasna1">
    <w:name w:val="Siatka tabeli — jasna1"/>
    <w:basedOn w:val="Standardowy"/>
    <w:uiPriority w:val="40"/>
    <w:rsid w:val="0027424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Zwykytekst">
    <w:name w:val="Plain Text"/>
    <w:basedOn w:val="Normalny"/>
    <w:link w:val="ZwykytekstZnak"/>
    <w:uiPriority w:val="99"/>
    <w:unhideWhenUsed/>
    <w:rsid w:val="00B03DBA"/>
    <w:pPr>
      <w:spacing w:after="0"/>
      <w:jc w:val="left"/>
    </w:pPr>
    <w:rPr>
      <w:rFonts w:ascii="Calibri" w:hAnsi="Calibri"/>
      <w:sz w:val="22"/>
      <w:szCs w:val="21"/>
    </w:rPr>
  </w:style>
  <w:style w:type="character" w:customStyle="1" w:styleId="ZwykytekstZnak">
    <w:name w:val="Zwykły tekst Znak"/>
    <w:basedOn w:val="Domylnaczcionkaakapitu"/>
    <w:link w:val="Zwykytekst"/>
    <w:uiPriority w:val="99"/>
    <w:rsid w:val="00B03DBA"/>
    <w:rPr>
      <w:rFonts w:ascii="Calibri" w:hAnsi="Calibri"/>
      <w:szCs w:val="21"/>
    </w:rPr>
  </w:style>
  <w:style w:type="table" w:styleId="Zwykatabela1">
    <w:name w:val="Plain Table 1"/>
    <w:basedOn w:val="Standardowy"/>
    <w:uiPriority w:val="41"/>
    <w:rsid w:val="00B03DB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oprawka">
    <w:name w:val="Revision"/>
    <w:hidden/>
    <w:uiPriority w:val="99"/>
    <w:semiHidden/>
    <w:rsid w:val="00BB1FFF"/>
    <w:pPr>
      <w:spacing w:after="0" w:line="240" w:lineRule="auto"/>
    </w:pPr>
    <w:rPr>
      <w:rFonts w:ascii="Corbel" w:hAnsi="Corbel"/>
      <w:sz w:val="24"/>
    </w:rPr>
  </w:style>
  <w:style w:type="character" w:styleId="Wzmianka">
    <w:name w:val="Mention"/>
    <w:basedOn w:val="Domylnaczcionkaakapitu"/>
    <w:uiPriority w:val="99"/>
    <w:unhideWhenUsed/>
    <w:rsid w:val="008713D9"/>
    <w:rPr>
      <w:color w:val="2B579A"/>
      <w:shd w:val="clear" w:color="auto" w:fill="E1DFDD"/>
    </w:rPr>
  </w:style>
  <w:style w:type="character" w:styleId="Wyrnieniedelikatne">
    <w:name w:val="Subtle Emphasis"/>
    <w:basedOn w:val="Domylnaczcionkaakapitu"/>
    <w:uiPriority w:val="19"/>
    <w:qFormat/>
    <w:rsid w:val="00616075"/>
    <w:rPr>
      <w:i/>
      <w:iCs/>
      <w:color w:val="404040" w:themeColor="text1" w:themeTint="BF"/>
    </w:rPr>
  </w:style>
  <w:style w:type="paragraph" w:customStyle="1" w:styleId="Rozdzia1">
    <w:name w:val="Rozdział 1"/>
    <w:basedOn w:val="Nagwek1"/>
    <w:link w:val="Rozdzia1Znak"/>
    <w:qFormat/>
    <w:rsid w:val="00B048C2"/>
    <w:pPr>
      <w:numPr>
        <w:numId w:val="1"/>
      </w:numPr>
      <w:spacing w:after="120" w:line="276" w:lineRule="auto"/>
    </w:pPr>
  </w:style>
  <w:style w:type="paragraph" w:customStyle="1" w:styleId="Tekstzwyky">
    <w:name w:val="Tekst zwykły"/>
    <w:basedOn w:val="Normalny"/>
    <w:link w:val="TekstzwykyZnak"/>
    <w:qFormat/>
    <w:rsid w:val="00290A60"/>
    <w:pPr>
      <w:tabs>
        <w:tab w:val="left" w:pos="-142"/>
      </w:tabs>
      <w:spacing w:after="0" w:line="276" w:lineRule="auto"/>
    </w:pPr>
    <w:rPr>
      <w:rFonts w:cs="Times New Roman"/>
      <w:color w:val="000000" w:themeColor="text1"/>
      <w:szCs w:val="24"/>
    </w:rPr>
  </w:style>
  <w:style w:type="character" w:customStyle="1" w:styleId="Rozdzia1Znak">
    <w:name w:val="Rozdział 1 Znak"/>
    <w:basedOn w:val="Nagwek1Znak"/>
    <w:link w:val="Rozdzia1"/>
    <w:rsid w:val="00B048C2"/>
    <w:rPr>
      <w:rFonts w:ascii="Corbel" w:eastAsiaTheme="majorEastAsia" w:hAnsi="Corbel" w:cstheme="majorBidi"/>
      <w:b/>
      <w:sz w:val="32"/>
      <w:szCs w:val="32"/>
    </w:rPr>
  </w:style>
  <w:style w:type="paragraph" w:customStyle="1" w:styleId="TekstWypunktowany">
    <w:name w:val="Tekst Wypunktowany"/>
    <w:basedOn w:val="Akapitzlist"/>
    <w:link w:val="TekstWypunktowanyZnak"/>
    <w:qFormat/>
    <w:rsid w:val="00B048C2"/>
    <w:pPr>
      <w:numPr>
        <w:numId w:val="7"/>
      </w:numPr>
      <w:spacing w:after="0" w:line="276" w:lineRule="auto"/>
    </w:pPr>
  </w:style>
  <w:style w:type="character" w:customStyle="1" w:styleId="TekstzwykyZnak">
    <w:name w:val="Tekst zwykły Znak"/>
    <w:basedOn w:val="Domylnaczcionkaakapitu"/>
    <w:link w:val="Tekstzwyky"/>
    <w:rsid w:val="00290A60"/>
    <w:rPr>
      <w:rFonts w:ascii="Corbel" w:hAnsi="Corbel" w:cs="Times New Roman"/>
      <w:color w:val="000000" w:themeColor="text1"/>
      <w:sz w:val="24"/>
      <w:szCs w:val="24"/>
    </w:rPr>
  </w:style>
  <w:style w:type="paragraph" w:customStyle="1" w:styleId="Rozdzia2">
    <w:name w:val="Rozdział 2"/>
    <w:basedOn w:val="Nagwek2"/>
    <w:link w:val="Rozdzia2Znak"/>
    <w:qFormat/>
    <w:rsid w:val="00EE4B64"/>
    <w:pPr>
      <w:numPr>
        <w:ilvl w:val="1"/>
        <w:numId w:val="1"/>
      </w:numPr>
      <w:spacing w:before="240" w:after="60" w:line="276" w:lineRule="auto"/>
    </w:pPr>
  </w:style>
  <w:style w:type="character" w:customStyle="1" w:styleId="TekstWypunktowanyZnak">
    <w:name w:val="Tekst Wypunktowany Znak"/>
    <w:basedOn w:val="AkapitzlistZnak"/>
    <w:link w:val="TekstWypunktowany"/>
    <w:rsid w:val="00B048C2"/>
    <w:rPr>
      <w:rFonts w:ascii="Corbel" w:hAnsi="Corbel"/>
      <w:sz w:val="24"/>
    </w:rPr>
  </w:style>
  <w:style w:type="paragraph" w:customStyle="1" w:styleId="Rozdzia3">
    <w:name w:val="Rozdział 3"/>
    <w:basedOn w:val="Nagwek3"/>
    <w:link w:val="Rozdzia3Znak"/>
    <w:qFormat/>
    <w:rsid w:val="00EE4B64"/>
    <w:pPr>
      <w:numPr>
        <w:ilvl w:val="2"/>
        <w:numId w:val="1"/>
      </w:numPr>
      <w:spacing w:before="240" w:after="60" w:line="276" w:lineRule="auto"/>
    </w:pPr>
  </w:style>
  <w:style w:type="character" w:customStyle="1" w:styleId="Rozdzia2Znak">
    <w:name w:val="Rozdział 2 Znak"/>
    <w:basedOn w:val="Nagwek2Znak"/>
    <w:link w:val="Rozdzia2"/>
    <w:rsid w:val="00EE4B64"/>
    <w:rPr>
      <w:rFonts w:ascii="Corbel" w:eastAsiaTheme="majorEastAsia" w:hAnsi="Corbel" w:cstheme="majorBidi"/>
      <w:b/>
      <w:sz w:val="28"/>
      <w:szCs w:val="26"/>
    </w:rPr>
  </w:style>
  <w:style w:type="paragraph" w:customStyle="1" w:styleId="Tabela">
    <w:name w:val="Tabela"/>
    <w:basedOn w:val="StandardowyTekst"/>
    <w:link w:val="TabelaZnak"/>
    <w:qFormat/>
    <w:rsid w:val="00A20F24"/>
    <w:pPr>
      <w:spacing w:line="276" w:lineRule="auto"/>
    </w:pPr>
    <w:rPr>
      <w:rFonts w:ascii="Corbel" w:eastAsia="Malgun Gothic" w:hAnsi="Corbel"/>
      <w:b/>
      <w:sz w:val="24"/>
      <w:szCs w:val="24"/>
    </w:rPr>
  </w:style>
  <w:style w:type="character" w:customStyle="1" w:styleId="Rozdzia3Znak">
    <w:name w:val="Rozdział 3 Znak"/>
    <w:basedOn w:val="Nagwek3Znak"/>
    <w:link w:val="Rozdzia3"/>
    <w:rsid w:val="00EE4B64"/>
    <w:rPr>
      <w:rFonts w:ascii="Corbel" w:eastAsiaTheme="majorEastAsia" w:hAnsi="Corbel" w:cstheme="majorBidi"/>
      <w:b/>
      <w:sz w:val="24"/>
      <w:szCs w:val="24"/>
    </w:rPr>
  </w:style>
  <w:style w:type="paragraph" w:customStyle="1" w:styleId="Rozdzia4">
    <w:name w:val="Rozdział 4"/>
    <w:basedOn w:val="Nagwek4"/>
    <w:link w:val="Rozdzia4Znak"/>
    <w:qFormat/>
    <w:rsid w:val="00CD331C"/>
    <w:pPr>
      <w:numPr>
        <w:ilvl w:val="3"/>
        <w:numId w:val="1"/>
      </w:numPr>
      <w:spacing w:line="276" w:lineRule="auto"/>
    </w:pPr>
    <w:rPr>
      <w:rFonts w:eastAsia="Malgun Gothic"/>
    </w:rPr>
  </w:style>
  <w:style w:type="character" w:customStyle="1" w:styleId="StandardowyTekstZnak">
    <w:name w:val="StandardowyTekst Znak"/>
    <w:basedOn w:val="Domylnaczcionkaakapitu"/>
    <w:link w:val="StandardowyTekst"/>
    <w:uiPriority w:val="99"/>
    <w:rsid w:val="00A20F24"/>
    <w:rPr>
      <w:rFonts w:ascii="Times New Roman" w:eastAsia="Times New Roman" w:hAnsi="Times New Roman" w:cs="Times New Roman"/>
      <w:szCs w:val="20"/>
      <w:lang w:eastAsia="pl-PL"/>
    </w:rPr>
  </w:style>
  <w:style w:type="character" w:customStyle="1" w:styleId="TabelaZnak">
    <w:name w:val="Tabela Znak"/>
    <w:basedOn w:val="StandardowyTekstZnak"/>
    <w:link w:val="Tabela"/>
    <w:rsid w:val="00A20F24"/>
    <w:rPr>
      <w:rFonts w:ascii="Corbel" w:eastAsia="Malgun Gothic" w:hAnsi="Corbel" w:cs="Times New Roman"/>
      <w:b/>
      <w:sz w:val="24"/>
      <w:szCs w:val="24"/>
      <w:lang w:eastAsia="pl-PL"/>
    </w:rPr>
  </w:style>
  <w:style w:type="character" w:customStyle="1" w:styleId="Rozdzia4Znak">
    <w:name w:val="Rozdział 4 Znak"/>
    <w:basedOn w:val="Nagwek4Znak"/>
    <w:link w:val="Rozdzia4"/>
    <w:rsid w:val="00CD331C"/>
    <w:rPr>
      <w:rFonts w:ascii="Corbel" w:eastAsia="Malgun Gothic" w:hAnsi="Corbel" w:cs="Times New Roman"/>
      <w:b/>
      <w:bCs/>
      <w:szCs w:val="28"/>
      <w:lang w:eastAsia="pl-PL"/>
    </w:rPr>
  </w:style>
  <w:style w:type="character" w:customStyle="1" w:styleId="normaltextrun">
    <w:name w:val="normaltextrun"/>
    <w:basedOn w:val="Domylnaczcionkaakapitu"/>
    <w:rsid w:val="00245AD3"/>
  </w:style>
  <w:style w:type="character" w:styleId="Nierozpoznanawzmianka">
    <w:name w:val="Unresolved Mention"/>
    <w:basedOn w:val="Domylnaczcionkaakapitu"/>
    <w:uiPriority w:val="99"/>
    <w:semiHidden/>
    <w:unhideWhenUsed/>
    <w:rsid w:val="006814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7.xml"/><Relationship Id="rId39" Type="http://schemas.openxmlformats.org/officeDocument/2006/relationships/theme" Target="theme/theme1.xml"/><Relationship Id="rId21" Type="http://schemas.openxmlformats.org/officeDocument/2006/relationships/footer" Target="footer5.xml"/><Relationship Id="rId34"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image" Target="media/image3.png"/><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eader" Target="header5.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image" Target="media/image2.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image" Target="media/image4.wmf"/><Relationship Id="rId10" Type="http://schemas.openxmlformats.org/officeDocument/2006/relationships/header" Target="header1.xml"/><Relationship Id="rId19" Type="http://schemas.openxmlformats.org/officeDocument/2006/relationships/chart" Target="charts/chart3.xml"/><Relationship Id="rId31"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chart" Target="charts/chart4.xml"/><Relationship Id="rId35" Type="http://schemas.openxmlformats.org/officeDocument/2006/relationships/chart" Target="charts/chart7.xml"/><Relationship Id="rId8" Type="http://schemas.openxmlformats.org/officeDocument/2006/relationships/chart" Target="charts/chart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3" Type="http://schemas.openxmlformats.org/officeDocument/2006/relationships/oleObject" Target="file:///\\nero2.mos.gov.pl\del\DEL-WG\Monika\Sprawozdanie%20za%202022%20r\Statystyka\Wykres_wiek%20gazoci&#261;g&#243;w%20dystrybucyjnych.xlsx" TargetMode="External"/><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nero2.mos.gov.pl\del\DEL-WG\Monika\Sprawozdanie%20za%202022%20r\WYKRESY_2022_MH.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pl-PL"/>
              <a:t>Sprzedaż gazu odbiorcom</a:t>
            </a:r>
          </a:p>
        </c:rich>
      </c:tx>
      <c:overlay val="0"/>
      <c:spPr>
        <a:noFill/>
        <a:ln>
          <a:noFill/>
        </a:ln>
      </c:spPr>
    </c:title>
    <c:autoTitleDeleted val="0"/>
    <c:view3D>
      <c:rotX val="30"/>
      <c:rotY val="300"/>
      <c:rAngAx val="0"/>
    </c:view3D>
    <c:floor>
      <c:thickness val="0"/>
      <c:spPr>
        <a:noFill/>
        <a:ln>
          <a:noFill/>
        </a:ln>
      </c:spPr>
    </c:floor>
    <c:sideWall>
      <c:thickness val="0"/>
      <c:spPr>
        <a:noFill/>
        <a:ln>
          <a:noFill/>
        </a:ln>
      </c:spPr>
    </c:sideWall>
    <c:backWall>
      <c:thickness val="0"/>
      <c:spPr>
        <a:noFill/>
        <a:ln>
          <a:noFill/>
        </a:ln>
      </c:spPr>
    </c:backWall>
    <c:plotArea>
      <c:layout>
        <c:manualLayout>
          <c:layoutTarget val="inner"/>
          <c:xMode val="edge"/>
          <c:yMode val="edge"/>
          <c:x val="8.9560163268089105E-2"/>
          <c:y val="0.10366006798621012"/>
          <c:w val="0.82087967346382174"/>
          <c:h val="0.73790923501427075"/>
        </c:manualLayout>
      </c:layout>
      <c:pie3DChart>
        <c:varyColors val="1"/>
        <c:ser>
          <c:idx val="0"/>
          <c:order val="0"/>
          <c:dPt>
            <c:idx val="0"/>
            <c:bubble3D val="0"/>
            <c:spPr>
              <a:solidFill>
                <a:schemeClr val="accent1"/>
              </a:solidFill>
              <a:ln w="25400">
                <a:solidFill>
                  <a:schemeClr val="lt1"/>
                </a:solidFill>
              </a:ln>
            </c:spPr>
            <c:extLst>
              <c:ext xmlns:c16="http://schemas.microsoft.com/office/drawing/2014/chart" uri="{C3380CC4-5D6E-409C-BE32-E72D297353CC}">
                <c16:uniqueId val="{00000001-5685-4988-A98F-28446915621F}"/>
              </c:ext>
            </c:extLst>
          </c:dPt>
          <c:dPt>
            <c:idx val="1"/>
            <c:bubble3D val="0"/>
            <c:spPr>
              <a:solidFill>
                <a:schemeClr val="accent2"/>
              </a:solidFill>
              <a:ln w="25400">
                <a:solidFill>
                  <a:schemeClr val="lt1"/>
                </a:solidFill>
              </a:ln>
            </c:spPr>
            <c:extLst>
              <c:ext xmlns:c16="http://schemas.microsoft.com/office/drawing/2014/chart" uri="{C3380CC4-5D6E-409C-BE32-E72D297353CC}">
                <c16:uniqueId val="{00000003-5685-4988-A98F-28446915621F}"/>
              </c:ext>
            </c:extLst>
          </c:dPt>
          <c:dPt>
            <c:idx val="2"/>
            <c:bubble3D val="0"/>
            <c:spPr>
              <a:solidFill>
                <a:schemeClr val="accent3"/>
              </a:solidFill>
              <a:ln w="25400">
                <a:solidFill>
                  <a:schemeClr val="lt1"/>
                </a:solidFill>
              </a:ln>
            </c:spPr>
            <c:extLst>
              <c:ext xmlns:c16="http://schemas.microsoft.com/office/drawing/2014/chart" uri="{C3380CC4-5D6E-409C-BE32-E72D297353CC}">
                <c16:uniqueId val="{00000005-5685-4988-A98F-28446915621F}"/>
              </c:ext>
            </c:extLst>
          </c:dPt>
          <c:dPt>
            <c:idx val="3"/>
            <c:bubble3D val="0"/>
            <c:spPr>
              <a:solidFill>
                <a:schemeClr val="accent4"/>
              </a:solidFill>
              <a:ln w="25400">
                <a:solidFill>
                  <a:schemeClr val="lt1"/>
                </a:solidFill>
              </a:ln>
            </c:spPr>
            <c:extLst>
              <c:ext xmlns:c16="http://schemas.microsoft.com/office/drawing/2014/chart" uri="{C3380CC4-5D6E-409C-BE32-E72D297353CC}">
                <c16:uniqueId val="{00000007-5685-4988-A98F-28446915621F}"/>
              </c:ext>
            </c:extLst>
          </c:dPt>
          <c:dPt>
            <c:idx val="4"/>
            <c:bubble3D val="0"/>
            <c:spPr>
              <a:solidFill>
                <a:schemeClr val="accent5"/>
              </a:solidFill>
              <a:ln w="25400">
                <a:solidFill>
                  <a:schemeClr val="lt1"/>
                </a:solidFill>
              </a:ln>
            </c:spPr>
            <c:extLst>
              <c:ext xmlns:c16="http://schemas.microsoft.com/office/drawing/2014/chart" uri="{C3380CC4-5D6E-409C-BE32-E72D297353CC}">
                <c16:uniqueId val="{00000009-5685-4988-A98F-28446915621F}"/>
              </c:ext>
            </c:extLst>
          </c:dPt>
          <c:dLbls>
            <c:dLbl>
              <c:idx val="0"/>
              <c:layout>
                <c:manualLayout>
                  <c:x val="-0.12067528070147428"/>
                  <c:y val="0.15204764379071906"/>
                </c:manualLayout>
              </c:layout>
              <c:tx>
                <c:rich>
                  <a:bodyPr/>
                  <a:lstStyle/>
                  <a:p>
                    <a:r>
                      <a:rPr lang="en-US"/>
                      <a:t>Przemysł</a:t>
                    </a:r>
                  </a:p>
                  <a:p>
                    <a:r>
                      <a:rPr lang="en-US"/>
                      <a:t>58%</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685-4988-A98F-28446915621F}"/>
                </c:ext>
              </c:extLst>
            </c:dLbl>
            <c:dLbl>
              <c:idx val="1"/>
              <c:layout>
                <c:manualLayout>
                  <c:x val="3.2921666908343798E-2"/>
                  <c:y val="-1.5384856583721218E-2"/>
                </c:manualLayout>
              </c:layout>
              <c:tx>
                <c:rich>
                  <a:bodyPr/>
                  <a:lstStyle/>
                  <a:p>
                    <a:r>
                      <a:rPr lang="en-US"/>
                      <a:t>Rolnictwo</a:t>
                    </a:r>
                  </a:p>
                  <a:p>
                    <a:r>
                      <a:rPr lang="en-US"/>
                      <a:t>0,3%</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23006179889326053"/>
                      <c:h val="0.1262736578598912"/>
                    </c:manualLayout>
                  </c15:layout>
                  <c15:showDataLabelsRange val="0"/>
                </c:ext>
                <c:ext xmlns:c16="http://schemas.microsoft.com/office/drawing/2014/chart" uri="{C3380CC4-5D6E-409C-BE32-E72D297353CC}">
                  <c16:uniqueId val="{00000003-5685-4988-A98F-28446915621F}"/>
                </c:ext>
              </c:extLst>
            </c:dLbl>
            <c:dLbl>
              <c:idx val="2"/>
              <c:layout>
                <c:manualLayout>
                  <c:x val="-0.12179317918065313"/>
                  <c:y val="-0.24484578619812269"/>
                </c:manualLayout>
              </c:layout>
              <c:tx>
                <c:rich>
                  <a:bodyPr/>
                  <a:lstStyle/>
                  <a:p>
                    <a:r>
                      <a:rPr lang="en-US"/>
                      <a:t>Sektor usług</a:t>
                    </a:r>
                    <a:br>
                      <a:rPr lang="en-US"/>
                    </a:br>
                    <a:r>
                      <a:rPr lang="en-US"/>
                      <a:t>7,5%</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5685-4988-A98F-28446915621F}"/>
                </c:ext>
              </c:extLst>
            </c:dLbl>
            <c:dLbl>
              <c:idx val="3"/>
              <c:layout>
                <c:manualLayout>
                  <c:x val="8.0647657178070323E-3"/>
                  <c:y val="1.9380685238605502E-2"/>
                </c:manualLayout>
              </c:layout>
              <c:tx>
                <c:rich>
                  <a:bodyPr/>
                  <a:lstStyle/>
                  <a:p>
                    <a:r>
                      <a:rPr lang="en-US"/>
                      <a:t>Sektor użyteczności publicznej</a:t>
                    </a:r>
                    <a:br>
                      <a:rPr lang="en-US"/>
                    </a:br>
                    <a:r>
                      <a:rPr lang="en-US"/>
                      <a:t>3,5%</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29758912586257846"/>
                      <c:h val="0.18830904757594955"/>
                    </c:manualLayout>
                  </c15:layout>
                  <c15:showDataLabelsRange val="0"/>
                </c:ext>
                <c:ext xmlns:c16="http://schemas.microsoft.com/office/drawing/2014/chart" uri="{C3380CC4-5D6E-409C-BE32-E72D297353CC}">
                  <c16:uniqueId val="{00000007-5685-4988-A98F-28446915621F}"/>
                </c:ext>
              </c:extLst>
            </c:dLbl>
            <c:dLbl>
              <c:idx val="4"/>
              <c:layout>
                <c:manualLayout>
                  <c:x val="0.17420636989912683"/>
                  <c:y val="-0.17509095845777897"/>
                </c:manualLayout>
              </c:layout>
              <c:tx>
                <c:rich>
                  <a:bodyPr/>
                  <a:lstStyle/>
                  <a:p>
                    <a:r>
                      <a:rPr lang="en-US"/>
                      <a:t>Gospodarstwa domowe</a:t>
                    </a:r>
                    <a:br>
                      <a:rPr lang="en-US"/>
                    </a:br>
                    <a:r>
                      <a:rPr lang="en-US"/>
                      <a:t>30,8%</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25011466281946543"/>
                      <c:h val="0.18332790297764504"/>
                    </c:manualLayout>
                  </c15:layout>
                  <c15:showDataLabelsRange val="0"/>
                </c:ext>
                <c:ext xmlns:c16="http://schemas.microsoft.com/office/drawing/2014/chart" uri="{C3380CC4-5D6E-409C-BE32-E72D297353CC}">
                  <c16:uniqueId val="{00000009-5685-4988-A98F-28446915621F}"/>
                </c:ext>
              </c:extLst>
            </c:dLbl>
            <c:spPr>
              <a:noFill/>
              <a:ln>
                <a:noFill/>
              </a:ln>
            </c:spPr>
            <c:txPr>
              <a:bodyPr rot="0" vert="horz"/>
              <a:lstStyle/>
              <a:p>
                <a:pPr>
                  <a:defRPr/>
                </a:pPr>
                <a:endParaRPr lang="pl-PL"/>
              </a:p>
            </c:txPr>
            <c:dLblPos val="bestFit"/>
            <c:showLegendKey val="0"/>
            <c:showVal val="1"/>
            <c:showCatName val="0"/>
            <c:showSerName val="0"/>
            <c:showPercent val="0"/>
            <c:showBubbleSize val="0"/>
            <c:showLeaderLines val="1"/>
            <c:leaderLines>
              <c:spPr>
                <a:ln w="9525">
                  <a:solidFill>
                    <a:schemeClr val="tx1">
                      <a:lumMod val="35000"/>
                      <a:lumOff val="65000"/>
                    </a:schemeClr>
                  </a:solidFill>
                  <a:round/>
                </a:ln>
              </c:spPr>
            </c:leaderLines>
            <c:extLst>
              <c:ext xmlns:c15="http://schemas.microsoft.com/office/drawing/2012/chart" uri="{CE6537A1-D6FC-4f65-9D91-7224C49458BB}"/>
            </c:extLst>
          </c:dLbls>
          <c:cat>
            <c:strRef>
              <c:f>'Rys. 7.1. Odb_Sprzed_2021_2022'!$I$21:$I$25</c:f>
              <c:strCache>
                <c:ptCount val="5"/>
                <c:pt idx="0">
                  <c:v>przemysł</c:v>
                </c:pt>
                <c:pt idx="1">
                  <c:v>rolnictwo</c:v>
                </c:pt>
                <c:pt idx="2">
                  <c:v>sektor usług</c:v>
                </c:pt>
                <c:pt idx="3">
                  <c:v>sektor użyteczności publicznej</c:v>
                </c:pt>
                <c:pt idx="4">
                  <c:v>gosp. domowe</c:v>
                </c:pt>
              </c:strCache>
            </c:strRef>
          </c:cat>
          <c:val>
            <c:numRef>
              <c:f>'Rys. 7.1. Odb_Sprzed_2021_2022'!$K$21:$K$25</c:f>
              <c:numCache>
                <c:formatCode>#,##0</c:formatCode>
                <c:ptCount val="5"/>
                <c:pt idx="0">
                  <c:v>105450.78571499999</c:v>
                </c:pt>
                <c:pt idx="1">
                  <c:v>472.81733100000002</c:v>
                </c:pt>
                <c:pt idx="2">
                  <c:v>13621.317761</c:v>
                </c:pt>
                <c:pt idx="3">
                  <c:v>6293.8526709999996</c:v>
                </c:pt>
                <c:pt idx="4">
                  <c:v>56066.442877000001</c:v>
                </c:pt>
              </c:numCache>
            </c:numRef>
          </c:val>
          <c:extLst>
            <c:ext xmlns:c16="http://schemas.microsoft.com/office/drawing/2014/chart" uri="{C3380CC4-5D6E-409C-BE32-E72D297353CC}">
              <c16:uniqueId val="{0000000A-5685-4988-A98F-28446915621F}"/>
            </c:ext>
          </c:extLst>
        </c:ser>
        <c:dLbls>
          <c:dLblPos val="bestFit"/>
          <c:showLegendKey val="0"/>
          <c:showVal val="1"/>
          <c:showCatName val="0"/>
          <c:showSerName val="0"/>
          <c:showPercent val="0"/>
          <c:showBubbleSize val="0"/>
          <c:showLeaderLines val="1"/>
        </c:dLbls>
      </c:pie3DChart>
      <c:spPr>
        <a:noFill/>
        <a:ln>
          <a:noFill/>
        </a:ln>
      </c:spPr>
    </c:plotArea>
    <c:plotVisOnly val="1"/>
    <c:dispBlanksAs val="gap"/>
    <c:showDLblsOverMax val="0"/>
  </c:chart>
  <c:spPr>
    <a:solidFill>
      <a:schemeClr val="bg1"/>
    </a:solidFill>
    <a:ln w="9525">
      <a:noFill/>
      <a:round/>
    </a:ln>
  </c:spPr>
  <c:txPr>
    <a:bodyPr/>
    <a:lstStyle/>
    <a:p>
      <a:pPr>
        <a:defRPr>
          <a:latin typeface="Lato" panose="020F0502020204030203" pitchFamily="34" charset="-18"/>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580406850202627"/>
          <c:y val="0.1354466778056809"/>
          <c:w val="0.70997372873496567"/>
          <c:h val="0.68280265804834617"/>
        </c:manualLayout>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D3C6-48ED-9416-202BAB4DC77C}"/>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D3C6-48ED-9416-202BAB4DC77C}"/>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D3C6-48ED-9416-202BAB4DC77C}"/>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D3C6-48ED-9416-202BAB4DC77C}"/>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9-D3C6-48ED-9416-202BAB4DC77C}"/>
              </c:ext>
            </c:extLst>
          </c:dPt>
          <c:dLbls>
            <c:dLbl>
              <c:idx val="0"/>
              <c:layout>
                <c:manualLayout>
                  <c:x val="6.6295981698515263E-2"/>
                  <c:y val="3.1035247173575704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D3C6-48ED-9416-202BAB4DC77C}"/>
                </c:ext>
              </c:extLst>
            </c:dLbl>
            <c:dLbl>
              <c:idx val="1"/>
              <c:layout>
                <c:manualLayout>
                  <c:x val="9.8894372154506499E-2"/>
                  <c:y val="3.5782649151067047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D3C6-48ED-9416-202BAB4DC77C}"/>
                </c:ext>
              </c:extLst>
            </c:dLbl>
            <c:dLbl>
              <c:idx val="2"/>
              <c:layout>
                <c:manualLayout>
                  <c:x val="-0.15980812623438614"/>
                  <c:y val="-0.22578975277391478"/>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D3C6-48ED-9416-202BAB4DC77C}"/>
                </c:ext>
              </c:extLst>
            </c:dLbl>
            <c:dLbl>
              <c:idx val="3"/>
              <c:layout>
                <c:manualLayout>
                  <c:x val="0.19315292405127055"/>
                  <c:y val="0.14033957318232293"/>
                </c:manualLayout>
              </c:layout>
              <c:tx>
                <c:rich>
                  <a:bodyPr/>
                  <a:lstStyle/>
                  <a:p>
                    <a:r>
                      <a:rPr lang="en-US"/>
                      <a:t>6,3-8,4 MPa</a:t>
                    </a:r>
                  </a:p>
                  <a:p>
                    <a:r>
                      <a:rPr lang="en-US"/>
                      <a:t>27%</a:t>
                    </a:r>
                  </a:p>
                </c:rich>
              </c:tx>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D3C6-48ED-9416-202BAB4DC77C}"/>
                </c:ext>
              </c:extLst>
            </c:dLbl>
            <c:dLbl>
              <c:idx val="4"/>
              <c:layout>
                <c:manualLayout>
                  <c:x val="-0.14215264786143955"/>
                  <c:y val="4.6654110599287472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D3C6-48ED-9416-202BAB4DC77C}"/>
                </c:ext>
              </c:extLst>
            </c:dLbl>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showLegendKey val="0"/>
            <c:showVal val="1"/>
            <c:showCatName val="1"/>
            <c:showSerName val="0"/>
            <c:showPercent val="0"/>
            <c:showBubbleSize val="0"/>
            <c:separator>
</c:separator>
            <c:showLeaderLines val="1"/>
            <c:leaderLines>
              <c:spPr>
                <a:ln w="9525">
                  <a:solidFill>
                    <a:schemeClr val="tx1">
                      <a:lumMod val="35000"/>
                      <a:lumOff val="65000"/>
                    </a:schemeClr>
                  </a:solidFill>
                  <a:round/>
                </a:ln>
              </c:spPr>
            </c:leaderLines>
            <c:extLst>
              <c:ext xmlns:c15="http://schemas.microsoft.com/office/drawing/2012/chart" uri="{CE6537A1-D6FC-4f65-9D91-7224C49458BB}"/>
            </c:extLst>
          </c:dLbls>
          <c:cat>
            <c:strRef>
              <c:f>'Rys. 7.1. Odb_Sprzed_2021_2022'!$I$9:$I$13</c:f>
              <c:strCache>
                <c:ptCount val="5"/>
                <c:pt idx="0">
                  <c:v>1,6 - 2,5 MPa</c:v>
                </c:pt>
                <c:pt idx="1">
                  <c:v>2,5 - 4,0 MPa</c:v>
                </c:pt>
                <c:pt idx="2">
                  <c:v>4,0 - 6,3 MPa</c:v>
                </c:pt>
                <c:pt idx="3">
                  <c:v>6,3 - 8,4 MPa</c:v>
                </c:pt>
                <c:pt idx="4">
                  <c:v>8,4 - 12,0 MPa</c:v>
                </c:pt>
              </c:strCache>
            </c:strRef>
          </c:cat>
          <c:val>
            <c:numRef>
              <c:f>'Rys. 7.1. Odb_Sprzed_2021_2022'!$K$9:$K$13</c:f>
              <c:numCache>
                <c:formatCode>0%</c:formatCode>
                <c:ptCount val="5"/>
                <c:pt idx="0">
                  <c:v>0.02</c:v>
                </c:pt>
                <c:pt idx="1">
                  <c:v>7.0000000000000007E-2</c:v>
                </c:pt>
                <c:pt idx="2">
                  <c:v>0.62</c:v>
                </c:pt>
                <c:pt idx="3">
                  <c:v>0.27</c:v>
                </c:pt>
                <c:pt idx="4">
                  <c:v>0.02</c:v>
                </c:pt>
              </c:numCache>
            </c:numRef>
          </c:val>
          <c:extLst>
            <c:ext xmlns:c16="http://schemas.microsoft.com/office/drawing/2014/chart" uri="{C3380CC4-5D6E-409C-BE32-E72D297353CC}">
              <c16:uniqueId val="{0000000A-D3C6-48ED-9416-202BAB4DC77C}"/>
            </c:ext>
          </c:extLst>
        </c:ser>
        <c:dLbls>
          <c:showLegendKey val="0"/>
          <c:showVal val="0"/>
          <c:showCatName val="0"/>
          <c:showSerName val="0"/>
          <c:showPercent val="0"/>
          <c:showBubbleSize val="0"/>
          <c:showLeaderLines val="1"/>
        </c:dLbls>
        <c:firstSliceAng val="0"/>
      </c:pieChart>
      <c:spPr>
        <a:noFill/>
        <a:ln>
          <a:noFill/>
        </a:ln>
      </c:spPr>
    </c:plotArea>
    <c:legend>
      <c:legendPos val="b"/>
      <c:layout>
        <c:manualLayout>
          <c:xMode val="edge"/>
          <c:yMode val="edge"/>
          <c:x val="0.12480584202289076"/>
          <c:y val="0.83608536962141533"/>
          <c:w val="0.82980557278123157"/>
          <c:h val="0.16391479654623856"/>
        </c:manualLayout>
      </c:layout>
      <c:overlay val="0"/>
      <c:spPr>
        <a:noFill/>
        <a:ln>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showDLblsOverMax val="0"/>
  </c:chart>
  <c:spPr>
    <a:solidFill>
      <a:schemeClr val="bg1"/>
    </a:solidFill>
    <a:ln w="9525">
      <a:noFill/>
      <a:round/>
    </a:ln>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184633272632452"/>
          <c:y val="0.10611313008950804"/>
          <c:w val="0.70997372873496567"/>
          <c:h val="0.68280265804834617"/>
        </c:manualLayout>
      </c:layout>
      <c:pieChart>
        <c:varyColors val="1"/>
        <c:ser>
          <c:idx val="0"/>
          <c:order val="0"/>
          <c:explosion val="2"/>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5837-4D6F-9D04-EEF8DE429F26}"/>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5837-4D6F-9D04-EEF8DE429F26}"/>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5837-4D6F-9D04-EEF8DE429F26}"/>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5837-4D6F-9D04-EEF8DE429F26}"/>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9-5837-4D6F-9D04-EEF8DE429F26}"/>
              </c:ext>
            </c:extLst>
          </c:dPt>
          <c:dLbls>
            <c:dLbl>
              <c:idx val="0"/>
              <c:layout>
                <c:manualLayout>
                  <c:x val="-0.27412928432805844"/>
                  <c:y val="-4.2372972609193121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5837-4D6F-9D04-EEF8DE429F26}"/>
                </c:ext>
              </c:extLst>
            </c:dLbl>
            <c:dLbl>
              <c:idx val="1"/>
              <c:layout>
                <c:manualLayout>
                  <c:x val="0.14625458462643301"/>
                  <c:y val="-0.16772763981425406"/>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5837-4D6F-9D04-EEF8DE429F26}"/>
                </c:ext>
              </c:extLst>
            </c:dLbl>
            <c:dLbl>
              <c:idx val="2"/>
              <c:layout>
                <c:manualLayout>
                  <c:x val="1.3029315960912054E-2"/>
                  <c:y val="6.5660205935796481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5837-4D6F-9D04-EEF8DE429F26}"/>
                </c:ext>
              </c:extLst>
            </c:dLbl>
            <c:dLbl>
              <c:idx val="3"/>
              <c:layout>
                <c:manualLayout>
                  <c:x val="-2.6058631921824095E-2"/>
                  <c:y val="-6.8046638400969153E-2"/>
                </c:manualLayout>
              </c:layout>
              <c:tx>
                <c:rich>
                  <a:bodyPr/>
                  <a:lstStyle/>
                  <a:p>
                    <a:r>
                      <a:rPr lang="en-US"/>
                      <a:t>&lt; 100 mm</a:t>
                    </a:r>
                  </a:p>
                  <a:p>
                    <a:r>
                      <a:rPr lang="en-US"/>
                      <a:t>3%</a:t>
                    </a:r>
                  </a:p>
                </c:rich>
              </c:tx>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5837-4D6F-9D04-EEF8DE429F26}"/>
                </c:ext>
              </c:extLst>
            </c:dLbl>
            <c:dLbl>
              <c:idx val="4"/>
              <c:layout>
                <c:manualLayout>
                  <c:x val="0.19759282532680153"/>
                  <c:y val="0.19377750858065818"/>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5837-4D6F-9D04-EEF8DE429F26}"/>
                </c:ext>
              </c:extLst>
            </c:dLbl>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showLegendKey val="0"/>
            <c:showVal val="1"/>
            <c:showCatName val="1"/>
            <c:showSerName val="0"/>
            <c:showPercent val="0"/>
            <c:showBubbleSize val="0"/>
            <c:separator>
</c:separator>
            <c:showLeaderLines val="1"/>
            <c:leaderLines>
              <c:spPr>
                <a:ln w="9525">
                  <a:solidFill>
                    <a:schemeClr val="tx1">
                      <a:lumMod val="35000"/>
                      <a:lumOff val="65000"/>
                    </a:schemeClr>
                  </a:solidFill>
                  <a:round/>
                </a:ln>
              </c:spPr>
            </c:leaderLines>
            <c:extLst>
              <c:ext xmlns:c15="http://schemas.microsoft.com/office/drawing/2012/chart" uri="{CE6537A1-D6FC-4f65-9D91-7224C49458BB}"/>
            </c:extLst>
          </c:dLbls>
          <c:cat>
            <c:strRef>
              <c:f>'Rys. 7.1. Odb_Sprzed_2021_2022'!$I$9:$I$13</c:f>
              <c:strCache>
                <c:ptCount val="5"/>
                <c:pt idx="0">
                  <c:v>300-500 mm</c:v>
                </c:pt>
                <c:pt idx="1">
                  <c:v>500-700 mm</c:v>
                </c:pt>
                <c:pt idx="2">
                  <c:v>&gt;700 mm</c:v>
                </c:pt>
                <c:pt idx="3">
                  <c:v>&lt;100 mm</c:v>
                </c:pt>
                <c:pt idx="4">
                  <c:v>100-300 mm</c:v>
                </c:pt>
              </c:strCache>
            </c:strRef>
          </c:cat>
          <c:val>
            <c:numRef>
              <c:f>'Rys. 7.1. Odb_Sprzed_2021_2022'!$K$9:$K$13</c:f>
              <c:numCache>
                <c:formatCode>0%</c:formatCode>
                <c:ptCount val="5"/>
                <c:pt idx="0">
                  <c:v>0.5</c:v>
                </c:pt>
                <c:pt idx="1">
                  <c:v>0.2</c:v>
                </c:pt>
                <c:pt idx="2">
                  <c:v>0.04</c:v>
                </c:pt>
                <c:pt idx="3">
                  <c:v>0.03</c:v>
                </c:pt>
                <c:pt idx="4">
                  <c:v>0.23</c:v>
                </c:pt>
              </c:numCache>
            </c:numRef>
          </c:val>
          <c:extLst>
            <c:ext xmlns:c16="http://schemas.microsoft.com/office/drawing/2014/chart" uri="{C3380CC4-5D6E-409C-BE32-E72D297353CC}">
              <c16:uniqueId val="{0000000A-5837-4D6F-9D04-EEF8DE429F26}"/>
            </c:ext>
          </c:extLst>
        </c:ser>
        <c:dLbls>
          <c:showLegendKey val="0"/>
          <c:showVal val="0"/>
          <c:showCatName val="0"/>
          <c:showSerName val="0"/>
          <c:showPercent val="0"/>
          <c:showBubbleSize val="0"/>
          <c:showLeaderLines val="1"/>
        </c:dLbls>
        <c:firstSliceAng val="0"/>
      </c:pieChart>
      <c:spPr>
        <a:noFill/>
        <a:ln>
          <a:noFill/>
        </a:ln>
      </c:spPr>
    </c:plotArea>
    <c:legend>
      <c:legendPos val="b"/>
      <c:layout>
        <c:manualLayout>
          <c:xMode val="edge"/>
          <c:yMode val="edge"/>
          <c:x val="0.11509263296485331"/>
          <c:y val="0.84508446059627162"/>
          <c:w val="0.73506989150786117"/>
          <c:h val="0.13782152230971126"/>
        </c:manualLayout>
      </c:layout>
      <c:overlay val="0"/>
      <c:spPr>
        <a:noFill/>
        <a:ln>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showDLblsOverMax val="0"/>
  </c:chart>
  <c:spPr>
    <a:solidFill>
      <a:schemeClr val="bg1"/>
    </a:solidFill>
    <a:ln w="9525">
      <a:noFill/>
      <a:round/>
    </a:ln>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88501854804683"/>
          <c:y val="7.1245227869243616E-2"/>
          <c:w val="0.62146115869128049"/>
          <c:h val="0.84568151992364593"/>
        </c:manualLayout>
      </c:layout>
      <c:pieChart>
        <c:varyColors val="1"/>
        <c:ser>
          <c:idx val="0"/>
          <c:order val="0"/>
          <c:explosion val="2"/>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4C11-4A24-89E1-E96F70AB88A5}"/>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4C11-4A24-89E1-E96F70AB88A5}"/>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4C11-4A24-89E1-E96F70AB88A5}"/>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4C11-4A24-89E1-E96F70AB88A5}"/>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9-4C11-4A24-89E1-E96F70AB88A5}"/>
              </c:ext>
            </c:extLst>
          </c:dPt>
          <c:dLbls>
            <c:dLbl>
              <c:idx val="0"/>
              <c:layout>
                <c:manualLayout>
                  <c:x val="-0.15960047434389005"/>
                  <c:y val="0.21447982413085104"/>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4C11-4A24-89E1-E96F70AB88A5}"/>
                </c:ext>
              </c:extLst>
            </c:dLbl>
            <c:dLbl>
              <c:idx val="1"/>
              <c:layout>
                <c:manualLayout>
                  <c:x val="-0.15062131847297805"/>
                  <c:y val="-1.4658196134574157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4C11-4A24-89E1-E96F70AB88A5}"/>
                </c:ext>
              </c:extLst>
            </c:dLbl>
            <c:dLbl>
              <c:idx val="2"/>
              <c:layout>
                <c:manualLayout>
                  <c:x val="-0.13939189298950364"/>
                  <c:y val="-0.20061353722356259"/>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4C11-4A24-89E1-E96F70AB88A5}"/>
                </c:ext>
              </c:extLst>
            </c:dLbl>
            <c:dLbl>
              <c:idx val="3"/>
              <c:layout>
                <c:manualLayout>
                  <c:x val="2.6109103736038301E-2"/>
                  <c:y val="-0.15619551616627378"/>
                </c:manualLayout>
              </c:layout>
              <c:tx>
                <c:rich>
                  <a:bodyPr/>
                  <a:lstStyle/>
                  <a:p>
                    <a:r>
                      <a:rPr lang="en-US"/>
                      <a:t>31 - 40 lat</a:t>
                    </a:r>
                  </a:p>
                  <a:p>
                    <a:r>
                      <a:rPr lang="en-US"/>
                      <a:t>14%</a:t>
                    </a:r>
                  </a:p>
                </c:rich>
              </c:tx>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4C11-4A24-89E1-E96F70AB88A5}"/>
                </c:ext>
              </c:extLst>
            </c:dLbl>
            <c:dLbl>
              <c:idx val="4"/>
              <c:layout>
                <c:manualLayout>
                  <c:x val="0.19547702425790942"/>
                  <c:y val="7.8337815323567359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4C11-4A24-89E1-E96F70AB88A5}"/>
                </c:ext>
              </c:extLst>
            </c:dLbl>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showLegendKey val="0"/>
            <c:showVal val="1"/>
            <c:showCatName val="1"/>
            <c:showSerName val="0"/>
            <c:showPercent val="0"/>
            <c:showBubbleSize val="0"/>
            <c:separator>
</c:separator>
            <c:showLeaderLines val="1"/>
            <c:leaderLines>
              <c:spPr>
                <a:ln w="9525">
                  <a:solidFill>
                    <a:schemeClr val="tx1">
                      <a:lumMod val="35000"/>
                      <a:lumOff val="65000"/>
                    </a:schemeClr>
                  </a:solidFill>
                  <a:round/>
                </a:ln>
              </c:spPr>
            </c:leaderLines>
            <c:extLst>
              <c:ext xmlns:c15="http://schemas.microsoft.com/office/drawing/2012/chart" uri="{CE6537A1-D6FC-4f65-9D91-7224C49458BB}"/>
            </c:extLst>
          </c:dLbls>
          <c:cat>
            <c:strRef>
              <c:f>'Rys. 7.1. Odb_Sprzed_2021_2022'!$I$9:$I$13</c:f>
              <c:strCache>
                <c:ptCount val="5"/>
                <c:pt idx="0">
                  <c:v>&lt;10 lat</c:v>
                </c:pt>
                <c:pt idx="1">
                  <c:v>11-20 lat</c:v>
                </c:pt>
                <c:pt idx="2">
                  <c:v>21-30 lat</c:v>
                </c:pt>
                <c:pt idx="3">
                  <c:v>31-40 lat</c:v>
                </c:pt>
                <c:pt idx="4">
                  <c:v>&gt; 40 lat</c:v>
                </c:pt>
              </c:strCache>
            </c:strRef>
          </c:cat>
          <c:val>
            <c:numRef>
              <c:f>'Rys. 7.1. Odb_Sprzed_2021_2022'!$K$9:$K$13</c:f>
              <c:numCache>
                <c:formatCode>0%</c:formatCode>
                <c:ptCount val="5"/>
                <c:pt idx="0">
                  <c:v>0.24</c:v>
                </c:pt>
                <c:pt idx="1">
                  <c:v>0.06</c:v>
                </c:pt>
                <c:pt idx="2">
                  <c:v>0.15</c:v>
                </c:pt>
                <c:pt idx="3">
                  <c:v>0.14000000000000001</c:v>
                </c:pt>
                <c:pt idx="4">
                  <c:v>0.41</c:v>
                </c:pt>
              </c:numCache>
            </c:numRef>
          </c:val>
          <c:extLst>
            <c:ext xmlns:c16="http://schemas.microsoft.com/office/drawing/2014/chart" uri="{C3380CC4-5D6E-409C-BE32-E72D297353CC}">
              <c16:uniqueId val="{0000000A-4C11-4A24-89E1-E96F70AB88A5}"/>
            </c:ext>
          </c:extLst>
        </c:ser>
        <c:dLbls>
          <c:showLegendKey val="0"/>
          <c:showVal val="0"/>
          <c:showCatName val="0"/>
          <c:showSerName val="0"/>
          <c:showPercent val="0"/>
          <c:showBubbleSize val="0"/>
          <c:showLeaderLines val="1"/>
        </c:dLbls>
        <c:firstSliceAng val="0"/>
      </c:pieChart>
      <c:spPr>
        <a:noFill/>
        <a:ln>
          <a:noFill/>
        </a:ln>
      </c:spPr>
    </c:plotArea>
    <c:legend>
      <c:legendPos val="b"/>
      <c:layout>
        <c:manualLayout>
          <c:xMode val="edge"/>
          <c:yMode val="edge"/>
          <c:x val="0.11304352871010487"/>
          <c:y val="0.92523956063211166"/>
          <c:w val="0.7739127435354568"/>
          <c:h val="7.3858267716535433E-2"/>
        </c:manualLayout>
      </c:layout>
      <c:overlay val="0"/>
      <c:spPr>
        <a:noFill/>
        <a:ln>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0"/>
              <a:ea typeface="Lato" panose="020F0502020204030203" pitchFamily="34" charset="0"/>
              <a:cs typeface="Lato" panose="020F0502020204030203" pitchFamily="34" charset="0"/>
            </a:defRPr>
          </a:pPr>
          <a:endParaRPr lang="pl-PL"/>
        </a:p>
      </c:txPr>
    </c:legend>
    <c:plotVisOnly val="1"/>
    <c:dispBlanksAs val="gap"/>
    <c:showDLblsOverMax val="0"/>
  </c:chart>
  <c:spPr>
    <a:solidFill>
      <a:schemeClr val="bg1"/>
    </a:solidFill>
    <a:ln w="9525">
      <a:noFill/>
      <a:round/>
    </a:ln>
  </c:spPr>
  <c:txPr>
    <a:bodyPr/>
    <a:lstStyle/>
    <a:p>
      <a:pPr>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w="0">
              <a:solidFill>
                <a:schemeClr val="bg1"/>
              </a:solidFill>
            </a:ln>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0">
                <a:solidFill>
                  <a:schemeClr val="bg1"/>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927D-4348-A492-49F6CFE8446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0">
                <a:solidFill>
                  <a:schemeClr val="bg1"/>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927D-4348-A492-49F6CFE8446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0">
                <a:solidFill>
                  <a:schemeClr val="bg1"/>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927D-4348-A492-49F6CFE8446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0">
                <a:solidFill>
                  <a:schemeClr val="bg1"/>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927D-4348-A492-49F6CFE84465}"/>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0">
                <a:solidFill>
                  <a:schemeClr val="bg1"/>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927D-4348-A492-49F6CFE84465}"/>
              </c:ext>
            </c:extLst>
          </c:dPt>
          <c:dLbls>
            <c:dLbl>
              <c:idx val="3"/>
              <c:layout>
                <c:manualLayout>
                  <c:x val="-0.1161496136306984"/>
                  <c:y val="-0.2681756450882752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927D-4348-A492-49F6CFE8446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PE!$L$58:$L$62</c:f>
              <c:strCache>
                <c:ptCount val="5"/>
                <c:pt idx="0">
                  <c:v>1,6 MPa</c:v>
                </c:pt>
                <c:pt idx="1">
                  <c:v>2,5 MPa</c:v>
                </c:pt>
                <c:pt idx="2">
                  <c:v>4,0 MPa</c:v>
                </c:pt>
                <c:pt idx="3">
                  <c:v>6,3 MPa</c:v>
                </c:pt>
                <c:pt idx="4">
                  <c:v>8,4 MPa</c:v>
                </c:pt>
              </c:strCache>
            </c:strRef>
          </c:cat>
          <c:val>
            <c:numRef>
              <c:f>PE!$AD$58:$AD$62</c:f>
              <c:numCache>
                <c:formatCode>0%</c:formatCode>
                <c:ptCount val="5"/>
                <c:pt idx="0">
                  <c:v>1.3330698228865939E-2</c:v>
                </c:pt>
                <c:pt idx="1">
                  <c:v>1.5361482426293012E-2</c:v>
                </c:pt>
                <c:pt idx="2">
                  <c:v>9.0299271741015152E-2</c:v>
                </c:pt>
                <c:pt idx="3">
                  <c:v>0.71180949322914155</c:v>
                </c:pt>
                <c:pt idx="4">
                  <c:v>0.16919905437468441</c:v>
                </c:pt>
              </c:numCache>
            </c:numRef>
          </c:val>
          <c:extLst>
            <c:ext xmlns:c16="http://schemas.microsoft.com/office/drawing/2014/chart" uri="{C3380CC4-5D6E-409C-BE32-E72D297353CC}">
              <c16:uniqueId val="{0000000A-927D-4348-A492-49F6CFE8446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18"/>
              <a:ea typeface="+mn-ea"/>
              <a:cs typeface="+mn-cs"/>
            </a:defRPr>
          </a:pPr>
          <a:endParaRPr lang="pl-PL"/>
        </a:p>
      </c:txPr>
    </c:legend>
    <c:plotVisOnly val="1"/>
    <c:dispBlanksAs val="gap"/>
    <c:showDLblsOverMax val="0"/>
  </c:chart>
  <c:spPr>
    <a:noFill/>
    <a:ln w="9525" cap="flat" cmpd="sng" algn="ctr">
      <a:noFill/>
      <a:round/>
    </a:ln>
    <a:effectLst/>
  </c:spPr>
  <c:txPr>
    <a:bodyPr/>
    <a:lstStyle/>
    <a:p>
      <a:pPr>
        <a:defRPr sz="900">
          <a:latin typeface="Lato" panose="020F0502020204030203" pitchFamily="34" charset="-18"/>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679905176702512"/>
          <c:y val="7.3981974679635631E-2"/>
          <c:w val="0.5532101924759405"/>
          <c:h val="0.92201698745990079"/>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220A-4E65-93CE-2417B3D27A04}"/>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220A-4E65-93CE-2417B3D27A04}"/>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220A-4E65-93CE-2417B3D27A04}"/>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220A-4E65-93CE-2417B3D27A04}"/>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220A-4E65-93CE-2417B3D27A04}"/>
              </c:ext>
            </c:extLst>
          </c:dPt>
          <c:dLbls>
            <c:dLbl>
              <c:idx val="0"/>
              <c:layout>
                <c:manualLayout>
                  <c:x val="-0.13171374213376263"/>
                  <c:y val="0.17382413087934559"/>
                </c:manualLayout>
              </c:layout>
              <c:tx>
                <c:rich>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Century Gothic" panose="020B0502020202020204" pitchFamily="34" charset="0"/>
                        <a:ea typeface="+mn-ea"/>
                        <a:cs typeface="+mn-cs"/>
                      </a:defRPr>
                    </a:pPr>
                    <a:fld id="{ABF851FE-8FBB-4EE6-A0DF-470B7DA231F6}" type="CATEGORYNAME">
                      <a:rPr lang="en-US" b="0">
                        <a:solidFill>
                          <a:sysClr val="windowText" lastClr="000000"/>
                        </a:solidFill>
                        <a:latin typeface="Century Gothic" panose="020B0502020202020204" pitchFamily="34" charset="0"/>
                      </a:rPr>
                      <a:pPr>
                        <a:defRPr b="0">
                          <a:solidFill>
                            <a:sysClr val="windowText" lastClr="000000"/>
                          </a:solidFill>
                          <a:latin typeface="Century Gothic" panose="020B0502020202020204" pitchFamily="34" charset="0"/>
                        </a:defRPr>
                      </a:pPr>
                      <a:t>[NAZWA KATEGORII]</a:t>
                    </a:fld>
                    <a:endParaRPr lang="en-US" b="0">
                      <a:solidFill>
                        <a:sysClr val="windowText" lastClr="000000"/>
                      </a:solidFill>
                      <a:latin typeface="Century Gothic" panose="020B0502020202020204" pitchFamily="34" charset="0"/>
                    </a:endParaRPr>
                  </a:p>
                  <a:p>
                    <a:pPr>
                      <a:defRPr b="0">
                        <a:solidFill>
                          <a:sysClr val="windowText" lastClr="000000"/>
                        </a:solidFill>
                        <a:latin typeface="Century Gothic" panose="020B0502020202020204" pitchFamily="34" charset="0"/>
                      </a:defRPr>
                    </a:pPr>
                    <a:r>
                      <a:rPr lang="en-US" b="0">
                        <a:solidFill>
                          <a:sysClr val="windowText" lastClr="000000"/>
                        </a:solidFill>
                        <a:latin typeface="Century Gothic" panose="020B0502020202020204" pitchFamily="34" charset="0"/>
                      </a:rPr>
                      <a:t>20,8%</a:t>
                    </a:r>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Century Gothic" panose="020B0502020202020204" pitchFamily="34" charset="0"/>
                      <a:ea typeface="+mn-ea"/>
                      <a:cs typeface="+mn-cs"/>
                    </a:defRPr>
                  </a:pPr>
                  <a:endParaRPr lang="pl-PL"/>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20A-4E65-93CE-2417B3D27A04}"/>
                </c:ext>
              </c:extLst>
            </c:dLbl>
            <c:dLbl>
              <c:idx val="1"/>
              <c:layout>
                <c:manualLayout>
                  <c:x val="-0.15805649056051516"/>
                  <c:y val="-0.13803680981595101"/>
                </c:manualLayout>
              </c:layout>
              <c:tx>
                <c:rich>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Century Gothic" panose="020B0502020202020204" pitchFamily="34" charset="0"/>
                        <a:ea typeface="+mn-ea"/>
                        <a:cs typeface="+mn-cs"/>
                      </a:defRPr>
                    </a:pPr>
                    <a:fld id="{A4A01664-AC1F-4284-A561-FC9B9A050B6D}" type="CATEGORYNAME">
                      <a:rPr lang="en-US" b="0">
                        <a:solidFill>
                          <a:sysClr val="windowText" lastClr="000000"/>
                        </a:solidFill>
                        <a:latin typeface="Century Gothic" panose="020B0502020202020204" pitchFamily="34" charset="0"/>
                      </a:rPr>
                      <a:pPr>
                        <a:defRPr b="0">
                          <a:solidFill>
                            <a:sysClr val="windowText" lastClr="000000"/>
                          </a:solidFill>
                          <a:latin typeface="Century Gothic" panose="020B0502020202020204" pitchFamily="34" charset="0"/>
                        </a:defRPr>
                      </a:pPr>
                      <a:t>[NAZWA KATEGORII]</a:t>
                    </a:fld>
                    <a:endParaRPr lang="en-US" b="0">
                      <a:solidFill>
                        <a:sysClr val="windowText" lastClr="000000"/>
                      </a:solidFill>
                      <a:latin typeface="Century Gothic" panose="020B0502020202020204" pitchFamily="34" charset="0"/>
                    </a:endParaRPr>
                  </a:p>
                  <a:p>
                    <a:pPr>
                      <a:defRPr b="0">
                        <a:solidFill>
                          <a:sysClr val="windowText" lastClr="000000"/>
                        </a:solidFill>
                        <a:latin typeface="Century Gothic" panose="020B0502020202020204" pitchFamily="34" charset="0"/>
                      </a:defRPr>
                    </a:pPr>
                    <a:r>
                      <a:rPr lang="en-US" b="0">
                        <a:solidFill>
                          <a:sysClr val="windowText" lastClr="000000"/>
                        </a:solidFill>
                        <a:latin typeface="Century Gothic" panose="020B0502020202020204" pitchFamily="34" charset="0"/>
                      </a:rPr>
                      <a:t>14,9%</a:t>
                    </a:r>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Century Gothic" panose="020B0502020202020204" pitchFamily="34" charset="0"/>
                      <a:ea typeface="+mn-ea"/>
                      <a:cs typeface="+mn-cs"/>
                    </a:defRPr>
                  </a:pPr>
                  <a:endParaRPr lang="pl-PL"/>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20A-4E65-93CE-2417B3D27A04}"/>
                </c:ext>
              </c:extLst>
            </c:dLbl>
            <c:dLbl>
              <c:idx val="2"/>
              <c:layout>
                <c:manualLayout>
                  <c:x val="9.0736133469925304E-2"/>
                  <c:y val="-0.13803680981595093"/>
                </c:manualLayout>
              </c:layout>
              <c:tx>
                <c:rich>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Century Gothic" panose="020B0502020202020204" pitchFamily="34" charset="0"/>
                        <a:ea typeface="+mn-ea"/>
                        <a:cs typeface="+mn-cs"/>
                      </a:defRPr>
                    </a:pPr>
                    <a:fld id="{159D7086-0BBE-4BFD-84A9-EE075BD47EB9}" type="CATEGORYNAME">
                      <a:rPr lang="en-US" b="0">
                        <a:solidFill>
                          <a:sysClr val="windowText" lastClr="000000"/>
                        </a:solidFill>
                        <a:latin typeface="Century Gothic" panose="020B0502020202020204" pitchFamily="34" charset="0"/>
                      </a:rPr>
                      <a:pPr>
                        <a:defRPr b="0">
                          <a:solidFill>
                            <a:sysClr val="windowText" lastClr="000000"/>
                          </a:solidFill>
                          <a:latin typeface="Century Gothic" panose="020B0502020202020204" pitchFamily="34" charset="0"/>
                        </a:defRPr>
                      </a:pPr>
                      <a:t>[NAZWA KATEGORII]</a:t>
                    </a:fld>
                    <a:endParaRPr lang="en-US" b="0">
                      <a:solidFill>
                        <a:sysClr val="windowText" lastClr="000000"/>
                      </a:solidFill>
                      <a:latin typeface="Century Gothic" panose="020B0502020202020204" pitchFamily="34" charset="0"/>
                    </a:endParaRPr>
                  </a:p>
                  <a:p>
                    <a:pPr>
                      <a:defRPr b="0">
                        <a:solidFill>
                          <a:sysClr val="windowText" lastClr="000000"/>
                        </a:solidFill>
                        <a:latin typeface="Century Gothic" panose="020B0502020202020204" pitchFamily="34" charset="0"/>
                      </a:defRPr>
                    </a:pPr>
                    <a:r>
                      <a:rPr lang="en-US" b="0">
                        <a:solidFill>
                          <a:sysClr val="windowText" lastClr="000000"/>
                        </a:solidFill>
                        <a:latin typeface="Century Gothic" panose="020B0502020202020204" pitchFamily="34" charset="0"/>
                      </a:rPr>
                      <a:t>32,7%</a:t>
                    </a:r>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Century Gothic" panose="020B0502020202020204" pitchFamily="34" charset="0"/>
                      <a:ea typeface="+mn-ea"/>
                      <a:cs typeface="+mn-cs"/>
                    </a:defRPr>
                  </a:pPr>
                  <a:endParaRPr lang="pl-PL"/>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20A-4E65-93CE-2417B3D27A04}"/>
                </c:ext>
              </c:extLst>
            </c:dLbl>
            <c:dLbl>
              <c:idx val="3"/>
              <c:layout>
                <c:manualLayout>
                  <c:x val="0.1726913507975999"/>
                  <c:y val="0.12269938650306744"/>
                </c:manualLayout>
              </c:layout>
              <c:tx>
                <c:rich>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Century Gothic" panose="020B0502020202020204" pitchFamily="34" charset="0"/>
                        <a:ea typeface="+mn-ea"/>
                        <a:cs typeface="+mn-cs"/>
                      </a:defRPr>
                    </a:pPr>
                    <a:fld id="{B3C7A210-E57F-41C0-A8DC-4FB1EC792A2A}" type="CATEGORYNAME">
                      <a:rPr lang="en-US" b="0">
                        <a:solidFill>
                          <a:sysClr val="windowText" lastClr="000000"/>
                        </a:solidFill>
                        <a:latin typeface="Century Gothic" panose="020B0502020202020204" pitchFamily="34" charset="0"/>
                      </a:rPr>
                      <a:pPr>
                        <a:defRPr b="0">
                          <a:solidFill>
                            <a:sysClr val="windowText" lastClr="000000"/>
                          </a:solidFill>
                          <a:latin typeface="Century Gothic" panose="020B0502020202020204" pitchFamily="34" charset="0"/>
                        </a:defRPr>
                      </a:pPr>
                      <a:t>[NAZWA KATEGORII]</a:t>
                    </a:fld>
                    <a:endParaRPr lang="en-US" b="0">
                      <a:solidFill>
                        <a:sysClr val="windowText" lastClr="000000"/>
                      </a:solidFill>
                      <a:latin typeface="Century Gothic" panose="020B0502020202020204" pitchFamily="34" charset="0"/>
                    </a:endParaRPr>
                  </a:p>
                  <a:p>
                    <a:pPr>
                      <a:defRPr b="0">
                        <a:solidFill>
                          <a:sysClr val="windowText" lastClr="000000"/>
                        </a:solidFill>
                        <a:latin typeface="Century Gothic" panose="020B0502020202020204" pitchFamily="34" charset="0"/>
                      </a:defRPr>
                    </a:pPr>
                    <a:r>
                      <a:rPr lang="en-US" b="0">
                        <a:solidFill>
                          <a:sysClr val="windowText" lastClr="000000"/>
                        </a:solidFill>
                        <a:latin typeface="Century Gothic" panose="020B0502020202020204" pitchFamily="34" charset="0"/>
                      </a:rPr>
                      <a:t>21,3%</a:t>
                    </a:r>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Century Gothic" panose="020B0502020202020204" pitchFamily="34" charset="0"/>
                      <a:ea typeface="+mn-ea"/>
                      <a:cs typeface="+mn-cs"/>
                    </a:defRPr>
                  </a:pPr>
                  <a:endParaRPr lang="pl-PL"/>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220A-4E65-93CE-2417B3D27A04}"/>
                </c:ext>
              </c:extLst>
            </c:dLbl>
            <c:dLbl>
              <c:idx val="4"/>
              <c:layout>
                <c:manualLayout>
                  <c:x val="1.4634860237084629E-2"/>
                  <c:y val="0.12269938650306748"/>
                </c:manualLayout>
              </c:layout>
              <c:tx>
                <c:rich>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Century Gothic" panose="020B0502020202020204" pitchFamily="34" charset="0"/>
                        <a:ea typeface="+mn-ea"/>
                        <a:cs typeface="+mn-cs"/>
                      </a:defRPr>
                    </a:pPr>
                    <a:fld id="{463BE283-EA55-4860-8005-EDC0297728D5}" type="CATEGORYNAME">
                      <a:rPr lang="en-US" b="0">
                        <a:solidFill>
                          <a:sysClr val="windowText" lastClr="000000"/>
                        </a:solidFill>
                        <a:latin typeface="Century Gothic" panose="020B0502020202020204" pitchFamily="34" charset="0"/>
                      </a:rPr>
                      <a:pPr>
                        <a:defRPr b="0">
                          <a:solidFill>
                            <a:sysClr val="windowText" lastClr="000000"/>
                          </a:solidFill>
                          <a:latin typeface="Century Gothic" panose="020B0502020202020204" pitchFamily="34" charset="0"/>
                        </a:defRPr>
                      </a:pPr>
                      <a:t>[NAZWA KATEGORII]</a:t>
                    </a:fld>
                    <a:endParaRPr lang="en-US" b="0">
                      <a:solidFill>
                        <a:sysClr val="windowText" lastClr="000000"/>
                      </a:solidFill>
                      <a:latin typeface="Century Gothic" panose="020B0502020202020204" pitchFamily="34" charset="0"/>
                    </a:endParaRPr>
                  </a:p>
                  <a:p>
                    <a:pPr>
                      <a:defRPr b="0">
                        <a:solidFill>
                          <a:sysClr val="windowText" lastClr="000000"/>
                        </a:solidFill>
                        <a:latin typeface="Century Gothic" panose="020B0502020202020204" pitchFamily="34" charset="0"/>
                      </a:defRPr>
                    </a:pPr>
                    <a:r>
                      <a:rPr lang="en-US" b="0">
                        <a:solidFill>
                          <a:sysClr val="windowText" lastClr="000000"/>
                        </a:solidFill>
                        <a:latin typeface="Century Gothic" panose="020B0502020202020204" pitchFamily="34" charset="0"/>
                      </a:rPr>
                      <a:t>10,2%</a:t>
                    </a:r>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Century Gothic" panose="020B0502020202020204" pitchFamily="34" charset="0"/>
                      <a:ea typeface="+mn-ea"/>
                      <a:cs typeface="+mn-cs"/>
                    </a:defRPr>
                  </a:pPr>
                  <a:endParaRPr lang="pl-PL"/>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220A-4E65-93CE-2417B3D27A0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Century Gothic" panose="020B0502020202020204" pitchFamily="34" charset="0"/>
                    <a:ea typeface="+mn-ea"/>
                    <a:cs typeface="+mn-cs"/>
                  </a:defRPr>
                </a:pPr>
                <a:endParaRPr lang="pl-PL"/>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rysunek!$B$2:$F$2</c:f>
              <c:strCache>
                <c:ptCount val="5"/>
                <c:pt idx="0">
                  <c:v>&lt;10 lat </c:v>
                </c:pt>
                <c:pt idx="1">
                  <c:v> 11-20 lat </c:v>
                </c:pt>
                <c:pt idx="2">
                  <c:v>21-30 lat </c:v>
                </c:pt>
                <c:pt idx="3">
                  <c:v>31-40 lat </c:v>
                </c:pt>
                <c:pt idx="4">
                  <c:v>&gt;40 lat </c:v>
                </c:pt>
              </c:strCache>
            </c:strRef>
          </c:cat>
          <c:val>
            <c:numRef>
              <c:f>rysunek!$B$3:$F$3</c:f>
              <c:numCache>
                <c:formatCode>0.00%</c:formatCode>
                <c:ptCount val="5"/>
                <c:pt idx="0">
                  <c:v>0.214</c:v>
                </c:pt>
                <c:pt idx="1">
                  <c:v>0.14399999999999999</c:v>
                </c:pt>
                <c:pt idx="2">
                  <c:v>0.28299999999999997</c:v>
                </c:pt>
                <c:pt idx="3">
                  <c:v>0.245</c:v>
                </c:pt>
                <c:pt idx="4">
                  <c:v>0.114</c:v>
                </c:pt>
              </c:numCache>
            </c:numRef>
          </c:val>
          <c:extLst>
            <c:ext xmlns:c16="http://schemas.microsoft.com/office/drawing/2014/chart" uri="{C3380CC4-5D6E-409C-BE32-E72D297353CC}">
              <c16:uniqueId val="{0000000A-220A-4E65-93CE-2417B3D27A04}"/>
            </c:ext>
          </c:extLst>
        </c:ser>
        <c:dLbls>
          <c:dLblPos val="outEnd"/>
          <c:showLegendKey val="0"/>
          <c:showVal val="0"/>
          <c:showCatName val="1"/>
          <c:showSerName val="0"/>
          <c:showPercent val="0"/>
          <c:showBubbleSize val="0"/>
          <c:showLeaderLines val="1"/>
        </c:dLbls>
        <c:firstSliceAng val="15"/>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73412651666863"/>
          <c:y val="0.17077459688399874"/>
          <c:w val="0.66672579001297527"/>
          <c:h val="0.75396753149168816"/>
        </c:manualLayout>
      </c:layout>
      <c:pieChart>
        <c:varyColors val="1"/>
        <c:ser>
          <c:idx val="0"/>
          <c:order val="0"/>
          <c:explosion val="5"/>
          <c:dPt>
            <c:idx val="0"/>
            <c:bubble3D val="0"/>
            <c:explosion val="2"/>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CCE3-4ABD-8EE4-C81AC0E051DB}"/>
              </c:ext>
            </c:extLst>
          </c:dPt>
          <c:dPt>
            <c:idx val="1"/>
            <c:bubble3D val="0"/>
            <c:explosion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CCE3-4ABD-8EE4-C81AC0E051DB}"/>
              </c:ext>
            </c:extLst>
          </c:dPt>
          <c:dPt>
            <c:idx val="2"/>
            <c:bubble3D val="0"/>
            <c:explosion val="2"/>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CCE3-4ABD-8EE4-C81AC0E051DB}"/>
              </c:ext>
            </c:extLst>
          </c:dPt>
          <c:dPt>
            <c:idx val="3"/>
            <c:bubble3D val="0"/>
            <c:explosion val="2"/>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CCE3-4ABD-8EE4-C81AC0E051DB}"/>
              </c:ext>
            </c:extLst>
          </c:dPt>
          <c:dLbls>
            <c:dLbl>
              <c:idx val="0"/>
              <c:layout>
                <c:manualLayout>
                  <c:x val="-0.249044203816879"/>
                  <c:y val="0.16122458121672481"/>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gaz wysokometanowy</a:t>
                    </a:r>
                  </a:p>
                  <a:p>
                    <a:pPr>
                      <a:defRPr sz="900" b="0" i="0" u="none" strike="noStrike" kern="1200" baseline="0">
                        <a:solidFill>
                          <a:schemeClr val="tx1">
                            <a:lumMod val="75000"/>
                            <a:lumOff val="25000"/>
                          </a:schemeClr>
                        </a:solidFill>
                        <a:latin typeface="+mn-lt"/>
                        <a:ea typeface="+mn-ea"/>
                        <a:cs typeface="+mn-cs"/>
                      </a:defRPr>
                    </a:pPr>
                    <a:r>
                      <a:rPr lang="en-US"/>
                      <a:t>  33,8% </a:t>
                    </a:r>
                  </a:p>
                  <a:p>
                    <a:pPr>
                      <a:defRPr sz="900" b="0" i="0" u="none" strike="noStrike" kern="1200" baseline="0">
                        <a:solidFill>
                          <a:schemeClr val="tx1">
                            <a:lumMod val="75000"/>
                            <a:lumOff val="25000"/>
                          </a:schemeClr>
                        </a:solidFill>
                        <a:latin typeface="+mn-lt"/>
                        <a:ea typeface="+mn-ea"/>
                        <a:cs typeface="+mn-cs"/>
                      </a:defRPr>
                    </a:pPr>
                    <a:r>
                      <a:rPr lang="en-US"/>
                      <a:t>14,3 TWh</a:t>
                    </a:r>
                  </a:p>
                  <a:p>
                    <a:pPr>
                      <a:defRPr sz="900" b="0" i="0" u="none" strike="noStrike" kern="1200" baseline="0">
                        <a:solidFill>
                          <a:schemeClr val="tx1">
                            <a:lumMod val="75000"/>
                            <a:lumOff val="25000"/>
                          </a:schemeClr>
                        </a:solidFill>
                        <a:latin typeface="+mn-lt"/>
                        <a:ea typeface="+mn-ea"/>
                        <a:cs typeface="+mn-cs"/>
                      </a:defRPr>
                    </a:pPr>
                    <a:endParaRPr lang="en-US"/>
                  </a:p>
                </c:rich>
              </c:tx>
              <c:spPr>
                <a:noFill/>
                <a:ln>
                  <a:noFill/>
                </a:ln>
              </c:spPr>
              <c:dLblPos val="bestFit"/>
              <c:showLegendKey val="0"/>
              <c:showVal val="0"/>
              <c:showCatName val="0"/>
              <c:showSerName val="0"/>
              <c:showPercent val="0"/>
              <c:showBubbleSize val="0"/>
              <c:extLst>
                <c:ext xmlns:c15="http://schemas.microsoft.com/office/drawing/2012/chart" uri="{CE6537A1-D6FC-4f65-9D91-7224C49458BB}">
                  <c15:layout>
                    <c:manualLayout>
                      <c:w val="0.33366149628408365"/>
                      <c:h val="0.25881701335556406"/>
                    </c:manualLayout>
                  </c15:layout>
                  <c15:showDataLabelsRange val="0"/>
                </c:ext>
                <c:ext xmlns:c16="http://schemas.microsoft.com/office/drawing/2014/chart" uri="{C3380CC4-5D6E-409C-BE32-E72D297353CC}">
                  <c16:uniqueId val="{00000001-CCE3-4ABD-8EE4-C81AC0E051DB}"/>
                </c:ext>
              </c:extLst>
            </c:dLbl>
            <c:dLbl>
              <c:idx val="1"/>
              <c:layout>
                <c:manualLayout>
                  <c:x val="-6.3576257290039143E-2"/>
                  <c:y val="-0.12391191909834801"/>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gaz zaazotowany Lw</a:t>
                    </a:r>
                  </a:p>
                  <a:p>
                    <a:pPr>
                      <a:defRPr sz="900" b="0" i="0" u="none" strike="noStrike" kern="1200" baseline="0">
                        <a:solidFill>
                          <a:schemeClr val="tx1">
                            <a:lumMod val="75000"/>
                            <a:lumOff val="25000"/>
                          </a:schemeClr>
                        </a:solidFill>
                        <a:latin typeface="+mn-lt"/>
                        <a:ea typeface="+mn-ea"/>
                        <a:cs typeface="+mn-cs"/>
                      </a:defRPr>
                    </a:pPr>
                    <a:r>
                      <a:rPr lang="en-US"/>
                      <a:t> 28,4% </a:t>
                    </a:r>
                  </a:p>
                  <a:p>
                    <a:pPr>
                      <a:defRPr sz="900" b="0" i="0" u="none" strike="noStrike" kern="1200" baseline="0">
                        <a:solidFill>
                          <a:schemeClr val="tx1">
                            <a:lumMod val="75000"/>
                            <a:lumOff val="25000"/>
                          </a:schemeClr>
                        </a:solidFill>
                        <a:latin typeface="+mn-lt"/>
                        <a:ea typeface="+mn-ea"/>
                        <a:cs typeface="+mn-cs"/>
                      </a:defRPr>
                    </a:pPr>
                    <a:r>
                      <a:rPr lang="en-US"/>
                      <a:t>11,9 TWh</a:t>
                    </a:r>
                  </a:p>
                </c:rich>
              </c:tx>
              <c:spPr>
                <a:noFill/>
                <a:ln>
                  <a:noFill/>
                </a:ln>
              </c:spPr>
              <c:dLblPos val="bestFit"/>
              <c:showLegendKey val="0"/>
              <c:showVal val="0"/>
              <c:showCatName val="0"/>
              <c:showSerName val="0"/>
              <c:showPercent val="0"/>
              <c:showBubbleSize val="0"/>
              <c:extLst>
                <c:ext xmlns:c15="http://schemas.microsoft.com/office/drawing/2012/chart" uri="{CE6537A1-D6FC-4f65-9D91-7224C49458BB}">
                  <c15:layout>
                    <c:manualLayout>
                      <c:w val="0.22282907662082516"/>
                      <c:h val="0.28394627142195461"/>
                    </c:manualLayout>
                  </c15:layout>
                  <c15:showDataLabelsRange val="0"/>
                </c:ext>
                <c:ext xmlns:c16="http://schemas.microsoft.com/office/drawing/2014/chart" uri="{C3380CC4-5D6E-409C-BE32-E72D297353CC}">
                  <c16:uniqueId val="{00000003-CCE3-4ABD-8EE4-C81AC0E051DB}"/>
                </c:ext>
              </c:extLst>
            </c:dLbl>
            <c:dLbl>
              <c:idx val="2"/>
              <c:layout>
                <c:manualLayout>
                  <c:x val="0.18069047066562649"/>
                  <c:y val="6.7577834460833236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gaz zaazotowany pozostały</a:t>
                    </a:r>
                  </a:p>
                  <a:p>
                    <a:pPr>
                      <a:defRPr sz="900" b="0" i="0" u="none" strike="noStrike" kern="1200" baseline="0">
                        <a:solidFill>
                          <a:schemeClr val="tx1">
                            <a:lumMod val="75000"/>
                            <a:lumOff val="25000"/>
                          </a:schemeClr>
                        </a:solidFill>
                        <a:latin typeface="+mn-lt"/>
                        <a:ea typeface="+mn-ea"/>
                        <a:cs typeface="+mn-cs"/>
                      </a:defRPr>
                    </a:pPr>
                    <a:r>
                      <a:rPr lang="en-US"/>
                      <a:t> 31,7% </a:t>
                    </a:r>
                  </a:p>
                  <a:p>
                    <a:pPr>
                      <a:defRPr sz="900" b="0" i="0" u="none" strike="noStrike" kern="1200" baseline="0">
                        <a:solidFill>
                          <a:schemeClr val="tx1">
                            <a:lumMod val="75000"/>
                            <a:lumOff val="25000"/>
                          </a:schemeClr>
                        </a:solidFill>
                        <a:latin typeface="+mn-lt"/>
                        <a:ea typeface="+mn-ea"/>
                        <a:cs typeface="+mn-cs"/>
                      </a:defRPr>
                    </a:pPr>
                    <a:r>
                      <a:rPr lang="en-US"/>
                      <a:t>13,4 TWh</a:t>
                    </a:r>
                  </a:p>
                  <a:p>
                    <a:pPr>
                      <a:defRPr sz="900" b="0" i="0" u="none" strike="noStrike" kern="1200" baseline="0">
                        <a:solidFill>
                          <a:schemeClr val="tx1">
                            <a:lumMod val="75000"/>
                            <a:lumOff val="25000"/>
                          </a:schemeClr>
                        </a:solidFill>
                        <a:latin typeface="+mn-lt"/>
                        <a:ea typeface="+mn-ea"/>
                        <a:cs typeface="+mn-cs"/>
                      </a:defRPr>
                    </a:pPr>
                    <a:endParaRPr lang="en-US"/>
                  </a:p>
                </c:rich>
              </c:tx>
              <c:spPr>
                <a:noFill/>
                <a:ln>
                  <a:noFill/>
                </a:ln>
              </c:spPr>
              <c:dLblPos val="bestFit"/>
              <c:showLegendKey val="0"/>
              <c:showVal val="0"/>
              <c:showCatName val="0"/>
              <c:showSerName val="0"/>
              <c:showPercent val="0"/>
              <c:showBubbleSize val="0"/>
              <c:extLst>
                <c:ext xmlns:c15="http://schemas.microsoft.com/office/drawing/2012/chart" uri="{CE6537A1-D6FC-4f65-9D91-7224C49458BB}">
                  <c15:layout>
                    <c:manualLayout>
                      <c:w val="0.22675834970530451"/>
                      <c:h val="0.3377941176470588"/>
                    </c:manualLayout>
                  </c15:layout>
                  <c15:showDataLabelsRange val="0"/>
                </c:ext>
                <c:ext xmlns:c16="http://schemas.microsoft.com/office/drawing/2014/chart" uri="{C3380CC4-5D6E-409C-BE32-E72D297353CC}">
                  <c16:uniqueId val="{00000005-CCE3-4ABD-8EE4-C81AC0E051DB}"/>
                </c:ext>
              </c:extLst>
            </c:dLbl>
            <c:dLbl>
              <c:idx val="3"/>
              <c:layout>
                <c:manualLayout>
                  <c:x val="-0.1252497563541296"/>
                  <c:y val="2.9411764705882353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gaz inny </a:t>
                    </a:r>
                  </a:p>
                  <a:p>
                    <a:pPr>
                      <a:defRPr sz="900" b="0" i="0" u="none" strike="noStrike" kern="1200" baseline="0">
                        <a:solidFill>
                          <a:schemeClr val="tx1">
                            <a:lumMod val="75000"/>
                            <a:lumOff val="25000"/>
                          </a:schemeClr>
                        </a:solidFill>
                        <a:latin typeface="+mn-lt"/>
                        <a:ea typeface="+mn-ea"/>
                        <a:cs typeface="+mn-cs"/>
                      </a:defRPr>
                    </a:pPr>
                    <a:r>
                      <a:rPr lang="en-US"/>
                      <a:t> 6,2% </a:t>
                    </a:r>
                  </a:p>
                  <a:p>
                    <a:pPr>
                      <a:defRPr sz="900" b="0" i="0" u="none" strike="noStrike" kern="1200" baseline="0">
                        <a:solidFill>
                          <a:schemeClr val="tx1">
                            <a:lumMod val="75000"/>
                            <a:lumOff val="25000"/>
                          </a:schemeClr>
                        </a:solidFill>
                        <a:latin typeface="+mn-lt"/>
                        <a:ea typeface="+mn-ea"/>
                        <a:cs typeface="+mn-cs"/>
                      </a:defRPr>
                    </a:pPr>
                    <a:r>
                      <a:rPr lang="en-US"/>
                      <a:t>2,6 TWh</a:t>
                    </a:r>
                  </a:p>
                </c:rich>
              </c:tx>
              <c:spPr>
                <a:noFill/>
                <a:ln>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CCE3-4ABD-8EE4-C81AC0E051DB}"/>
                </c:ext>
              </c:extLst>
            </c:dLbl>
            <c:numFmt formatCode="#,##0.0" sourceLinked="0"/>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1"/>
            <c:showSerName val="0"/>
            <c:showPercent val="0"/>
            <c:showBubbleSize val="0"/>
            <c:separator>
</c:separator>
            <c:showLeaderLines val="1"/>
            <c:leaderLines>
              <c:spPr>
                <a:ln w="9525">
                  <a:solidFill>
                    <a:schemeClr val="tx1">
                      <a:lumMod val="35000"/>
                      <a:lumOff val="65000"/>
                    </a:schemeClr>
                  </a:solidFill>
                  <a:round/>
                </a:ln>
              </c:spPr>
            </c:leaderLines>
            <c:extLst>
              <c:ext xmlns:c15="http://schemas.microsoft.com/office/drawing/2012/chart" uri="{CE6537A1-D6FC-4f65-9D91-7224C49458BB}"/>
            </c:extLst>
          </c:dLbls>
          <c:cat>
            <c:strRef>
              <c:f>'Rys. 1.1. Wyd 2021_2022'!$L$16:$L$19</c:f>
              <c:strCache>
                <c:ptCount val="4"/>
                <c:pt idx="0">
                  <c:v>gaz wysokometanowy</c:v>
                </c:pt>
                <c:pt idx="1">
                  <c:v>gaz zaazotowany Lw</c:v>
                </c:pt>
                <c:pt idx="2">
                  <c:v>gaz zaazotowany pozostały</c:v>
                </c:pt>
                <c:pt idx="3">
                  <c:v>gaz inny </c:v>
                </c:pt>
              </c:strCache>
            </c:strRef>
          </c:cat>
          <c:val>
            <c:numRef>
              <c:f>'Rys. 1.1. Wyd 2021_2022'!$M$16:$M$19</c:f>
              <c:numCache>
                <c:formatCode>#,##0.00</c:formatCode>
                <c:ptCount val="4"/>
                <c:pt idx="0">
                  <c:v>14.3</c:v>
                </c:pt>
                <c:pt idx="1">
                  <c:v>11.98</c:v>
                </c:pt>
                <c:pt idx="2" formatCode="#\ ##0.0">
                  <c:v>13.37</c:v>
                </c:pt>
                <c:pt idx="3">
                  <c:v>2.6</c:v>
                </c:pt>
              </c:numCache>
            </c:numRef>
          </c:val>
          <c:extLst>
            <c:ext xmlns:c16="http://schemas.microsoft.com/office/drawing/2014/chart" uri="{C3380CC4-5D6E-409C-BE32-E72D297353CC}">
              <c16:uniqueId val="{00000008-CCE3-4ABD-8EE4-C81AC0E051DB}"/>
            </c:ext>
          </c:extLst>
        </c:ser>
        <c:dLbls>
          <c:showLegendKey val="0"/>
          <c:showVal val="0"/>
          <c:showCatName val="0"/>
          <c:showSerName val="0"/>
          <c:showPercent val="0"/>
          <c:showBubbleSize val="0"/>
          <c:showLeaderLines val="1"/>
        </c:dLbls>
        <c:firstSliceAng val="0"/>
      </c:pieChart>
      <c:spPr>
        <a:noFill/>
        <a:ln>
          <a:noFill/>
        </a:ln>
      </c:spPr>
    </c:plotArea>
    <c:plotVisOnly val="1"/>
    <c:dispBlanksAs val="gap"/>
    <c:showDLblsOverMax val="0"/>
  </c:chart>
  <c:spPr>
    <a:solidFill>
      <a:schemeClr val="bg1"/>
    </a:solidFill>
    <a:ln w="9525">
      <a:noFill/>
      <a:round/>
    </a:ln>
  </c:spPr>
  <c:txPr>
    <a:bodyPr/>
    <a:lstStyle/>
    <a:p>
      <a:pPr algn="just">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0.33412</cdr:x>
      <cdr:y>0.03222</cdr:y>
    </cdr:from>
    <cdr:to>
      <cdr:x>0.56503</cdr:x>
      <cdr:y>0.25569</cdr:y>
    </cdr:to>
    <cdr:sp macro="" textlink="">
      <cdr:nvSpPr>
        <cdr:cNvPr id="2" name="pole tekstowe 1"/>
        <cdr:cNvSpPr txBox="1"/>
      </cdr:nvSpPr>
      <cdr:spPr>
        <a:xfrm xmlns:a="http://schemas.openxmlformats.org/drawingml/2006/main">
          <a:off x="1036320" y="91769"/>
          <a:ext cx="1069279" cy="567628"/>
        </a:xfrm>
        <a:prstGeom xmlns:a="http://schemas.openxmlformats.org/drawingml/2006/main" prst="rect">
          <a:avLst/>
        </a:prstGeom>
      </cdr:spPr>
      <cdr:txBody>
        <a:bodyPr xmlns:a="http://schemas.openxmlformats.org/drawingml/2006/main" vertOverflow="clip" wrap="square" rtlCol="0" anchor="t"/>
        <a:lstStyle xmlns:a="http://schemas.openxmlformats.org/drawingml/2006/main"/>
        <a:p xmlns:a="http://schemas.openxmlformats.org/drawingml/2006/main">
          <a:pPr algn="ctr"/>
          <a:endParaRPr lang="pl-PL" sz="1300" b="1">
            <a:solidFill>
              <a:srgbClr val="0000FF"/>
            </a:solidFill>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BA3C38-B06B-4E03-B7F7-B480A3B9B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15895</Words>
  <Characters>95370</Characters>
  <Application>Microsoft Office Word</Application>
  <DocSecurity>0</DocSecurity>
  <Lines>794</Lines>
  <Paragraphs>222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111043</CharactersWithSpaces>
  <SharedDoc>false</SharedDoc>
  <HLinks>
    <vt:vector size="270" baseType="variant">
      <vt:variant>
        <vt:i4>1507376</vt:i4>
      </vt:variant>
      <vt:variant>
        <vt:i4>260</vt:i4>
      </vt:variant>
      <vt:variant>
        <vt:i4>0</vt:i4>
      </vt:variant>
      <vt:variant>
        <vt:i4>5</vt:i4>
      </vt:variant>
      <vt:variant>
        <vt:lpwstr/>
      </vt:variant>
      <vt:variant>
        <vt:lpwstr>_Toc142469590</vt:lpwstr>
      </vt:variant>
      <vt:variant>
        <vt:i4>1441840</vt:i4>
      </vt:variant>
      <vt:variant>
        <vt:i4>254</vt:i4>
      </vt:variant>
      <vt:variant>
        <vt:i4>0</vt:i4>
      </vt:variant>
      <vt:variant>
        <vt:i4>5</vt:i4>
      </vt:variant>
      <vt:variant>
        <vt:lpwstr/>
      </vt:variant>
      <vt:variant>
        <vt:lpwstr>_Toc142469589</vt:lpwstr>
      </vt:variant>
      <vt:variant>
        <vt:i4>1441840</vt:i4>
      </vt:variant>
      <vt:variant>
        <vt:i4>248</vt:i4>
      </vt:variant>
      <vt:variant>
        <vt:i4>0</vt:i4>
      </vt:variant>
      <vt:variant>
        <vt:i4>5</vt:i4>
      </vt:variant>
      <vt:variant>
        <vt:lpwstr/>
      </vt:variant>
      <vt:variant>
        <vt:lpwstr>_Toc142469588</vt:lpwstr>
      </vt:variant>
      <vt:variant>
        <vt:i4>1441840</vt:i4>
      </vt:variant>
      <vt:variant>
        <vt:i4>242</vt:i4>
      </vt:variant>
      <vt:variant>
        <vt:i4>0</vt:i4>
      </vt:variant>
      <vt:variant>
        <vt:i4>5</vt:i4>
      </vt:variant>
      <vt:variant>
        <vt:lpwstr/>
      </vt:variant>
      <vt:variant>
        <vt:lpwstr>_Toc142469587</vt:lpwstr>
      </vt:variant>
      <vt:variant>
        <vt:i4>1441840</vt:i4>
      </vt:variant>
      <vt:variant>
        <vt:i4>236</vt:i4>
      </vt:variant>
      <vt:variant>
        <vt:i4>0</vt:i4>
      </vt:variant>
      <vt:variant>
        <vt:i4>5</vt:i4>
      </vt:variant>
      <vt:variant>
        <vt:lpwstr/>
      </vt:variant>
      <vt:variant>
        <vt:lpwstr>_Toc142469586</vt:lpwstr>
      </vt:variant>
      <vt:variant>
        <vt:i4>1441840</vt:i4>
      </vt:variant>
      <vt:variant>
        <vt:i4>230</vt:i4>
      </vt:variant>
      <vt:variant>
        <vt:i4>0</vt:i4>
      </vt:variant>
      <vt:variant>
        <vt:i4>5</vt:i4>
      </vt:variant>
      <vt:variant>
        <vt:lpwstr/>
      </vt:variant>
      <vt:variant>
        <vt:lpwstr>_Toc142469585</vt:lpwstr>
      </vt:variant>
      <vt:variant>
        <vt:i4>1441840</vt:i4>
      </vt:variant>
      <vt:variant>
        <vt:i4>224</vt:i4>
      </vt:variant>
      <vt:variant>
        <vt:i4>0</vt:i4>
      </vt:variant>
      <vt:variant>
        <vt:i4>5</vt:i4>
      </vt:variant>
      <vt:variant>
        <vt:lpwstr/>
      </vt:variant>
      <vt:variant>
        <vt:lpwstr>_Toc142469584</vt:lpwstr>
      </vt:variant>
      <vt:variant>
        <vt:i4>1441840</vt:i4>
      </vt:variant>
      <vt:variant>
        <vt:i4>218</vt:i4>
      </vt:variant>
      <vt:variant>
        <vt:i4>0</vt:i4>
      </vt:variant>
      <vt:variant>
        <vt:i4>5</vt:i4>
      </vt:variant>
      <vt:variant>
        <vt:lpwstr/>
      </vt:variant>
      <vt:variant>
        <vt:lpwstr>_Toc142469583</vt:lpwstr>
      </vt:variant>
      <vt:variant>
        <vt:i4>1441840</vt:i4>
      </vt:variant>
      <vt:variant>
        <vt:i4>212</vt:i4>
      </vt:variant>
      <vt:variant>
        <vt:i4>0</vt:i4>
      </vt:variant>
      <vt:variant>
        <vt:i4>5</vt:i4>
      </vt:variant>
      <vt:variant>
        <vt:lpwstr/>
      </vt:variant>
      <vt:variant>
        <vt:lpwstr>_Toc142469582</vt:lpwstr>
      </vt:variant>
      <vt:variant>
        <vt:i4>1441840</vt:i4>
      </vt:variant>
      <vt:variant>
        <vt:i4>206</vt:i4>
      </vt:variant>
      <vt:variant>
        <vt:i4>0</vt:i4>
      </vt:variant>
      <vt:variant>
        <vt:i4>5</vt:i4>
      </vt:variant>
      <vt:variant>
        <vt:lpwstr/>
      </vt:variant>
      <vt:variant>
        <vt:lpwstr>_Toc142469581</vt:lpwstr>
      </vt:variant>
      <vt:variant>
        <vt:i4>1441840</vt:i4>
      </vt:variant>
      <vt:variant>
        <vt:i4>200</vt:i4>
      </vt:variant>
      <vt:variant>
        <vt:i4>0</vt:i4>
      </vt:variant>
      <vt:variant>
        <vt:i4>5</vt:i4>
      </vt:variant>
      <vt:variant>
        <vt:lpwstr/>
      </vt:variant>
      <vt:variant>
        <vt:lpwstr>_Toc142469580</vt:lpwstr>
      </vt:variant>
      <vt:variant>
        <vt:i4>1638448</vt:i4>
      </vt:variant>
      <vt:variant>
        <vt:i4>194</vt:i4>
      </vt:variant>
      <vt:variant>
        <vt:i4>0</vt:i4>
      </vt:variant>
      <vt:variant>
        <vt:i4>5</vt:i4>
      </vt:variant>
      <vt:variant>
        <vt:lpwstr/>
      </vt:variant>
      <vt:variant>
        <vt:lpwstr>_Toc142469579</vt:lpwstr>
      </vt:variant>
      <vt:variant>
        <vt:i4>1638448</vt:i4>
      </vt:variant>
      <vt:variant>
        <vt:i4>188</vt:i4>
      </vt:variant>
      <vt:variant>
        <vt:i4>0</vt:i4>
      </vt:variant>
      <vt:variant>
        <vt:i4>5</vt:i4>
      </vt:variant>
      <vt:variant>
        <vt:lpwstr/>
      </vt:variant>
      <vt:variant>
        <vt:lpwstr>_Toc142469578</vt:lpwstr>
      </vt:variant>
      <vt:variant>
        <vt:i4>1638448</vt:i4>
      </vt:variant>
      <vt:variant>
        <vt:i4>182</vt:i4>
      </vt:variant>
      <vt:variant>
        <vt:i4>0</vt:i4>
      </vt:variant>
      <vt:variant>
        <vt:i4>5</vt:i4>
      </vt:variant>
      <vt:variant>
        <vt:lpwstr/>
      </vt:variant>
      <vt:variant>
        <vt:lpwstr>_Toc142469577</vt:lpwstr>
      </vt:variant>
      <vt:variant>
        <vt:i4>1638448</vt:i4>
      </vt:variant>
      <vt:variant>
        <vt:i4>176</vt:i4>
      </vt:variant>
      <vt:variant>
        <vt:i4>0</vt:i4>
      </vt:variant>
      <vt:variant>
        <vt:i4>5</vt:i4>
      </vt:variant>
      <vt:variant>
        <vt:lpwstr/>
      </vt:variant>
      <vt:variant>
        <vt:lpwstr>_Toc142469576</vt:lpwstr>
      </vt:variant>
      <vt:variant>
        <vt:i4>1638448</vt:i4>
      </vt:variant>
      <vt:variant>
        <vt:i4>170</vt:i4>
      </vt:variant>
      <vt:variant>
        <vt:i4>0</vt:i4>
      </vt:variant>
      <vt:variant>
        <vt:i4>5</vt:i4>
      </vt:variant>
      <vt:variant>
        <vt:lpwstr/>
      </vt:variant>
      <vt:variant>
        <vt:lpwstr>_Toc142469575</vt:lpwstr>
      </vt:variant>
      <vt:variant>
        <vt:i4>1638448</vt:i4>
      </vt:variant>
      <vt:variant>
        <vt:i4>164</vt:i4>
      </vt:variant>
      <vt:variant>
        <vt:i4>0</vt:i4>
      </vt:variant>
      <vt:variant>
        <vt:i4>5</vt:i4>
      </vt:variant>
      <vt:variant>
        <vt:lpwstr/>
      </vt:variant>
      <vt:variant>
        <vt:lpwstr>_Toc142469574</vt:lpwstr>
      </vt:variant>
      <vt:variant>
        <vt:i4>1638448</vt:i4>
      </vt:variant>
      <vt:variant>
        <vt:i4>158</vt:i4>
      </vt:variant>
      <vt:variant>
        <vt:i4>0</vt:i4>
      </vt:variant>
      <vt:variant>
        <vt:i4>5</vt:i4>
      </vt:variant>
      <vt:variant>
        <vt:lpwstr/>
      </vt:variant>
      <vt:variant>
        <vt:lpwstr>_Toc142469573</vt:lpwstr>
      </vt:variant>
      <vt:variant>
        <vt:i4>1638448</vt:i4>
      </vt:variant>
      <vt:variant>
        <vt:i4>152</vt:i4>
      </vt:variant>
      <vt:variant>
        <vt:i4>0</vt:i4>
      </vt:variant>
      <vt:variant>
        <vt:i4>5</vt:i4>
      </vt:variant>
      <vt:variant>
        <vt:lpwstr/>
      </vt:variant>
      <vt:variant>
        <vt:lpwstr>_Toc142469572</vt:lpwstr>
      </vt:variant>
      <vt:variant>
        <vt:i4>1638448</vt:i4>
      </vt:variant>
      <vt:variant>
        <vt:i4>146</vt:i4>
      </vt:variant>
      <vt:variant>
        <vt:i4>0</vt:i4>
      </vt:variant>
      <vt:variant>
        <vt:i4>5</vt:i4>
      </vt:variant>
      <vt:variant>
        <vt:lpwstr/>
      </vt:variant>
      <vt:variant>
        <vt:lpwstr>_Toc142469571</vt:lpwstr>
      </vt:variant>
      <vt:variant>
        <vt:i4>1638448</vt:i4>
      </vt:variant>
      <vt:variant>
        <vt:i4>140</vt:i4>
      </vt:variant>
      <vt:variant>
        <vt:i4>0</vt:i4>
      </vt:variant>
      <vt:variant>
        <vt:i4>5</vt:i4>
      </vt:variant>
      <vt:variant>
        <vt:lpwstr/>
      </vt:variant>
      <vt:variant>
        <vt:lpwstr>_Toc142469570</vt:lpwstr>
      </vt:variant>
      <vt:variant>
        <vt:i4>1572912</vt:i4>
      </vt:variant>
      <vt:variant>
        <vt:i4>134</vt:i4>
      </vt:variant>
      <vt:variant>
        <vt:i4>0</vt:i4>
      </vt:variant>
      <vt:variant>
        <vt:i4>5</vt:i4>
      </vt:variant>
      <vt:variant>
        <vt:lpwstr/>
      </vt:variant>
      <vt:variant>
        <vt:lpwstr>_Toc142469569</vt:lpwstr>
      </vt:variant>
      <vt:variant>
        <vt:i4>1572912</vt:i4>
      </vt:variant>
      <vt:variant>
        <vt:i4>128</vt:i4>
      </vt:variant>
      <vt:variant>
        <vt:i4>0</vt:i4>
      </vt:variant>
      <vt:variant>
        <vt:i4>5</vt:i4>
      </vt:variant>
      <vt:variant>
        <vt:lpwstr/>
      </vt:variant>
      <vt:variant>
        <vt:lpwstr>_Toc142469568</vt:lpwstr>
      </vt:variant>
      <vt:variant>
        <vt:i4>1572912</vt:i4>
      </vt:variant>
      <vt:variant>
        <vt:i4>122</vt:i4>
      </vt:variant>
      <vt:variant>
        <vt:i4>0</vt:i4>
      </vt:variant>
      <vt:variant>
        <vt:i4>5</vt:i4>
      </vt:variant>
      <vt:variant>
        <vt:lpwstr/>
      </vt:variant>
      <vt:variant>
        <vt:lpwstr>_Toc142469567</vt:lpwstr>
      </vt:variant>
      <vt:variant>
        <vt:i4>1572912</vt:i4>
      </vt:variant>
      <vt:variant>
        <vt:i4>116</vt:i4>
      </vt:variant>
      <vt:variant>
        <vt:i4>0</vt:i4>
      </vt:variant>
      <vt:variant>
        <vt:i4>5</vt:i4>
      </vt:variant>
      <vt:variant>
        <vt:lpwstr/>
      </vt:variant>
      <vt:variant>
        <vt:lpwstr>_Toc142469566</vt:lpwstr>
      </vt:variant>
      <vt:variant>
        <vt:i4>1572912</vt:i4>
      </vt:variant>
      <vt:variant>
        <vt:i4>110</vt:i4>
      </vt:variant>
      <vt:variant>
        <vt:i4>0</vt:i4>
      </vt:variant>
      <vt:variant>
        <vt:i4>5</vt:i4>
      </vt:variant>
      <vt:variant>
        <vt:lpwstr/>
      </vt:variant>
      <vt:variant>
        <vt:lpwstr>_Toc142469565</vt:lpwstr>
      </vt:variant>
      <vt:variant>
        <vt:i4>1572912</vt:i4>
      </vt:variant>
      <vt:variant>
        <vt:i4>104</vt:i4>
      </vt:variant>
      <vt:variant>
        <vt:i4>0</vt:i4>
      </vt:variant>
      <vt:variant>
        <vt:i4>5</vt:i4>
      </vt:variant>
      <vt:variant>
        <vt:lpwstr/>
      </vt:variant>
      <vt:variant>
        <vt:lpwstr>_Toc142469564</vt:lpwstr>
      </vt:variant>
      <vt:variant>
        <vt:i4>1572912</vt:i4>
      </vt:variant>
      <vt:variant>
        <vt:i4>98</vt:i4>
      </vt:variant>
      <vt:variant>
        <vt:i4>0</vt:i4>
      </vt:variant>
      <vt:variant>
        <vt:i4>5</vt:i4>
      </vt:variant>
      <vt:variant>
        <vt:lpwstr/>
      </vt:variant>
      <vt:variant>
        <vt:lpwstr>_Toc142469563</vt:lpwstr>
      </vt:variant>
      <vt:variant>
        <vt:i4>1572912</vt:i4>
      </vt:variant>
      <vt:variant>
        <vt:i4>92</vt:i4>
      </vt:variant>
      <vt:variant>
        <vt:i4>0</vt:i4>
      </vt:variant>
      <vt:variant>
        <vt:i4>5</vt:i4>
      </vt:variant>
      <vt:variant>
        <vt:lpwstr/>
      </vt:variant>
      <vt:variant>
        <vt:lpwstr>_Toc142469562</vt:lpwstr>
      </vt:variant>
      <vt:variant>
        <vt:i4>1572912</vt:i4>
      </vt:variant>
      <vt:variant>
        <vt:i4>86</vt:i4>
      </vt:variant>
      <vt:variant>
        <vt:i4>0</vt:i4>
      </vt:variant>
      <vt:variant>
        <vt:i4>5</vt:i4>
      </vt:variant>
      <vt:variant>
        <vt:lpwstr/>
      </vt:variant>
      <vt:variant>
        <vt:lpwstr>_Toc142469561</vt:lpwstr>
      </vt:variant>
      <vt:variant>
        <vt:i4>1572912</vt:i4>
      </vt:variant>
      <vt:variant>
        <vt:i4>80</vt:i4>
      </vt:variant>
      <vt:variant>
        <vt:i4>0</vt:i4>
      </vt:variant>
      <vt:variant>
        <vt:i4>5</vt:i4>
      </vt:variant>
      <vt:variant>
        <vt:lpwstr/>
      </vt:variant>
      <vt:variant>
        <vt:lpwstr>_Toc142469560</vt:lpwstr>
      </vt:variant>
      <vt:variant>
        <vt:i4>1769520</vt:i4>
      </vt:variant>
      <vt:variant>
        <vt:i4>74</vt:i4>
      </vt:variant>
      <vt:variant>
        <vt:i4>0</vt:i4>
      </vt:variant>
      <vt:variant>
        <vt:i4>5</vt:i4>
      </vt:variant>
      <vt:variant>
        <vt:lpwstr/>
      </vt:variant>
      <vt:variant>
        <vt:lpwstr>_Toc142469559</vt:lpwstr>
      </vt:variant>
      <vt:variant>
        <vt:i4>1769520</vt:i4>
      </vt:variant>
      <vt:variant>
        <vt:i4>68</vt:i4>
      </vt:variant>
      <vt:variant>
        <vt:i4>0</vt:i4>
      </vt:variant>
      <vt:variant>
        <vt:i4>5</vt:i4>
      </vt:variant>
      <vt:variant>
        <vt:lpwstr/>
      </vt:variant>
      <vt:variant>
        <vt:lpwstr>_Toc142469558</vt:lpwstr>
      </vt:variant>
      <vt:variant>
        <vt:i4>1769520</vt:i4>
      </vt:variant>
      <vt:variant>
        <vt:i4>62</vt:i4>
      </vt:variant>
      <vt:variant>
        <vt:i4>0</vt:i4>
      </vt:variant>
      <vt:variant>
        <vt:i4>5</vt:i4>
      </vt:variant>
      <vt:variant>
        <vt:lpwstr/>
      </vt:variant>
      <vt:variant>
        <vt:lpwstr>_Toc142469557</vt:lpwstr>
      </vt:variant>
      <vt:variant>
        <vt:i4>1769520</vt:i4>
      </vt:variant>
      <vt:variant>
        <vt:i4>56</vt:i4>
      </vt:variant>
      <vt:variant>
        <vt:i4>0</vt:i4>
      </vt:variant>
      <vt:variant>
        <vt:i4>5</vt:i4>
      </vt:variant>
      <vt:variant>
        <vt:lpwstr/>
      </vt:variant>
      <vt:variant>
        <vt:lpwstr>_Toc142469556</vt:lpwstr>
      </vt:variant>
      <vt:variant>
        <vt:i4>1769520</vt:i4>
      </vt:variant>
      <vt:variant>
        <vt:i4>50</vt:i4>
      </vt:variant>
      <vt:variant>
        <vt:i4>0</vt:i4>
      </vt:variant>
      <vt:variant>
        <vt:i4>5</vt:i4>
      </vt:variant>
      <vt:variant>
        <vt:lpwstr/>
      </vt:variant>
      <vt:variant>
        <vt:lpwstr>_Toc142469555</vt:lpwstr>
      </vt:variant>
      <vt:variant>
        <vt:i4>1769520</vt:i4>
      </vt:variant>
      <vt:variant>
        <vt:i4>44</vt:i4>
      </vt:variant>
      <vt:variant>
        <vt:i4>0</vt:i4>
      </vt:variant>
      <vt:variant>
        <vt:i4>5</vt:i4>
      </vt:variant>
      <vt:variant>
        <vt:lpwstr/>
      </vt:variant>
      <vt:variant>
        <vt:lpwstr>_Toc142469554</vt:lpwstr>
      </vt:variant>
      <vt:variant>
        <vt:i4>1769520</vt:i4>
      </vt:variant>
      <vt:variant>
        <vt:i4>38</vt:i4>
      </vt:variant>
      <vt:variant>
        <vt:i4>0</vt:i4>
      </vt:variant>
      <vt:variant>
        <vt:i4>5</vt:i4>
      </vt:variant>
      <vt:variant>
        <vt:lpwstr/>
      </vt:variant>
      <vt:variant>
        <vt:lpwstr>_Toc142469553</vt:lpwstr>
      </vt:variant>
      <vt:variant>
        <vt:i4>1769520</vt:i4>
      </vt:variant>
      <vt:variant>
        <vt:i4>32</vt:i4>
      </vt:variant>
      <vt:variant>
        <vt:i4>0</vt:i4>
      </vt:variant>
      <vt:variant>
        <vt:i4>5</vt:i4>
      </vt:variant>
      <vt:variant>
        <vt:lpwstr/>
      </vt:variant>
      <vt:variant>
        <vt:lpwstr>_Toc142469552</vt:lpwstr>
      </vt:variant>
      <vt:variant>
        <vt:i4>1769520</vt:i4>
      </vt:variant>
      <vt:variant>
        <vt:i4>26</vt:i4>
      </vt:variant>
      <vt:variant>
        <vt:i4>0</vt:i4>
      </vt:variant>
      <vt:variant>
        <vt:i4>5</vt:i4>
      </vt:variant>
      <vt:variant>
        <vt:lpwstr/>
      </vt:variant>
      <vt:variant>
        <vt:lpwstr>_Toc142469551</vt:lpwstr>
      </vt:variant>
      <vt:variant>
        <vt:i4>1769520</vt:i4>
      </vt:variant>
      <vt:variant>
        <vt:i4>20</vt:i4>
      </vt:variant>
      <vt:variant>
        <vt:i4>0</vt:i4>
      </vt:variant>
      <vt:variant>
        <vt:i4>5</vt:i4>
      </vt:variant>
      <vt:variant>
        <vt:lpwstr/>
      </vt:variant>
      <vt:variant>
        <vt:lpwstr>_Toc142469550</vt:lpwstr>
      </vt:variant>
      <vt:variant>
        <vt:i4>1703984</vt:i4>
      </vt:variant>
      <vt:variant>
        <vt:i4>14</vt:i4>
      </vt:variant>
      <vt:variant>
        <vt:i4>0</vt:i4>
      </vt:variant>
      <vt:variant>
        <vt:i4>5</vt:i4>
      </vt:variant>
      <vt:variant>
        <vt:lpwstr/>
      </vt:variant>
      <vt:variant>
        <vt:lpwstr>_Toc142469549</vt:lpwstr>
      </vt:variant>
      <vt:variant>
        <vt:i4>1703984</vt:i4>
      </vt:variant>
      <vt:variant>
        <vt:i4>8</vt:i4>
      </vt:variant>
      <vt:variant>
        <vt:i4>0</vt:i4>
      </vt:variant>
      <vt:variant>
        <vt:i4>5</vt:i4>
      </vt:variant>
      <vt:variant>
        <vt:lpwstr/>
      </vt:variant>
      <vt:variant>
        <vt:lpwstr>_Toc142469548</vt:lpwstr>
      </vt:variant>
      <vt:variant>
        <vt:i4>1703984</vt:i4>
      </vt:variant>
      <vt:variant>
        <vt:i4>2</vt:i4>
      </vt:variant>
      <vt:variant>
        <vt:i4>0</vt:i4>
      </vt:variant>
      <vt:variant>
        <vt:i4>5</vt:i4>
      </vt:variant>
      <vt:variant>
        <vt:lpwstr/>
      </vt:variant>
      <vt:variant>
        <vt:lpwstr>_Toc142469547</vt:lpwstr>
      </vt:variant>
      <vt:variant>
        <vt:i4>3932268</vt:i4>
      </vt:variant>
      <vt:variant>
        <vt:i4>0</vt:i4>
      </vt:variant>
      <vt:variant>
        <vt:i4>0</vt:i4>
      </vt:variant>
      <vt:variant>
        <vt:i4>5</vt:i4>
      </vt:variant>
      <vt:variant>
        <vt:lpwstr>https://emerging-europe.com/news/as-latvia-cancels-skulte-lng-project-the-baltic-reliance-on-gas-persists/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2023-09-25T14:51:00Z</dcterms:created>
  <dcterms:modified xsi:type="dcterms:W3CDTF">2023-09-27T12:59:00Z</dcterms:modified>
</cp:coreProperties>
</file>