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4E2356" w:rsidP="00062843">
      <w:pPr>
        <w:tabs>
          <w:tab w:val="left" w:pos="2534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130" w:rsidRPr="009A221A" w:rsidRDefault="00FA0D75" w:rsidP="0026613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r w:rsidRPr="009A221A">
        <w:rPr>
          <w:rFonts w:ascii="Arial" w:hAnsi="Arial" w:cs="Arial"/>
          <w:sz w:val="20"/>
          <w:szCs w:val="20"/>
        </w:rPr>
        <w:t>Warszawa,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ezdDataPodpisu"/>
      <w:bookmarkEnd w:id="1"/>
      <w:r w:rsidR="006228F7">
        <w:rPr>
          <w:rFonts w:ascii="Arial" w:hAnsi="Arial" w:cs="Arial"/>
          <w:sz w:val="20"/>
          <w:szCs w:val="20"/>
        </w:rPr>
        <w:t xml:space="preserve">                         r</w:t>
      </w:r>
      <w:r w:rsidRPr="009A221A">
        <w:rPr>
          <w:rFonts w:ascii="Arial" w:hAnsi="Arial" w:cs="Arial"/>
          <w:sz w:val="20"/>
          <w:szCs w:val="20"/>
        </w:rPr>
        <w:t>.</w:t>
      </w:r>
    </w:p>
    <w:p w:rsidR="00420AC6" w:rsidRDefault="004E235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B57576" w:rsidRPr="009A221A" w:rsidRDefault="004E235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5B492B" w:rsidRDefault="004E2356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371721" w:rsidRDefault="00FA0D75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140970</wp:posOffset>
                </wp:positionV>
                <wp:extent cx="20193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height:0;margin-left:-14.9pt;margin-top:11.1pt;mso-height-percent:0;mso-height-relative:page;mso-width-percent:0;mso-width-relative:page;mso-wrap-distance-bottom:0;mso-wrap-distance-left:9pt;mso-wrap-distance-right:9pt;mso-wrap-distance-top:0;mso-wrap-style:square;position:absolute;visibility:visible;width:159pt;z-index:251659264" strokecolor="gray" strokeweight="0.25pt">
                <v:shadow color="#7f7f7f" opacity="0.5" offset="1pt"/>
              </v:shape>
            </w:pict>
          </mc:Fallback>
        </mc:AlternateContent>
      </w:r>
    </w:p>
    <w:p w:rsidR="0032169B" w:rsidRDefault="004E2356" w:rsidP="0032169B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32169B" w:rsidRDefault="004E2356" w:rsidP="0032169B">
      <w:pPr>
        <w:jc w:val="both"/>
        <w:rPr>
          <w:rFonts w:ascii="Arial" w:hAnsi="Arial" w:cs="Arial"/>
          <w:sz w:val="20"/>
          <w:szCs w:val="20"/>
        </w:rPr>
      </w:pPr>
    </w:p>
    <w:p w:rsidR="009E584F" w:rsidRDefault="009E584F" w:rsidP="0032169B">
      <w:pPr>
        <w:jc w:val="both"/>
        <w:rPr>
          <w:rFonts w:ascii="Arial" w:hAnsi="Arial" w:cs="Arial"/>
          <w:sz w:val="20"/>
          <w:szCs w:val="20"/>
        </w:rPr>
      </w:pPr>
    </w:p>
    <w:p w:rsidR="00511C5A" w:rsidRDefault="00FA0D75" w:rsidP="0032169B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ezdSprawaZnak"/>
      <w:r>
        <w:rPr>
          <w:rFonts w:ascii="Arial" w:hAnsi="Arial" w:cs="Arial"/>
          <w:bCs/>
          <w:sz w:val="20"/>
          <w:szCs w:val="20"/>
        </w:rPr>
        <w:t>DSE-I.5132.5.18.2019</w:t>
      </w:r>
      <w:bookmarkEnd w:id="2"/>
    </w:p>
    <w:p w:rsidR="005B492B" w:rsidRDefault="004E2356" w:rsidP="00E44C4C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3F1C67" w:rsidRPr="003A352D" w:rsidRDefault="004E2356" w:rsidP="005547A6">
      <w:pPr>
        <w:spacing w:line="260" w:lineRule="exact"/>
        <w:rPr>
          <w:rFonts w:ascii="Arial" w:hAnsi="Arial" w:cs="Arial"/>
          <w:sz w:val="20"/>
          <w:szCs w:val="20"/>
        </w:rPr>
      </w:pPr>
    </w:p>
    <w:p w:rsidR="00970839" w:rsidRPr="003A352D" w:rsidRDefault="004E2356" w:rsidP="005547A6">
      <w:pPr>
        <w:spacing w:line="260" w:lineRule="exact"/>
        <w:rPr>
          <w:rFonts w:ascii="Arial" w:hAnsi="Arial" w:cs="Arial"/>
          <w:sz w:val="20"/>
          <w:szCs w:val="20"/>
        </w:rPr>
        <w:sectPr w:rsidR="00970839" w:rsidRPr="003A352D" w:rsidSect="00BE64B2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085" w:right="991" w:bottom="1985" w:left="1134" w:header="57" w:footer="192" w:gutter="0"/>
          <w:cols w:space="708"/>
          <w:titlePg/>
          <w:docGrid w:linePitch="360"/>
        </w:sectPr>
      </w:pPr>
    </w:p>
    <w:p w:rsidR="00524A06" w:rsidRDefault="00524A06" w:rsidP="009E584F">
      <w:pPr>
        <w:spacing w:after="120" w:line="276" w:lineRule="auto"/>
        <w:jc w:val="both"/>
        <w:rPr>
          <w:rFonts w:ascii="Arial" w:hAnsi="Arial" w:cs="Arial"/>
          <w:i/>
          <w:sz w:val="20"/>
        </w:rPr>
      </w:pPr>
    </w:p>
    <w:p w:rsidR="00524A06" w:rsidRDefault="00524A06" w:rsidP="009E584F">
      <w:pPr>
        <w:spacing w:after="120" w:line="276" w:lineRule="auto"/>
        <w:jc w:val="both"/>
        <w:rPr>
          <w:rFonts w:ascii="Arial" w:hAnsi="Arial" w:cs="Arial"/>
          <w:i/>
          <w:sz w:val="20"/>
        </w:rPr>
      </w:pPr>
    </w:p>
    <w:p w:rsidR="009E584F" w:rsidRPr="00E01281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>Polska przebyła długą drogę od momentu wejścia do Unii w 2004 r. - doganiamy Europę pod wieloma względami. Znajdujemy się w tej chwili na zupełnie innym poziomie rozwoju gospodarczego i społecznego niż ten sprzed lat piętnastu. Polscy przedsiębiorcy są doceniani nie za niski koszt pracy, ale przede wszystkim za jakość, elastyczność i dostępność swoich usług.</w:t>
      </w:r>
    </w:p>
    <w:p w:rsidR="009E584F" w:rsidRPr="00E01281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>Niestety w ostatnich latach rozszerza się fala protekcjonizmu, który utrudnia działalność transgraniczną w</w:t>
      </w:r>
      <w:r w:rsidR="00E01281">
        <w:rPr>
          <w:rFonts w:ascii="Arial" w:hAnsi="Arial" w:cs="Arial"/>
          <w:sz w:val="20"/>
        </w:rPr>
        <w:t> </w:t>
      </w:r>
      <w:r w:rsidRPr="00E01281">
        <w:rPr>
          <w:rFonts w:ascii="Arial" w:hAnsi="Arial" w:cs="Arial"/>
          <w:sz w:val="20"/>
        </w:rPr>
        <w:t>innych państwach członkowskich. Dlatego Mi</w:t>
      </w:r>
      <w:r w:rsidR="00E01281">
        <w:rPr>
          <w:rFonts w:ascii="Arial" w:hAnsi="Arial" w:cs="Arial"/>
          <w:sz w:val="20"/>
        </w:rPr>
        <w:t xml:space="preserve">nisterstwo Przedsiębiorczości i </w:t>
      </w:r>
      <w:r w:rsidRPr="00E01281">
        <w:rPr>
          <w:rFonts w:ascii="Arial" w:hAnsi="Arial" w:cs="Arial"/>
          <w:sz w:val="20"/>
        </w:rPr>
        <w:t>Technologii we współpracy z</w:t>
      </w:r>
      <w:r w:rsidR="00E01281">
        <w:rPr>
          <w:rFonts w:ascii="Arial" w:hAnsi="Arial" w:cs="Arial"/>
          <w:sz w:val="20"/>
        </w:rPr>
        <w:t> </w:t>
      </w:r>
      <w:r w:rsidRPr="00E01281">
        <w:rPr>
          <w:rFonts w:ascii="Arial" w:hAnsi="Arial" w:cs="Arial"/>
          <w:sz w:val="20"/>
        </w:rPr>
        <w:t>Inicjatywą Mobilności Pracy postanowiło przygotować Czarną Księgę bezprawnych praktyk które są stosowane wobec przedsiębiorców transgranicznych i utrudniają realizację swobody świadczenia usług (w tym delegowanie pracowników) oraz pozostałych swobód jednolitego rynku: swobody przepływu towarów, osób i</w:t>
      </w:r>
      <w:r w:rsidR="00E01281">
        <w:rPr>
          <w:rFonts w:ascii="Arial" w:hAnsi="Arial" w:cs="Arial"/>
          <w:sz w:val="20"/>
        </w:rPr>
        <w:t> </w:t>
      </w:r>
      <w:r w:rsidRPr="00E01281">
        <w:rPr>
          <w:rFonts w:ascii="Arial" w:hAnsi="Arial" w:cs="Arial"/>
          <w:sz w:val="20"/>
        </w:rPr>
        <w:t>kapitału.</w:t>
      </w:r>
    </w:p>
    <w:p w:rsidR="009E584F" w:rsidRPr="00E01281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>Kluczowym elementem dla powstania Księgi są informacje o k</w:t>
      </w:r>
      <w:r w:rsidR="00E01281">
        <w:rPr>
          <w:rFonts w:ascii="Arial" w:hAnsi="Arial" w:cs="Arial"/>
          <w:sz w:val="20"/>
        </w:rPr>
        <w:t xml:space="preserve">onkretnych przypadkach barier i </w:t>
      </w:r>
      <w:r w:rsidRPr="00E01281">
        <w:rPr>
          <w:rFonts w:ascii="Arial" w:hAnsi="Arial" w:cs="Arial"/>
          <w:sz w:val="20"/>
        </w:rPr>
        <w:t>nadużyć, z</w:t>
      </w:r>
      <w:r w:rsidR="00E01281">
        <w:rPr>
          <w:rFonts w:ascii="Arial" w:hAnsi="Arial" w:cs="Arial"/>
          <w:sz w:val="20"/>
        </w:rPr>
        <w:t> </w:t>
      </w:r>
      <w:r w:rsidRPr="00E01281">
        <w:rPr>
          <w:rFonts w:ascii="Arial" w:hAnsi="Arial" w:cs="Arial"/>
          <w:sz w:val="20"/>
        </w:rPr>
        <w:t xml:space="preserve">którymi się Państwo borykają. Konkretne przypadki to wskazanie sytuacji, urzędów, przepisów w innych państwach członkowskich, które nakładają niepotrzebne, nieproporcjonalne ograniczenia. Bez takich informacji polska administracja niewiele może zrobić by Państwu pomóc, bo dla naszych partnerów na forum UE oraz w innych państwach członkowskich brak konkretnych przypadków oraz brak skarg oznacza brak rzeczywistego problemu. </w:t>
      </w:r>
    </w:p>
    <w:p w:rsidR="009E584F" w:rsidRPr="00E01281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Czarna Księga będzie wspierać argumentację Polski dot. przeciwdziałania protekcjonistycznym praktykom. Informacje, które od Państwa otrzymamy, po ich </w:t>
      </w:r>
      <w:proofErr w:type="spellStart"/>
      <w:r w:rsidRPr="00E01281">
        <w:rPr>
          <w:rFonts w:ascii="Arial" w:hAnsi="Arial" w:cs="Arial"/>
          <w:sz w:val="20"/>
        </w:rPr>
        <w:t>anonimizacji</w:t>
      </w:r>
      <w:proofErr w:type="spellEnd"/>
      <w:r w:rsidRPr="00E01281">
        <w:rPr>
          <w:rFonts w:ascii="Arial" w:hAnsi="Arial" w:cs="Arial"/>
          <w:sz w:val="20"/>
        </w:rPr>
        <w:t xml:space="preserve">, pomogą chronić Państwa interesy na </w:t>
      </w:r>
      <w:r w:rsidR="00524A06">
        <w:rPr>
          <w:rFonts w:ascii="Arial" w:hAnsi="Arial" w:cs="Arial"/>
          <w:sz w:val="20"/>
        </w:rPr>
        <w:t>jednolitym rynku</w:t>
      </w:r>
      <w:r w:rsidRPr="00E01281">
        <w:rPr>
          <w:rFonts w:ascii="Arial" w:hAnsi="Arial" w:cs="Arial"/>
          <w:sz w:val="20"/>
        </w:rPr>
        <w:t>. Argumenty, których dostarczy Księga będą wykorzystywane podczas prac nad kształtem nowych przepisów</w:t>
      </w:r>
      <w:r w:rsidRPr="00E01281">
        <w:rPr>
          <w:rFonts w:ascii="Arial" w:hAnsi="Arial" w:cs="Arial"/>
          <w:b/>
          <w:bCs/>
          <w:sz w:val="20"/>
        </w:rPr>
        <w:t xml:space="preserve"> </w:t>
      </w:r>
      <w:r w:rsidRPr="00E01281">
        <w:rPr>
          <w:rFonts w:ascii="Arial" w:hAnsi="Arial" w:cs="Arial"/>
          <w:sz w:val="20"/>
        </w:rPr>
        <w:t xml:space="preserve">unijnych, a także pomogą w poszukiwaniu rozwiązań konkretnych problemów. </w:t>
      </w:r>
    </w:p>
    <w:p w:rsidR="00860E7A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Dlatego </w:t>
      </w:r>
      <w:r w:rsidR="00524A06">
        <w:rPr>
          <w:rFonts w:ascii="Arial" w:hAnsi="Arial" w:cs="Arial"/>
          <w:sz w:val="20"/>
        </w:rPr>
        <w:t xml:space="preserve">zwracam się </w:t>
      </w:r>
      <w:r w:rsidR="00860E7A">
        <w:rPr>
          <w:rFonts w:ascii="Arial" w:hAnsi="Arial" w:cs="Arial"/>
          <w:sz w:val="20"/>
        </w:rPr>
        <w:t xml:space="preserve">do Państwa </w:t>
      </w:r>
      <w:r w:rsidR="00524A06">
        <w:rPr>
          <w:rFonts w:ascii="Arial" w:hAnsi="Arial" w:cs="Arial"/>
          <w:sz w:val="20"/>
        </w:rPr>
        <w:t xml:space="preserve">z prośbą </w:t>
      </w:r>
      <w:r w:rsidR="00860E7A">
        <w:rPr>
          <w:rFonts w:ascii="Arial" w:hAnsi="Arial" w:cs="Arial"/>
          <w:sz w:val="20"/>
        </w:rPr>
        <w:t xml:space="preserve">o informacje </w:t>
      </w:r>
      <w:r w:rsidRPr="00E01281">
        <w:rPr>
          <w:rFonts w:ascii="Arial" w:hAnsi="Arial" w:cs="Arial"/>
          <w:sz w:val="20"/>
        </w:rPr>
        <w:t>dot. trudności z którymi sobie radzi</w:t>
      </w:r>
      <w:r w:rsidR="00860E7A">
        <w:rPr>
          <w:rFonts w:ascii="Arial" w:hAnsi="Arial" w:cs="Arial"/>
          <w:sz w:val="20"/>
        </w:rPr>
        <w:t>cie</w:t>
      </w:r>
      <w:r w:rsidRPr="00E01281">
        <w:rPr>
          <w:rFonts w:ascii="Arial" w:hAnsi="Arial" w:cs="Arial"/>
          <w:sz w:val="20"/>
        </w:rPr>
        <w:t xml:space="preserve">, prowadząc działalność na rynku UE. </w:t>
      </w:r>
    </w:p>
    <w:p w:rsidR="009E584F" w:rsidRPr="00E01281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>Skąd czerpią Państwo wiedzę jakie wymogi i formalności trzeba spełnić aby móc prowadzić działalność w innych krajach UE? Czy problemem jest konieczność założenia konta w banku w</w:t>
      </w:r>
      <w:r w:rsidR="00E01281">
        <w:rPr>
          <w:rFonts w:ascii="Arial" w:hAnsi="Arial" w:cs="Arial"/>
          <w:sz w:val="20"/>
        </w:rPr>
        <w:t> </w:t>
      </w:r>
      <w:r w:rsidRPr="00E01281">
        <w:rPr>
          <w:rFonts w:ascii="Arial" w:hAnsi="Arial" w:cs="Arial"/>
          <w:sz w:val="20"/>
        </w:rPr>
        <w:t>innym państwie członkowskim? Czy należy zdobyć dodatkowe certyfikaty, pozwolenia? Czy nal</w:t>
      </w:r>
      <w:r w:rsidR="00524A06">
        <w:rPr>
          <w:rFonts w:ascii="Arial" w:hAnsi="Arial" w:cs="Arial"/>
          <w:sz w:val="20"/>
        </w:rPr>
        <w:t xml:space="preserve">eży spełnić dodatkowe wymagania lokalne, ale tez </w:t>
      </w:r>
      <w:r w:rsidRPr="00E01281">
        <w:rPr>
          <w:rFonts w:ascii="Arial" w:hAnsi="Arial" w:cs="Arial"/>
          <w:sz w:val="20"/>
        </w:rPr>
        <w:t>zdrowotne, ubezpieczeniowe, środowiskowe, itp.? Czy istnieją problemy z delegowaniem pracowników? Czy skompletowanie potrzebnej dokumentacji to problem? Czy kontrole w państwie świadczenia usługi są częste lub uciążliwe</w:t>
      </w:r>
      <w:r w:rsidR="00524A06">
        <w:rPr>
          <w:rFonts w:ascii="Arial" w:hAnsi="Arial" w:cs="Arial"/>
          <w:sz w:val="20"/>
        </w:rPr>
        <w:t>, a</w:t>
      </w:r>
      <w:r w:rsidRPr="00E01281">
        <w:rPr>
          <w:rFonts w:ascii="Arial" w:hAnsi="Arial" w:cs="Arial"/>
          <w:sz w:val="20"/>
        </w:rPr>
        <w:t xml:space="preserve"> kary proporcjonalne do ewentualnych uchybień (czy są raczej niewspółmierne)?</w:t>
      </w:r>
    </w:p>
    <w:p w:rsidR="00AE25BA" w:rsidRDefault="009E584F" w:rsidP="009E584F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>Zapraszam do współpracy. Razem naprawdę możemy więcej!</w:t>
      </w:r>
    </w:p>
    <w:p w:rsidR="00E01281" w:rsidRDefault="00E01281" w:rsidP="009E584F">
      <w:pPr>
        <w:spacing w:after="120" w:line="276" w:lineRule="auto"/>
        <w:jc w:val="both"/>
        <w:rPr>
          <w:rFonts w:ascii="Arial" w:hAnsi="Arial" w:cs="Arial"/>
          <w:sz w:val="20"/>
        </w:rPr>
      </w:pPr>
    </w:p>
    <w:p w:rsidR="00E01281" w:rsidRPr="00E01281" w:rsidRDefault="00E01281" w:rsidP="00524A06">
      <w:pPr>
        <w:spacing w:after="120" w:line="276" w:lineRule="auto"/>
        <w:ind w:left="5812"/>
        <w:jc w:val="both"/>
        <w:rPr>
          <w:rFonts w:ascii="Arial" w:hAnsi="Arial" w:cs="Arial"/>
          <w:sz w:val="20"/>
        </w:rPr>
      </w:pPr>
    </w:p>
    <w:sectPr w:rsidR="00E01281" w:rsidRPr="00E01281" w:rsidSect="00BE64B2">
      <w:type w:val="continuous"/>
      <w:pgSz w:w="11906" w:h="16838" w:code="9"/>
      <w:pgMar w:top="1134" w:right="991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56" w:rsidRDefault="004E2356">
      <w:r>
        <w:separator/>
      </w:r>
    </w:p>
  </w:endnote>
  <w:endnote w:type="continuationSeparator" w:id="0">
    <w:p w:rsidR="004E2356" w:rsidRDefault="004E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A0D75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E23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FA0D75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9E584F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4E23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3C5" w:rsidRPr="002F4832" w:rsidRDefault="004E2356" w:rsidP="00BD43C5">
    <w:pPr>
      <w:rPr>
        <w:rFonts w:ascii="Arial" w:hAnsi="Arial" w:cs="Arial"/>
        <w:sz w:val="20"/>
        <w:szCs w:val="20"/>
      </w:rPr>
    </w:pPr>
  </w:p>
  <w:p w:rsidR="00BD43C5" w:rsidRPr="002F4832" w:rsidRDefault="00FA0D75" w:rsidP="00BD43C5">
    <w:pPr>
      <w:rPr>
        <w:rFonts w:ascii="Arial" w:hAnsi="Arial" w:cs="Arial"/>
        <w:sz w:val="20"/>
        <w:szCs w:val="20"/>
      </w:rPr>
    </w:pPr>
    <w:bookmarkStart w:id="3" w:name="ezdPracownikAtrybut1"/>
    <w:bookmarkEnd w:id="3"/>
    <w:r w:rsidRPr="002F4832">
      <w:rPr>
        <w:rFonts w:ascii="Arial" w:hAnsi="Arial" w:cs="Arial"/>
        <w:sz w:val="20"/>
        <w:szCs w:val="20"/>
      </w:rPr>
      <w:t xml:space="preserve"> </w:t>
    </w:r>
    <w:bookmarkStart w:id="4" w:name="ezdPracownikNazwa"/>
    <w:bookmarkEnd w:id="4"/>
  </w:p>
  <w:p w:rsidR="00BD43C5" w:rsidRPr="00BD43C5" w:rsidRDefault="00FA0D75">
    <w:pPr>
      <w:rPr>
        <w:rFonts w:ascii="Arial" w:hAnsi="Arial" w:cs="Arial"/>
        <w:b/>
        <w:sz w:val="20"/>
        <w:szCs w:val="20"/>
      </w:rPr>
    </w:pPr>
    <w:bookmarkStart w:id="5" w:name="ezdPracownikAtrybut2"/>
    <w:bookmarkEnd w:id="5"/>
    <w:r w:rsidRPr="003F733A">
      <w:rPr>
        <w:rFonts w:ascii="Arial" w:hAnsi="Arial" w:cs="Arial"/>
        <w:b/>
        <w:sz w:val="20"/>
        <w:szCs w:val="20"/>
      </w:rPr>
      <w:t xml:space="preserve"> </w:t>
    </w:r>
    <w:bookmarkStart w:id="6" w:name="ezdDataPodpisu_2"/>
    <w:bookmarkEnd w:id="6"/>
  </w:p>
  <w:tbl>
    <w:tblPr>
      <w:tblStyle w:val="Tabela-Siatka"/>
      <w:tblW w:w="11904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9771"/>
      <w:gridCol w:w="739"/>
    </w:tblGrid>
    <w:tr w:rsidR="00486E71" w:rsidTr="00BE64B2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4E2356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4E2356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4E2356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9771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4E2356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739" w:type="dxa"/>
          <w:tcBorders>
            <w:top w:val="nil"/>
            <w:left w:val="nil"/>
            <w:bottom w:val="nil"/>
          </w:tcBorders>
        </w:tcPr>
        <w:p w:rsidR="00F479F9" w:rsidRPr="000318FA" w:rsidRDefault="004E2356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486E71" w:rsidTr="00BE64B2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113FA2" w:rsidRDefault="004E2356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9771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7A2C88" w:rsidRPr="00C832F7" w:rsidRDefault="00FA0D75" w:rsidP="00BE64B2">
          <w:pPr>
            <w:pStyle w:val="Stopka"/>
            <w:rPr>
              <w:rFonts w:asciiTheme="minorHAnsi" w:hAnsiTheme="minorHAnsi"/>
              <w:sz w:val="15"/>
              <w:szCs w:val="15"/>
            </w:rPr>
          </w:pPr>
          <w:r>
            <w:rPr>
              <w:rFonts w:asciiTheme="minorHAnsi" w:hAnsiTheme="minorHAnsi"/>
              <w:sz w:val="15"/>
              <w:szCs w:val="15"/>
            </w:rPr>
            <w:t xml:space="preserve">              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>
            <w:rPr>
              <w:rFonts w:asciiTheme="minorHAnsi" w:hAnsiTheme="minorHAnsi"/>
              <w:sz w:val="15"/>
              <w:szCs w:val="15"/>
            </w:rPr>
            <w:t>Przedsiębiorczości i Technologii, 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>
            <w:rPr>
              <w:rFonts w:asciiTheme="minorHAnsi" w:hAnsiTheme="minorHAnsi"/>
              <w:sz w:val="15"/>
              <w:szCs w:val="15"/>
            </w:rPr>
            <w:t xml:space="preserve">; </w:t>
          </w:r>
          <w:r w:rsidRPr="00060620">
            <w:rPr>
              <w:rFonts w:asciiTheme="minorHAnsi" w:hAnsiTheme="minorHAnsi"/>
              <w:sz w:val="15"/>
              <w:szCs w:val="15"/>
            </w:rPr>
            <w:t>tel.</w:t>
          </w:r>
          <w:r>
            <w:rPr>
              <w:rFonts w:asciiTheme="minorHAnsi" w:hAnsiTheme="minorHAnsi"/>
              <w:sz w:val="15"/>
              <w:szCs w:val="15"/>
            </w:rPr>
            <w:t>: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22</w:t>
          </w:r>
          <w:r>
            <w:rPr>
              <w:rFonts w:asciiTheme="minorHAnsi" w:hAnsiTheme="minorHAnsi"/>
              <w:sz w:val="15"/>
              <w:szCs w:val="15"/>
            </w:rPr>
            <w:t> </w:t>
          </w:r>
          <w:r w:rsidRPr="00505D72"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>262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shd w:val="clear" w:color="auto" w:fill="FFFFFF"/>
            </w:rPr>
            <w:t xml:space="preserve"> 90 00</w:t>
          </w:r>
          <w:r w:rsidRPr="00A36D23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www</w:t>
          </w:r>
          <w:r w:rsidRPr="00A36D23">
            <w:rPr>
              <w:rFonts w:asciiTheme="minorHAnsi" w:hAnsiTheme="minorHAnsi"/>
              <w:sz w:val="15"/>
              <w:szCs w:val="15"/>
            </w:rPr>
            <w:t>.gov.pl</w:t>
          </w:r>
        </w:p>
        <w:p w:rsidR="00113FA2" w:rsidRPr="00665640" w:rsidRDefault="004E2356" w:rsidP="00E2463D">
          <w:pPr>
            <w:pStyle w:val="Stopka"/>
            <w:rPr>
              <w:rFonts w:asciiTheme="minorHAnsi" w:hAnsiTheme="minorHAnsi" w:cstheme="minorHAnsi"/>
              <w:sz w:val="15"/>
              <w:szCs w:val="15"/>
            </w:rPr>
          </w:pPr>
        </w:p>
      </w:tc>
      <w:tc>
        <w:tcPr>
          <w:tcW w:w="739" w:type="dxa"/>
          <w:tcBorders>
            <w:top w:val="nil"/>
            <w:left w:val="nil"/>
            <w:bottom w:val="nil"/>
          </w:tcBorders>
        </w:tcPr>
        <w:p w:rsidR="00113FA2" w:rsidRDefault="004E2356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4E2356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56" w:rsidRDefault="004E2356">
      <w:r>
        <w:separator/>
      </w:r>
    </w:p>
  </w:footnote>
  <w:footnote w:type="continuationSeparator" w:id="0">
    <w:p w:rsidR="004E2356" w:rsidRDefault="004E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FA0D75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FA0D75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6100" cy="546100"/>
                                <wp:effectExtent l="0" t="0" r="6350" b="6350"/>
                                <wp:docPr id="2020416763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57576" w:rsidRDefault="00FA0D75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 xml:space="preserve">MINISTER </w:t>
                          </w:r>
                        </w:p>
                        <w:p w:rsidR="00B57576" w:rsidRDefault="00FA0D75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PRZEDSIĘBIORCZOŚCI</w:t>
                          </w:r>
                        </w:p>
                        <w:p w:rsidR="00B57576" w:rsidRPr="001D3444" w:rsidRDefault="00FA0D75" w:rsidP="00B5757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AD2F91" w:rsidRPr="009B1911" w:rsidRDefault="004E2356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C679F3" w:rsidRPr="009B1911" w:rsidRDefault="00FA0D75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JADWIGA EMILEWICZ</w:t>
                          </w:r>
                        </w:p>
                        <w:p w:rsidR="00AD2F91" w:rsidRPr="009B1911" w:rsidRDefault="004E2356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2049" type="#_x0000_t202" style="height:137.4pt;margin-left:-36.4pt;margin-top:32.45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width:206.6pt;z-index:251659264" stroked="f">
              <v:textbox style="mso-fit-shape-to-text:t">
                <w:txbxContent>
                  <w:p w:rsidR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6100" cy="546100"/>
                          <wp:effectExtent l="0" t="0" r="6350" b="6350"/>
                          <wp:docPr id="449310388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57576" w:rsidP="00B57576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 xml:space="preserve">MINISTER </w:t>
                    </w:r>
                  </w:p>
                  <w:p w:rsidR="00B57576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PRZEDSIĘBIORCZOŚCI</w:t>
                    </w:r>
                  </w:p>
                  <w:p w:rsidR="00B57576" w:rsidRPr="001D3444" w:rsidP="00B57576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AD2F91" w:rsidRPr="009B1911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C679F3" w:rsidRPr="009B1911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JADWIGA EMILEWICZ</w:t>
                    </w:r>
                  </w:p>
                  <w:p w:rsidR="00AD2F91" w:rsidRPr="009B191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965E1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DA0F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EC92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445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EC53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4885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FAB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C29B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2C9E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220F5E"/>
    <w:multiLevelType w:val="hybridMultilevel"/>
    <w:tmpl w:val="54640F68"/>
    <w:lvl w:ilvl="0" w:tplc="10026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0A6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0AB4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B62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941A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38F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DEC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52A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1470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71"/>
    <w:rsid w:val="001903BC"/>
    <w:rsid w:val="001A5B61"/>
    <w:rsid w:val="00486E71"/>
    <w:rsid w:val="004E2356"/>
    <w:rsid w:val="00524A06"/>
    <w:rsid w:val="006228F7"/>
    <w:rsid w:val="006E5BD1"/>
    <w:rsid w:val="00860E7A"/>
    <w:rsid w:val="009E584F"/>
    <w:rsid w:val="00B47080"/>
    <w:rsid w:val="00E01281"/>
    <w:rsid w:val="00E75BC0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CB2C3-2857-486C-AC0D-AD4F8685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Wioleta Podwysocka</cp:lastModifiedBy>
  <cp:revision>2</cp:revision>
  <cp:lastPrinted>2015-11-16T13:16:00Z</cp:lastPrinted>
  <dcterms:created xsi:type="dcterms:W3CDTF">2019-08-13T07:05:00Z</dcterms:created>
  <dcterms:modified xsi:type="dcterms:W3CDTF">2019-08-13T07:05:00Z</dcterms:modified>
</cp:coreProperties>
</file>