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FD" w:rsidRDefault="004858FC" w:rsidP="006501FD">
      <w:pPr>
        <w:tabs>
          <w:tab w:val="left" w:pos="5865"/>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Załącznik B.98</w:t>
      </w:r>
      <w:bookmarkStart w:id="0" w:name="_GoBack"/>
      <w:bookmarkEnd w:id="0"/>
      <w:r w:rsidR="006501FD" w:rsidRPr="006501FD">
        <w:rPr>
          <w:rFonts w:ascii="Times New Roman" w:eastAsia="Times New Roman" w:hAnsi="Times New Roman" w:cs="Times New Roman"/>
          <w:szCs w:val="20"/>
          <w:lang w:eastAsia="pl-PL"/>
        </w:rPr>
        <w:t>.</w:t>
      </w:r>
    </w:p>
    <w:p w:rsidR="006501FD" w:rsidRPr="006501FD" w:rsidRDefault="006501FD" w:rsidP="006501FD">
      <w:pPr>
        <w:tabs>
          <w:tab w:val="left" w:pos="5865"/>
        </w:tabs>
        <w:spacing w:after="0" w:line="240" w:lineRule="auto"/>
        <w:jc w:val="both"/>
        <w:rPr>
          <w:rFonts w:ascii="Times New Roman" w:eastAsia="Times New Roman" w:hAnsi="Times New Roman" w:cs="Times New Roman"/>
          <w:b/>
          <w:lang w:eastAsia="pl-PL"/>
        </w:rPr>
      </w:pPr>
    </w:p>
    <w:p w:rsidR="009B6E4C" w:rsidRPr="009B6E4C" w:rsidRDefault="009B6E4C" w:rsidP="006501FD">
      <w:pPr>
        <w:tabs>
          <w:tab w:val="left" w:pos="5865"/>
        </w:tabs>
        <w:spacing w:after="240" w:line="240" w:lineRule="auto"/>
        <w:jc w:val="both"/>
        <w:rPr>
          <w:rFonts w:ascii="Times New Roman" w:eastAsia="Times New Roman" w:hAnsi="Times New Roman" w:cs="Times New Roman"/>
          <w:b/>
          <w:sz w:val="28"/>
          <w:szCs w:val="24"/>
          <w:lang w:eastAsia="pl-PL"/>
        </w:rPr>
      </w:pPr>
      <w:r w:rsidRPr="009B6E4C">
        <w:rPr>
          <w:rFonts w:ascii="Times New Roman" w:eastAsia="Times New Roman" w:hAnsi="Times New Roman" w:cs="Times New Roman"/>
          <w:b/>
          <w:sz w:val="28"/>
          <w:szCs w:val="24"/>
          <w:lang w:eastAsia="pl-PL"/>
        </w:rPr>
        <w:t>LECZENIE</w:t>
      </w:r>
      <w:r w:rsidR="00C85CE2" w:rsidRPr="00C85CE2">
        <w:rPr>
          <w:rFonts w:ascii="Times New Roman" w:eastAsia="Times New Roman" w:hAnsi="Times New Roman" w:cs="Times New Roman"/>
          <w:b/>
          <w:sz w:val="28"/>
          <w:szCs w:val="24"/>
          <w:lang w:eastAsia="pl-PL"/>
        </w:rPr>
        <w:t xml:space="preserve"> PEDIATRYCZNYCH CHORYCH NA PRZEWLEKŁĄ PIERWOTNĄ MAŁOPŁYTKOWOŚĆ IMMUNOLOGICZNĄ (ICD-10 D69.3)</w:t>
      </w:r>
    </w:p>
    <w:tbl>
      <w:tblPr>
        <w:tblStyle w:val="Tabela-Siatka"/>
        <w:tblW w:w="5000" w:type="pct"/>
        <w:tblLook w:val="04A0" w:firstRow="1" w:lastRow="0" w:firstColumn="1" w:lastColumn="0" w:noHBand="0" w:noVBand="1"/>
      </w:tblPr>
      <w:tblGrid>
        <w:gridCol w:w="5333"/>
        <w:gridCol w:w="4755"/>
        <w:gridCol w:w="5300"/>
      </w:tblGrid>
      <w:tr w:rsidR="00C85CE2" w:rsidRPr="00455A9D" w:rsidTr="00C85CE2">
        <w:trPr>
          <w:trHeight w:val="441"/>
        </w:trPr>
        <w:tc>
          <w:tcPr>
            <w:tcW w:w="5000" w:type="pct"/>
            <w:gridSpan w:val="3"/>
            <w:vAlign w:val="center"/>
          </w:tcPr>
          <w:p w:rsidR="00C85CE2" w:rsidRPr="00455A9D" w:rsidRDefault="00C85CE2" w:rsidP="002739CF">
            <w:pPr>
              <w:widowControl w:val="0"/>
              <w:spacing w:line="276" w:lineRule="auto"/>
              <w:jc w:val="center"/>
              <w:rPr>
                <w:rFonts w:ascii="Times New Roman" w:eastAsia="Times New Roman" w:hAnsi="Times New Roman" w:cs="Times New Roman"/>
                <w:b/>
                <w:lang w:eastAsia="pl-PL"/>
              </w:rPr>
            </w:pPr>
            <w:r w:rsidRPr="00455A9D">
              <w:rPr>
                <w:rFonts w:ascii="Times New Roman" w:eastAsia="Times New Roman" w:hAnsi="Times New Roman" w:cs="Times New Roman"/>
                <w:b/>
                <w:lang w:eastAsia="pl-PL"/>
              </w:rPr>
              <w:t>ZAKRES ŚWIADCZENIA GWARANTOWANEGO</w:t>
            </w:r>
          </w:p>
        </w:tc>
      </w:tr>
      <w:tr w:rsidR="00C85CE2" w:rsidRPr="00356B37" w:rsidTr="002739CF">
        <w:trPr>
          <w:trHeight w:val="595"/>
        </w:trPr>
        <w:tc>
          <w:tcPr>
            <w:tcW w:w="1733" w:type="pct"/>
            <w:vAlign w:val="center"/>
          </w:tcPr>
          <w:p w:rsidR="00C85CE2" w:rsidRPr="00C85CE2" w:rsidRDefault="00C85CE2" w:rsidP="002739CF">
            <w:pPr>
              <w:widowControl w:val="0"/>
              <w:spacing w:line="276" w:lineRule="auto"/>
              <w:jc w:val="center"/>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ŚWIADCZENIOBIORCY</w:t>
            </w:r>
          </w:p>
        </w:tc>
        <w:tc>
          <w:tcPr>
            <w:tcW w:w="1545" w:type="pct"/>
            <w:vAlign w:val="center"/>
          </w:tcPr>
          <w:p w:rsidR="00C85CE2" w:rsidRPr="00C85CE2" w:rsidRDefault="00C85CE2" w:rsidP="002739CF">
            <w:pPr>
              <w:widowControl w:val="0"/>
              <w:spacing w:line="276" w:lineRule="auto"/>
              <w:jc w:val="center"/>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SCHEMAT DAWKOWANIA LEKÓW W PROGRAMIE</w:t>
            </w:r>
          </w:p>
        </w:tc>
        <w:tc>
          <w:tcPr>
            <w:tcW w:w="1722" w:type="pct"/>
            <w:vAlign w:val="center"/>
          </w:tcPr>
          <w:p w:rsidR="00C85CE2" w:rsidRPr="00C85CE2" w:rsidRDefault="00C85CE2" w:rsidP="002739CF">
            <w:pPr>
              <w:widowControl w:val="0"/>
              <w:spacing w:line="276" w:lineRule="auto"/>
              <w:jc w:val="center"/>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BADANIA DIAGNOSTYCZNE WYKONYWANE W RAMACH PROGRAMU</w:t>
            </w:r>
          </w:p>
        </w:tc>
      </w:tr>
      <w:tr w:rsidR="00C85CE2" w:rsidRPr="00356B37" w:rsidTr="002739CF">
        <w:tc>
          <w:tcPr>
            <w:tcW w:w="1733" w:type="pct"/>
          </w:tcPr>
          <w:p w:rsidR="00C85CE2" w:rsidRPr="00C85CE2" w:rsidRDefault="00C85CE2" w:rsidP="00C85CE2">
            <w:pPr>
              <w:pStyle w:val="Akapitzlist"/>
              <w:widowControl w:val="0"/>
              <w:numPr>
                <w:ilvl w:val="0"/>
                <w:numId w:val="2"/>
              </w:numPr>
              <w:spacing w:before="120" w:after="120" w:line="276" w:lineRule="auto"/>
              <w:ind w:left="357" w:hanging="357"/>
              <w:contextualSpacing w:val="0"/>
              <w:jc w:val="both"/>
              <w:rPr>
                <w:rFonts w:ascii="Times New Roman" w:hAnsi="Times New Roman" w:cs="Times New Roman"/>
                <w:b/>
                <w:bCs/>
                <w:spacing w:val="4"/>
                <w:sz w:val="20"/>
                <w:szCs w:val="20"/>
              </w:rPr>
            </w:pPr>
            <w:r w:rsidRPr="00C85CE2">
              <w:rPr>
                <w:rFonts w:ascii="Times New Roman" w:hAnsi="Times New Roman" w:cs="Times New Roman"/>
                <w:b/>
                <w:bCs/>
                <w:spacing w:val="4"/>
                <w:sz w:val="20"/>
                <w:szCs w:val="20"/>
              </w:rPr>
              <w:t>Kryteria kwalifikacji:</w:t>
            </w:r>
          </w:p>
          <w:p w:rsidR="00C85CE2" w:rsidRPr="00C85CE2" w:rsidRDefault="00C85CE2" w:rsidP="00C85CE2">
            <w:pPr>
              <w:pStyle w:val="Akapitzlist"/>
              <w:numPr>
                <w:ilvl w:val="0"/>
                <w:numId w:val="8"/>
              </w:numPr>
              <w:autoSpaceDE w:val="0"/>
              <w:autoSpaceDN w:val="0"/>
              <w:spacing w:line="276" w:lineRule="auto"/>
              <w:ind w:left="284" w:hanging="142"/>
              <w:contextualSpacing w:val="0"/>
              <w:rPr>
                <w:rFonts w:ascii="Times New Roman" w:hAnsi="Times New Roman" w:cs="Times New Roman"/>
                <w:sz w:val="20"/>
                <w:szCs w:val="20"/>
              </w:rPr>
            </w:pPr>
            <w:r w:rsidRPr="00C85CE2">
              <w:rPr>
                <w:rFonts w:ascii="Times New Roman" w:hAnsi="Times New Roman" w:cs="Times New Roman"/>
                <w:sz w:val="20"/>
                <w:szCs w:val="20"/>
              </w:rPr>
              <w:t xml:space="preserve">wiek: od 1 do 18 roku życia;  </w:t>
            </w:r>
          </w:p>
          <w:p w:rsidR="00C85CE2" w:rsidRPr="00C85CE2" w:rsidRDefault="00C85CE2" w:rsidP="00C85CE2">
            <w:pPr>
              <w:pStyle w:val="Akapitzlist"/>
              <w:numPr>
                <w:ilvl w:val="0"/>
                <w:numId w:val="8"/>
              </w:numPr>
              <w:spacing w:line="276" w:lineRule="auto"/>
              <w:ind w:left="284" w:hanging="142"/>
              <w:contextualSpacing w:val="0"/>
              <w:rPr>
                <w:rFonts w:ascii="Times New Roman" w:hAnsi="Times New Roman" w:cs="Times New Roman"/>
                <w:sz w:val="20"/>
                <w:szCs w:val="20"/>
              </w:rPr>
            </w:pPr>
            <w:r w:rsidRPr="00C85CE2">
              <w:rPr>
                <w:rFonts w:ascii="Times New Roman" w:hAnsi="Times New Roman" w:cs="Times New Roman"/>
                <w:sz w:val="20"/>
                <w:szCs w:val="20"/>
              </w:rPr>
              <w:t xml:space="preserve">rozpoznanie przewlekłej (trwającej powyżej 12 miesięcy), pierwotnej małopłytkowości immunologicznej (ITP); </w:t>
            </w:r>
          </w:p>
          <w:p w:rsidR="00C85CE2" w:rsidRPr="00C85CE2" w:rsidRDefault="00C85CE2" w:rsidP="00C85CE2">
            <w:pPr>
              <w:pStyle w:val="Akapitzlist"/>
              <w:numPr>
                <w:ilvl w:val="0"/>
                <w:numId w:val="8"/>
              </w:numPr>
              <w:spacing w:line="276" w:lineRule="auto"/>
              <w:ind w:left="284" w:hanging="142"/>
              <w:rPr>
                <w:rFonts w:ascii="Times New Roman" w:hAnsi="Times New Roman" w:cs="Times New Roman"/>
                <w:sz w:val="20"/>
                <w:szCs w:val="20"/>
              </w:rPr>
            </w:pPr>
            <w:r w:rsidRPr="00C85CE2">
              <w:rPr>
                <w:rFonts w:ascii="Times New Roman" w:hAnsi="Times New Roman" w:cs="Times New Roman"/>
                <w:sz w:val="20"/>
                <w:szCs w:val="20"/>
              </w:rPr>
              <w:t xml:space="preserve">niedostateczna odpowiedź na wcześniejsze standardowe leczenie farmakologiczne ITP z zastosowaniem dożylnych immunoglobulin i kortykosteroidów. </w:t>
            </w:r>
          </w:p>
          <w:p w:rsidR="00C85CE2" w:rsidRPr="00C85CE2" w:rsidRDefault="00C85CE2" w:rsidP="00C85CE2">
            <w:pPr>
              <w:spacing w:after="120" w:line="276" w:lineRule="auto"/>
              <w:rPr>
                <w:rFonts w:ascii="Times New Roman" w:hAnsi="Times New Roman" w:cs="Times New Roman"/>
                <w:sz w:val="20"/>
                <w:szCs w:val="20"/>
              </w:rPr>
            </w:pPr>
            <w:r w:rsidRPr="00C85CE2">
              <w:rPr>
                <w:rFonts w:ascii="Times New Roman" w:hAnsi="Times New Roman" w:cs="Times New Roman"/>
                <w:sz w:val="20"/>
                <w:szCs w:val="20"/>
              </w:rPr>
              <w:t>Kryteria kwalifikacji muszą być spełnione łącznie.</w:t>
            </w:r>
          </w:p>
          <w:p w:rsidR="00C85CE2" w:rsidRPr="00C85CE2" w:rsidRDefault="00C85CE2" w:rsidP="00C85CE2">
            <w:pPr>
              <w:spacing w:line="276" w:lineRule="auto"/>
              <w:rPr>
                <w:rFonts w:ascii="Times New Roman" w:hAnsi="Times New Roman" w:cs="Times New Roman"/>
                <w:bCs/>
                <w:sz w:val="20"/>
                <w:szCs w:val="20"/>
              </w:rPr>
            </w:pPr>
            <w:r w:rsidRPr="00C85CE2">
              <w:rPr>
                <w:rFonts w:ascii="Times New Roman" w:hAnsi="Times New Roman" w:cs="Times New Roman"/>
                <w:sz w:val="20"/>
                <w:szCs w:val="20"/>
              </w:rPr>
              <w:t xml:space="preserve">Pacjenci pozostający w leczeniu w ramach tego programu lekowego, po </w:t>
            </w:r>
            <w:r w:rsidRPr="00C85CE2">
              <w:rPr>
                <w:rFonts w:ascii="Times New Roman" w:hAnsi="Times New Roman" w:cs="Times New Roman"/>
                <w:bCs/>
                <w:sz w:val="20"/>
                <w:szCs w:val="20"/>
              </w:rPr>
              <w:t>osiągnięciu pełnoletniości mogą być leczeni w programie lekowym „</w:t>
            </w:r>
            <w:r w:rsidRPr="00C85CE2">
              <w:rPr>
                <w:rFonts w:ascii="Times New Roman" w:hAnsi="Times New Roman" w:cs="Times New Roman"/>
                <w:sz w:val="20"/>
                <w:szCs w:val="20"/>
              </w:rPr>
              <w:t xml:space="preserve">Leczenie dorosłych chorych na pierwotną małopłytkowość immunologiczną </w:t>
            </w:r>
            <w:r w:rsidRPr="00C85CE2">
              <w:rPr>
                <w:rFonts w:ascii="Times New Roman" w:hAnsi="Times New Roman" w:cs="Times New Roman"/>
                <w:iCs/>
                <w:sz w:val="20"/>
                <w:szCs w:val="20"/>
              </w:rPr>
              <w:t>(ICD-10</w:t>
            </w:r>
            <w:r w:rsidRPr="00C85CE2">
              <w:rPr>
                <w:rFonts w:ascii="Times New Roman" w:hAnsi="Times New Roman" w:cs="Times New Roman"/>
                <w:sz w:val="20"/>
                <w:szCs w:val="20"/>
              </w:rPr>
              <w:t xml:space="preserve"> D69.3)”</w:t>
            </w:r>
            <w:r w:rsidRPr="00C85CE2">
              <w:rPr>
                <w:rFonts w:ascii="Times New Roman" w:hAnsi="Times New Roman" w:cs="Times New Roman"/>
                <w:bCs/>
                <w:sz w:val="20"/>
                <w:szCs w:val="20"/>
              </w:rPr>
              <w:t xml:space="preserve"> bez konieczności spełnienia pozostałych kryteriów kwalifikacji do ww. programu lekowego</w:t>
            </w:r>
          </w:p>
          <w:p w:rsidR="00C85CE2" w:rsidRPr="00C85CE2" w:rsidRDefault="00C85CE2" w:rsidP="00C85CE2">
            <w:pPr>
              <w:spacing w:line="276" w:lineRule="auto"/>
              <w:rPr>
                <w:rFonts w:ascii="Times New Roman" w:hAnsi="Times New Roman" w:cs="Times New Roman"/>
                <w:bCs/>
                <w:sz w:val="20"/>
                <w:szCs w:val="20"/>
              </w:rPr>
            </w:pPr>
            <w:r w:rsidRPr="00C85CE2">
              <w:rPr>
                <w:rFonts w:ascii="Times New Roman" w:hAnsi="Times New Roman" w:cs="Times New Roman"/>
                <w:bCs/>
                <w:sz w:val="20"/>
                <w:szCs w:val="20"/>
              </w:rPr>
              <w:t>- pod warunkiem</w:t>
            </w:r>
            <w:r w:rsidRPr="00C85CE2">
              <w:rPr>
                <w:rFonts w:ascii="Times New Roman" w:hAnsi="Times New Roman" w:cs="Times New Roman"/>
                <w:sz w:val="20"/>
                <w:szCs w:val="20"/>
              </w:rPr>
              <w:t xml:space="preserve"> </w:t>
            </w:r>
            <w:r w:rsidRPr="00C85CE2">
              <w:rPr>
                <w:rFonts w:ascii="Times New Roman" w:hAnsi="Times New Roman" w:cs="Times New Roman"/>
                <w:bCs/>
                <w:sz w:val="20"/>
                <w:szCs w:val="20"/>
              </w:rPr>
              <w:t>niespełniania kryteriów wyłączenia z programu.</w:t>
            </w:r>
          </w:p>
          <w:p w:rsidR="00C85CE2" w:rsidRPr="00C85CE2" w:rsidRDefault="00C85CE2" w:rsidP="00C85CE2">
            <w:pPr>
              <w:pStyle w:val="Akapitzlist"/>
              <w:widowControl w:val="0"/>
              <w:numPr>
                <w:ilvl w:val="0"/>
                <w:numId w:val="2"/>
              </w:numPr>
              <w:spacing w:before="120" w:after="120" w:line="276" w:lineRule="auto"/>
              <w:ind w:left="357" w:hanging="357"/>
              <w:contextualSpacing w:val="0"/>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Określenie czasu leczenia w programie:</w:t>
            </w:r>
          </w:p>
          <w:p w:rsidR="00C85CE2" w:rsidRPr="00C85CE2" w:rsidRDefault="00C85CE2" w:rsidP="00C85CE2">
            <w:pPr>
              <w:pStyle w:val="Tekstpodstawowy"/>
              <w:spacing w:line="276" w:lineRule="auto"/>
              <w:jc w:val="left"/>
              <w:rPr>
                <w:iCs/>
                <w:sz w:val="20"/>
                <w:szCs w:val="20"/>
                <w:lang w:val="pl-PL"/>
              </w:rPr>
            </w:pPr>
            <w:r w:rsidRPr="00C85CE2">
              <w:rPr>
                <w:iCs/>
                <w:sz w:val="20"/>
                <w:szCs w:val="20"/>
                <w:lang w:val="pl-PL"/>
              </w:rPr>
              <w:t xml:space="preserve">Leczenie trwa do czasu podjęcia przez lekarza prowadzącego decyzji o wyłączeniu pacjenta z programu, zgodnie z kryteriami wyłączenia z programu określonymi w ust. 3. </w:t>
            </w:r>
          </w:p>
          <w:p w:rsidR="00C85CE2" w:rsidRPr="00C85CE2" w:rsidRDefault="00C85CE2" w:rsidP="00C85CE2">
            <w:pPr>
              <w:pStyle w:val="Akapitzlist"/>
              <w:numPr>
                <w:ilvl w:val="0"/>
                <w:numId w:val="2"/>
              </w:numPr>
              <w:spacing w:before="120" w:after="120" w:line="276" w:lineRule="auto"/>
              <w:ind w:left="357" w:hanging="357"/>
              <w:contextualSpacing w:val="0"/>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 xml:space="preserve">Kryteria wyłączenia pacjenta z programu: </w:t>
            </w:r>
          </w:p>
          <w:p w:rsidR="00C85CE2" w:rsidRPr="00C85CE2" w:rsidRDefault="00C85CE2" w:rsidP="00C85CE2">
            <w:pPr>
              <w:pStyle w:val="Akapitzlist"/>
              <w:numPr>
                <w:ilvl w:val="0"/>
                <w:numId w:val="9"/>
              </w:numPr>
              <w:spacing w:line="276" w:lineRule="auto"/>
              <w:ind w:left="284" w:hanging="142"/>
              <w:contextualSpacing w:val="0"/>
              <w:rPr>
                <w:rFonts w:ascii="Times New Roman" w:eastAsia="Times New Roman" w:hAnsi="Times New Roman" w:cs="Times New Roman"/>
                <w:sz w:val="20"/>
                <w:szCs w:val="20"/>
                <w:lang w:eastAsia="pl-PL"/>
              </w:rPr>
            </w:pPr>
            <w:r w:rsidRPr="00C85CE2">
              <w:rPr>
                <w:rFonts w:ascii="Times New Roman" w:hAnsi="Times New Roman" w:cs="Times New Roman"/>
                <w:iCs/>
                <w:sz w:val="20"/>
                <w:szCs w:val="20"/>
              </w:rPr>
              <w:lastRenderedPageBreak/>
              <w:t xml:space="preserve">nadwrażliwość na </w:t>
            </w:r>
            <w:proofErr w:type="spellStart"/>
            <w:r w:rsidRPr="00C85CE2">
              <w:rPr>
                <w:rFonts w:ascii="Times New Roman" w:hAnsi="Times New Roman" w:cs="Times New Roman"/>
                <w:iCs/>
                <w:sz w:val="20"/>
                <w:szCs w:val="20"/>
              </w:rPr>
              <w:t>eltrombopag</w:t>
            </w:r>
            <w:proofErr w:type="spellEnd"/>
            <w:r w:rsidRPr="00C85CE2">
              <w:rPr>
                <w:rFonts w:ascii="Times New Roman" w:hAnsi="Times New Roman" w:cs="Times New Roman"/>
                <w:iCs/>
                <w:sz w:val="20"/>
                <w:szCs w:val="20"/>
              </w:rPr>
              <w:t xml:space="preserve"> lub którąkolwiek substancję pomocniczą;</w:t>
            </w:r>
          </w:p>
          <w:p w:rsidR="00C85CE2" w:rsidRPr="00C85CE2" w:rsidRDefault="00C85CE2" w:rsidP="00C85CE2">
            <w:pPr>
              <w:pStyle w:val="Akapitzlist"/>
              <w:numPr>
                <w:ilvl w:val="0"/>
                <w:numId w:val="9"/>
              </w:numPr>
              <w:spacing w:line="276" w:lineRule="auto"/>
              <w:ind w:left="284" w:hanging="142"/>
              <w:contextualSpacing w:val="0"/>
              <w:rPr>
                <w:rFonts w:ascii="Times New Roman" w:eastAsia="Times New Roman" w:hAnsi="Times New Roman" w:cs="Times New Roman"/>
                <w:sz w:val="20"/>
                <w:szCs w:val="20"/>
                <w:lang w:eastAsia="pl-PL"/>
              </w:rPr>
            </w:pPr>
            <w:r w:rsidRPr="00C85CE2">
              <w:rPr>
                <w:rFonts w:ascii="Times New Roman" w:hAnsi="Times New Roman" w:cs="Times New Roman"/>
                <w:iCs/>
                <w:sz w:val="20"/>
                <w:szCs w:val="20"/>
              </w:rPr>
              <w:t>zaburzenia czynności wątroby w skali Child-</w:t>
            </w:r>
            <w:proofErr w:type="spellStart"/>
            <w:r w:rsidRPr="00C85CE2">
              <w:rPr>
                <w:rFonts w:ascii="Times New Roman" w:hAnsi="Times New Roman" w:cs="Times New Roman"/>
                <w:iCs/>
                <w:sz w:val="20"/>
                <w:szCs w:val="20"/>
              </w:rPr>
              <w:t>Pugh</w:t>
            </w:r>
            <w:proofErr w:type="spellEnd"/>
            <w:r w:rsidRPr="00C85CE2">
              <w:rPr>
                <w:rFonts w:ascii="Times New Roman" w:hAnsi="Times New Roman" w:cs="Times New Roman"/>
                <w:iCs/>
                <w:sz w:val="20"/>
                <w:szCs w:val="20"/>
              </w:rPr>
              <w:t xml:space="preserve"> ≥ 5;</w:t>
            </w:r>
          </w:p>
          <w:p w:rsidR="00C85CE2" w:rsidRPr="00C85CE2" w:rsidRDefault="00C85CE2" w:rsidP="00C85CE2">
            <w:pPr>
              <w:pStyle w:val="Akapitzlist"/>
              <w:numPr>
                <w:ilvl w:val="0"/>
                <w:numId w:val="9"/>
              </w:numPr>
              <w:spacing w:line="276" w:lineRule="auto"/>
              <w:ind w:left="284" w:hanging="142"/>
              <w:contextualSpacing w:val="0"/>
              <w:rPr>
                <w:rFonts w:ascii="Times New Roman" w:eastAsia="Times New Roman" w:hAnsi="Times New Roman" w:cs="Times New Roman"/>
                <w:sz w:val="20"/>
                <w:szCs w:val="20"/>
                <w:lang w:eastAsia="pl-PL"/>
              </w:rPr>
            </w:pPr>
            <w:r w:rsidRPr="00C85CE2">
              <w:rPr>
                <w:rFonts w:ascii="Times New Roman" w:hAnsi="Times New Roman" w:cs="Times New Roman"/>
                <w:sz w:val="20"/>
                <w:szCs w:val="20"/>
              </w:rPr>
              <w:t xml:space="preserve">istotne zwiększenie się aktywności </w:t>
            </w:r>
            <w:proofErr w:type="spellStart"/>
            <w:r w:rsidRPr="00C85CE2">
              <w:rPr>
                <w:rFonts w:ascii="Times New Roman" w:hAnsi="Times New Roman" w:cs="Times New Roman"/>
                <w:sz w:val="20"/>
                <w:szCs w:val="20"/>
              </w:rPr>
              <w:t>AlAT</w:t>
            </w:r>
            <w:proofErr w:type="spellEnd"/>
            <w:r w:rsidRPr="00C85CE2">
              <w:rPr>
                <w:rFonts w:ascii="Times New Roman" w:hAnsi="Times New Roman" w:cs="Times New Roman"/>
                <w:sz w:val="20"/>
                <w:szCs w:val="20"/>
              </w:rPr>
              <w:t xml:space="preserve"> (powyżej trzykrotności górnej granicy normy dla lokalnego laboratorium)</w:t>
            </w:r>
            <w:r w:rsidRPr="00C85CE2">
              <w:rPr>
                <w:rFonts w:ascii="Times New Roman" w:hAnsi="Times New Roman" w:cs="Times New Roman"/>
                <w:i/>
                <w:sz w:val="20"/>
                <w:szCs w:val="20"/>
              </w:rPr>
              <w:t xml:space="preserve"> </w:t>
            </w:r>
            <w:r w:rsidRPr="00C85CE2">
              <w:rPr>
                <w:rFonts w:ascii="Times New Roman" w:hAnsi="Times New Roman" w:cs="Times New Roman"/>
                <w:sz w:val="20"/>
                <w:szCs w:val="20"/>
              </w:rPr>
              <w:t>w przypadkach, gdy przekroczenie normy:</w:t>
            </w:r>
          </w:p>
          <w:p w:rsidR="00C85CE2" w:rsidRPr="00C85CE2" w:rsidRDefault="00C85CE2" w:rsidP="00C85CE2">
            <w:pPr>
              <w:pStyle w:val="Akapitzlist"/>
              <w:numPr>
                <w:ilvl w:val="0"/>
                <w:numId w:val="10"/>
              </w:numPr>
              <w:spacing w:line="276" w:lineRule="auto"/>
              <w:ind w:left="709" w:hanging="283"/>
              <w:contextualSpacing w:val="0"/>
              <w:rPr>
                <w:rFonts w:ascii="Times New Roman" w:hAnsi="Times New Roman" w:cs="Times New Roman"/>
                <w:sz w:val="20"/>
                <w:szCs w:val="20"/>
              </w:rPr>
            </w:pPr>
            <w:r w:rsidRPr="00C85CE2">
              <w:rPr>
                <w:rFonts w:ascii="Times New Roman" w:hAnsi="Times New Roman" w:cs="Times New Roman"/>
                <w:sz w:val="20"/>
                <w:szCs w:val="20"/>
              </w:rPr>
              <w:t>będzie narastać,</w:t>
            </w:r>
          </w:p>
          <w:p w:rsidR="00C85CE2" w:rsidRPr="00C85CE2" w:rsidRDefault="00C85CE2" w:rsidP="00C85CE2">
            <w:pPr>
              <w:spacing w:line="276" w:lineRule="auto"/>
              <w:ind w:left="709" w:hanging="283"/>
              <w:rPr>
                <w:rFonts w:ascii="Times New Roman" w:hAnsi="Times New Roman" w:cs="Times New Roman"/>
                <w:sz w:val="20"/>
                <w:szCs w:val="20"/>
              </w:rPr>
            </w:pPr>
            <w:r w:rsidRPr="00C85CE2">
              <w:rPr>
                <w:rFonts w:ascii="Times New Roman" w:hAnsi="Times New Roman" w:cs="Times New Roman"/>
                <w:sz w:val="20"/>
                <w:szCs w:val="20"/>
              </w:rPr>
              <w:t>albo</w:t>
            </w:r>
          </w:p>
          <w:p w:rsidR="00C85CE2" w:rsidRPr="00C85CE2" w:rsidRDefault="00C85CE2" w:rsidP="00C85CE2">
            <w:pPr>
              <w:pStyle w:val="Akapitzlist"/>
              <w:numPr>
                <w:ilvl w:val="0"/>
                <w:numId w:val="10"/>
              </w:numPr>
              <w:spacing w:line="276" w:lineRule="auto"/>
              <w:ind w:left="709" w:hanging="283"/>
              <w:contextualSpacing w:val="0"/>
              <w:rPr>
                <w:rFonts w:ascii="Times New Roman" w:hAnsi="Times New Roman" w:cs="Times New Roman"/>
                <w:sz w:val="20"/>
                <w:szCs w:val="20"/>
              </w:rPr>
            </w:pPr>
            <w:r w:rsidRPr="00C85CE2">
              <w:rPr>
                <w:rFonts w:ascii="Times New Roman" w:hAnsi="Times New Roman" w:cs="Times New Roman"/>
                <w:sz w:val="20"/>
                <w:szCs w:val="20"/>
              </w:rPr>
              <w:t xml:space="preserve">będzie utrzymywać się ≥ 4 tygodni, </w:t>
            </w:r>
          </w:p>
          <w:p w:rsidR="00C85CE2" w:rsidRPr="00C85CE2" w:rsidRDefault="00C85CE2" w:rsidP="00C85CE2">
            <w:pPr>
              <w:spacing w:line="276" w:lineRule="auto"/>
              <w:ind w:left="709" w:hanging="283"/>
              <w:rPr>
                <w:rFonts w:ascii="Times New Roman" w:hAnsi="Times New Roman" w:cs="Times New Roman"/>
                <w:sz w:val="20"/>
                <w:szCs w:val="20"/>
              </w:rPr>
            </w:pPr>
            <w:r w:rsidRPr="00C85CE2">
              <w:rPr>
                <w:rFonts w:ascii="Times New Roman" w:hAnsi="Times New Roman" w:cs="Times New Roman"/>
                <w:sz w:val="20"/>
                <w:szCs w:val="20"/>
              </w:rPr>
              <w:t>albo</w:t>
            </w:r>
          </w:p>
          <w:p w:rsidR="00C85CE2" w:rsidRPr="00C85CE2" w:rsidRDefault="00C85CE2" w:rsidP="00C85CE2">
            <w:pPr>
              <w:pStyle w:val="Akapitzlist"/>
              <w:numPr>
                <w:ilvl w:val="0"/>
                <w:numId w:val="10"/>
              </w:numPr>
              <w:spacing w:line="276" w:lineRule="auto"/>
              <w:ind w:left="709" w:hanging="283"/>
              <w:contextualSpacing w:val="0"/>
              <w:rPr>
                <w:rFonts w:ascii="Times New Roman" w:hAnsi="Times New Roman" w:cs="Times New Roman"/>
                <w:sz w:val="20"/>
                <w:szCs w:val="20"/>
              </w:rPr>
            </w:pPr>
            <w:r w:rsidRPr="00C85CE2">
              <w:rPr>
                <w:rFonts w:ascii="Times New Roman" w:hAnsi="Times New Roman" w:cs="Times New Roman"/>
                <w:sz w:val="20"/>
                <w:szCs w:val="20"/>
              </w:rPr>
              <w:t>będzie związane ze zwiększeniem stężenia bilirubiny bezpośredniej,</w:t>
            </w:r>
          </w:p>
          <w:p w:rsidR="00C85CE2" w:rsidRPr="00C85CE2" w:rsidRDefault="00C85CE2" w:rsidP="00C85CE2">
            <w:pPr>
              <w:spacing w:line="276" w:lineRule="auto"/>
              <w:ind w:left="709" w:hanging="283"/>
              <w:rPr>
                <w:rFonts w:ascii="Times New Roman" w:hAnsi="Times New Roman" w:cs="Times New Roman"/>
                <w:sz w:val="20"/>
                <w:szCs w:val="20"/>
              </w:rPr>
            </w:pPr>
            <w:r w:rsidRPr="00C85CE2">
              <w:rPr>
                <w:rFonts w:ascii="Times New Roman" w:hAnsi="Times New Roman" w:cs="Times New Roman"/>
                <w:sz w:val="20"/>
                <w:szCs w:val="20"/>
              </w:rPr>
              <w:t>albo</w:t>
            </w:r>
          </w:p>
          <w:p w:rsidR="00C85CE2" w:rsidRPr="00C85CE2" w:rsidRDefault="00C85CE2" w:rsidP="00C85CE2">
            <w:pPr>
              <w:pStyle w:val="Akapitzlist"/>
              <w:numPr>
                <w:ilvl w:val="0"/>
                <w:numId w:val="10"/>
              </w:numPr>
              <w:spacing w:line="276" w:lineRule="auto"/>
              <w:ind w:left="709" w:hanging="283"/>
              <w:contextualSpacing w:val="0"/>
              <w:rPr>
                <w:rFonts w:ascii="Times New Roman" w:hAnsi="Times New Roman" w:cs="Times New Roman"/>
                <w:sz w:val="20"/>
                <w:szCs w:val="20"/>
              </w:rPr>
            </w:pPr>
            <w:r w:rsidRPr="00C85CE2">
              <w:rPr>
                <w:rFonts w:ascii="Times New Roman" w:hAnsi="Times New Roman" w:cs="Times New Roman"/>
                <w:sz w:val="20"/>
                <w:szCs w:val="20"/>
              </w:rPr>
              <w:t>będzie związane z objawami klinicznymi uszkodzenia wątroby lub objawami dekompensacji wątroby;</w:t>
            </w:r>
          </w:p>
          <w:p w:rsidR="00C85CE2" w:rsidRPr="00C85CE2" w:rsidRDefault="00C85CE2" w:rsidP="00C85CE2">
            <w:pPr>
              <w:pStyle w:val="Akapitzlist"/>
              <w:numPr>
                <w:ilvl w:val="0"/>
                <w:numId w:val="9"/>
              </w:numPr>
              <w:spacing w:line="276" w:lineRule="auto"/>
              <w:ind w:left="284" w:hanging="142"/>
              <w:contextualSpacing w:val="0"/>
              <w:rPr>
                <w:rFonts w:ascii="Times New Roman" w:eastAsia="Times New Roman" w:hAnsi="Times New Roman" w:cs="Times New Roman"/>
                <w:sz w:val="20"/>
                <w:szCs w:val="20"/>
                <w:lang w:eastAsia="pl-PL"/>
              </w:rPr>
            </w:pPr>
            <w:r w:rsidRPr="00C85CE2">
              <w:rPr>
                <w:rFonts w:ascii="Times New Roman" w:hAnsi="Times New Roman" w:cs="Times New Roman"/>
                <w:sz w:val="20"/>
                <w:szCs w:val="20"/>
              </w:rPr>
              <w:t xml:space="preserve">ciąża; </w:t>
            </w:r>
          </w:p>
          <w:p w:rsidR="00C85CE2" w:rsidRPr="00C85CE2" w:rsidRDefault="00C85CE2" w:rsidP="00C85CE2">
            <w:pPr>
              <w:pStyle w:val="Akapitzlist"/>
              <w:numPr>
                <w:ilvl w:val="0"/>
                <w:numId w:val="9"/>
              </w:numPr>
              <w:spacing w:line="276" w:lineRule="auto"/>
              <w:ind w:left="284" w:hanging="142"/>
              <w:contextualSpacing w:val="0"/>
              <w:rPr>
                <w:rFonts w:ascii="Times New Roman" w:eastAsia="Times New Roman" w:hAnsi="Times New Roman" w:cs="Times New Roman"/>
                <w:sz w:val="20"/>
                <w:szCs w:val="20"/>
                <w:lang w:eastAsia="pl-PL"/>
              </w:rPr>
            </w:pPr>
            <w:r w:rsidRPr="00C85CE2">
              <w:rPr>
                <w:rFonts w:ascii="Times New Roman" w:hAnsi="Times New Roman" w:cs="Times New Roman"/>
                <w:sz w:val="20"/>
                <w:szCs w:val="20"/>
              </w:rPr>
              <w:t>karmienie piersią;</w:t>
            </w:r>
          </w:p>
          <w:p w:rsidR="00C85CE2" w:rsidRPr="00C85CE2" w:rsidRDefault="00C85CE2" w:rsidP="00C85CE2">
            <w:pPr>
              <w:pStyle w:val="Akapitzlist"/>
              <w:numPr>
                <w:ilvl w:val="0"/>
                <w:numId w:val="9"/>
              </w:numPr>
              <w:spacing w:line="276" w:lineRule="auto"/>
              <w:ind w:left="284" w:hanging="142"/>
              <w:contextualSpacing w:val="0"/>
              <w:rPr>
                <w:rFonts w:ascii="Times New Roman" w:hAnsi="Times New Roman" w:cs="Times New Roman"/>
                <w:iCs/>
                <w:sz w:val="20"/>
                <w:szCs w:val="20"/>
              </w:rPr>
            </w:pPr>
            <w:r w:rsidRPr="00C85CE2">
              <w:rPr>
                <w:rFonts w:ascii="Times New Roman" w:hAnsi="Times New Roman" w:cs="Times New Roman"/>
                <w:iCs/>
                <w:sz w:val="20"/>
                <w:szCs w:val="20"/>
              </w:rPr>
              <w:t xml:space="preserve">brak odpowiedzi na leczenie </w:t>
            </w:r>
            <w:proofErr w:type="spellStart"/>
            <w:r w:rsidRPr="00C85CE2">
              <w:rPr>
                <w:rFonts w:ascii="Times New Roman" w:hAnsi="Times New Roman" w:cs="Times New Roman"/>
                <w:iCs/>
                <w:sz w:val="20"/>
                <w:szCs w:val="20"/>
              </w:rPr>
              <w:t>eltrombopagiem</w:t>
            </w:r>
            <w:proofErr w:type="spellEnd"/>
            <w:r w:rsidRPr="00C85CE2">
              <w:rPr>
                <w:rFonts w:ascii="Times New Roman" w:hAnsi="Times New Roman" w:cs="Times New Roman"/>
                <w:iCs/>
                <w:sz w:val="20"/>
                <w:szCs w:val="20"/>
              </w:rPr>
              <w:t xml:space="preserve"> w dawce 75 mg podawanej przez 4 kolejne tygodnie leczenia (4 pomiary).</w:t>
            </w:r>
          </w:p>
          <w:p w:rsidR="00C85CE2" w:rsidRPr="00C85CE2" w:rsidRDefault="00C85CE2" w:rsidP="00C85CE2">
            <w:pPr>
              <w:pStyle w:val="Akapitzlist"/>
              <w:spacing w:line="276" w:lineRule="auto"/>
              <w:ind w:left="284"/>
              <w:contextualSpacing w:val="0"/>
              <w:rPr>
                <w:rFonts w:ascii="Times New Roman" w:hAnsi="Times New Roman" w:cs="Times New Roman"/>
                <w:iCs/>
                <w:sz w:val="20"/>
                <w:szCs w:val="20"/>
              </w:rPr>
            </w:pPr>
          </w:p>
          <w:p w:rsidR="00C85CE2" w:rsidRPr="00C85CE2" w:rsidRDefault="00C85CE2" w:rsidP="00C85CE2">
            <w:pPr>
              <w:spacing w:line="276" w:lineRule="auto"/>
              <w:rPr>
                <w:rFonts w:ascii="Times New Roman" w:eastAsia="Times New Roman" w:hAnsi="Times New Roman" w:cs="Times New Roman"/>
                <w:sz w:val="20"/>
                <w:szCs w:val="20"/>
                <w:lang w:eastAsia="pl-PL"/>
              </w:rPr>
            </w:pPr>
          </w:p>
        </w:tc>
        <w:tc>
          <w:tcPr>
            <w:tcW w:w="1545" w:type="pct"/>
          </w:tcPr>
          <w:p w:rsidR="00C85CE2" w:rsidRPr="00C85CE2" w:rsidRDefault="00C85CE2" w:rsidP="00C85CE2">
            <w:pPr>
              <w:pStyle w:val="Akapitzlist"/>
              <w:widowControl w:val="0"/>
              <w:numPr>
                <w:ilvl w:val="0"/>
                <w:numId w:val="3"/>
              </w:numPr>
              <w:spacing w:before="120" w:after="120" w:line="276" w:lineRule="auto"/>
              <w:ind w:left="357" w:hanging="357"/>
              <w:contextualSpacing w:val="0"/>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lastRenderedPageBreak/>
              <w:t>Dawkowanie:</w:t>
            </w:r>
          </w:p>
          <w:p w:rsidR="00C85CE2" w:rsidRPr="00C85CE2" w:rsidRDefault="00C85CE2" w:rsidP="00C85CE2">
            <w:pPr>
              <w:pStyle w:val="Akapitzlist"/>
              <w:numPr>
                <w:ilvl w:val="0"/>
                <w:numId w:val="6"/>
              </w:numPr>
              <w:spacing w:line="276" w:lineRule="auto"/>
              <w:ind w:left="316" w:hanging="142"/>
              <w:rPr>
                <w:rFonts w:ascii="Times New Roman" w:hAnsi="Times New Roman" w:cs="Times New Roman"/>
                <w:sz w:val="20"/>
                <w:szCs w:val="20"/>
              </w:rPr>
            </w:pPr>
            <w:r w:rsidRPr="00C85CE2">
              <w:rPr>
                <w:rFonts w:ascii="Times New Roman" w:hAnsi="Times New Roman" w:cs="Times New Roman"/>
                <w:sz w:val="20"/>
                <w:szCs w:val="20"/>
              </w:rPr>
              <w:t xml:space="preserve">zalecana dawka początkowa </w:t>
            </w:r>
            <w:proofErr w:type="spellStart"/>
            <w:r w:rsidRPr="00C85CE2">
              <w:rPr>
                <w:rFonts w:ascii="Times New Roman" w:hAnsi="Times New Roman" w:cs="Times New Roman"/>
                <w:sz w:val="20"/>
                <w:szCs w:val="20"/>
              </w:rPr>
              <w:t>eltrombopagu</w:t>
            </w:r>
            <w:proofErr w:type="spellEnd"/>
            <w:r w:rsidRPr="00C85CE2">
              <w:rPr>
                <w:rFonts w:ascii="Times New Roman" w:hAnsi="Times New Roman" w:cs="Times New Roman"/>
                <w:sz w:val="20"/>
                <w:szCs w:val="20"/>
              </w:rPr>
              <w:t xml:space="preserve"> wynosi: </w:t>
            </w:r>
          </w:p>
          <w:p w:rsidR="00C85CE2" w:rsidRPr="00C85CE2" w:rsidRDefault="00C85CE2" w:rsidP="00C85CE2">
            <w:pPr>
              <w:pStyle w:val="Akapitzlist"/>
              <w:numPr>
                <w:ilvl w:val="0"/>
                <w:numId w:val="7"/>
              </w:numPr>
              <w:spacing w:line="276" w:lineRule="auto"/>
              <w:ind w:left="600" w:hanging="284"/>
              <w:rPr>
                <w:rFonts w:ascii="Times New Roman" w:hAnsi="Times New Roman" w:cs="Times New Roman"/>
                <w:sz w:val="20"/>
                <w:szCs w:val="20"/>
              </w:rPr>
            </w:pPr>
            <w:r w:rsidRPr="00C85CE2">
              <w:rPr>
                <w:rFonts w:ascii="Times New Roman" w:eastAsia="ScalaLancetPro" w:hAnsi="Times New Roman" w:cs="Times New Roman"/>
                <w:sz w:val="20"/>
                <w:szCs w:val="20"/>
              </w:rPr>
              <w:t xml:space="preserve">50 mg raz na dobę - dla pacjentów w wieku 6-17 lat, </w:t>
            </w:r>
          </w:p>
          <w:p w:rsidR="00C85CE2" w:rsidRPr="00C85CE2" w:rsidRDefault="00C85CE2" w:rsidP="00C85CE2">
            <w:pPr>
              <w:pStyle w:val="Akapitzlist"/>
              <w:numPr>
                <w:ilvl w:val="0"/>
                <w:numId w:val="7"/>
              </w:numPr>
              <w:spacing w:line="276" w:lineRule="auto"/>
              <w:ind w:left="600" w:hanging="284"/>
              <w:rPr>
                <w:rFonts w:ascii="Times New Roman" w:hAnsi="Times New Roman" w:cs="Times New Roman"/>
                <w:sz w:val="20"/>
                <w:szCs w:val="20"/>
              </w:rPr>
            </w:pPr>
            <w:r w:rsidRPr="00C85CE2">
              <w:rPr>
                <w:rFonts w:ascii="Times New Roman" w:eastAsia="ScalaLancetPro" w:hAnsi="Times New Roman" w:cs="Times New Roman"/>
                <w:sz w:val="20"/>
                <w:szCs w:val="20"/>
              </w:rPr>
              <w:t>25 mg raz na dobę - dla pacjentów w wieku 1-5 lat oraz dla pacjentów pochodzenia wschodnioazjatyckiego;</w:t>
            </w:r>
          </w:p>
          <w:p w:rsidR="00C85CE2" w:rsidRPr="00C85CE2" w:rsidRDefault="00C85CE2" w:rsidP="00C85CE2">
            <w:pPr>
              <w:pStyle w:val="Akapitzlist"/>
              <w:numPr>
                <w:ilvl w:val="0"/>
                <w:numId w:val="6"/>
              </w:numPr>
              <w:spacing w:line="276" w:lineRule="auto"/>
              <w:ind w:left="316" w:hanging="142"/>
              <w:rPr>
                <w:rFonts w:ascii="Times New Roman" w:hAnsi="Times New Roman" w:cs="Times New Roman"/>
                <w:sz w:val="20"/>
                <w:szCs w:val="20"/>
              </w:rPr>
            </w:pPr>
            <w:r w:rsidRPr="00C85CE2">
              <w:rPr>
                <w:rFonts w:ascii="Times New Roman" w:hAnsi="Times New Roman" w:cs="Times New Roman"/>
                <w:sz w:val="20"/>
                <w:szCs w:val="20"/>
              </w:rPr>
              <w:t>maksymalna dawka dobowa wynosi 75 mg;</w:t>
            </w:r>
          </w:p>
          <w:p w:rsidR="00C85CE2" w:rsidRPr="00C85CE2" w:rsidRDefault="00C85CE2" w:rsidP="00C85CE2">
            <w:pPr>
              <w:pStyle w:val="Akapitzlist"/>
              <w:numPr>
                <w:ilvl w:val="0"/>
                <w:numId w:val="6"/>
              </w:numPr>
              <w:spacing w:line="276" w:lineRule="auto"/>
              <w:ind w:left="316" w:hanging="142"/>
              <w:rPr>
                <w:rFonts w:ascii="Times New Roman" w:hAnsi="Times New Roman" w:cs="Times New Roman"/>
                <w:sz w:val="20"/>
                <w:szCs w:val="20"/>
              </w:rPr>
            </w:pPr>
            <w:r w:rsidRPr="00C85CE2">
              <w:rPr>
                <w:rFonts w:ascii="Times New Roman" w:hAnsi="Times New Roman" w:cs="Times New Roman"/>
                <w:sz w:val="20"/>
                <w:szCs w:val="20"/>
              </w:rPr>
              <w:t>dawkę leku modyfikuje się indywidualnie w zależności od liczby płytek krwi pacjenta -zgodnie z aktualną Charakterystyką Produktu Leczniczego.</w:t>
            </w:r>
          </w:p>
          <w:p w:rsidR="00C85CE2" w:rsidRPr="00C85CE2" w:rsidRDefault="00C85CE2" w:rsidP="00C85CE2">
            <w:pPr>
              <w:spacing w:line="276" w:lineRule="auto"/>
              <w:ind w:left="316"/>
              <w:contextualSpacing/>
              <w:rPr>
                <w:rFonts w:ascii="Times New Roman" w:hAnsi="Times New Roman" w:cs="Times New Roman"/>
                <w:sz w:val="20"/>
                <w:szCs w:val="20"/>
              </w:rPr>
            </w:pPr>
            <w:r w:rsidRPr="00C85CE2">
              <w:rPr>
                <w:rFonts w:ascii="Times New Roman" w:hAnsi="Times New Roman" w:cs="Times New Roman"/>
                <w:sz w:val="20"/>
                <w:szCs w:val="20"/>
              </w:rPr>
              <w:t xml:space="preserve">Celem modyfikacji dawek jest osiągnięcie minimalnej dawki pozwalającej utrzymać liczbę płytek ≥ </w:t>
            </w:r>
            <w:r w:rsidRPr="00C85CE2">
              <w:rPr>
                <w:rFonts w:ascii="Times New Roman" w:hAnsi="Times New Roman" w:cs="Times New Roman"/>
                <w:sz w:val="20"/>
                <w:szCs w:val="20"/>
                <w:lang w:eastAsia="pl-PL"/>
              </w:rPr>
              <w:t>50x10</w:t>
            </w:r>
            <w:r w:rsidRPr="00C85CE2">
              <w:rPr>
                <w:rFonts w:ascii="Times New Roman" w:hAnsi="Times New Roman" w:cs="Times New Roman"/>
                <w:sz w:val="20"/>
                <w:szCs w:val="20"/>
                <w:vertAlign w:val="superscript"/>
                <w:lang w:eastAsia="pl-PL"/>
              </w:rPr>
              <w:t>9</w:t>
            </w:r>
            <w:r w:rsidRPr="00C85CE2">
              <w:rPr>
                <w:rFonts w:ascii="Times New Roman" w:hAnsi="Times New Roman" w:cs="Times New Roman"/>
                <w:sz w:val="20"/>
                <w:szCs w:val="20"/>
                <w:lang w:eastAsia="pl-PL"/>
              </w:rPr>
              <w:t>/l</w:t>
            </w:r>
            <w:r w:rsidRPr="00C85CE2">
              <w:rPr>
                <w:rFonts w:ascii="Times New Roman" w:hAnsi="Times New Roman" w:cs="Times New Roman"/>
                <w:sz w:val="20"/>
                <w:szCs w:val="20"/>
              </w:rPr>
              <w:t>.</w:t>
            </w:r>
          </w:p>
          <w:p w:rsidR="00C85CE2" w:rsidRPr="00C85CE2" w:rsidRDefault="00C85CE2" w:rsidP="00C85CE2">
            <w:pPr>
              <w:spacing w:line="276" w:lineRule="auto"/>
              <w:ind w:left="360"/>
              <w:rPr>
                <w:rFonts w:ascii="Times New Roman" w:hAnsi="Times New Roman" w:cs="Times New Roman"/>
                <w:sz w:val="20"/>
                <w:szCs w:val="20"/>
              </w:rPr>
            </w:pPr>
          </w:p>
        </w:tc>
        <w:tc>
          <w:tcPr>
            <w:tcW w:w="1722" w:type="pct"/>
          </w:tcPr>
          <w:p w:rsidR="00C85CE2" w:rsidRPr="00C85CE2" w:rsidRDefault="00C85CE2" w:rsidP="00C85CE2">
            <w:pPr>
              <w:pStyle w:val="Akapitzlist"/>
              <w:widowControl w:val="0"/>
              <w:numPr>
                <w:ilvl w:val="0"/>
                <w:numId w:val="1"/>
              </w:numPr>
              <w:spacing w:before="120" w:after="120" w:line="276" w:lineRule="auto"/>
              <w:ind w:left="357" w:hanging="357"/>
              <w:contextualSpacing w:val="0"/>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 xml:space="preserve">Badania przy kwalifikacji do leczenia </w:t>
            </w:r>
            <w:proofErr w:type="spellStart"/>
            <w:r w:rsidRPr="00C85CE2">
              <w:rPr>
                <w:rFonts w:ascii="Times New Roman" w:eastAsia="Times New Roman" w:hAnsi="Times New Roman" w:cs="Times New Roman"/>
                <w:b/>
                <w:sz w:val="20"/>
                <w:szCs w:val="20"/>
                <w:lang w:eastAsia="pl-PL"/>
              </w:rPr>
              <w:t>eltrombopagiem</w:t>
            </w:r>
            <w:proofErr w:type="spellEnd"/>
            <w:r w:rsidRPr="00C85CE2">
              <w:rPr>
                <w:rFonts w:ascii="Times New Roman" w:eastAsia="Times New Roman" w:hAnsi="Times New Roman" w:cs="Times New Roman"/>
                <w:b/>
                <w:sz w:val="20"/>
                <w:szCs w:val="20"/>
                <w:lang w:eastAsia="pl-PL"/>
              </w:rPr>
              <w:t>:</w:t>
            </w:r>
          </w:p>
          <w:p w:rsidR="00C85CE2" w:rsidRPr="00C85CE2" w:rsidRDefault="00C85CE2" w:rsidP="00C85CE2">
            <w:pPr>
              <w:pStyle w:val="Akapitzlist"/>
              <w:numPr>
                <w:ilvl w:val="0"/>
                <w:numId w:val="11"/>
              </w:numPr>
              <w:spacing w:line="276" w:lineRule="auto"/>
              <w:ind w:left="318" w:hanging="142"/>
              <w:contextualSpacing w:val="0"/>
              <w:rPr>
                <w:rFonts w:ascii="Times New Roman" w:hAnsi="Times New Roman" w:cs="Times New Roman"/>
                <w:sz w:val="20"/>
                <w:szCs w:val="20"/>
              </w:rPr>
            </w:pPr>
            <w:r w:rsidRPr="00C85CE2">
              <w:rPr>
                <w:rFonts w:ascii="Times New Roman" w:hAnsi="Times New Roman" w:cs="Times New Roman"/>
                <w:sz w:val="20"/>
                <w:szCs w:val="20"/>
              </w:rPr>
              <w:t xml:space="preserve">morfologia krwi z rozmazem </w:t>
            </w:r>
            <w:proofErr w:type="spellStart"/>
            <w:r w:rsidRPr="00C85CE2">
              <w:rPr>
                <w:rFonts w:ascii="Times New Roman" w:hAnsi="Times New Roman" w:cs="Times New Roman"/>
                <w:sz w:val="20"/>
                <w:szCs w:val="20"/>
              </w:rPr>
              <w:t>białokrwinkowym</w:t>
            </w:r>
            <w:proofErr w:type="spellEnd"/>
            <w:r w:rsidRPr="00C85CE2">
              <w:rPr>
                <w:rFonts w:ascii="Times New Roman" w:hAnsi="Times New Roman" w:cs="Times New Roman"/>
                <w:sz w:val="20"/>
                <w:szCs w:val="20"/>
              </w:rPr>
              <w:t xml:space="preserve"> i liczbą płytek;</w:t>
            </w:r>
          </w:p>
          <w:p w:rsidR="00C85CE2" w:rsidRPr="00C85CE2" w:rsidRDefault="00C85CE2" w:rsidP="00C85CE2">
            <w:pPr>
              <w:pStyle w:val="Akapitzlist"/>
              <w:numPr>
                <w:ilvl w:val="0"/>
                <w:numId w:val="11"/>
              </w:numPr>
              <w:spacing w:line="276" w:lineRule="auto"/>
              <w:ind w:left="318" w:hanging="142"/>
              <w:contextualSpacing w:val="0"/>
              <w:rPr>
                <w:rFonts w:ascii="Times New Roman" w:hAnsi="Times New Roman" w:cs="Times New Roman"/>
                <w:sz w:val="20"/>
                <w:szCs w:val="20"/>
              </w:rPr>
            </w:pPr>
            <w:r w:rsidRPr="00C85CE2">
              <w:rPr>
                <w:rFonts w:ascii="Times New Roman" w:hAnsi="Times New Roman" w:cs="Times New Roman"/>
                <w:sz w:val="20"/>
                <w:szCs w:val="20"/>
              </w:rPr>
              <w:t>parametry czynności wątroby (</w:t>
            </w:r>
            <w:proofErr w:type="spellStart"/>
            <w:r w:rsidRPr="00C85CE2">
              <w:rPr>
                <w:rFonts w:ascii="Times New Roman" w:hAnsi="Times New Roman" w:cs="Times New Roman"/>
                <w:sz w:val="20"/>
                <w:szCs w:val="20"/>
              </w:rPr>
              <w:t>AlAT</w:t>
            </w:r>
            <w:proofErr w:type="spellEnd"/>
            <w:r w:rsidRPr="00C85CE2">
              <w:rPr>
                <w:rFonts w:ascii="Times New Roman" w:hAnsi="Times New Roman" w:cs="Times New Roman"/>
                <w:sz w:val="20"/>
                <w:szCs w:val="20"/>
              </w:rPr>
              <w:t xml:space="preserve">, </w:t>
            </w:r>
            <w:proofErr w:type="spellStart"/>
            <w:r w:rsidRPr="00C85CE2">
              <w:rPr>
                <w:rFonts w:ascii="Times New Roman" w:hAnsi="Times New Roman" w:cs="Times New Roman"/>
                <w:sz w:val="20"/>
                <w:szCs w:val="20"/>
              </w:rPr>
              <w:t>AspAT</w:t>
            </w:r>
            <w:proofErr w:type="spellEnd"/>
            <w:r w:rsidRPr="00C85CE2">
              <w:rPr>
                <w:rFonts w:ascii="Times New Roman" w:hAnsi="Times New Roman" w:cs="Times New Roman"/>
                <w:sz w:val="20"/>
                <w:szCs w:val="20"/>
              </w:rPr>
              <w:t>, bilirubina całkowita, fosfataza alkaliczna);</w:t>
            </w:r>
          </w:p>
          <w:p w:rsidR="00C85CE2" w:rsidRPr="00C85CE2" w:rsidRDefault="00C85CE2" w:rsidP="00C85CE2">
            <w:pPr>
              <w:pStyle w:val="Akapitzlist"/>
              <w:widowControl w:val="0"/>
              <w:numPr>
                <w:ilvl w:val="0"/>
                <w:numId w:val="11"/>
              </w:numPr>
              <w:spacing w:line="276" w:lineRule="auto"/>
              <w:ind w:left="318" w:hanging="142"/>
              <w:contextualSpacing w:val="0"/>
              <w:rPr>
                <w:rFonts w:ascii="Times New Roman" w:eastAsia="Times New Roman" w:hAnsi="Times New Roman" w:cs="Times New Roman"/>
                <w:sz w:val="20"/>
                <w:szCs w:val="20"/>
                <w:lang w:eastAsia="pl-PL"/>
              </w:rPr>
            </w:pPr>
            <w:r w:rsidRPr="00C85CE2">
              <w:rPr>
                <w:rFonts w:ascii="Times New Roman" w:hAnsi="Times New Roman" w:cs="Times New Roman"/>
                <w:sz w:val="20"/>
                <w:szCs w:val="20"/>
              </w:rPr>
              <w:t>badanie okulistyczne;</w:t>
            </w:r>
          </w:p>
          <w:p w:rsidR="00C85CE2" w:rsidRPr="00C85CE2" w:rsidRDefault="00C85CE2" w:rsidP="00C85CE2">
            <w:pPr>
              <w:pStyle w:val="Akapitzlist"/>
              <w:widowControl w:val="0"/>
              <w:numPr>
                <w:ilvl w:val="0"/>
                <w:numId w:val="11"/>
              </w:numPr>
              <w:spacing w:line="276" w:lineRule="auto"/>
              <w:ind w:left="318" w:hanging="142"/>
              <w:contextualSpacing w:val="0"/>
              <w:rPr>
                <w:rFonts w:ascii="Times New Roman" w:eastAsia="Times New Roman" w:hAnsi="Times New Roman" w:cs="Times New Roman"/>
                <w:sz w:val="20"/>
                <w:szCs w:val="20"/>
                <w:lang w:eastAsia="pl-PL"/>
              </w:rPr>
            </w:pPr>
            <w:proofErr w:type="spellStart"/>
            <w:r w:rsidRPr="00C85CE2">
              <w:rPr>
                <w:rFonts w:ascii="Times New Roman" w:eastAsia="Times New Roman" w:hAnsi="Times New Roman" w:cs="Times New Roman"/>
                <w:sz w:val="20"/>
                <w:szCs w:val="20"/>
                <w:lang w:eastAsia="pl-PL"/>
              </w:rPr>
              <w:t>trepanobiopsja</w:t>
            </w:r>
            <w:proofErr w:type="spellEnd"/>
            <w:r w:rsidRPr="00C85CE2">
              <w:rPr>
                <w:rFonts w:ascii="Times New Roman" w:eastAsia="Times New Roman" w:hAnsi="Times New Roman" w:cs="Times New Roman"/>
                <w:sz w:val="20"/>
                <w:szCs w:val="20"/>
                <w:lang w:eastAsia="pl-PL"/>
              </w:rPr>
              <w:t xml:space="preserve"> szpiku kostnego z barwieniem oceniającym włóknienie;</w:t>
            </w:r>
          </w:p>
          <w:p w:rsidR="00C85CE2" w:rsidRPr="00C85CE2" w:rsidRDefault="00C85CE2" w:rsidP="00C85CE2">
            <w:pPr>
              <w:pStyle w:val="Akapitzlist"/>
              <w:widowControl w:val="0"/>
              <w:numPr>
                <w:ilvl w:val="0"/>
                <w:numId w:val="11"/>
              </w:numPr>
              <w:spacing w:line="276" w:lineRule="auto"/>
              <w:ind w:left="318" w:hanging="142"/>
              <w:contextualSpacing w:val="0"/>
              <w:rPr>
                <w:rFonts w:ascii="Times New Roman" w:eastAsia="Times New Roman" w:hAnsi="Times New Roman" w:cs="Times New Roman"/>
                <w:sz w:val="20"/>
                <w:szCs w:val="20"/>
                <w:lang w:eastAsia="pl-PL"/>
              </w:rPr>
            </w:pPr>
            <w:r w:rsidRPr="00C85CE2">
              <w:rPr>
                <w:rFonts w:ascii="Times New Roman" w:eastAsia="Times New Roman" w:hAnsi="Times New Roman" w:cs="Times New Roman"/>
                <w:sz w:val="20"/>
                <w:szCs w:val="20"/>
                <w:lang w:eastAsia="pl-PL"/>
              </w:rPr>
              <w:t>test ciążowy u kobiet w wieku rozrodczym – jeśli dotyczy.</w:t>
            </w:r>
          </w:p>
          <w:p w:rsidR="00C85CE2" w:rsidRPr="00C85CE2" w:rsidRDefault="00C85CE2" w:rsidP="00C85CE2">
            <w:pPr>
              <w:pStyle w:val="Akapitzlist"/>
              <w:widowControl w:val="0"/>
              <w:numPr>
                <w:ilvl w:val="0"/>
                <w:numId w:val="1"/>
              </w:numPr>
              <w:spacing w:before="120" w:after="120" w:line="276" w:lineRule="auto"/>
              <w:ind w:left="357" w:hanging="357"/>
              <w:contextualSpacing w:val="0"/>
              <w:rPr>
                <w:rFonts w:ascii="Times New Roman" w:eastAsia="Times New Roman" w:hAnsi="Times New Roman" w:cs="Times New Roman"/>
                <w:b/>
                <w:sz w:val="20"/>
                <w:szCs w:val="20"/>
                <w:lang w:eastAsia="pl-PL"/>
              </w:rPr>
            </w:pPr>
            <w:r w:rsidRPr="00C85CE2">
              <w:rPr>
                <w:rFonts w:ascii="Times New Roman" w:eastAsia="Times New Roman" w:hAnsi="Times New Roman" w:cs="Times New Roman"/>
                <w:b/>
                <w:sz w:val="20"/>
                <w:szCs w:val="20"/>
                <w:lang w:eastAsia="pl-PL"/>
              </w:rPr>
              <w:t>Monitorowanie leczenia:</w:t>
            </w:r>
          </w:p>
          <w:p w:rsidR="00C85CE2" w:rsidRPr="00C85CE2" w:rsidRDefault="00C85CE2" w:rsidP="00C85CE2">
            <w:pPr>
              <w:pStyle w:val="Akapitzlist"/>
              <w:numPr>
                <w:ilvl w:val="0"/>
                <w:numId w:val="5"/>
              </w:numPr>
              <w:spacing w:line="276" w:lineRule="auto"/>
              <w:ind w:left="363" w:hanging="187"/>
              <w:contextualSpacing w:val="0"/>
              <w:rPr>
                <w:rFonts w:ascii="Times New Roman" w:hAnsi="Times New Roman" w:cs="Times New Roman"/>
                <w:sz w:val="20"/>
                <w:szCs w:val="20"/>
              </w:rPr>
            </w:pPr>
            <w:r w:rsidRPr="00C85CE2">
              <w:rPr>
                <w:rFonts w:ascii="Times New Roman" w:hAnsi="Times New Roman" w:cs="Times New Roman"/>
                <w:iCs/>
                <w:sz w:val="20"/>
                <w:szCs w:val="20"/>
              </w:rPr>
              <w:t xml:space="preserve">badanie przeprowadzane w pierwszych 4 tygodniach leczenia oraz w okresie występowania </w:t>
            </w:r>
            <w:r w:rsidRPr="00C85CE2">
              <w:rPr>
                <w:rFonts w:ascii="Times New Roman" w:hAnsi="Times New Roman" w:cs="Times New Roman"/>
                <w:sz w:val="20"/>
                <w:szCs w:val="20"/>
              </w:rPr>
              <w:t>braku odpowiedzi:</w:t>
            </w:r>
          </w:p>
          <w:p w:rsidR="00C85CE2" w:rsidRPr="00C85CE2" w:rsidRDefault="00C85CE2" w:rsidP="00C85CE2">
            <w:pPr>
              <w:pStyle w:val="Akapitzlist"/>
              <w:numPr>
                <w:ilvl w:val="0"/>
                <w:numId w:val="12"/>
              </w:numPr>
              <w:spacing w:line="276" w:lineRule="auto"/>
              <w:contextualSpacing w:val="0"/>
              <w:rPr>
                <w:rFonts w:ascii="Times New Roman" w:hAnsi="Times New Roman" w:cs="Times New Roman"/>
                <w:sz w:val="20"/>
                <w:szCs w:val="20"/>
              </w:rPr>
            </w:pPr>
            <w:r w:rsidRPr="00C85CE2">
              <w:rPr>
                <w:rFonts w:ascii="Times New Roman" w:hAnsi="Times New Roman" w:cs="Times New Roman"/>
                <w:sz w:val="20"/>
                <w:szCs w:val="20"/>
              </w:rPr>
              <w:t>wykonywane co 1 tydzień:</w:t>
            </w:r>
          </w:p>
          <w:p w:rsidR="00C85CE2" w:rsidRPr="00C85CE2" w:rsidRDefault="00C85CE2" w:rsidP="00C85CE2">
            <w:pPr>
              <w:pStyle w:val="Akapitzlist"/>
              <w:numPr>
                <w:ilvl w:val="0"/>
                <w:numId w:val="13"/>
              </w:numPr>
              <w:spacing w:line="276" w:lineRule="auto"/>
              <w:ind w:left="1167" w:hanging="284"/>
              <w:contextualSpacing w:val="0"/>
              <w:rPr>
                <w:rFonts w:ascii="Times New Roman" w:hAnsi="Times New Roman" w:cs="Times New Roman"/>
                <w:sz w:val="20"/>
                <w:szCs w:val="20"/>
              </w:rPr>
            </w:pPr>
            <w:r w:rsidRPr="00C85CE2">
              <w:rPr>
                <w:rFonts w:ascii="Times New Roman" w:hAnsi="Times New Roman" w:cs="Times New Roman"/>
                <w:sz w:val="20"/>
                <w:szCs w:val="20"/>
              </w:rPr>
              <w:t xml:space="preserve">morfologia krwi z rozmazem </w:t>
            </w:r>
            <w:proofErr w:type="spellStart"/>
            <w:r w:rsidRPr="00C85CE2">
              <w:rPr>
                <w:rFonts w:ascii="Times New Roman" w:hAnsi="Times New Roman" w:cs="Times New Roman"/>
                <w:sz w:val="20"/>
                <w:szCs w:val="20"/>
              </w:rPr>
              <w:t>białokrwinkowym</w:t>
            </w:r>
            <w:proofErr w:type="spellEnd"/>
            <w:r w:rsidRPr="00C85CE2">
              <w:rPr>
                <w:rFonts w:ascii="Times New Roman" w:hAnsi="Times New Roman" w:cs="Times New Roman"/>
                <w:sz w:val="20"/>
                <w:szCs w:val="20"/>
              </w:rPr>
              <w:t xml:space="preserve"> i liczbą płytek,</w:t>
            </w:r>
          </w:p>
          <w:p w:rsidR="00C85CE2" w:rsidRPr="00C85CE2" w:rsidRDefault="00C85CE2" w:rsidP="00C85CE2">
            <w:pPr>
              <w:pStyle w:val="Akapitzlist"/>
              <w:numPr>
                <w:ilvl w:val="0"/>
                <w:numId w:val="12"/>
              </w:numPr>
              <w:spacing w:line="276" w:lineRule="auto"/>
              <w:contextualSpacing w:val="0"/>
              <w:rPr>
                <w:rFonts w:ascii="Times New Roman" w:hAnsi="Times New Roman" w:cs="Times New Roman"/>
                <w:sz w:val="20"/>
                <w:szCs w:val="20"/>
              </w:rPr>
            </w:pPr>
            <w:r w:rsidRPr="00C85CE2">
              <w:rPr>
                <w:rFonts w:ascii="Times New Roman" w:hAnsi="Times New Roman" w:cs="Times New Roman"/>
                <w:sz w:val="20"/>
                <w:szCs w:val="20"/>
              </w:rPr>
              <w:t>wykonywane co 2 tygodnie:</w:t>
            </w:r>
          </w:p>
          <w:p w:rsidR="00C85CE2" w:rsidRPr="00C85CE2" w:rsidRDefault="00C85CE2" w:rsidP="00C85CE2">
            <w:pPr>
              <w:pStyle w:val="Akapitzlist"/>
              <w:numPr>
                <w:ilvl w:val="0"/>
                <w:numId w:val="13"/>
              </w:numPr>
              <w:spacing w:line="276" w:lineRule="auto"/>
              <w:ind w:left="1167" w:hanging="284"/>
              <w:contextualSpacing w:val="0"/>
              <w:rPr>
                <w:rFonts w:ascii="Times New Roman" w:hAnsi="Times New Roman" w:cs="Times New Roman"/>
                <w:iCs/>
                <w:sz w:val="20"/>
                <w:szCs w:val="20"/>
              </w:rPr>
            </w:pPr>
            <w:r w:rsidRPr="00C85CE2">
              <w:rPr>
                <w:rFonts w:ascii="Times New Roman" w:hAnsi="Times New Roman" w:cs="Times New Roman"/>
                <w:sz w:val="20"/>
                <w:szCs w:val="20"/>
              </w:rPr>
              <w:t>parametry czynności wątroby (</w:t>
            </w:r>
            <w:proofErr w:type="spellStart"/>
            <w:r w:rsidRPr="00C85CE2">
              <w:rPr>
                <w:rFonts w:ascii="Times New Roman" w:hAnsi="Times New Roman" w:cs="Times New Roman"/>
                <w:sz w:val="20"/>
                <w:szCs w:val="20"/>
              </w:rPr>
              <w:t>AlAT</w:t>
            </w:r>
            <w:proofErr w:type="spellEnd"/>
            <w:r w:rsidRPr="00C85CE2">
              <w:rPr>
                <w:rFonts w:ascii="Times New Roman" w:hAnsi="Times New Roman" w:cs="Times New Roman"/>
                <w:sz w:val="20"/>
                <w:szCs w:val="20"/>
              </w:rPr>
              <w:t xml:space="preserve">, </w:t>
            </w:r>
            <w:proofErr w:type="spellStart"/>
            <w:r w:rsidRPr="00C85CE2">
              <w:rPr>
                <w:rFonts w:ascii="Times New Roman" w:hAnsi="Times New Roman" w:cs="Times New Roman"/>
                <w:sz w:val="20"/>
                <w:szCs w:val="20"/>
              </w:rPr>
              <w:t>AspAT</w:t>
            </w:r>
            <w:proofErr w:type="spellEnd"/>
            <w:r w:rsidRPr="00C85CE2">
              <w:rPr>
                <w:rFonts w:ascii="Times New Roman" w:hAnsi="Times New Roman" w:cs="Times New Roman"/>
                <w:sz w:val="20"/>
                <w:szCs w:val="20"/>
              </w:rPr>
              <w:t>, bilirubina całkowita, fosfataza alkaliczna);</w:t>
            </w:r>
          </w:p>
          <w:p w:rsidR="00C85CE2" w:rsidRPr="00C85CE2" w:rsidRDefault="00C85CE2" w:rsidP="00C85CE2">
            <w:pPr>
              <w:pStyle w:val="Akapitzlist"/>
              <w:numPr>
                <w:ilvl w:val="0"/>
                <w:numId w:val="5"/>
              </w:numPr>
              <w:spacing w:line="276" w:lineRule="auto"/>
              <w:ind w:hanging="185"/>
              <w:contextualSpacing w:val="0"/>
              <w:rPr>
                <w:rFonts w:ascii="Times New Roman" w:hAnsi="Times New Roman" w:cs="Times New Roman"/>
                <w:iCs/>
                <w:sz w:val="20"/>
                <w:szCs w:val="20"/>
              </w:rPr>
            </w:pPr>
            <w:r w:rsidRPr="00C85CE2">
              <w:rPr>
                <w:rFonts w:ascii="Times New Roman" w:hAnsi="Times New Roman" w:cs="Times New Roman"/>
                <w:sz w:val="20"/>
                <w:szCs w:val="20"/>
              </w:rPr>
              <w:t>badania przeprowadzane od 4. tygodnia leczenia u odpowiadających pacjentów:</w:t>
            </w:r>
          </w:p>
          <w:p w:rsidR="00C85CE2" w:rsidRPr="00C85CE2" w:rsidRDefault="00C85CE2" w:rsidP="00C85CE2">
            <w:pPr>
              <w:pStyle w:val="Akapitzlist"/>
              <w:numPr>
                <w:ilvl w:val="0"/>
                <w:numId w:val="14"/>
              </w:numPr>
              <w:spacing w:line="276" w:lineRule="auto"/>
              <w:contextualSpacing w:val="0"/>
              <w:rPr>
                <w:rFonts w:ascii="Times New Roman" w:hAnsi="Times New Roman" w:cs="Times New Roman"/>
                <w:iCs/>
                <w:sz w:val="20"/>
                <w:szCs w:val="20"/>
              </w:rPr>
            </w:pPr>
            <w:r w:rsidRPr="00C85CE2">
              <w:rPr>
                <w:rFonts w:ascii="Times New Roman" w:hAnsi="Times New Roman" w:cs="Times New Roman"/>
                <w:sz w:val="20"/>
                <w:szCs w:val="20"/>
              </w:rPr>
              <w:t>wykonywane co 1 miesiąc:</w:t>
            </w:r>
          </w:p>
          <w:p w:rsidR="00C85CE2" w:rsidRPr="00C85CE2" w:rsidRDefault="00C85CE2" w:rsidP="00C85CE2">
            <w:pPr>
              <w:pStyle w:val="Akapitzlist"/>
              <w:numPr>
                <w:ilvl w:val="0"/>
                <w:numId w:val="13"/>
              </w:numPr>
              <w:spacing w:line="276" w:lineRule="auto"/>
              <w:ind w:left="1167"/>
              <w:contextualSpacing w:val="0"/>
              <w:rPr>
                <w:rFonts w:ascii="Times New Roman" w:hAnsi="Times New Roman" w:cs="Times New Roman"/>
                <w:sz w:val="20"/>
                <w:szCs w:val="20"/>
              </w:rPr>
            </w:pPr>
            <w:r w:rsidRPr="00C85CE2">
              <w:rPr>
                <w:rFonts w:ascii="Times New Roman" w:hAnsi="Times New Roman" w:cs="Times New Roman"/>
                <w:sz w:val="20"/>
                <w:szCs w:val="20"/>
              </w:rPr>
              <w:lastRenderedPageBreak/>
              <w:t xml:space="preserve">morfologia krwi z rozmazem </w:t>
            </w:r>
            <w:proofErr w:type="spellStart"/>
            <w:r w:rsidRPr="00C85CE2">
              <w:rPr>
                <w:rFonts w:ascii="Times New Roman" w:hAnsi="Times New Roman" w:cs="Times New Roman"/>
                <w:sz w:val="20"/>
                <w:szCs w:val="20"/>
              </w:rPr>
              <w:t>białokrwinkowym</w:t>
            </w:r>
            <w:proofErr w:type="spellEnd"/>
            <w:r w:rsidRPr="00C85CE2">
              <w:rPr>
                <w:rFonts w:ascii="Times New Roman" w:hAnsi="Times New Roman" w:cs="Times New Roman"/>
                <w:sz w:val="20"/>
                <w:szCs w:val="20"/>
              </w:rPr>
              <w:t xml:space="preserve"> i liczbą płytek,</w:t>
            </w:r>
          </w:p>
          <w:p w:rsidR="00C85CE2" w:rsidRPr="00C85CE2" w:rsidRDefault="00C85CE2" w:rsidP="00C85CE2">
            <w:pPr>
              <w:pStyle w:val="Akapitzlist"/>
              <w:numPr>
                <w:ilvl w:val="0"/>
                <w:numId w:val="14"/>
              </w:numPr>
              <w:spacing w:line="276" w:lineRule="auto"/>
              <w:contextualSpacing w:val="0"/>
              <w:rPr>
                <w:rFonts w:ascii="Times New Roman" w:hAnsi="Times New Roman" w:cs="Times New Roman"/>
                <w:sz w:val="20"/>
                <w:szCs w:val="20"/>
              </w:rPr>
            </w:pPr>
            <w:r w:rsidRPr="00C85CE2">
              <w:rPr>
                <w:rFonts w:ascii="Times New Roman" w:hAnsi="Times New Roman" w:cs="Times New Roman"/>
                <w:sz w:val="20"/>
                <w:szCs w:val="20"/>
              </w:rPr>
              <w:t>wykonywane co 3 miesiące:</w:t>
            </w:r>
          </w:p>
          <w:p w:rsidR="00C85CE2" w:rsidRPr="00C85CE2" w:rsidRDefault="00C85CE2" w:rsidP="00C85CE2">
            <w:pPr>
              <w:pStyle w:val="Akapitzlist"/>
              <w:numPr>
                <w:ilvl w:val="0"/>
                <w:numId w:val="15"/>
              </w:numPr>
              <w:spacing w:line="276" w:lineRule="auto"/>
              <w:ind w:left="1167" w:hanging="284"/>
              <w:contextualSpacing w:val="0"/>
              <w:rPr>
                <w:rFonts w:ascii="Times New Roman" w:hAnsi="Times New Roman" w:cs="Times New Roman"/>
                <w:sz w:val="20"/>
                <w:szCs w:val="20"/>
              </w:rPr>
            </w:pPr>
            <w:r w:rsidRPr="00C85CE2">
              <w:rPr>
                <w:rFonts w:ascii="Times New Roman" w:hAnsi="Times New Roman" w:cs="Times New Roman"/>
                <w:sz w:val="20"/>
                <w:szCs w:val="20"/>
              </w:rPr>
              <w:t>parametry czynności wątroby (</w:t>
            </w:r>
            <w:proofErr w:type="spellStart"/>
            <w:r w:rsidRPr="00C85CE2">
              <w:rPr>
                <w:rFonts w:ascii="Times New Roman" w:hAnsi="Times New Roman" w:cs="Times New Roman"/>
                <w:sz w:val="20"/>
                <w:szCs w:val="20"/>
              </w:rPr>
              <w:t>AlAT</w:t>
            </w:r>
            <w:proofErr w:type="spellEnd"/>
            <w:r w:rsidRPr="00C85CE2">
              <w:rPr>
                <w:rFonts w:ascii="Times New Roman" w:hAnsi="Times New Roman" w:cs="Times New Roman"/>
                <w:sz w:val="20"/>
                <w:szCs w:val="20"/>
              </w:rPr>
              <w:t xml:space="preserve">, </w:t>
            </w:r>
            <w:proofErr w:type="spellStart"/>
            <w:r w:rsidRPr="00C85CE2">
              <w:rPr>
                <w:rFonts w:ascii="Times New Roman" w:hAnsi="Times New Roman" w:cs="Times New Roman"/>
                <w:sz w:val="20"/>
                <w:szCs w:val="20"/>
              </w:rPr>
              <w:t>AspAT</w:t>
            </w:r>
            <w:proofErr w:type="spellEnd"/>
            <w:r w:rsidRPr="00C85CE2">
              <w:rPr>
                <w:rFonts w:ascii="Times New Roman" w:hAnsi="Times New Roman" w:cs="Times New Roman"/>
                <w:sz w:val="20"/>
                <w:szCs w:val="20"/>
              </w:rPr>
              <w:t xml:space="preserve">, bilirubina całkowita, fosfataza alkaliczna); </w:t>
            </w:r>
          </w:p>
          <w:p w:rsidR="00C85CE2" w:rsidRPr="00C85CE2" w:rsidRDefault="00C85CE2" w:rsidP="00C85CE2">
            <w:pPr>
              <w:pStyle w:val="Akapitzlist"/>
              <w:numPr>
                <w:ilvl w:val="0"/>
                <w:numId w:val="5"/>
              </w:numPr>
              <w:spacing w:line="276" w:lineRule="auto"/>
              <w:ind w:hanging="185"/>
              <w:contextualSpacing w:val="0"/>
              <w:jc w:val="both"/>
              <w:rPr>
                <w:rFonts w:ascii="Times New Roman" w:hAnsi="Times New Roman" w:cs="Times New Roman"/>
                <w:sz w:val="20"/>
                <w:szCs w:val="20"/>
              </w:rPr>
            </w:pPr>
            <w:r w:rsidRPr="00C85CE2">
              <w:rPr>
                <w:rFonts w:ascii="Times New Roman" w:hAnsi="Times New Roman" w:cs="Times New Roman"/>
                <w:sz w:val="20"/>
                <w:szCs w:val="20"/>
              </w:rPr>
              <w:t xml:space="preserve">badania przeprowadzane w przypadku wystąpienia nowych lub postępujących nieprawidłowości morfologicznych lub </w:t>
            </w:r>
            <w:proofErr w:type="spellStart"/>
            <w:r w:rsidRPr="00C85CE2">
              <w:rPr>
                <w:rFonts w:ascii="Times New Roman" w:hAnsi="Times New Roman" w:cs="Times New Roman"/>
                <w:sz w:val="20"/>
                <w:szCs w:val="20"/>
              </w:rPr>
              <w:t>cytopenii</w:t>
            </w:r>
            <w:proofErr w:type="spellEnd"/>
            <w:r w:rsidRPr="00C85CE2">
              <w:rPr>
                <w:rFonts w:ascii="Times New Roman" w:hAnsi="Times New Roman" w:cs="Times New Roman"/>
                <w:sz w:val="20"/>
                <w:szCs w:val="20"/>
              </w:rPr>
              <w:t>:</w:t>
            </w:r>
          </w:p>
          <w:p w:rsidR="00C85CE2" w:rsidRPr="00C85CE2" w:rsidRDefault="00C85CE2" w:rsidP="00C85CE2">
            <w:pPr>
              <w:pStyle w:val="Akapitzlist"/>
              <w:widowControl w:val="0"/>
              <w:numPr>
                <w:ilvl w:val="1"/>
                <w:numId w:val="5"/>
              </w:numPr>
              <w:spacing w:line="276" w:lineRule="auto"/>
              <w:ind w:left="883" w:hanging="283"/>
              <w:contextualSpacing w:val="0"/>
              <w:rPr>
                <w:rFonts w:ascii="Times New Roman" w:hAnsi="Times New Roman" w:cs="Times New Roman"/>
                <w:sz w:val="20"/>
                <w:szCs w:val="20"/>
              </w:rPr>
            </w:pPr>
            <w:r w:rsidRPr="00C85CE2">
              <w:rPr>
                <w:rFonts w:ascii="Times New Roman" w:hAnsi="Times New Roman" w:cs="Times New Roman"/>
                <w:sz w:val="20"/>
                <w:szCs w:val="20"/>
              </w:rPr>
              <w:t>biopsja szpiku kostnego z barwieniem oceniającym włóknienie;</w:t>
            </w:r>
          </w:p>
          <w:p w:rsidR="00C85CE2" w:rsidRPr="00C85CE2" w:rsidRDefault="00C85CE2" w:rsidP="00C85CE2">
            <w:pPr>
              <w:pStyle w:val="Akapitzlist"/>
              <w:widowControl w:val="0"/>
              <w:numPr>
                <w:ilvl w:val="0"/>
                <w:numId w:val="5"/>
              </w:numPr>
              <w:spacing w:line="276" w:lineRule="auto"/>
              <w:ind w:hanging="185"/>
              <w:contextualSpacing w:val="0"/>
              <w:rPr>
                <w:rFonts w:ascii="Times New Roman" w:eastAsia="Times New Roman" w:hAnsi="Times New Roman" w:cs="Times New Roman"/>
                <w:sz w:val="20"/>
                <w:szCs w:val="20"/>
                <w:lang w:eastAsia="pl-PL"/>
              </w:rPr>
            </w:pPr>
            <w:r w:rsidRPr="00C85CE2">
              <w:rPr>
                <w:rFonts w:ascii="Times New Roman" w:eastAsia="Times New Roman" w:hAnsi="Times New Roman" w:cs="Times New Roman"/>
                <w:sz w:val="20"/>
                <w:szCs w:val="20"/>
                <w:lang w:eastAsia="pl-PL"/>
              </w:rPr>
              <w:t>badanie wykonywane co 6 miesięcy:</w:t>
            </w:r>
          </w:p>
          <w:p w:rsidR="00C85CE2" w:rsidRPr="00C85CE2" w:rsidRDefault="00C85CE2" w:rsidP="00C85CE2">
            <w:pPr>
              <w:pStyle w:val="Akapitzlist"/>
              <w:widowControl w:val="0"/>
              <w:numPr>
                <w:ilvl w:val="1"/>
                <w:numId w:val="5"/>
              </w:numPr>
              <w:spacing w:line="276" w:lineRule="auto"/>
              <w:ind w:left="883" w:hanging="283"/>
              <w:rPr>
                <w:rFonts w:ascii="Times New Roman" w:eastAsia="Times New Roman" w:hAnsi="Times New Roman" w:cs="Times New Roman"/>
                <w:sz w:val="20"/>
                <w:szCs w:val="20"/>
                <w:lang w:eastAsia="pl-PL"/>
              </w:rPr>
            </w:pPr>
            <w:r w:rsidRPr="00C85CE2">
              <w:rPr>
                <w:rFonts w:ascii="Times New Roman" w:eastAsia="Times New Roman" w:hAnsi="Times New Roman" w:cs="Times New Roman"/>
                <w:sz w:val="20"/>
                <w:szCs w:val="20"/>
                <w:lang w:eastAsia="pl-PL"/>
              </w:rPr>
              <w:t>okresowa kontrola okulistyczna;</w:t>
            </w:r>
          </w:p>
          <w:p w:rsidR="00C85CE2" w:rsidRPr="00C85CE2" w:rsidRDefault="00C85CE2" w:rsidP="00C85CE2">
            <w:pPr>
              <w:pStyle w:val="Akapitzlist"/>
              <w:widowControl w:val="0"/>
              <w:numPr>
                <w:ilvl w:val="0"/>
                <w:numId w:val="5"/>
              </w:numPr>
              <w:spacing w:line="276" w:lineRule="auto"/>
              <w:ind w:hanging="185"/>
              <w:rPr>
                <w:rFonts w:ascii="Times New Roman" w:eastAsia="Times New Roman" w:hAnsi="Times New Roman" w:cs="Times New Roman"/>
                <w:sz w:val="20"/>
                <w:szCs w:val="20"/>
                <w:lang w:eastAsia="pl-PL"/>
              </w:rPr>
            </w:pPr>
            <w:r w:rsidRPr="00C85CE2">
              <w:rPr>
                <w:rFonts w:ascii="Times New Roman" w:eastAsia="Times New Roman" w:hAnsi="Times New Roman" w:cs="Times New Roman"/>
                <w:sz w:val="20"/>
                <w:szCs w:val="20"/>
                <w:lang w:eastAsia="pl-PL"/>
              </w:rPr>
              <w:t>w przypadku przerwania leczenia z powodu wzrostu liczby płytek krwi powyżej 250x10</w:t>
            </w:r>
            <w:r w:rsidRPr="00C85CE2">
              <w:rPr>
                <w:rFonts w:ascii="Times New Roman" w:eastAsia="Times New Roman" w:hAnsi="Times New Roman" w:cs="Times New Roman"/>
                <w:sz w:val="20"/>
                <w:szCs w:val="20"/>
                <w:vertAlign w:val="superscript"/>
                <w:lang w:eastAsia="pl-PL"/>
              </w:rPr>
              <w:t>9</w:t>
            </w:r>
            <w:r w:rsidRPr="00C85CE2">
              <w:rPr>
                <w:rFonts w:ascii="Times New Roman" w:eastAsia="Times New Roman" w:hAnsi="Times New Roman" w:cs="Times New Roman"/>
                <w:sz w:val="20"/>
                <w:szCs w:val="20"/>
                <w:lang w:eastAsia="pl-PL"/>
              </w:rPr>
              <w:t>/l, należy kontrolować liczbę płytek krwi 2 razy w tygodniu, aż do osiągnięcia wartość mniejszej lub równej 100x10</w:t>
            </w:r>
            <w:r w:rsidRPr="00C85CE2">
              <w:rPr>
                <w:rFonts w:ascii="Times New Roman" w:eastAsia="Times New Roman" w:hAnsi="Times New Roman" w:cs="Times New Roman"/>
                <w:sz w:val="20"/>
                <w:szCs w:val="20"/>
                <w:vertAlign w:val="superscript"/>
                <w:lang w:eastAsia="pl-PL"/>
              </w:rPr>
              <w:t>9</w:t>
            </w:r>
            <w:r w:rsidRPr="00C85CE2">
              <w:rPr>
                <w:rFonts w:ascii="Times New Roman" w:eastAsia="Times New Roman" w:hAnsi="Times New Roman" w:cs="Times New Roman"/>
                <w:sz w:val="20"/>
                <w:szCs w:val="20"/>
                <w:lang w:eastAsia="pl-PL"/>
              </w:rPr>
              <w:t>/l.</w:t>
            </w:r>
          </w:p>
          <w:p w:rsidR="00C85CE2" w:rsidRPr="00C85CE2" w:rsidRDefault="00C85CE2" w:rsidP="00C85CE2">
            <w:pPr>
              <w:widowControl w:val="0"/>
              <w:numPr>
                <w:ilvl w:val="0"/>
                <w:numId w:val="1"/>
              </w:numPr>
              <w:spacing w:before="120" w:after="120" w:line="276" w:lineRule="auto"/>
              <w:ind w:left="357" w:hanging="357"/>
              <w:rPr>
                <w:rFonts w:ascii="Times New Roman" w:hAnsi="Times New Roman" w:cs="Times New Roman"/>
                <w:b/>
                <w:sz w:val="20"/>
                <w:szCs w:val="20"/>
              </w:rPr>
            </w:pPr>
            <w:r w:rsidRPr="00C85CE2">
              <w:rPr>
                <w:rFonts w:ascii="Times New Roman" w:hAnsi="Times New Roman" w:cs="Times New Roman"/>
                <w:b/>
                <w:sz w:val="20"/>
                <w:szCs w:val="20"/>
              </w:rPr>
              <w:t>Monitorowanie programu:</w:t>
            </w:r>
          </w:p>
          <w:p w:rsidR="00C85CE2" w:rsidRPr="00C85CE2" w:rsidRDefault="00C85CE2" w:rsidP="00C85CE2">
            <w:pPr>
              <w:widowControl w:val="0"/>
              <w:numPr>
                <w:ilvl w:val="0"/>
                <w:numId w:val="4"/>
              </w:numPr>
              <w:spacing w:line="276" w:lineRule="auto"/>
              <w:contextualSpacing/>
              <w:rPr>
                <w:rFonts w:ascii="Times New Roman" w:hAnsi="Times New Roman" w:cs="Times New Roman"/>
                <w:sz w:val="20"/>
                <w:szCs w:val="20"/>
              </w:rPr>
            </w:pPr>
            <w:r w:rsidRPr="00C85CE2">
              <w:rPr>
                <w:rFonts w:ascii="Times New Roman" w:hAnsi="Times New Roman" w:cs="Times New Roman"/>
                <w:sz w:val="20"/>
                <w:szCs w:val="20"/>
              </w:rPr>
              <w:t>przekazywanie do NFZ zakresu informacji sprawozdawczo – rozliczeniowych w formie papierowej lub w formie elektronicznej, zgodnie z wymaganiami opublikowanymi przez Narodowy Fundusz Zdrowia;</w:t>
            </w:r>
          </w:p>
          <w:p w:rsidR="00C85CE2" w:rsidRPr="00C85CE2" w:rsidRDefault="00C85CE2" w:rsidP="00C85CE2">
            <w:pPr>
              <w:widowControl w:val="0"/>
              <w:numPr>
                <w:ilvl w:val="0"/>
                <w:numId w:val="4"/>
              </w:numPr>
              <w:spacing w:line="276" w:lineRule="auto"/>
              <w:contextualSpacing/>
              <w:rPr>
                <w:rFonts w:ascii="Times New Roman" w:hAnsi="Times New Roman" w:cs="Times New Roman"/>
                <w:sz w:val="20"/>
                <w:szCs w:val="20"/>
              </w:rPr>
            </w:pPr>
            <w:r w:rsidRPr="00C85CE2">
              <w:rPr>
                <w:rFonts w:ascii="Times New Roman" w:hAnsi="Times New Roman" w:cs="Times New Roman"/>
                <w:sz w:val="20"/>
                <w:szCs w:val="20"/>
              </w:rPr>
              <w:t>uzupełnianie danych zawartych w rejestrze pierwotnej małopłytkowości immunologicznej (SMPT - ITP), dostępnym za pomocą aplikacji internetowej udostępnionej przez OW NFZ, nie rzadziej niż co 3 miesiące oraz na zakończenie leczenia.</w:t>
            </w:r>
          </w:p>
          <w:p w:rsidR="00C85CE2" w:rsidRPr="00C85CE2" w:rsidRDefault="00C85CE2" w:rsidP="00C85CE2">
            <w:pPr>
              <w:widowControl w:val="0"/>
              <w:spacing w:line="276" w:lineRule="auto"/>
              <w:contextualSpacing/>
              <w:rPr>
                <w:rFonts w:ascii="Times New Roman" w:hAnsi="Times New Roman" w:cs="Times New Roman"/>
                <w:sz w:val="20"/>
                <w:szCs w:val="20"/>
              </w:rPr>
            </w:pPr>
            <w:r w:rsidRPr="00C85CE2">
              <w:rPr>
                <w:rFonts w:ascii="Times New Roman" w:hAnsi="Times New Roman" w:cs="Times New Roman"/>
                <w:sz w:val="20"/>
                <w:szCs w:val="20"/>
              </w:rPr>
              <w:t xml:space="preserve">Dane dotyczące monitorowania leczenia należy gromadzić w dokumentacji pacjenta i każdorazowo przedstawiać na żądanie kontrolerom NFZ. </w:t>
            </w:r>
          </w:p>
        </w:tc>
      </w:tr>
    </w:tbl>
    <w:p w:rsidR="00097CEA" w:rsidRPr="0015336C" w:rsidRDefault="00097CEA" w:rsidP="0015336C">
      <w:pPr>
        <w:rPr>
          <w:rFonts w:ascii="Times New Roman" w:hAnsi="Times New Roman" w:cs="Times New Roman"/>
          <w:sz w:val="20"/>
          <w:szCs w:val="20"/>
        </w:rPr>
      </w:pPr>
    </w:p>
    <w:sectPr w:rsidR="00097CEA" w:rsidRPr="0015336C" w:rsidSect="006501FD">
      <w:footerReference w:type="default" r:id="rId8"/>
      <w:pgSz w:w="16838" w:h="11906" w:orient="landscape"/>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08" w:rsidRDefault="00AE5D08" w:rsidP="00EA1DA5">
      <w:pPr>
        <w:spacing w:after="0" w:line="240" w:lineRule="auto"/>
      </w:pPr>
      <w:r>
        <w:separator/>
      </w:r>
    </w:p>
  </w:endnote>
  <w:endnote w:type="continuationSeparator" w:id="0">
    <w:p w:rsidR="00AE5D08" w:rsidRDefault="00AE5D08" w:rsidP="00EA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C" w:rsidRDefault="00FD2B5C">
    <w:pPr>
      <w:pStyle w:val="Stopka"/>
    </w:pPr>
  </w:p>
  <w:p w:rsidR="00CD3F29" w:rsidRPr="001B56AA" w:rsidRDefault="00CD3F29" w:rsidP="001B56AA">
    <w:pPr>
      <w:spacing w:after="0" w:line="240" w:lineRule="auto"/>
      <w:jc w:val="center"/>
      <w:rPr>
        <w:rFonts w:ascii="Times New Roman" w:eastAsia="Times New Roman" w:hAnsi="Times New Roman" w:cs="Times New Roman"/>
        <w:sz w:val="24"/>
        <w:szCs w:val="24"/>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08" w:rsidRDefault="00AE5D08" w:rsidP="00EA1DA5">
      <w:pPr>
        <w:spacing w:after="0" w:line="240" w:lineRule="auto"/>
      </w:pPr>
      <w:r>
        <w:separator/>
      </w:r>
    </w:p>
  </w:footnote>
  <w:footnote w:type="continuationSeparator" w:id="0">
    <w:p w:rsidR="00AE5D08" w:rsidRDefault="00AE5D08" w:rsidP="00EA1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10E"/>
    <w:multiLevelType w:val="hybridMultilevel"/>
    <w:tmpl w:val="C834FF08"/>
    <w:lvl w:ilvl="0" w:tplc="04150017">
      <w:start w:val="1"/>
      <w:numFmt w:val="lowerLetter"/>
      <w:lvlText w:val="%1)"/>
      <w:lvlJc w:val="left"/>
      <w:pPr>
        <w:ind w:left="942" w:hanging="360"/>
      </w:p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1" w15:restartNumberingAfterBreak="0">
    <w:nsid w:val="08AF51B0"/>
    <w:multiLevelType w:val="hybridMultilevel"/>
    <w:tmpl w:val="D4A2C24E"/>
    <w:lvl w:ilvl="0" w:tplc="76263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92DD5"/>
    <w:multiLevelType w:val="hybridMultilevel"/>
    <w:tmpl w:val="A9AA899C"/>
    <w:lvl w:ilvl="0" w:tplc="E5CC5B82">
      <w:start w:val="1"/>
      <w:numFmt w:val="decimal"/>
      <w:lvlText w:val="%1)"/>
      <w:lvlJc w:val="righ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546A0"/>
    <w:multiLevelType w:val="multilevel"/>
    <w:tmpl w:val="9A621D8E"/>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52211E"/>
    <w:multiLevelType w:val="hybridMultilevel"/>
    <w:tmpl w:val="6BAACEE2"/>
    <w:lvl w:ilvl="0" w:tplc="209EA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80611F"/>
    <w:multiLevelType w:val="hybridMultilevel"/>
    <w:tmpl w:val="0660D322"/>
    <w:lvl w:ilvl="0" w:tplc="76263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D63A21"/>
    <w:multiLevelType w:val="hybridMultilevel"/>
    <w:tmpl w:val="7C0087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F175F7"/>
    <w:multiLevelType w:val="multilevel"/>
    <w:tmpl w:val="9D069B5A"/>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6041E6"/>
    <w:multiLevelType w:val="multilevel"/>
    <w:tmpl w:val="CD640B0E"/>
    <w:lvl w:ilvl="0">
      <w:start w:val="1"/>
      <w:numFmt w:val="decimal"/>
      <w:lvlText w:val="%1)"/>
      <w:lvlJc w:val="right"/>
      <w:pPr>
        <w:ind w:left="360" w:hanging="360"/>
      </w:pPr>
      <w:rPr>
        <w:rFonts w:ascii="Times New Roman" w:eastAsiaTheme="minorHAnsi" w:hAnsi="Times New Roman" w:cs="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6E6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E82FF9"/>
    <w:multiLevelType w:val="hybridMultilevel"/>
    <w:tmpl w:val="46408562"/>
    <w:lvl w:ilvl="0" w:tplc="76263364">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1" w15:restartNumberingAfterBreak="0">
    <w:nsid w:val="5E064C57"/>
    <w:multiLevelType w:val="hybridMultilevel"/>
    <w:tmpl w:val="C2862BE6"/>
    <w:lvl w:ilvl="0" w:tplc="E5CC5B82">
      <w:start w:val="1"/>
      <w:numFmt w:val="decimal"/>
      <w:lvlText w:val="%1)"/>
      <w:lvlJc w:val="right"/>
      <w:pPr>
        <w:ind w:left="501"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8F4CF6"/>
    <w:multiLevelType w:val="hybridMultilevel"/>
    <w:tmpl w:val="89924AA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 w15:restartNumberingAfterBreak="0">
    <w:nsid w:val="734A1E30"/>
    <w:multiLevelType w:val="hybridMultilevel"/>
    <w:tmpl w:val="BCDA73A6"/>
    <w:lvl w:ilvl="0" w:tplc="E5CC5B82">
      <w:start w:val="1"/>
      <w:numFmt w:val="decimal"/>
      <w:lvlText w:val="%1)"/>
      <w:lvlJc w:val="righ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87F19"/>
    <w:multiLevelType w:val="hybridMultilevel"/>
    <w:tmpl w:val="07F8398A"/>
    <w:lvl w:ilvl="0" w:tplc="E5CC5B82">
      <w:start w:val="1"/>
      <w:numFmt w:val="decimal"/>
      <w:lvlText w:val="%1)"/>
      <w:lvlJc w:val="right"/>
      <w:pPr>
        <w:ind w:left="72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8"/>
  </w:num>
  <w:num w:numId="6">
    <w:abstractNumId w:val="13"/>
  </w:num>
  <w:num w:numId="7">
    <w:abstractNumId w:val="5"/>
  </w:num>
  <w:num w:numId="8">
    <w:abstractNumId w:val="2"/>
  </w:num>
  <w:num w:numId="9">
    <w:abstractNumId w:val="14"/>
  </w:num>
  <w:num w:numId="10">
    <w:abstractNumId w:val="6"/>
  </w:num>
  <w:num w:numId="11">
    <w:abstractNumId w:val="11"/>
  </w:num>
  <w:num w:numId="12">
    <w:abstractNumId w:val="12"/>
  </w:num>
  <w:num w:numId="13">
    <w:abstractNumId w:val="1"/>
  </w:num>
  <w:num w:numId="14">
    <w:abstractNumId w:val="0"/>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EA"/>
    <w:rsid w:val="0000774E"/>
    <w:rsid w:val="00016E7D"/>
    <w:rsid w:val="0001743B"/>
    <w:rsid w:val="0002328C"/>
    <w:rsid w:val="00026323"/>
    <w:rsid w:val="0004348E"/>
    <w:rsid w:val="0004522F"/>
    <w:rsid w:val="000754AD"/>
    <w:rsid w:val="0008481F"/>
    <w:rsid w:val="00090E05"/>
    <w:rsid w:val="00097CEA"/>
    <w:rsid w:val="000A3B50"/>
    <w:rsid w:val="000A4C13"/>
    <w:rsid w:val="000B54B9"/>
    <w:rsid w:val="000C26A5"/>
    <w:rsid w:val="00101A8D"/>
    <w:rsid w:val="00102D95"/>
    <w:rsid w:val="001122F3"/>
    <w:rsid w:val="00133F4C"/>
    <w:rsid w:val="00151EB2"/>
    <w:rsid w:val="0015336C"/>
    <w:rsid w:val="00171A23"/>
    <w:rsid w:val="001807E9"/>
    <w:rsid w:val="00184FCE"/>
    <w:rsid w:val="001B1B22"/>
    <w:rsid w:val="001B56AA"/>
    <w:rsid w:val="001D2025"/>
    <w:rsid w:val="001F2F3D"/>
    <w:rsid w:val="001F319F"/>
    <w:rsid w:val="002026CD"/>
    <w:rsid w:val="00211ACB"/>
    <w:rsid w:val="00230B01"/>
    <w:rsid w:val="00242455"/>
    <w:rsid w:val="00282981"/>
    <w:rsid w:val="00291924"/>
    <w:rsid w:val="002A4ECE"/>
    <w:rsid w:val="002B3FE9"/>
    <w:rsid w:val="002C6734"/>
    <w:rsid w:val="002D5B09"/>
    <w:rsid w:val="002E31C9"/>
    <w:rsid w:val="002F15EF"/>
    <w:rsid w:val="00320E06"/>
    <w:rsid w:val="00333F0F"/>
    <w:rsid w:val="00344669"/>
    <w:rsid w:val="00367687"/>
    <w:rsid w:val="00392D9A"/>
    <w:rsid w:val="003A3258"/>
    <w:rsid w:val="003C53D3"/>
    <w:rsid w:val="003D7CCF"/>
    <w:rsid w:val="003E4C68"/>
    <w:rsid w:val="004003FF"/>
    <w:rsid w:val="00403769"/>
    <w:rsid w:val="00440404"/>
    <w:rsid w:val="004605DF"/>
    <w:rsid w:val="004736A6"/>
    <w:rsid w:val="00475A61"/>
    <w:rsid w:val="004858FC"/>
    <w:rsid w:val="004E554D"/>
    <w:rsid w:val="00502DAD"/>
    <w:rsid w:val="00511432"/>
    <w:rsid w:val="0052217A"/>
    <w:rsid w:val="00553F95"/>
    <w:rsid w:val="0057219F"/>
    <w:rsid w:val="005733DB"/>
    <w:rsid w:val="00587EC9"/>
    <w:rsid w:val="005E2AE0"/>
    <w:rsid w:val="00604FC6"/>
    <w:rsid w:val="006133BA"/>
    <w:rsid w:val="0061367F"/>
    <w:rsid w:val="0061787D"/>
    <w:rsid w:val="00626BA2"/>
    <w:rsid w:val="006319DB"/>
    <w:rsid w:val="00642468"/>
    <w:rsid w:val="006501FD"/>
    <w:rsid w:val="0066548C"/>
    <w:rsid w:val="006778BC"/>
    <w:rsid w:val="006977EB"/>
    <w:rsid w:val="006A08EF"/>
    <w:rsid w:val="006B21DC"/>
    <w:rsid w:val="006C3862"/>
    <w:rsid w:val="006F4E84"/>
    <w:rsid w:val="00776914"/>
    <w:rsid w:val="007A41E4"/>
    <w:rsid w:val="007B7E5B"/>
    <w:rsid w:val="007C7350"/>
    <w:rsid w:val="00804B1A"/>
    <w:rsid w:val="008137BC"/>
    <w:rsid w:val="0083577B"/>
    <w:rsid w:val="00847A8D"/>
    <w:rsid w:val="008628A9"/>
    <w:rsid w:val="00863FA2"/>
    <w:rsid w:val="00874EB3"/>
    <w:rsid w:val="008D3D48"/>
    <w:rsid w:val="008E3C9B"/>
    <w:rsid w:val="009032E5"/>
    <w:rsid w:val="00906740"/>
    <w:rsid w:val="00921383"/>
    <w:rsid w:val="0092492F"/>
    <w:rsid w:val="009434BE"/>
    <w:rsid w:val="009440F9"/>
    <w:rsid w:val="009520EF"/>
    <w:rsid w:val="00966741"/>
    <w:rsid w:val="009815E4"/>
    <w:rsid w:val="00986B20"/>
    <w:rsid w:val="00990321"/>
    <w:rsid w:val="009A2A0C"/>
    <w:rsid w:val="009A4CE1"/>
    <w:rsid w:val="009A5CA2"/>
    <w:rsid w:val="009B6E4C"/>
    <w:rsid w:val="009C3E5B"/>
    <w:rsid w:val="00A36C05"/>
    <w:rsid w:val="00A45067"/>
    <w:rsid w:val="00A50EF9"/>
    <w:rsid w:val="00A704EC"/>
    <w:rsid w:val="00A9435D"/>
    <w:rsid w:val="00AB0E0C"/>
    <w:rsid w:val="00AC0A47"/>
    <w:rsid w:val="00AC1C08"/>
    <w:rsid w:val="00AE5D08"/>
    <w:rsid w:val="00AF268E"/>
    <w:rsid w:val="00AF2FCC"/>
    <w:rsid w:val="00B07645"/>
    <w:rsid w:val="00B5090C"/>
    <w:rsid w:val="00B74261"/>
    <w:rsid w:val="00B750CC"/>
    <w:rsid w:val="00B8422E"/>
    <w:rsid w:val="00B967BB"/>
    <w:rsid w:val="00BC029A"/>
    <w:rsid w:val="00BD08EF"/>
    <w:rsid w:val="00BD7F6C"/>
    <w:rsid w:val="00C02F73"/>
    <w:rsid w:val="00C138A1"/>
    <w:rsid w:val="00C166A1"/>
    <w:rsid w:val="00C2669C"/>
    <w:rsid w:val="00C32310"/>
    <w:rsid w:val="00C45D55"/>
    <w:rsid w:val="00C53B9F"/>
    <w:rsid w:val="00C63FF0"/>
    <w:rsid w:val="00C64FB5"/>
    <w:rsid w:val="00C76D55"/>
    <w:rsid w:val="00C85CE2"/>
    <w:rsid w:val="00C876D4"/>
    <w:rsid w:val="00CA1D97"/>
    <w:rsid w:val="00CB413C"/>
    <w:rsid w:val="00CD3F29"/>
    <w:rsid w:val="00CD5BB3"/>
    <w:rsid w:val="00D11E58"/>
    <w:rsid w:val="00D17380"/>
    <w:rsid w:val="00D24802"/>
    <w:rsid w:val="00D40121"/>
    <w:rsid w:val="00D41DF5"/>
    <w:rsid w:val="00D56B8C"/>
    <w:rsid w:val="00D831D4"/>
    <w:rsid w:val="00D90491"/>
    <w:rsid w:val="00DA42F4"/>
    <w:rsid w:val="00DC135D"/>
    <w:rsid w:val="00DE6C55"/>
    <w:rsid w:val="00E05816"/>
    <w:rsid w:val="00E21710"/>
    <w:rsid w:val="00E334B6"/>
    <w:rsid w:val="00E370B0"/>
    <w:rsid w:val="00E40EA2"/>
    <w:rsid w:val="00E54496"/>
    <w:rsid w:val="00E70753"/>
    <w:rsid w:val="00EA1DA5"/>
    <w:rsid w:val="00EB75DF"/>
    <w:rsid w:val="00EC6693"/>
    <w:rsid w:val="00EF4B76"/>
    <w:rsid w:val="00EF71D4"/>
    <w:rsid w:val="00F20A3A"/>
    <w:rsid w:val="00F33D11"/>
    <w:rsid w:val="00F37C14"/>
    <w:rsid w:val="00F438F6"/>
    <w:rsid w:val="00F45ED6"/>
    <w:rsid w:val="00F57FAD"/>
    <w:rsid w:val="00F71E5E"/>
    <w:rsid w:val="00F866BC"/>
    <w:rsid w:val="00FA0578"/>
    <w:rsid w:val="00FA1D99"/>
    <w:rsid w:val="00FD18A1"/>
    <w:rsid w:val="00FD2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4BD1EA-D505-4FEC-8A02-3217923F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7CEA"/>
    <w:pPr>
      <w:ind w:left="720"/>
      <w:contextualSpacing/>
    </w:pPr>
  </w:style>
  <w:style w:type="paragraph" w:styleId="Tekstdymka">
    <w:name w:val="Balloon Text"/>
    <w:basedOn w:val="Normalny"/>
    <w:link w:val="TekstdymkaZnak"/>
    <w:uiPriority w:val="99"/>
    <w:semiHidden/>
    <w:unhideWhenUsed/>
    <w:rsid w:val="002F15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5EF"/>
    <w:rPr>
      <w:rFonts w:ascii="Tahoma" w:hAnsi="Tahoma" w:cs="Tahoma"/>
      <w:sz w:val="16"/>
      <w:szCs w:val="16"/>
    </w:rPr>
  </w:style>
  <w:style w:type="paragraph" w:styleId="Nagwek">
    <w:name w:val="header"/>
    <w:basedOn w:val="Normalny"/>
    <w:link w:val="NagwekZnak"/>
    <w:uiPriority w:val="99"/>
    <w:unhideWhenUsed/>
    <w:rsid w:val="00EA1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DA5"/>
  </w:style>
  <w:style w:type="paragraph" w:styleId="Bezodstpw">
    <w:name w:val="No Spacing"/>
    <w:basedOn w:val="Normalny"/>
    <w:uiPriority w:val="1"/>
    <w:qFormat/>
    <w:rsid w:val="00090E05"/>
    <w:pPr>
      <w:autoSpaceDE w:val="0"/>
      <w:autoSpaceDN w:val="0"/>
      <w:adjustRightInd w:val="0"/>
      <w:spacing w:before="60" w:after="0" w:line="240" w:lineRule="auto"/>
      <w:jc w:val="both"/>
    </w:pPr>
    <w:rPr>
      <w:rFonts w:ascii="Times New Roman" w:eastAsia="Times New Roman" w:hAnsi="Times New Roman" w:cs="Times New Roman"/>
      <w:sz w:val="20"/>
      <w:szCs w:val="20"/>
      <w:lang w:val="en-GB" w:eastAsia="pl-PL"/>
    </w:rPr>
  </w:style>
  <w:style w:type="table" w:styleId="Jasnecieniowanie">
    <w:name w:val="Light Shading"/>
    <w:basedOn w:val="Standardowy"/>
    <w:uiPriority w:val="60"/>
    <w:rsid w:val="00090E05"/>
    <w:pPr>
      <w:spacing w:after="0" w:line="240" w:lineRule="auto"/>
    </w:pPr>
    <w:rPr>
      <w:rFonts w:ascii="Calibri" w:eastAsia="Calibri" w:hAnsi="Calibri" w:cs="Times New Roman"/>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9A2A0C"/>
    <w:rPr>
      <w:sz w:val="16"/>
      <w:szCs w:val="16"/>
    </w:rPr>
  </w:style>
  <w:style w:type="paragraph" w:styleId="Tekstkomentarza">
    <w:name w:val="annotation text"/>
    <w:basedOn w:val="Normalny"/>
    <w:link w:val="TekstkomentarzaZnak"/>
    <w:uiPriority w:val="99"/>
    <w:semiHidden/>
    <w:unhideWhenUsed/>
    <w:rsid w:val="009A2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2A0C"/>
    <w:rPr>
      <w:sz w:val="20"/>
      <w:szCs w:val="20"/>
    </w:rPr>
  </w:style>
  <w:style w:type="paragraph" w:styleId="Tematkomentarza">
    <w:name w:val="annotation subject"/>
    <w:basedOn w:val="Tekstkomentarza"/>
    <w:next w:val="Tekstkomentarza"/>
    <w:link w:val="TematkomentarzaZnak"/>
    <w:uiPriority w:val="99"/>
    <w:semiHidden/>
    <w:unhideWhenUsed/>
    <w:rsid w:val="009A2A0C"/>
    <w:rPr>
      <w:b/>
      <w:bCs/>
    </w:rPr>
  </w:style>
  <w:style w:type="character" w:customStyle="1" w:styleId="TematkomentarzaZnak">
    <w:name w:val="Temat komentarza Znak"/>
    <w:basedOn w:val="TekstkomentarzaZnak"/>
    <w:link w:val="Tematkomentarza"/>
    <w:uiPriority w:val="99"/>
    <w:semiHidden/>
    <w:rsid w:val="009A2A0C"/>
    <w:rPr>
      <w:b/>
      <w:bCs/>
      <w:sz w:val="20"/>
      <w:szCs w:val="20"/>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C85CE2"/>
    <w:pPr>
      <w:spacing w:after="0" w:line="240" w:lineRule="auto"/>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rsid w:val="00C85CE2"/>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348">
      <w:bodyDiv w:val="1"/>
      <w:marLeft w:val="0"/>
      <w:marRight w:val="0"/>
      <w:marTop w:val="0"/>
      <w:marBottom w:val="0"/>
      <w:divBdr>
        <w:top w:val="none" w:sz="0" w:space="0" w:color="auto"/>
        <w:left w:val="none" w:sz="0" w:space="0" w:color="auto"/>
        <w:bottom w:val="none" w:sz="0" w:space="0" w:color="auto"/>
        <w:right w:val="none" w:sz="0" w:space="0" w:color="auto"/>
      </w:divBdr>
    </w:div>
    <w:div w:id="296183663">
      <w:bodyDiv w:val="1"/>
      <w:marLeft w:val="0"/>
      <w:marRight w:val="0"/>
      <w:marTop w:val="0"/>
      <w:marBottom w:val="0"/>
      <w:divBdr>
        <w:top w:val="none" w:sz="0" w:space="0" w:color="auto"/>
        <w:left w:val="none" w:sz="0" w:space="0" w:color="auto"/>
        <w:bottom w:val="none" w:sz="0" w:space="0" w:color="auto"/>
        <w:right w:val="none" w:sz="0" w:space="0" w:color="auto"/>
      </w:divBdr>
      <w:divsChild>
        <w:div w:id="1387529635">
          <w:marLeft w:val="0"/>
          <w:marRight w:val="0"/>
          <w:marTop w:val="0"/>
          <w:marBottom w:val="0"/>
          <w:divBdr>
            <w:top w:val="none" w:sz="0" w:space="0" w:color="auto"/>
            <w:left w:val="none" w:sz="0" w:space="0" w:color="auto"/>
            <w:bottom w:val="none" w:sz="0" w:space="0" w:color="auto"/>
            <w:right w:val="none" w:sz="0" w:space="0" w:color="auto"/>
          </w:divBdr>
        </w:div>
        <w:div w:id="1485853389">
          <w:marLeft w:val="0"/>
          <w:marRight w:val="0"/>
          <w:marTop w:val="0"/>
          <w:marBottom w:val="0"/>
          <w:divBdr>
            <w:top w:val="none" w:sz="0" w:space="0" w:color="auto"/>
            <w:left w:val="none" w:sz="0" w:space="0" w:color="auto"/>
            <w:bottom w:val="none" w:sz="0" w:space="0" w:color="auto"/>
            <w:right w:val="none" w:sz="0" w:space="0" w:color="auto"/>
          </w:divBdr>
        </w:div>
        <w:div w:id="873470666">
          <w:marLeft w:val="0"/>
          <w:marRight w:val="0"/>
          <w:marTop w:val="0"/>
          <w:marBottom w:val="0"/>
          <w:divBdr>
            <w:top w:val="none" w:sz="0" w:space="0" w:color="auto"/>
            <w:left w:val="none" w:sz="0" w:space="0" w:color="auto"/>
            <w:bottom w:val="none" w:sz="0" w:space="0" w:color="auto"/>
            <w:right w:val="none" w:sz="0" w:space="0" w:color="auto"/>
          </w:divBdr>
        </w:div>
        <w:div w:id="1507599100">
          <w:marLeft w:val="0"/>
          <w:marRight w:val="0"/>
          <w:marTop w:val="0"/>
          <w:marBottom w:val="0"/>
          <w:divBdr>
            <w:top w:val="none" w:sz="0" w:space="0" w:color="auto"/>
            <w:left w:val="none" w:sz="0" w:space="0" w:color="auto"/>
            <w:bottom w:val="none" w:sz="0" w:space="0" w:color="auto"/>
            <w:right w:val="none" w:sz="0" w:space="0" w:color="auto"/>
          </w:divBdr>
        </w:div>
        <w:div w:id="686179365">
          <w:marLeft w:val="0"/>
          <w:marRight w:val="0"/>
          <w:marTop w:val="0"/>
          <w:marBottom w:val="0"/>
          <w:divBdr>
            <w:top w:val="none" w:sz="0" w:space="0" w:color="auto"/>
            <w:left w:val="none" w:sz="0" w:space="0" w:color="auto"/>
            <w:bottom w:val="none" w:sz="0" w:space="0" w:color="auto"/>
            <w:right w:val="none" w:sz="0" w:space="0" w:color="auto"/>
          </w:divBdr>
        </w:div>
        <w:div w:id="1530490156">
          <w:marLeft w:val="0"/>
          <w:marRight w:val="0"/>
          <w:marTop w:val="0"/>
          <w:marBottom w:val="0"/>
          <w:divBdr>
            <w:top w:val="none" w:sz="0" w:space="0" w:color="auto"/>
            <w:left w:val="none" w:sz="0" w:space="0" w:color="auto"/>
            <w:bottom w:val="none" w:sz="0" w:space="0" w:color="auto"/>
            <w:right w:val="none" w:sz="0" w:space="0" w:color="auto"/>
          </w:divBdr>
        </w:div>
        <w:div w:id="1638299960">
          <w:marLeft w:val="0"/>
          <w:marRight w:val="0"/>
          <w:marTop w:val="0"/>
          <w:marBottom w:val="0"/>
          <w:divBdr>
            <w:top w:val="none" w:sz="0" w:space="0" w:color="auto"/>
            <w:left w:val="none" w:sz="0" w:space="0" w:color="auto"/>
            <w:bottom w:val="none" w:sz="0" w:space="0" w:color="auto"/>
            <w:right w:val="none" w:sz="0" w:space="0" w:color="auto"/>
          </w:divBdr>
        </w:div>
      </w:divsChild>
    </w:div>
    <w:div w:id="18362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83EE-30F2-4D6F-B3AF-19DF3ADB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3744</Characters>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2016-07-05T10:53:00Z</cp:lastPrinted>
  <dcterms:created xsi:type="dcterms:W3CDTF">2018-02-09T11:21:00Z</dcterms:created>
  <dcterms:modified xsi:type="dcterms:W3CDTF">2018-02-09T11:35:00Z</dcterms:modified>
</cp:coreProperties>
</file>