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20" w:rsidRPr="00F43954" w:rsidRDefault="000223B9">
      <w:pPr>
        <w:ind w:left="4876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ar-SA"/>
        </w:rPr>
        <w:t xml:space="preserve">Załącznik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ar-SA"/>
        </w:rPr>
        <w:t>Zarządzenia</w:t>
      </w:r>
      <w:bookmarkStart w:id="1" w:name="ezdPracownikAtrybut3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t>Dyrektora Generalnego Łódzkiego Urzędu Wojewódzkiego w Łodzi</w:t>
      </w:r>
      <w:bookmarkEnd w:id="1"/>
      <w:r w:rsidRPr="00F4395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dnia </w:t>
      </w:r>
      <w:bookmarkStart w:id="2" w:name="ezdDataPodpisu"/>
      <w:r w:rsidRPr="00F43954">
        <w:rPr>
          <w:rFonts w:ascii="Arial" w:eastAsia="Times New Roman" w:hAnsi="Arial" w:cs="Arial"/>
          <w:sz w:val="20"/>
          <w:szCs w:val="20"/>
          <w:lang w:eastAsia="ar-SA"/>
        </w:rPr>
        <w:t>8 sierpnia 2025</w:t>
      </w:r>
      <w:bookmarkEnd w:id="2"/>
      <w:r w:rsidRPr="00F4395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C04420" w:rsidRPr="00F43954" w:rsidRDefault="000223B9">
      <w:pPr>
        <w:jc w:val="center"/>
        <w:rPr>
          <w:rFonts w:ascii="Arial" w:hAnsi="Arial" w:cs="Arial"/>
          <w:sz w:val="24"/>
          <w:szCs w:val="24"/>
        </w:rPr>
      </w:pPr>
    </w:p>
    <w:p w:rsidR="00534886" w:rsidRPr="00A13394" w:rsidRDefault="000223B9" w:rsidP="00534886">
      <w:pPr>
        <w:spacing w:before="360" w:after="16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PROCEDURA PRZYJMOWANIA ZEWNĘTRZNYCH ZGŁOSZEŃ O NARUSZENIACH PRAWA I PODEJMOWANIA DZIAŁAŃ NASTĘPCZYCH W ŁÓDZKIM URZĘDZIE WOJEWÓDZKIM W ŁODZI</w:t>
      </w:r>
    </w:p>
    <w:p w:rsidR="00534886" w:rsidRPr="00A13394" w:rsidRDefault="000223B9" w:rsidP="00534886">
      <w:pPr>
        <w:spacing w:before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 xml:space="preserve">§ </w:t>
      </w:r>
      <w:r w:rsidRPr="00A13394">
        <w:rPr>
          <w:rFonts w:ascii="Arial" w:eastAsia="Calibri" w:hAnsi="Arial" w:cs="Arial"/>
          <w:b/>
          <w:sz w:val="24"/>
          <w:szCs w:val="24"/>
        </w:rPr>
        <w:t>1</w:t>
      </w:r>
    </w:p>
    <w:p w:rsidR="00534886" w:rsidRPr="00A13394" w:rsidRDefault="000223B9" w:rsidP="00534886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CEL PROCEDURY</w:t>
      </w:r>
    </w:p>
    <w:p w:rsidR="00534886" w:rsidRPr="00A13394" w:rsidRDefault="000223B9" w:rsidP="00534886">
      <w:pPr>
        <w:numPr>
          <w:ilvl w:val="0"/>
          <w:numId w:val="1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Niniejsza </w:t>
      </w:r>
      <w:r w:rsidRPr="00A13394">
        <w:rPr>
          <w:rFonts w:ascii="Arial" w:eastAsia="Calibri" w:hAnsi="Arial" w:cs="Arial"/>
          <w:i/>
          <w:sz w:val="24"/>
          <w:szCs w:val="24"/>
        </w:rPr>
        <w:t>Procedura</w:t>
      </w:r>
      <w:r w:rsidRPr="00A13394">
        <w:rPr>
          <w:rFonts w:ascii="Arial" w:eastAsia="Calibri" w:hAnsi="Arial" w:cs="Arial"/>
          <w:sz w:val="24"/>
          <w:szCs w:val="24"/>
        </w:rPr>
        <w:t xml:space="preserve"> zgłoszeń zewnętrznych oraz podejmowania działań następczych stanowi wypełnienie obowiązków wynikających z ustawy z dnia 14 czerwca 2024 roku o ochronie sygnalistów.</w:t>
      </w:r>
    </w:p>
    <w:p w:rsidR="00534886" w:rsidRPr="00A13394" w:rsidRDefault="000223B9" w:rsidP="00534886">
      <w:pPr>
        <w:numPr>
          <w:ilvl w:val="0"/>
          <w:numId w:val="1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Przyjmowanie zewnętrznych zgłoszeń naruszeń prawa jest </w:t>
      </w:r>
      <w:r w:rsidRPr="00A13394">
        <w:rPr>
          <w:rFonts w:ascii="Arial" w:eastAsia="Calibri" w:hAnsi="Arial" w:cs="Arial"/>
          <w:sz w:val="24"/>
          <w:szCs w:val="24"/>
        </w:rPr>
        <w:t>elementem prawidłowego i bezpiecznego zarządzania w Łódzkim Urzędzie Wojewódzkim w Łodzi i służy zwiększeniu efektywności wykrywania nieprawidłowości i podejmowania działań w celu ich eliminowania oraz ograniczenia ryzyka na wszystkich poziomach organizacy</w:t>
      </w:r>
      <w:r w:rsidRPr="00A13394">
        <w:rPr>
          <w:rFonts w:ascii="Arial" w:eastAsia="Calibri" w:hAnsi="Arial" w:cs="Arial"/>
          <w:sz w:val="24"/>
          <w:szCs w:val="24"/>
        </w:rPr>
        <w:t xml:space="preserve">jnych w Łódzkim Urzędzie Wojewódzkim w Łodzi. </w:t>
      </w:r>
    </w:p>
    <w:p w:rsidR="00534886" w:rsidRPr="00A13394" w:rsidRDefault="000223B9" w:rsidP="00534886">
      <w:pPr>
        <w:numPr>
          <w:ilvl w:val="0"/>
          <w:numId w:val="1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Wdrożony system przyjmowania zgłoszeń umożliwia zgłaszanie nieprawidłowości, zapewnia poufność danych oraz rzetelne i obiektywne rozpoznanie zgłoszenia oraz w sposób zapewniający ochronę przed działaniami o ch</w:t>
      </w:r>
      <w:r w:rsidRPr="00A13394">
        <w:rPr>
          <w:rFonts w:ascii="Arial" w:eastAsia="Calibri" w:hAnsi="Arial" w:cs="Arial"/>
          <w:sz w:val="24"/>
          <w:szCs w:val="24"/>
        </w:rPr>
        <w:t>arakterze odwetowym, represyjnym, dyskryminacyjnym lub innym rodzajem niesprawiedliwego traktowania w związku z dokonanym zgłoszeniem Zgłaszającego, osób pomagających w dokonaniu zgłoszenia oraz osób, których zgłoszenie dotyczy w zakresie i obszarze określ</w:t>
      </w:r>
      <w:r w:rsidRPr="00A13394">
        <w:rPr>
          <w:rFonts w:ascii="Arial" w:eastAsia="Calibri" w:hAnsi="Arial" w:cs="Arial"/>
          <w:sz w:val="24"/>
          <w:szCs w:val="24"/>
        </w:rPr>
        <w:t>onym w ustawie z dnia 24 czerwca 2024 r. o ochronie sygnalistów.</w:t>
      </w:r>
    </w:p>
    <w:p w:rsidR="00534886" w:rsidRPr="00A13394" w:rsidRDefault="000223B9" w:rsidP="00534886">
      <w:pPr>
        <w:numPr>
          <w:ilvl w:val="0"/>
          <w:numId w:val="1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Każda z osób zatrudnionych w Łódzkim Urzędzie Wojewódzkim w Łodzi zobowiązana jest do zapoznania z treścią procedury zgłoszeń zewnętrznych.</w:t>
      </w:r>
    </w:p>
    <w:p w:rsidR="00534886" w:rsidRPr="00A13394" w:rsidRDefault="000223B9" w:rsidP="00534886">
      <w:pPr>
        <w:spacing w:before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2</w:t>
      </w:r>
    </w:p>
    <w:p w:rsidR="00534886" w:rsidRPr="00A13394" w:rsidRDefault="000223B9" w:rsidP="00534886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DEFINICJE</w:t>
      </w:r>
    </w:p>
    <w:p w:rsidR="00534886" w:rsidRPr="00A13394" w:rsidRDefault="000223B9" w:rsidP="00534886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Ilekroć w Procedurze jest mowa o: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Procedurze – rozumie się przez to pr</w:t>
      </w:r>
      <w:r>
        <w:rPr>
          <w:rFonts w:ascii="Arial" w:eastAsia="Calibri" w:hAnsi="Arial" w:cs="Arial"/>
          <w:sz w:val="24"/>
          <w:szCs w:val="24"/>
        </w:rPr>
        <w:t>ocedurę zgłoszeń zewnętrznych i </w:t>
      </w:r>
      <w:r w:rsidRPr="00A13394">
        <w:rPr>
          <w:rFonts w:ascii="Arial" w:eastAsia="Calibri" w:hAnsi="Arial" w:cs="Arial"/>
          <w:sz w:val="24"/>
          <w:szCs w:val="24"/>
        </w:rPr>
        <w:t>podejmowania działań następczych, obowiązującą w Łódzkim Urzędzie Wojewódzkim w Łodzi;</w:t>
      </w:r>
    </w:p>
    <w:p w:rsidR="00534886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Organie publicznym – rozumie się przez to Łódzki Urząd Wojewódzki w Łodzi;</w:t>
      </w:r>
    </w:p>
    <w:p w:rsidR="00534886" w:rsidRPr="00B47639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7639">
        <w:rPr>
          <w:rFonts w:ascii="Arial" w:eastAsia="Calibri" w:hAnsi="Arial" w:cs="Arial"/>
          <w:sz w:val="24"/>
          <w:szCs w:val="24"/>
        </w:rPr>
        <w:t xml:space="preserve">Sygnaliście (zamiennie </w:t>
      </w:r>
      <w:r w:rsidRPr="00B47639">
        <w:rPr>
          <w:rFonts w:ascii="Arial" w:eastAsia="Calibri" w:hAnsi="Arial" w:cs="Arial"/>
          <w:sz w:val="24"/>
          <w:szCs w:val="24"/>
        </w:rPr>
        <w:t>nazywany Zgłaszającym) – rozumie się przez to osobę fizyczną, która zgłasza lub ujawnia publicznie informację o naruszeniu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47639">
        <w:rPr>
          <w:rFonts w:ascii="Arial" w:eastAsia="Calibri" w:hAnsi="Arial" w:cs="Arial"/>
          <w:sz w:val="24"/>
          <w:szCs w:val="24"/>
        </w:rPr>
        <w:t>prawa uzyskaną w kontekście związanym z pracą, w tym: pracownik, współpracownik lub osoba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47639">
        <w:rPr>
          <w:rFonts w:ascii="Arial" w:eastAsia="Calibri" w:hAnsi="Arial" w:cs="Arial"/>
          <w:sz w:val="24"/>
          <w:szCs w:val="24"/>
        </w:rPr>
        <w:t xml:space="preserve">fizyczna z zewnątrz, która posiada </w:t>
      </w:r>
      <w:r>
        <w:rPr>
          <w:rFonts w:ascii="Arial" w:eastAsia="Calibri" w:hAnsi="Arial" w:cs="Arial"/>
          <w:sz w:val="24"/>
          <w:szCs w:val="24"/>
        </w:rPr>
        <w:t>informac</w:t>
      </w:r>
      <w:r>
        <w:rPr>
          <w:rFonts w:ascii="Arial" w:eastAsia="Calibri" w:hAnsi="Arial" w:cs="Arial"/>
          <w:sz w:val="24"/>
          <w:szCs w:val="24"/>
        </w:rPr>
        <w:t>je o naruszeniu prawa w </w:t>
      </w:r>
      <w:r w:rsidRPr="00B47639">
        <w:rPr>
          <w:rFonts w:ascii="Arial" w:eastAsia="Calibri" w:hAnsi="Arial" w:cs="Arial"/>
          <w:sz w:val="24"/>
          <w:szCs w:val="24"/>
        </w:rPr>
        <w:t>Łódzkim Urzędzie Wojewódzkim w Łodzi;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Komisji ds. Naruszeń - rozumie się przez to komisję odpowiedzialną za prowadzenie postępowania wyjaśniającego w zakresie zgłoszenia oraz stosowną w tym zakresie dokumentację;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zgłoszeniu zewnętrz</w:t>
      </w:r>
      <w:r w:rsidRPr="00A13394">
        <w:rPr>
          <w:rFonts w:ascii="Arial" w:eastAsia="Calibri" w:hAnsi="Arial" w:cs="Arial"/>
          <w:sz w:val="24"/>
          <w:szCs w:val="24"/>
        </w:rPr>
        <w:t xml:space="preserve">nym – rozumie się przez to ustne lub pisemne przekazanie Rzecznikowi Praw Obywatelskich albo organowi </w:t>
      </w:r>
      <w:r>
        <w:rPr>
          <w:rFonts w:ascii="Arial" w:eastAsia="Calibri" w:hAnsi="Arial" w:cs="Arial"/>
          <w:sz w:val="24"/>
          <w:szCs w:val="24"/>
        </w:rPr>
        <w:t>publicznemu informacji o </w:t>
      </w:r>
      <w:r w:rsidRPr="00A13394">
        <w:rPr>
          <w:rFonts w:ascii="Arial" w:eastAsia="Calibri" w:hAnsi="Arial" w:cs="Arial"/>
          <w:sz w:val="24"/>
          <w:szCs w:val="24"/>
        </w:rPr>
        <w:t>naruszeniu prawa;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naruszeniu prawa – rozumie się przez to działa</w:t>
      </w:r>
      <w:r>
        <w:rPr>
          <w:rFonts w:ascii="Arial" w:eastAsia="Calibri" w:hAnsi="Arial" w:cs="Arial"/>
          <w:sz w:val="24"/>
          <w:szCs w:val="24"/>
        </w:rPr>
        <w:t>nie lub zaniechanie niezgodne z </w:t>
      </w:r>
      <w:r w:rsidRPr="00A13394">
        <w:rPr>
          <w:rFonts w:ascii="Arial" w:eastAsia="Calibri" w:hAnsi="Arial" w:cs="Arial"/>
          <w:sz w:val="24"/>
          <w:szCs w:val="24"/>
        </w:rPr>
        <w:t>prawem mające na celu obejście pr</w:t>
      </w:r>
      <w:r w:rsidRPr="00A13394">
        <w:rPr>
          <w:rFonts w:ascii="Arial" w:eastAsia="Calibri" w:hAnsi="Arial" w:cs="Arial"/>
          <w:sz w:val="24"/>
          <w:szCs w:val="24"/>
        </w:rPr>
        <w:t>awa, dotyczące korupcji, zamówień publicznych, usług, produktów i rynków finansowych, przeciwdziałania praniu pieniędzy oraz finansowaniu terroryzmu, bezpieczeństwa produktów i ich zgodności z wymogami, bezpieczeństwa transportu, ochrony środowiska, ochron</w:t>
      </w:r>
      <w:r w:rsidRPr="00A13394">
        <w:rPr>
          <w:rFonts w:ascii="Arial" w:eastAsia="Calibri" w:hAnsi="Arial" w:cs="Arial"/>
          <w:sz w:val="24"/>
          <w:szCs w:val="24"/>
        </w:rPr>
        <w:t>y radiologicznej i bezpieczeństwa jądro</w:t>
      </w:r>
      <w:r>
        <w:rPr>
          <w:rFonts w:ascii="Arial" w:eastAsia="Calibri" w:hAnsi="Arial" w:cs="Arial"/>
          <w:sz w:val="24"/>
          <w:szCs w:val="24"/>
        </w:rPr>
        <w:t>wego, bezpieczeństwa żywności i </w:t>
      </w:r>
      <w:r w:rsidRPr="00A13394">
        <w:rPr>
          <w:rFonts w:ascii="Arial" w:eastAsia="Calibri" w:hAnsi="Arial" w:cs="Arial"/>
          <w:sz w:val="24"/>
          <w:szCs w:val="24"/>
        </w:rPr>
        <w:t>pasz, zdrowia i dobrostanu zwierząt, zdrowia publicznego, ochrony konsumentów, ochrony prywatności i danych osobowych, bezpieczeństwa sieci i systemów teleinformatycznych, interesów fin</w:t>
      </w:r>
      <w:r w:rsidRPr="00A13394">
        <w:rPr>
          <w:rFonts w:ascii="Arial" w:eastAsia="Calibri" w:hAnsi="Arial" w:cs="Arial"/>
          <w:sz w:val="24"/>
          <w:szCs w:val="24"/>
        </w:rPr>
        <w:t>ansowych Skarbu Państwa Rzeczypospolitej Polskiej, jednostki samorządu terytorialnego oraz Unii Europejskiej, rynku wewnętrznego Unii Europejskiej, w tym publicznoprawnych zasad konkurencji i pomocy państwa oraz opodatkowania osób prawnych, konstytucyjnych</w:t>
      </w:r>
      <w:r w:rsidRPr="00A13394">
        <w:rPr>
          <w:rFonts w:ascii="Arial" w:eastAsia="Calibri" w:hAnsi="Arial" w:cs="Arial"/>
          <w:sz w:val="24"/>
          <w:szCs w:val="24"/>
        </w:rPr>
        <w:t xml:space="preserve"> wolności i praw człowiek</w:t>
      </w:r>
      <w:r>
        <w:rPr>
          <w:rFonts w:ascii="Arial" w:eastAsia="Calibri" w:hAnsi="Arial" w:cs="Arial"/>
          <w:sz w:val="24"/>
          <w:szCs w:val="24"/>
        </w:rPr>
        <w:t>a i obywatela – występujących w </w:t>
      </w:r>
      <w:r w:rsidRPr="00A13394">
        <w:rPr>
          <w:rFonts w:ascii="Arial" w:eastAsia="Calibri" w:hAnsi="Arial" w:cs="Arial"/>
          <w:sz w:val="24"/>
          <w:szCs w:val="24"/>
        </w:rPr>
        <w:t>stosunkach jednostki z organami władzy publicznej i niezwiązanych z innymi, wymienionymi dziedzinami;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działaniu następczym – należy przez to rozumieć działanie podjęte przez organ publiczny w celu oc</w:t>
      </w:r>
      <w:r w:rsidRPr="00A13394">
        <w:rPr>
          <w:rFonts w:ascii="Arial" w:eastAsia="Calibri" w:hAnsi="Arial" w:cs="Arial"/>
          <w:sz w:val="24"/>
          <w:szCs w:val="24"/>
        </w:rPr>
        <w:t>eny prawdziwości informacji zawartych w zgłoszeniu oraz w celu przeciwdziałania naruszeniu prawa będąc</w:t>
      </w:r>
      <w:r>
        <w:rPr>
          <w:rFonts w:ascii="Arial" w:eastAsia="Calibri" w:hAnsi="Arial" w:cs="Arial"/>
          <w:sz w:val="24"/>
          <w:szCs w:val="24"/>
        </w:rPr>
        <w:t>emu przedmiotem zgłoszenia, w </w:t>
      </w:r>
      <w:r w:rsidRPr="00A13394">
        <w:rPr>
          <w:rFonts w:ascii="Arial" w:eastAsia="Calibri" w:hAnsi="Arial" w:cs="Arial"/>
          <w:sz w:val="24"/>
          <w:szCs w:val="24"/>
        </w:rPr>
        <w:t xml:space="preserve">szczególności przez postępowanie wyjaśniające, wszczęcie kontroli lub postępowania administracyjnego, wniesienie </w:t>
      </w:r>
      <w:r>
        <w:rPr>
          <w:rFonts w:ascii="Arial" w:eastAsia="Calibri" w:hAnsi="Arial" w:cs="Arial"/>
          <w:sz w:val="24"/>
          <w:szCs w:val="24"/>
        </w:rPr>
        <w:t>oskarżenia,</w:t>
      </w:r>
      <w:r>
        <w:rPr>
          <w:rFonts w:ascii="Arial" w:eastAsia="Calibri" w:hAnsi="Arial" w:cs="Arial"/>
          <w:sz w:val="24"/>
          <w:szCs w:val="24"/>
        </w:rPr>
        <w:t xml:space="preserve"> działanie podjęte w </w:t>
      </w:r>
      <w:r w:rsidRPr="00A13394">
        <w:rPr>
          <w:rFonts w:ascii="Arial" w:eastAsia="Calibri" w:hAnsi="Arial" w:cs="Arial"/>
          <w:sz w:val="24"/>
          <w:szCs w:val="24"/>
        </w:rPr>
        <w:t>celu odzyskania środków finansowych lub zamknięcie procedury realizowanej w ramach zewnętrznej procedury dokony</w:t>
      </w:r>
      <w:r>
        <w:rPr>
          <w:rFonts w:ascii="Arial" w:eastAsia="Calibri" w:hAnsi="Arial" w:cs="Arial"/>
          <w:sz w:val="24"/>
          <w:szCs w:val="24"/>
        </w:rPr>
        <w:t>wania zgłoszeń naruszeń prawa i </w:t>
      </w:r>
      <w:r w:rsidRPr="00A13394">
        <w:rPr>
          <w:rFonts w:ascii="Arial" w:eastAsia="Calibri" w:hAnsi="Arial" w:cs="Arial"/>
          <w:sz w:val="24"/>
          <w:szCs w:val="24"/>
        </w:rPr>
        <w:t>podejmowania działań następczych;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działaniu odwetowym – należy przez to rozumieć bezpośredni</w:t>
      </w:r>
      <w:r w:rsidRPr="00A13394">
        <w:rPr>
          <w:rFonts w:ascii="Arial" w:eastAsia="Calibri" w:hAnsi="Arial" w:cs="Arial"/>
          <w:sz w:val="24"/>
          <w:szCs w:val="24"/>
        </w:rPr>
        <w:t>e lub pośrednie działanie lub zaniechanie w kontekście związanym z pracą, które jest spowodowane zgłoszeniem lub ujawnieniem publicznym i które narusza lub może naruszyć prawa sygnalisty lub wyrządza lub może wyrządzić nieuzasadnioną szkodę̨ sygnaliście, w</w:t>
      </w:r>
      <w:r w:rsidRPr="00A13394">
        <w:rPr>
          <w:rFonts w:ascii="Arial" w:eastAsia="Calibri" w:hAnsi="Arial" w:cs="Arial"/>
          <w:sz w:val="24"/>
          <w:szCs w:val="24"/>
        </w:rPr>
        <w:t xml:space="preserve"> tym bezpodstawne inicjowanie postępowań przeciwko sygnaliście;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informacji o naruszeniu prawa – należy przez to rozumieć informację, w tym uzasadnione podejrzenie dotyczące zaistniałego lub potencjalnego naruszenia prawa, do którego doszło lub prawdopodobn</w:t>
      </w:r>
      <w:r w:rsidRPr="00A13394">
        <w:rPr>
          <w:rFonts w:ascii="Arial" w:eastAsia="Calibri" w:hAnsi="Arial" w:cs="Arial"/>
          <w:sz w:val="24"/>
          <w:szCs w:val="24"/>
        </w:rPr>
        <w:t>ie dojdzie w podmiocie prawnym, w którym sygnalista uczestniczył w procesie rekrutacji lub innych negocjacji poprzedzających zawarcie umowy, pracuje lub pracował, lub w innym podmiocie prawnym, z którym sygnalista utrzymuje lub utrzymywał kontakt w kontekś</w:t>
      </w:r>
      <w:r w:rsidRPr="00A13394">
        <w:rPr>
          <w:rFonts w:ascii="Arial" w:eastAsia="Calibri" w:hAnsi="Arial" w:cs="Arial"/>
          <w:sz w:val="24"/>
          <w:szCs w:val="24"/>
        </w:rPr>
        <w:t>cie związanym z pracą, lub informację dotyczącą prośby ukrycia takiego naruszenia prawa;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informacji zwrotnej – należy przez to rozumieć przekazaną sygnaliście informację na temat planowanych lub podjętych działań następczych i powodów takich działań;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48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konte</w:t>
      </w:r>
      <w:r w:rsidRPr="00A13394">
        <w:rPr>
          <w:rFonts w:ascii="Arial" w:eastAsia="Calibri" w:hAnsi="Arial" w:cs="Arial"/>
          <w:sz w:val="24"/>
          <w:szCs w:val="24"/>
        </w:rPr>
        <w:t>kście związanym z pracą – należy przez to rozumieć przeszłe, obecne lub przyszłe działania związane z wykonywaniem pracy na podstawie stosunku pracy lub innego stosunku prawnego stanowiącego podstawę świadczenia pracy lub usług lub pełnienia funkcji w podm</w:t>
      </w:r>
      <w:r w:rsidRPr="00A13394">
        <w:rPr>
          <w:rFonts w:ascii="Arial" w:eastAsia="Calibri" w:hAnsi="Arial" w:cs="Arial"/>
          <w:sz w:val="24"/>
          <w:szCs w:val="24"/>
        </w:rPr>
        <w:t>iocie prawnym lub na rzecz tego podmiotu, lub pełnienia służby w podmiocie prawnym, w ramach których uzyskano informację o naruszeniu prawa oraz istnieje możliwość doświadczenia działań odwetowych;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osobie, której dotyczy zgłoszenie – należy przez to rozumi</w:t>
      </w:r>
      <w:r w:rsidRPr="00A13394">
        <w:rPr>
          <w:rFonts w:ascii="Arial" w:eastAsia="Calibri" w:hAnsi="Arial" w:cs="Arial"/>
          <w:sz w:val="24"/>
          <w:szCs w:val="24"/>
        </w:rPr>
        <w:t>eć osobę fizyczną, osobę prawną lub jednostkę organizacyjną nieposiadającą osobowości prawnej, której ustawa przyznaje zdolność prawną, wskazaną w zgłoszeniu lub ujawnieniu publicznym jako osoba, która dopuściła się̨ naruszenia prawa, lub jako osoba, z któ</w:t>
      </w:r>
      <w:r w:rsidRPr="00A13394">
        <w:rPr>
          <w:rFonts w:ascii="Arial" w:eastAsia="Calibri" w:hAnsi="Arial" w:cs="Arial"/>
          <w:sz w:val="24"/>
          <w:szCs w:val="24"/>
        </w:rPr>
        <w:t>rą osoba, która dopuściła się̨ naruszenia prawa, jest powiązana;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osobie pomagającej w dokonaniu zgłoszenia – należy przez to rozumieć osobę fizyczną, która pomaga sygnaliście w zgłoszeniu lub ujawnieniu publicznym w kontekście związanym z pracą i której po</w:t>
      </w:r>
      <w:r w:rsidRPr="00A13394">
        <w:rPr>
          <w:rFonts w:ascii="Arial" w:eastAsia="Calibri" w:hAnsi="Arial" w:cs="Arial"/>
          <w:sz w:val="24"/>
          <w:szCs w:val="24"/>
        </w:rPr>
        <w:t>moc nie powinna zostać ujawniona;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osobie powiązanej z Sygnalistą – należy przez to rozumieć osobę fizyczną, która może doświadczyć działań odwetowych, w tym współpracownika lub osobę najbliższą sygnalisty w rozumieniu art. 115 § 11 ustawy z dnia 6 czerwca </w:t>
      </w:r>
      <w:r w:rsidRPr="00A13394">
        <w:rPr>
          <w:rFonts w:ascii="Arial" w:eastAsia="Calibri" w:hAnsi="Arial" w:cs="Arial"/>
          <w:sz w:val="24"/>
          <w:szCs w:val="24"/>
        </w:rPr>
        <w:t>1997 r. – Kodeks karny;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osobie upoważnionej – należy przez to rozumieć osobę uprawnioną do przyjmowania zgłoszeń zewnętrznych, dokonywania ich wstępnej weryfikacji, podejmowania działań następczych oraz związanego z tym przetwarzaniem danych osobowych, kon</w:t>
      </w:r>
      <w:r w:rsidRPr="00A13394">
        <w:rPr>
          <w:rFonts w:ascii="Arial" w:eastAsia="Calibri" w:hAnsi="Arial" w:cs="Arial"/>
          <w:sz w:val="24"/>
          <w:szCs w:val="24"/>
        </w:rPr>
        <w:t>taktu z sygnalistą w celu przekazywania informacji zwrotnych i – w razie potrzeby – zwracania się o wyjaśnienia lub dodatkowe informacje w zakresie przekazanych danych, jakie mogą być w jego posiadaniu oraz przekazywania zainteresowanym osobom informacji n</w:t>
      </w:r>
      <w:r w:rsidRPr="00A13394">
        <w:rPr>
          <w:rFonts w:ascii="Arial" w:eastAsia="Calibri" w:hAnsi="Arial" w:cs="Arial"/>
          <w:sz w:val="24"/>
          <w:szCs w:val="24"/>
        </w:rPr>
        <w:t>a temat procedury zgłoszeń zewnętrznych;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postępowaniu prawnym – należy przez to rozumieć postępowanie toczące się na podstawie przepisów prawa powszechnie obowiązującego, w szczególności postępowanie karne, cywilne, administracyjne, dyscyplinarne lub o nar</w:t>
      </w:r>
      <w:r w:rsidRPr="00A13394">
        <w:rPr>
          <w:rFonts w:ascii="Arial" w:eastAsia="Calibri" w:hAnsi="Arial" w:cs="Arial"/>
          <w:sz w:val="24"/>
          <w:szCs w:val="24"/>
        </w:rPr>
        <w:t>uszenie dyscypliny finansów publicznych, albo postępowanie toczące się na podstawie regulacji wewnętrznych wydanych w celu wykonania przepisów prawa powszechnie obowiązującego, w szczególności antymobbingowych;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ujawnieniu publicznym – należy przez to rozum</w:t>
      </w:r>
      <w:r w:rsidRPr="00A13394">
        <w:rPr>
          <w:rFonts w:ascii="Arial" w:eastAsia="Calibri" w:hAnsi="Arial" w:cs="Arial"/>
          <w:sz w:val="24"/>
          <w:szCs w:val="24"/>
        </w:rPr>
        <w:t>ieć podanie informacji o naruszeniu prawa do wiadomości publicznej;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postępowaniu wyjaśniającym – rozumie się przez to postępowanie prowadzone w związku ze złożonym zgłoszeniem, mające na celu badanie wiarygodności oraz ocenę prawdziwości zarzutów zawartych</w:t>
      </w:r>
      <w:r w:rsidRPr="00A13394">
        <w:rPr>
          <w:rFonts w:ascii="Arial" w:eastAsia="Calibri" w:hAnsi="Arial" w:cs="Arial"/>
          <w:sz w:val="24"/>
          <w:szCs w:val="24"/>
        </w:rPr>
        <w:t xml:space="preserve"> w zgłoszeniu;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kanale zgłaszania – rozumie się przez to techniczne (w tym teleinformatyczne) i organizacyjne rozwiązania umożliwiające dokonywanie zgłoszenia;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Anonimie – rozumie się przez to zgłoszenie dokonane przez osobę, co do której nie jest możliwa </w:t>
      </w:r>
      <w:r w:rsidRPr="00A13394">
        <w:rPr>
          <w:rFonts w:ascii="Arial" w:eastAsia="Calibri" w:hAnsi="Arial" w:cs="Arial"/>
          <w:sz w:val="24"/>
          <w:szCs w:val="24"/>
        </w:rPr>
        <w:t>identyfikacja tożsamości;</w:t>
      </w:r>
    </w:p>
    <w:p w:rsidR="00534886" w:rsidRPr="00A13394" w:rsidRDefault="000223B9" w:rsidP="00534886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ustawie – należy przez to rozumieć ustawę z dnia 14  czerwca 2024 roku o ochronie sygnalistów.</w:t>
      </w:r>
    </w:p>
    <w:p w:rsidR="00534886" w:rsidRPr="00A13394" w:rsidRDefault="000223B9" w:rsidP="00534886">
      <w:pPr>
        <w:spacing w:before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3</w:t>
      </w:r>
    </w:p>
    <w:p w:rsidR="00534886" w:rsidRPr="00A13394" w:rsidRDefault="000223B9" w:rsidP="00534886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OCHRONA SYGNALISTY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Sygnalista podlega ochronie określonej w ustawie od chwili dokonania zgłoszenia lub ujawnienia publicznego, pod </w:t>
      </w:r>
      <w:r w:rsidRPr="00A13394">
        <w:rPr>
          <w:rFonts w:ascii="Arial" w:eastAsia="Calibri" w:hAnsi="Arial" w:cs="Arial"/>
          <w:sz w:val="24"/>
          <w:szCs w:val="24"/>
        </w:rPr>
        <w:t xml:space="preserve">warunkiem że miał uzasadnione podstawy sądzić, że informacja będąca przedmiotem zgłoszenia lub ujawnienia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publicznego jest prawdziwa w momencie dokonywania zgłoszenia lub ujawnienia publicznego i że stanowi informację o naruszeniu prawa.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Niniejsza procedur</w:t>
      </w:r>
      <w:r w:rsidRPr="00A13394">
        <w:rPr>
          <w:rFonts w:ascii="Arial" w:eastAsia="Calibri" w:hAnsi="Arial" w:cs="Arial"/>
          <w:sz w:val="24"/>
          <w:szCs w:val="24"/>
        </w:rPr>
        <w:t>a zapewnia Sygnaliście ochronę w szczególności poprzez:</w:t>
      </w:r>
    </w:p>
    <w:p w:rsidR="00534886" w:rsidRPr="00A13394" w:rsidRDefault="000223B9" w:rsidP="00534886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ochronę tożsamości, z wyjątkiem sytuacji w której Sygnalista wyrazi zgodę na ujawnienie danych,</w:t>
      </w:r>
    </w:p>
    <w:p w:rsidR="00534886" w:rsidRPr="00A13394" w:rsidRDefault="000223B9" w:rsidP="00534886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ochronę osób, które pomagały w dokonaniu zgłoszenia,</w:t>
      </w:r>
    </w:p>
    <w:p w:rsidR="00534886" w:rsidRPr="00A13394" w:rsidRDefault="000223B9" w:rsidP="00534886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ochronę przed działaniami odwetowymi,</w:t>
      </w:r>
    </w:p>
    <w:p w:rsidR="00534886" w:rsidRPr="00A13394" w:rsidRDefault="000223B9" w:rsidP="00534886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powierzenie z</w:t>
      </w:r>
      <w:r w:rsidRPr="00A13394">
        <w:rPr>
          <w:rFonts w:ascii="Arial" w:eastAsia="Calibri" w:hAnsi="Arial" w:cs="Arial"/>
          <w:sz w:val="24"/>
          <w:szCs w:val="24"/>
        </w:rPr>
        <w:t>adań związanych z przyjęciem i procedowaniem zgłoszeń zewnętrznych osobom bezstronnym, odpowiednio przeszkolonym, posiadającym upoważnienie do wykonywania tych czynności oraz zobowiązanym do zachowania poufności.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Zapisu ust. 1 i 2 nie stosuje się w przypad</w:t>
      </w:r>
      <w:r w:rsidRPr="00A13394">
        <w:rPr>
          <w:rFonts w:ascii="Arial" w:eastAsia="Calibri" w:hAnsi="Arial" w:cs="Arial"/>
          <w:sz w:val="24"/>
          <w:szCs w:val="24"/>
        </w:rPr>
        <w:t>ku, gdy ujawnienie jest koniecznym i proporcjonalnym obowiązkiem wynikającym z przepisów prawa w związku z postępowaniami wyjaśniającymi prowadzonymi przez organy publiczne lub postępowaniami przygotowawczymi lub sądowymi prowadzonymi przez sądy, w tym w c</w:t>
      </w:r>
      <w:r w:rsidRPr="00A13394">
        <w:rPr>
          <w:rFonts w:ascii="Arial" w:eastAsia="Calibri" w:hAnsi="Arial" w:cs="Arial"/>
          <w:sz w:val="24"/>
          <w:szCs w:val="24"/>
        </w:rPr>
        <w:t xml:space="preserve">elu zagwarantowania prawa do obrony przysługującego osobie, której dotyczy zgłoszenie. Przed dokonaniem ujawnienia, o którym mowa powyżej, Organ publiczny powiadamia o tym Sygnalistę, przesyłając w postaci papierowej lub elektronicznej wyjaśnienie powodów </w:t>
      </w:r>
      <w:r w:rsidRPr="00A13394">
        <w:rPr>
          <w:rFonts w:ascii="Arial" w:eastAsia="Calibri" w:hAnsi="Arial" w:cs="Arial"/>
          <w:sz w:val="24"/>
          <w:szCs w:val="24"/>
        </w:rPr>
        <w:t>ujawnienia jego danych osobowych, chyba że takie powiadomienie zagrozi postępowaniu wyjaśniającemu lub postępowaniu przygotowawczemu lub sądowemu.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Nie korzysta z ochrony wynikającej z niniejszej Procedury osoba, która dokonuje zgłoszenia lub ujawnienia pub</w:t>
      </w:r>
      <w:r w:rsidRPr="00A13394">
        <w:rPr>
          <w:rFonts w:ascii="Arial" w:eastAsia="Calibri" w:hAnsi="Arial" w:cs="Arial"/>
          <w:sz w:val="24"/>
          <w:szCs w:val="24"/>
        </w:rPr>
        <w:t>licznego, wiedząc, że do naruszenia prawa nie doszło. Osoba taka może natomiast na podstawie art. 57 ustawy podlegać grzywnie, kar ze ograniczenia wolności lub pozbawienia wolności do lat 2.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Organ publiczny po otrzymaniu zgłoszenia przetwarza dane osobowe </w:t>
      </w:r>
      <w:r w:rsidRPr="00A13394">
        <w:rPr>
          <w:rFonts w:ascii="Arial" w:eastAsia="Calibri" w:hAnsi="Arial" w:cs="Arial"/>
          <w:sz w:val="24"/>
          <w:szCs w:val="24"/>
        </w:rPr>
        <w:t>w zakresie niezbędnym do przyjęcia zgłoszenia lub podjęcia ewentualnego działania następczego. Dane osobowe, które nie mają znaczenia dla rozpatrywania zgłoszenia, nie są zbierane, a w razie przypadkowego zebrania są niezwłocznie usuwane.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Dane osobowe przetwarzane w związku z przyjęciem zgłoszenia lub podjęciem działań następczych oraz dokumenty związane z tym zgłoszeniem są̨ przechowywane przez pracodawcę przez okres 3 lat po zakończeniu roku kalendarzowego, w którym przekazano zgłoszenie </w:t>
      </w:r>
      <w:r w:rsidRPr="00A13394">
        <w:rPr>
          <w:rFonts w:ascii="Arial" w:eastAsia="Calibri" w:hAnsi="Arial" w:cs="Arial"/>
          <w:sz w:val="24"/>
          <w:szCs w:val="24"/>
        </w:rPr>
        <w:t xml:space="preserve">zewnętrzne do organu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publicznego właściwego do podjęcia działań następczych lub zakończono działania następcze, lub po zakończeniu postępowań zainicjowanych tymi działaniami.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usuwa dane osobowe oraz niszczy dokumenty związane ze zgłoszeniem</w:t>
      </w:r>
      <w:r w:rsidRPr="00A13394">
        <w:rPr>
          <w:rFonts w:ascii="Arial" w:eastAsia="Calibri" w:hAnsi="Arial" w:cs="Arial"/>
          <w:sz w:val="24"/>
          <w:szCs w:val="24"/>
        </w:rPr>
        <w:t xml:space="preserve"> po upływie okresu przechowywania.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Przepisu ust. 7 nie stosuje się w przypadku, gdy dokumenty związane ze zgłoszeniem stanowią cześć akt postępowań przygotowawczych lub spraw sądowych lub sądowo-administracyjnych.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Wszyscy, których dotyczy lub może dotyczyć</w:t>
      </w:r>
      <w:r w:rsidRPr="00A13394">
        <w:rPr>
          <w:rFonts w:ascii="Arial" w:eastAsia="Calibri" w:hAnsi="Arial" w:cs="Arial"/>
          <w:sz w:val="24"/>
          <w:szCs w:val="24"/>
        </w:rPr>
        <w:t xml:space="preserve"> zgłoszenie zobowiązani są od powstrzymania się od jakichkolwiek działań związanych z zamiarem odkrycia tożsamości Zgłaszającego oraz stosowania działań odwetowych względem Zgłaszającego. Za działania odwetowe z powodu dokonania zgłoszenia lub ujawnienia p</w:t>
      </w:r>
      <w:r w:rsidRPr="00A13394">
        <w:rPr>
          <w:rFonts w:ascii="Arial" w:eastAsia="Calibri" w:hAnsi="Arial" w:cs="Arial"/>
          <w:sz w:val="24"/>
          <w:szCs w:val="24"/>
        </w:rPr>
        <w:t>ublicznego uważa się także próbę lub groźbę działań odwetowych. Zakaz działań odwetowych stosuje się odpowiednio do osoby pomagającej w dokonaniu zgłoszenia oraz osoby powiązanej z Sygnalistą, jak również odpowiednio do osoby prawnej lub innej jednostki or</w:t>
      </w:r>
      <w:r w:rsidRPr="00A13394">
        <w:rPr>
          <w:rFonts w:ascii="Arial" w:eastAsia="Calibri" w:hAnsi="Arial" w:cs="Arial"/>
          <w:sz w:val="24"/>
          <w:szCs w:val="24"/>
        </w:rPr>
        <w:t>ganizacyjnej pomagającej sygnaliście lub z nim powiązanej, w szczególności stanowiącej własność sygnalisty lub go zatrudniającej.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Informacje dotyczące danych (w tym danych pozwalających na identyfikację tożsamości) Zgłaszających nadaje się klauzulę poufnoś</w:t>
      </w:r>
      <w:r w:rsidRPr="00A13394">
        <w:rPr>
          <w:rFonts w:ascii="Arial" w:eastAsia="Calibri" w:hAnsi="Arial" w:cs="Arial"/>
          <w:sz w:val="24"/>
          <w:szCs w:val="24"/>
        </w:rPr>
        <w:t>ci, przy czym nie stanowią one informacji niejawnej, lecz są prawnie, fizycznie i organizacyjnie chronione, przez osoby mające uprawniony dostęp do Zgłoszenia. Informacje w tym zakresie pozostają do wyłącznej wiadomości członków Komisji ds. Naruszeń, wybra</w:t>
      </w:r>
      <w:r w:rsidRPr="00A13394">
        <w:rPr>
          <w:rFonts w:ascii="Arial" w:eastAsia="Calibri" w:hAnsi="Arial" w:cs="Arial"/>
          <w:sz w:val="24"/>
          <w:szCs w:val="24"/>
        </w:rPr>
        <w:t>nych pracowników służbowo zaangażowanych w proces merytorycznego wyjaśnienia zgłoszonych spraw z zakresu naruszeń, o ile przekazanie danych dotyczących Zgłaszającego byłoby konieczne dla wyjaśnienia sprawy – a zgodę na takie działanie uzyskano od Zgłaszają</w:t>
      </w:r>
      <w:r w:rsidRPr="00A13394">
        <w:rPr>
          <w:rFonts w:ascii="Arial" w:eastAsia="Calibri" w:hAnsi="Arial" w:cs="Arial"/>
          <w:sz w:val="24"/>
          <w:szCs w:val="24"/>
        </w:rPr>
        <w:t>cego.</w:t>
      </w:r>
    </w:p>
    <w:p w:rsidR="00534886" w:rsidRPr="00A13394" w:rsidRDefault="000223B9" w:rsidP="00534886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Zachowanie poufności ma na celu zagwarantowanie poczucia bezpieczeństwa Zgłaszającemu oraz minimalizację ryzyka wystąpienia działań odwetowych lub represyjnych. Zgłaszający, który dokonał zgłoszenia, a którego dane osobowe zostały w sposób nieuprawni</w:t>
      </w:r>
      <w:r w:rsidRPr="00A13394">
        <w:rPr>
          <w:rFonts w:ascii="Arial" w:eastAsia="Calibri" w:hAnsi="Arial" w:cs="Arial"/>
          <w:sz w:val="24"/>
          <w:szCs w:val="24"/>
        </w:rPr>
        <w:t>ony ujawnione, powinien niezwłocznie o zaistniałej sytuacji powiadomić Komisję ds. Naruszeń i Inspektora Ochrony Danych w Łódzkim Urzędzie Wojewódzkim w Łodzi. Komisja zobowiązana jest podjąć działania mające na celu ochronę Zgłaszającego.</w:t>
      </w:r>
    </w:p>
    <w:p w:rsidR="00534886" w:rsidRPr="00A13394" w:rsidRDefault="000223B9" w:rsidP="00534886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lastRenderedPageBreak/>
        <w:t>§ 4</w:t>
      </w:r>
    </w:p>
    <w:p w:rsidR="00534886" w:rsidRPr="00A13394" w:rsidRDefault="000223B9" w:rsidP="00534886">
      <w:pPr>
        <w:spacing w:line="360" w:lineRule="auto"/>
        <w:ind w:left="425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SPOSÓB PRZEK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AZYWANIA I PRZYJMOWANIA </w:t>
      </w:r>
      <w:r>
        <w:rPr>
          <w:rFonts w:ascii="Arial" w:eastAsia="Calibri" w:hAnsi="Arial" w:cs="Arial"/>
          <w:b/>
          <w:sz w:val="24"/>
          <w:szCs w:val="24"/>
        </w:rPr>
        <w:br/>
      </w:r>
      <w:r w:rsidRPr="00A13394">
        <w:rPr>
          <w:rFonts w:ascii="Arial" w:eastAsia="Calibri" w:hAnsi="Arial" w:cs="Arial"/>
          <w:b/>
          <w:sz w:val="24"/>
          <w:szCs w:val="24"/>
        </w:rPr>
        <w:t>ZGŁOSZEŃ ZEWNĘTRZNYCH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Zgłoszenie naruszenia może być przekazane pisemnie za pośrednictwem następującego kanału kontaktu, tj. dedykowanej skrzynki e-mailowej obsługiwanej przez członków Komisji ds. Naruszeń lub ustnie podczas bezpoś</w:t>
      </w:r>
      <w:r w:rsidRPr="00A13394">
        <w:rPr>
          <w:rFonts w:ascii="Arial" w:eastAsia="Calibri" w:hAnsi="Arial" w:cs="Arial"/>
          <w:sz w:val="24"/>
          <w:szCs w:val="24"/>
        </w:rPr>
        <w:t>redniego spotkania. Zgłaszający może dokonać zgłoszenia zewnętrznego bez uprzedniego zgłoszenia wewnętrznego.</w:t>
      </w:r>
    </w:p>
    <w:p w:rsidR="00534886" w:rsidRPr="00A13394" w:rsidRDefault="000223B9" w:rsidP="00534886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Zgłoszenie ustne może być dokonane za pośrednictwem środków komunikacji elektronicznej w rozumieniu art. 2 pkt 5 ustawy z dnia 18 lipca 2002 r. o </w:t>
      </w:r>
      <w:r w:rsidRPr="00A13394">
        <w:rPr>
          <w:rFonts w:ascii="Arial" w:eastAsia="Calibri" w:hAnsi="Arial" w:cs="Arial"/>
          <w:sz w:val="24"/>
          <w:szCs w:val="24"/>
        </w:rPr>
        <w:t>świadczeniu usług drogą elektroniczną.</w:t>
      </w:r>
    </w:p>
    <w:p w:rsidR="00534886" w:rsidRPr="00A13394" w:rsidRDefault="000223B9" w:rsidP="00534886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Na wniosek sygnalisty zgłoszenie ustne może być dokonane podczas bezpośredniego spotkania zorganizowanego w terminie 14 dni od dnia otrzymania takiego wniosku. W takim przypadku za zgodą sygnalisty zgłoszenie jest dok</w:t>
      </w:r>
      <w:r w:rsidRPr="00A13394">
        <w:rPr>
          <w:rFonts w:ascii="Arial" w:eastAsia="Calibri" w:hAnsi="Arial" w:cs="Arial"/>
          <w:sz w:val="24"/>
          <w:szCs w:val="24"/>
        </w:rPr>
        <w:t>umentowane w formie:</w:t>
      </w:r>
    </w:p>
    <w:p w:rsidR="00534886" w:rsidRPr="00A13394" w:rsidRDefault="000223B9" w:rsidP="00534886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1) nagrania rozmowy, umożliwiającego jej wyszukanie, lub</w:t>
      </w:r>
    </w:p>
    <w:p w:rsidR="00534886" w:rsidRPr="00A13394" w:rsidRDefault="000223B9" w:rsidP="00534886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2) protokołu spotkania, odtwarzającego jego dokładny przebieg.</w:t>
      </w:r>
    </w:p>
    <w:p w:rsidR="00534886" w:rsidRPr="00A13394" w:rsidRDefault="000223B9" w:rsidP="00534886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W przypadku, o którym mowa w ust. 5 pkt  1 i 2 sygnalista może dokonać sprawdzenia, poprawienia i zatwierdzenia </w:t>
      </w:r>
      <w:r w:rsidRPr="00A13394">
        <w:rPr>
          <w:rFonts w:ascii="Arial" w:eastAsia="Calibri" w:hAnsi="Arial" w:cs="Arial"/>
          <w:sz w:val="24"/>
          <w:szCs w:val="24"/>
        </w:rPr>
        <w:t>protokołu spotkania przez jego podpisanie. Sygnalista może zażądać dokonania powyższych czynności nie później niż 2 dni po zakończeniu składania zgłoszenia na spotkaniu i otrzymaniu protokołu do weryfikacji. O odmowie podpisania protokołu, sporządzający pr</w:t>
      </w:r>
      <w:r w:rsidRPr="00A13394">
        <w:rPr>
          <w:rFonts w:ascii="Arial" w:eastAsia="Calibri" w:hAnsi="Arial" w:cs="Arial"/>
          <w:sz w:val="24"/>
          <w:szCs w:val="24"/>
        </w:rPr>
        <w:t>otokół zamieszcza wzmiankę w protokole.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Do rozpatrzenia spraw z zakresu naruszeń, Dyrektor Generalny Urzędu  powołuje w drodze odrębnego zarządzenia Komisję ds. Naruszeń, na czas nieokreślony. Komisja składa się z czterech członków stałych, z których do ro</w:t>
      </w:r>
      <w:r w:rsidRPr="00A13394">
        <w:rPr>
          <w:rFonts w:ascii="Arial" w:eastAsia="Calibri" w:hAnsi="Arial" w:cs="Arial"/>
          <w:sz w:val="24"/>
          <w:szCs w:val="24"/>
        </w:rPr>
        <w:t>zpatrywania danego naruszenia niezbędna jest obecność co najmniej trzech członków Komisji.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 prawidłowość działania Komisji ds. Naruszeń, przestrzeganie przepisów Procedury, poprawność, integralność, poufność dokumentów wytworzonych na skutek zgłoszenia n</w:t>
      </w:r>
      <w:r w:rsidRPr="00A13394">
        <w:rPr>
          <w:rFonts w:ascii="Arial" w:eastAsia="Calibri" w:hAnsi="Arial" w:cs="Arial"/>
          <w:sz w:val="24"/>
          <w:szCs w:val="24"/>
        </w:rPr>
        <w:t>aruszenia odpowiada przewodniczący tej komisji.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Osobami odpowiedzialnymi za przyjmowanie zgłoszeń o naruszeniu są wskazani przez przewodniczącego Komisji ds. Naruszeń- członkowie Komisji. Osoby te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obsługują skrzynkę e-mail: </w:t>
      </w:r>
      <w:hyperlink r:id="rId8" w:history="1">
        <w:r w:rsidRPr="00A13394">
          <w:rPr>
            <w:rFonts w:ascii="Arial" w:eastAsia="Calibri" w:hAnsi="Arial" w:cs="Arial"/>
            <w:b/>
            <w:color w:val="FF0000"/>
            <w:sz w:val="28"/>
            <w:szCs w:val="28"/>
            <w:u w:val="single"/>
          </w:rPr>
          <w:t>sygnal@lodz.uw.gov.pl</w:t>
        </w:r>
      </w:hyperlink>
      <w:r w:rsidRPr="00A13394">
        <w:rPr>
          <w:rFonts w:ascii="Arial" w:eastAsia="Calibri" w:hAnsi="Arial" w:cs="Arial"/>
          <w:b/>
          <w:color w:val="FF0000"/>
          <w:sz w:val="28"/>
          <w:szCs w:val="28"/>
        </w:rPr>
        <w:t xml:space="preserve"> </w:t>
      </w:r>
      <w:r w:rsidRPr="00A13394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13394">
        <w:rPr>
          <w:rFonts w:ascii="Arial" w:eastAsia="Calibri" w:hAnsi="Arial" w:cs="Arial"/>
          <w:sz w:val="24"/>
          <w:szCs w:val="24"/>
        </w:rPr>
        <w:t>i przyjmują zgłoszenia zewnętrzne.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Zgłoszeń można również dokonywać bezpośrednio do Rzecznika Praw Obywatelskich pisemnie na adres: 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Biuro Rzecznika Praw Obywatelskich al. Solidarności 77, 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00-090 Warszawa </w:t>
      </w:r>
      <w:r w:rsidRPr="00A13394">
        <w:rPr>
          <w:rFonts w:ascii="Arial" w:eastAsia="Calibri" w:hAnsi="Arial" w:cs="Arial"/>
          <w:sz w:val="24"/>
          <w:szCs w:val="24"/>
        </w:rPr>
        <w:t xml:space="preserve">oraz mailowo na skrzynkę e-mail:  </w:t>
      </w:r>
      <w:r w:rsidRPr="00A13394">
        <w:rPr>
          <w:rFonts w:ascii="Arial" w:eastAsia="Calibri" w:hAnsi="Arial" w:cs="Arial"/>
          <w:b/>
          <w:sz w:val="24"/>
          <w:szCs w:val="24"/>
        </w:rPr>
        <w:t>biurorzecznika@brpo.gov.pl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Zgłoszenia rozpatrywane są zgodnie z kolejnością wpływu.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Komisja ds. Naruszeń podejmuje, weryfikuje i potwierdza zgłoszenia, zaleca wdrożenie działań następczych i je nadzoruje, a</w:t>
      </w:r>
      <w:r w:rsidRPr="00A13394">
        <w:rPr>
          <w:rFonts w:ascii="Arial" w:eastAsia="Calibri" w:hAnsi="Arial" w:cs="Arial"/>
          <w:sz w:val="24"/>
          <w:szCs w:val="24"/>
        </w:rPr>
        <w:t xml:space="preserve"> także przetwarza dane osobowe Zgłaszających na podstawie pisemnego upoważnienia do przetwarzania danych osobowych.</w:t>
      </w:r>
    </w:p>
    <w:p w:rsidR="00534886" w:rsidRPr="00A13394" w:rsidRDefault="000223B9" w:rsidP="00534886">
      <w:pPr>
        <w:numPr>
          <w:ilvl w:val="0"/>
          <w:numId w:val="5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W przypadku gdy zgłoszenie dotyczy pracownika wchodzącego w skład Komisji ds. Naruszeń, pracownik taki podlega wyłączeniu z prac tej komisji</w:t>
      </w:r>
      <w:r w:rsidRPr="00A13394">
        <w:rPr>
          <w:rFonts w:ascii="Arial" w:eastAsia="Calibri" w:hAnsi="Arial" w:cs="Arial"/>
          <w:sz w:val="24"/>
          <w:szCs w:val="24"/>
        </w:rPr>
        <w:t>, do czasu zakończenia postępowania wyjaśniającego w sprawie, a na wniosek przewodniczącego można poszerzyć skład komisji o dodatkową osobę.</w:t>
      </w:r>
    </w:p>
    <w:p w:rsidR="00534886" w:rsidRPr="00A13394" w:rsidRDefault="000223B9" w:rsidP="00534886">
      <w:pPr>
        <w:spacing w:before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5</w:t>
      </w:r>
    </w:p>
    <w:p w:rsidR="00534886" w:rsidRPr="00A13394" w:rsidRDefault="000223B9" w:rsidP="00534886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TREŚĆ ZGŁOSZENIA</w:t>
      </w:r>
    </w:p>
    <w:p w:rsidR="00534886" w:rsidRPr="00A13394" w:rsidRDefault="000223B9" w:rsidP="00534886">
      <w:pPr>
        <w:numPr>
          <w:ilvl w:val="0"/>
          <w:numId w:val="6"/>
        </w:numPr>
        <w:suppressAutoHyphens w:val="0"/>
        <w:spacing w:after="12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Zgłoszenie zewnętrzne powinno zawierać przejrzyste i pełne wyjaśnienie przedmiotu zgłoszenia o</w:t>
      </w:r>
      <w:r w:rsidRPr="00A13394">
        <w:rPr>
          <w:rFonts w:ascii="Arial" w:eastAsia="Calibri" w:hAnsi="Arial" w:cs="Arial"/>
          <w:sz w:val="24"/>
          <w:szCs w:val="24"/>
        </w:rPr>
        <w:t>raz powinno zawierać co najmniej następujące dane:</w:t>
      </w:r>
    </w:p>
    <w:p w:rsidR="00534886" w:rsidRPr="00A13394" w:rsidRDefault="000223B9" w:rsidP="00534886">
      <w:pPr>
        <w:spacing w:before="12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a) datę oraz miejsce zaistnienia naruszenia prawa lub datę i miejsce pozyskania informacji o naruszeniu,</w:t>
      </w:r>
    </w:p>
    <w:p w:rsidR="00534886" w:rsidRPr="00A13394" w:rsidRDefault="000223B9" w:rsidP="00534886">
      <w:pPr>
        <w:spacing w:after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b) opis sprawy ze wskazaniem istotnych faktów mających znaczenie dla sprawy,</w:t>
      </w:r>
    </w:p>
    <w:p w:rsidR="00534886" w:rsidRPr="00A13394" w:rsidRDefault="000223B9" w:rsidP="00534886">
      <w:pPr>
        <w:spacing w:after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c) wskazanie osoby lub </w:t>
      </w:r>
      <w:r w:rsidRPr="00A13394">
        <w:rPr>
          <w:rFonts w:ascii="Arial" w:eastAsia="Calibri" w:hAnsi="Arial" w:cs="Arial"/>
          <w:sz w:val="24"/>
          <w:szCs w:val="24"/>
        </w:rPr>
        <w:t>komórki organizacyjnej, której dotyczy zgłoszenie,</w:t>
      </w:r>
    </w:p>
    <w:p w:rsidR="00534886" w:rsidRPr="00A13394" w:rsidRDefault="000223B9" w:rsidP="00534886">
      <w:pPr>
        <w:spacing w:after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d) wskazanie ewentualnych świadków naruszenia prawa,</w:t>
      </w:r>
    </w:p>
    <w:p w:rsidR="00534886" w:rsidRPr="00A13394" w:rsidRDefault="000223B9" w:rsidP="00534886">
      <w:pPr>
        <w:spacing w:after="24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e) wskazanie wszystkich dowodów i informacji jakimi dysponuje Zgłaszający, które mogą być pomocne w procesie rozpatrywania zgłoszenia,</w:t>
      </w:r>
    </w:p>
    <w:p w:rsidR="00534886" w:rsidRPr="00A13394" w:rsidRDefault="000223B9" w:rsidP="00534886">
      <w:pPr>
        <w:spacing w:after="240" w:line="360" w:lineRule="auto"/>
        <w:ind w:left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f) wskazanie pref</w:t>
      </w:r>
      <w:r w:rsidRPr="00A13394">
        <w:rPr>
          <w:rFonts w:ascii="Arial" w:eastAsia="Calibri" w:hAnsi="Arial" w:cs="Arial"/>
          <w:sz w:val="24"/>
          <w:szCs w:val="24"/>
        </w:rPr>
        <w:t>erowanego sposobu kontaktu ze Zgłaszającym tj. adres korespondencyjny lub adres poczty elektronicznej.</w:t>
      </w:r>
    </w:p>
    <w:p w:rsidR="00534886" w:rsidRPr="00A13394" w:rsidRDefault="000223B9" w:rsidP="00534886">
      <w:pPr>
        <w:numPr>
          <w:ilvl w:val="0"/>
          <w:numId w:val="6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Jeżeli w zgłoszeniu zewnętrznym nie podano adresu do kontaktu ani nie jest możliwe ustalenie tego adresu na podstawie posiadanych danych Organ publiczny </w:t>
      </w:r>
      <w:r w:rsidRPr="00A13394">
        <w:rPr>
          <w:rFonts w:ascii="Arial" w:eastAsia="Calibri" w:hAnsi="Arial" w:cs="Arial"/>
          <w:sz w:val="24"/>
          <w:szCs w:val="24"/>
        </w:rPr>
        <w:t>nie realizuje obowiązku:</w:t>
      </w:r>
    </w:p>
    <w:p w:rsidR="00534886" w:rsidRPr="00A13394" w:rsidRDefault="000223B9" w:rsidP="00534886">
      <w:pPr>
        <w:spacing w:before="120"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a) poinformowania Zgłaszającego o odstąpieniu przekazania zgłoszenia zewnętrznego,</w:t>
      </w:r>
    </w:p>
    <w:p w:rsidR="00534886" w:rsidRPr="00A13394" w:rsidRDefault="000223B9" w:rsidP="00534886">
      <w:pPr>
        <w:spacing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b) przesłania Zgłaszającemu potwierdzenia przyjęcia zgłoszenia zewnętrznego,</w:t>
      </w:r>
    </w:p>
    <w:p w:rsidR="00534886" w:rsidRPr="00A13394" w:rsidRDefault="000223B9" w:rsidP="00534886">
      <w:pPr>
        <w:spacing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c) wydania zaświadczenia potwierdzającego ochronę przysługującą Zgłasza</w:t>
      </w:r>
      <w:r w:rsidRPr="00A13394">
        <w:rPr>
          <w:rFonts w:ascii="Arial" w:eastAsia="Calibri" w:hAnsi="Arial" w:cs="Arial"/>
          <w:sz w:val="24"/>
          <w:szCs w:val="24"/>
        </w:rPr>
        <w:t>jącemu,</w:t>
      </w:r>
    </w:p>
    <w:p w:rsidR="00534886" w:rsidRPr="00A13394" w:rsidRDefault="000223B9" w:rsidP="00534886">
      <w:pPr>
        <w:spacing w:line="360" w:lineRule="auto"/>
        <w:ind w:left="709" w:hanging="284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d) poinformowania Zgłaszającego o niepodjęciu działań następczych, gdy w zgłoszeniu zewnętrznym dotyczącym sprawy będącej już przedmiotem wcześniejszego zgłoszenia przez tego samego lub innego Zgłaszającego nie zawarto istotnych nowych informacji </w:t>
      </w:r>
      <w:r w:rsidRPr="00A13394">
        <w:rPr>
          <w:rFonts w:ascii="Arial" w:eastAsia="Calibri" w:hAnsi="Arial" w:cs="Arial"/>
          <w:sz w:val="24"/>
          <w:szCs w:val="24"/>
        </w:rPr>
        <w:t>na temat naruszeń prawa w porównaniu z wcześniejszym zgłoszeniem,</w:t>
      </w:r>
    </w:p>
    <w:p w:rsidR="00534886" w:rsidRPr="00A13394" w:rsidRDefault="000223B9" w:rsidP="00534886">
      <w:pPr>
        <w:spacing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e) przesłanie informacji zwrotnej Zgłaszającemu.</w:t>
      </w:r>
    </w:p>
    <w:p w:rsidR="00534886" w:rsidRPr="00A13394" w:rsidRDefault="000223B9" w:rsidP="00534886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6</w:t>
      </w:r>
    </w:p>
    <w:p w:rsidR="00534886" w:rsidRPr="00A13394" w:rsidRDefault="000223B9" w:rsidP="00534886">
      <w:pPr>
        <w:spacing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PRZECHOWYWANIE , ŚRODKI BEZPIECZEŃSTWA FIZYCZNEGO W CELU OCHRONY MATERIAŁÓW KOMISJI DS. NARUSZEŃ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Osobami odpowiedzialnymi za przechowywan</w:t>
      </w:r>
      <w:r w:rsidRPr="00A13394">
        <w:rPr>
          <w:rFonts w:ascii="Arial" w:eastAsia="Calibri" w:hAnsi="Arial" w:cs="Arial"/>
          <w:sz w:val="24"/>
          <w:szCs w:val="24"/>
        </w:rPr>
        <w:t xml:space="preserve">ie i zabezpieczenie fizyczne dokumentów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 są poszczególni członkowie tej komisji</w:t>
      </w:r>
      <w:r w:rsidRPr="00A13394">
        <w:rPr>
          <w:rFonts w:ascii="Arial" w:eastAsia="Calibri" w:hAnsi="Arial" w:cs="Arial"/>
          <w:sz w:val="24"/>
          <w:szCs w:val="24"/>
        </w:rPr>
        <w:t>.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Zezwala się na przechowywanie dokumentów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razem </w:t>
      </w:r>
      <w:r>
        <w:rPr>
          <w:rFonts w:ascii="Arial" w:eastAsia="Calibri" w:hAnsi="Arial" w:cs="Arial"/>
          <w:sz w:val="24"/>
          <w:szCs w:val="24"/>
        </w:rPr>
        <w:br/>
      </w:r>
      <w:r w:rsidRPr="00A13394">
        <w:rPr>
          <w:rFonts w:ascii="Arial" w:eastAsia="Calibri" w:hAnsi="Arial" w:cs="Arial"/>
          <w:sz w:val="24"/>
          <w:szCs w:val="24"/>
        </w:rPr>
        <w:t xml:space="preserve">z innymi dokumentami w przypadku, gdy ich treść łączy się bezpośrednio </w:t>
      </w:r>
      <w:r>
        <w:rPr>
          <w:rFonts w:ascii="Arial" w:eastAsia="Calibri" w:hAnsi="Arial" w:cs="Arial"/>
          <w:sz w:val="24"/>
          <w:szCs w:val="24"/>
        </w:rPr>
        <w:br/>
      </w:r>
      <w:r w:rsidRPr="00A13394">
        <w:rPr>
          <w:rFonts w:ascii="Arial" w:eastAsia="Calibri" w:hAnsi="Arial" w:cs="Arial"/>
          <w:sz w:val="24"/>
          <w:szCs w:val="24"/>
        </w:rPr>
        <w:t>z określoną sp</w:t>
      </w:r>
      <w:r w:rsidRPr="00A13394">
        <w:rPr>
          <w:rFonts w:ascii="Arial" w:eastAsia="Calibri" w:hAnsi="Arial" w:cs="Arial"/>
          <w:sz w:val="24"/>
          <w:szCs w:val="24"/>
        </w:rPr>
        <w:t>rawą.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Dokumenty 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Komisji ds. Naruszeń w szczególnych przypadkach mogą być </w:t>
      </w:r>
      <w:r w:rsidRPr="00A13394">
        <w:rPr>
          <w:rFonts w:ascii="Arial" w:eastAsia="Calibri" w:hAnsi="Arial" w:cs="Arial"/>
          <w:sz w:val="24"/>
          <w:szCs w:val="24"/>
        </w:rPr>
        <w:t>przechowane w pomieszczeniach służbowych członków Komisji, w sposób uniemożliwiający do nich dostępu lub ich zabór przez osoby postronne, poprzez umieszczenie ich w zamykanych meblach</w:t>
      </w:r>
      <w:r w:rsidRPr="00A13394">
        <w:rPr>
          <w:rFonts w:ascii="Arial" w:eastAsia="Calibri" w:hAnsi="Arial" w:cs="Arial"/>
          <w:sz w:val="24"/>
          <w:szCs w:val="24"/>
        </w:rPr>
        <w:t xml:space="preserve"> biurowych lub szafie metalowej, zwanych dalej Szafą.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Członek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odpowiada za właściwe zabezpieczenie posiadanych u siebie dokumentów. Każdego dnia, po zakończeniu pracy, członek Komisji ds. Naruszeń ma obowiązek zabezpieczenia posiadanyc</w:t>
      </w:r>
      <w:r w:rsidRPr="00A13394">
        <w:rPr>
          <w:rFonts w:ascii="Arial" w:eastAsia="Calibri" w:hAnsi="Arial" w:cs="Arial"/>
          <w:sz w:val="24"/>
          <w:szCs w:val="24"/>
        </w:rPr>
        <w:t>h dokumentów (w tym innych niż dokument – materiałów).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Zabrania się pozostawiania na biurkach, po zakończeniu pracy, jakichkolwiek dokumentów Komisji ds. Naruszeń. Obowiązuje zasada tzw. „czystego biurka”. Po zakończeniu pracy pomieszczenie służbowe, w któ</w:t>
      </w:r>
      <w:r w:rsidRPr="00A13394">
        <w:rPr>
          <w:rFonts w:ascii="Arial" w:eastAsia="Calibri" w:hAnsi="Arial" w:cs="Arial"/>
          <w:sz w:val="24"/>
          <w:szCs w:val="24"/>
        </w:rPr>
        <w:t xml:space="preserve">rych są przechowywane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 musi pozostać zabezpieczone /zamknięte</w:t>
      </w:r>
      <w:r w:rsidRPr="00A13394">
        <w:rPr>
          <w:rFonts w:ascii="Arial" w:eastAsia="Calibri" w:hAnsi="Arial" w:cs="Arial"/>
          <w:sz w:val="24"/>
          <w:szCs w:val="24"/>
        </w:rPr>
        <w:t>, chyba, że stanowi ono miejsce pracy członka ww. komisji.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Zabrania się:</w:t>
      </w:r>
    </w:p>
    <w:p w:rsidR="00534886" w:rsidRPr="00A13394" w:rsidRDefault="000223B9" w:rsidP="00534886">
      <w:pPr>
        <w:spacing w:before="240" w:line="360" w:lineRule="auto"/>
        <w:ind w:left="426" w:hanging="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a) pozostawiać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bez nadzoru,</w:t>
      </w:r>
    </w:p>
    <w:p w:rsidR="00534886" w:rsidRPr="00A13394" w:rsidRDefault="000223B9" w:rsidP="00534886">
      <w:pPr>
        <w:spacing w:before="240" w:line="360" w:lineRule="auto"/>
        <w:ind w:left="709" w:hanging="283"/>
        <w:contextualSpacing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b) przekazywać dokumenty 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Komisji </w:t>
      </w:r>
      <w:r w:rsidRPr="00A13394">
        <w:rPr>
          <w:rFonts w:ascii="Arial" w:eastAsia="Calibri" w:hAnsi="Arial" w:cs="Arial"/>
          <w:b/>
          <w:sz w:val="24"/>
          <w:szCs w:val="24"/>
        </w:rPr>
        <w:t>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osobom postronnym i nieuprawnionym,</w:t>
      </w:r>
    </w:p>
    <w:p w:rsidR="00534886" w:rsidRPr="00A13394" w:rsidRDefault="000223B9" w:rsidP="00534886">
      <w:pPr>
        <w:spacing w:before="24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c) wynosić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poza siedzibę Łódzkiego Urzędu Wojewódzkiego w Łodzi – chyba, że jest to niezbędne z perspektywy prowadzenia postępowania wyjaśniającego lub wynika z wdrożonych działań następczych (wówczas dokumenty powinny być odpowiednio zabezpieczone i chronione).</w:t>
      </w:r>
    </w:p>
    <w:p w:rsidR="00534886" w:rsidRPr="00A13394" w:rsidRDefault="000223B9" w:rsidP="00534886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Sza</w:t>
      </w:r>
      <w:r w:rsidRPr="00A13394">
        <w:rPr>
          <w:rFonts w:ascii="Arial" w:eastAsia="Calibri" w:hAnsi="Arial" w:cs="Arial"/>
          <w:sz w:val="24"/>
          <w:szCs w:val="24"/>
        </w:rPr>
        <w:t xml:space="preserve">fę, w której przechowywane są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mogą otworzyć wyłącznie członkowie komisji – co najmniej dwie osoby będące jednocześnie w pomieszczeniu.</w:t>
      </w:r>
    </w:p>
    <w:p w:rsidR="00534886" w:rsidRPr="00A13394" w:rsidRDefault="000223B9" w:rsidP="00534886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7</w:t>
      </w:r>
    </w:p>
    <w:p w:rsidR="00534886" w:rsidRPr="00A13394" w:rsidRDefault="000223B9" w:rsidP="00534886">
      <w:pPr>
        <w:spacing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DZIAŁANIA NASTĘPCZE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w pierwszej kolejności:</w:t>
      </w:r>
    </w:p>
    <w:p w:rsidR="00534886" w:rsidRPr="00A13394" w:rsidRDefault="000223B9" w:rsidP="00534886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przyjmuje zgłoszenie zewnę</w:t>
      </w:r>
      <w:r w:rsidRPr="00A13394">
        <w:rPr>
          <w:rFonts w:ascii="Arial" w:eastAsia="Calibri" w:hAnsi="Arial" w:cs="Arial"/>
          <w:sz w:val="24"/>
          <w:szCs w:val="24"/>
        </w:rPr>
        <w:t>trzne;</w:t>
      </w:r>
    </w:p>
    <w:p w:rsidR="00534886" w:rsidRPr="00A13394" w:rsidRDefault="000223B9" w:rsidP="00534886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przesyła Sygnaliście niezwłocznie, nie później jednak niż w terminie 7 dni od dnia przyjęcia zgłoszenia, potwierdzenie jego przyjęcia, chyba że Sygnalista wystąpił wyraźnie z odmiennym wnioskiem w tym zakresie lub organ publiczny ma uzasadnione pods</w:t>
      </w:r>
      <w:r w:rsidRPr="00A13394">
        <w:rPr>
          <w:rFonts w:ascii="Arial" w:eastAsia="Calibri" w:hAnsi="Arial" w:cs="Arial"/>
          <w:sz w:val="24"/>
          <w:szCs w:val="24"/>
        </w:rPr>
        <w:t>tawy sądzić, że potwierdzenie przyjęcia zgłoszenia zagroziłoby ochronie poufności tożsamości Sygnalisty;</w:t>
      </w:r>
    </w:p>
    <w:p w:rsidR="00534886" w:rsidRPr="00A13394" w:rsidRDefault="000223B9" w:rsidP="00534886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dokonuje wstępnej weryfikacji zgłoszenia zewnętrznego, polegającej na ustaleniu, czy zgłoszenie dotyczy naruszeń prawa w dziedzinie należącej do </w:t>
      </w:r>
      <w:r w:rsidRPr="00A13394">
        <w:rPr>
          <w:rFonts w:ascii="Arial" w:eastAsia="Calibri" w:hAnsi="Arial" w:cs="Arial"/>
          <w:sz w:val="24"/>
          <w:szCs w:val="24"/>
        </w:rPr>
        <w:t>zakresu działania tego organu, a jeżeli nie należy – na ustaleniu organu publicznego właściwego do podjęcia działań następczych;</w:t>
      </w:r>
    </w:p>
    <w:p w:rsidR="00534886" w:rsidRPr="00A13394" w:rsidRDefault="000223B9" w:rsidP="00534886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przekazuje zgłoszenie zewnętrzne niezwłocznie, nie później jednak niż w terminie 14 dni od dnia dokonania zgłoszenia, a w uzasa</w:t>
      </w:r>
      <w:r w:rsidRPr="00A13394">
        <w:rPr>
          <w:rFonts w:ascii="Arial" w:eastAsia="Calibri" w:hAnsi="Arial" w:cs="Arial"/>
          <w:sz w:val="24"/>
          <w:szCs w:val="24"/>
        </w:rPr>
        <w:t>dnionych przypadkach – nie później w terminie 30 dni, do organu publicznego właściwego do podjęcia działań następczych – w przypadku gdy zgłoszenie dotyczy naruszeń prawa nienależącej do zakresu działania tego organu – oraz informuje o tym sygnalistę.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w przypadku gdy zgłoszenie dotyczy naruszeń prawa w dziedzinie należącej do zakresu działania tego organu:</w:t>
      </w:r>
    </w:p>
    <w:p w:rsidR="00534886" w:rsidRPr="00A13394" w:rsidRDefault="000223B9" w:rsidP="00534886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rozpatruje zgłoszenie zewnętrzne i przeprowadza postępowanie wyjaśniające. Postępowanie wyjaśniające trwa nie dłużej niż 30 dni od dn</w:t>
      </w:r>
      <w:r w:rsidRPr="00A13394">
        <w:rPr>
          <w:rFonts w:ascii="Arial" w:eastAsia="Calibri" w:hAnsi="Arial" w:cs="Arial"/>
          <w:sz w:val="24"/>
          <w:szCs w:val="24"/>
        </w:rPr>
        <w:t xml:space="preserve">ia otrzymania zgłoszenia zewnętrznego, a w sprawach szczególnie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skomplikowanych, termin ten może ulec przedłużeniu o kolejne 30 dni. W trakcie postępowania osoby upoważnione podejmują działania z zachowaniem należytej staranności;</w:t>
      </w:r>
    </w:p>
    <w:p w:rsidR="00534886" w:rsidRPr="00A13394" w:rsidRDefault="000223B9" w:rsidP="00534886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występuje do Sygnalisty o</w:t>
      </w:r>
      <w:r w:rsidRPr="00A13394">
        <w:rPr>
          <w:rFonts w:ascii="Arial" w:eastAsia="Calibri" w:hAnsi="Arial" w:cs="Arial"/>
          <w:sz w:val="24"/>
          <w:szCs w:val="24"/>
        </w:rPr>
        <w:t xml:space="preserve"> wyjaśnienia lub dodatkowe informacje dotyczące zgłoszenia (jeżeli jest organem właściwym, a wystąpiła taka potrzeba);</w:t>
      </w:r>
    </w:p>
    <w:p w:rsidR="00534886" w:rsidRPr="00A13394" w:rsidRDefault="000223B9" w:rsidP="00534886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przekazuje Sygnaliście informację zwrotną;</w:t>
      </w:r>
    </w:p>
    <w:p w:rsidR="00534886" w:rsidRPr="00A13394" w:rsidRDefault="000223B9" w:rsidP="00534886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na żądanie Sygnalisty przekazuje mu zaświadczenie potwierdzające przysługującą mu ochronę nie </w:t>
      </w:r>
      <w:r w:rsidRPr="00A13394">
        <w:rPr>
          <w:rFonts w:ascii="Arial" w:eastAsia="Calibri" w:hAnsi="Arial" w:cs="Arial"/>
          <w:sz w:val="24"/>
          <w:szCs w:val="24"/>
        </w:rPr>
        <w:t>później niż w terminie miesiąca od dnia otrzymania żądania ;</w:t>
      </w:r>
    </w:p>
    <w:p w:rsidR="00534886" w:rsidRPr="00A13394" w:rsidRDefault="000223B9" w:rsidP="00534886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informuje Sygnalistę o ostatecznym wyniku postępowania wyjaśniającego, wszczętego na skutek zgłoszenia zewnętrznego.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Prośbę do Sygnalisty o wyjaśnienia lub dodatkowe informacje dotyczące zgłoszen</w:t>
      </w:r>
      <w:r w:rsidRPr="00A13394">
        <w:rPr>
          <w:rFonts w:ascii="Arial" w:eastAsia="Calibri" w:hAnsi="Arial" w:cs="Arial"/>
          <w:sz w:val="24"/>
          <w:szCs w:val="24"/>
        </w:rPr>
        <w:t>ia, o którym mowa w ust. 2 pkt 2) organ publiczny wystosuje na piśmie. Sygnalista winien udzielić informacji w terminie 7 dni licząc od daty otrzymania pisma. Jeżeli Sygnalista sprzeciwia się przesłaniu żądanych wyjaśnień lub dodatkowych informacji lub ich</w:t>
      </w:r>
      <w:r w:rsidRPr="00A13394">
        <w:rPr>
          <w:rFonts w:ascii="Arial" w:eastAsia="Calibri" w:hAnsi="Arial" w:cs="Arial"/>
          <w:sz w:val="24"/>
          <w:szCs w:val="24"/>
        </w:rPr>
        <w:t xml:space="preserve"> przesłanie może zagrozić ochronie poufności jego tożsamości, Organ publiczny odstępuje od żądania wyjaśnień lub dodatkowych informacji.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Informacja zwrotna, o której mowa w ust. 2 pkt 3) zawierać będzie informację na temat planowanych lub podjętych działań</w:t>
      </w:r>
      <w:r w:rsidRPr="00A13394">
        <w:rPr>
          <w:rFonts w:ascii="Arial" w:eastAsia="Calibri" w:hAnsi="Arial" w:cs="Arial"/>
          <w:sz w:val="24"/>
          <w:szCs w:val="24"/>
        </w:rPr>
        <w:t>. Organ przekaże informację zwrotną na piśmie w terminie nieprzekraczającym 3 miesięcy od dnia przyjęcia zgłoszenia zewnętrznego, a w uzasadnionych przypadkach, po wcześniejszym poinformowaniu Sygnalisty w terminie nieprzekraczalnym 6 miesięcy od dnia przy</w:t>
      </w:r>
      <w:r w:rsidRPr="00A13394">
        <w:rPr>
          <w:rFonts w:ascii="Arial" w:eastAsia="Calibri" w:hAnsi="Arial" w:cs="Arial"/>
          <w:sz w:val="24"/>
          <w:szCs w:val="24"/>
        </w:rPr>
        <w:t>jęcia zgłoszenia zewnętrznego.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Zgłoszenie zewnętrzne naruszeń prawa są weryfikowane przez upoważnione osoby w zakresie wiarygodności zgłoszenia oraz odpowiedzialności za jego rozpatrzenie zgodnie z niniejszą procedurą i przepisami prawa.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Jeżeli po przeprow</w:t>
      </w:r>
      <w:r w:rsidRPr="00A13394">
        <w:rPr>
          <w:rFonts w:ascii="Arial" w:eastAsia="Calibri" w:hAnsi="Arial" w:cs="Arial"/>
          <w:sz w:val="24"/>
          <w:szCs w:val="24"/>
        </w:rPr>
        <w:t>adzeniu przez Organ publiczny postępowania wyjaśniającego zgłoszenie zostanie uznane za uzasadnio</w:t>
      </w:r>
      <w:r>
        <w:rPr>
          <w:rFonts w:ascii="Arial" w:eastAsia="Calibri" w:hAnsi="Arial" w:cs="Arial"/>
          <w:sz w:val="24"/>
          <w:szCs w:val="24"/>
        </w:rPr>
        <w:t>ne i dotyczy naruszenia prawa (</w:t>
      </w:r>
      <w:r w:rsidRPr="00A13394">
        <w:rPr>
          <w:rFonts w:ascii="Arial" w:eastAsia="Calibri" w:hAnsi="Arial" w:cs="Arial"/>
          <w:sz w:val="24"/>
          <w:szCs w:val="24"/>
        </w:rPr>
        <w:t>w dziedzinie należącej do zakresu działania Organu publicznego), podejmie on dalsze czynności mające na celu naprawienie narusze</w:t>
      </w:r>
      <w:r w:rsidRPr="00A13394">
        <w:rPr>
          <w:rFonts w:ascii="Arial" w:eastAsia="Calibri" w:hAnsi="Arial" w:cs="Arial"/>
          <w:sz w:val="24"/>
          <w:szCs w:val="24"/>
        </w:rPr>
        <w:t xml:space="preserve">nia prawa, w szczególności wszczyna postępowanie administracyjne, wnosi oskarżenia, podejmuje działania w celu odzyskania środków finansowych lub zamyka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procedurę przyjmowania zgłoszeń zewnętrznych i podejmowania działań następczych. </w:t>
      </w:r>
    </w:p>
    <w:p w:rsidR="00534886" w:rsidRPr="00A13394" w:rsidRDefault="000223B9" w:rsidP="00534886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Organ publiczny może </w:t>
      </w:r>
      <w:r w:rsidRPr="00A13394">
        <w:rPr>
          <w:rFonts w:ascii="Arial" w:eastAsia="Calibri" w:hAnsi="Arial" w:cs="Arial"/>
          <w:sz w:val="24"/>
          <w:szCs w:val="24"/>
        </w:rPr>
        <w:t>nie podjąć działań następczych w przypadku, gdy Sygnalista w zgłoszeniu, dotyczącym sprawy będącej już przedmiotem wcześniejszego zgłoszenia lub zgłoszenia od innego Sygnalisty, nie zawarto istotnych nowych informacji na temat naruszenia prawa w porównaniu</w:t>
      </w:r>
      <w:r w:rsidRPr="00A13394">
        <w:rPr>
          <w:rFonts w:ascii="Arial" w:eastAsia="Calibri" w:hAnsi="Arial" w:cs="Arial"/>
          <w:sz w:val="24"/>
          <w:szCs w:val="24"/>
        </w:rPr>
        <w:t xml:space="preserve"> z wcześniejszym zgłoszeniem tego naruszenia. Organ publiczny poinformuje Sygnalistę o odstąpieniu, a w razie kolejnego zgłoszenia pozostawi je bez rozpoznania oraz informacji zwrotnej.</w:t>
      </w:r>
    </w:p>
    <w:p w:rsidR="00534886" w:rsidRPr="00A13394" w:rsidRDefault="000223B9" w:rsidP="00534886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8</w:t>
      </w:r>
    </w:p>
    <w:p w:rsidR="00534886" w:rsidRPr="00A13394" w:rsidRDefault="000223B9" w:rsidP="00534886">
      <w:pPr>
        <w:spacing w:line="360" w:lineRule="auto"/>
        <w:ind w:left="426"/>
        <w:contextualSpacing/>
        <w:jc w:val="center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REJESTR ZGŁOSZEŃ ZEWNĘTRZNYCH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Zgłoszenia zewnętrzne są odnotowywan</w:t>
      </w:r>
      <w:r w:rsidRPr="00A13394">
        <w:rPr>
          <w:rFonts w:ascii="Arial" w:eastAsia="Calibri" w:hAnsi="Arial" w:cs="Arial"/>
          <w:sz w:val="24"/>
          <w:szCs w:val="24"/>
        </w:rPr>
        <w:t xml:space="preserve">e w tzw. „Rejestrze Zgłoszeń Zewnętrznych”. 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 prowadzenie „Rejestru Zgłoszeń Zewnętrznych” odpowiada wyznaczony przez przewodniczącego Komisji ds. Naruszeń w formie papierowej – członek tej komisji.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„Rejestr Zgłoszeń Zewnętrznych” prowadzony jest z </w:t>
      </w:r>
      <w:r w:rsidRPr="00A13394">
        <w:rPr>
          <w:rFonts w:ascii="Arial" w:eastAsia="Calibri" w:hAnsi="Arial" w:cs="Arial"/>
          <w:sz w:val="24"/>
          <w:szCs w:val="24"/>
        </w:rPr>
        <w:t>zachowaniem zasady poufności, a dokumenty i informacje zebrane w toku analizy oraz informacji dotyczących rozpatrzenia zgłoszenia przechowywane są przez okres co najmniej 5 lat od czasu zakończenia postępowania wyjaśniającego.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„Rejestr Zgłoszeń Zewnętrznyc</w:t>
      </w:r>
      <w:r w:rsidRPr="00A13394">
        <w:rPr>
          <w:rFonts w:ascii="Arial" w:eastAsia="Calibri" w:hAnsi="Arial" w:cs="Arial"/>
          <w:sz w:val="24"/>
          <w:szCs w:val="24"/>
        </w:rPr>
        <w:t>h” zawiera: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1)</w:t>
      </w:r>
      <w:r w:rsidRPr="00A13394">
        <w:rPr>
          <w:rFonts w:ascii="Arial" w:eastAsia="Calibri" w:hAnsi="Arial" w:cs="Arial"/>
          <w:sz w:val="24"/>
          <w:szCs w:val="24"/>
        </w:rPr>
        <w:tab/>
        <w:t>numer zgłoszenia;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2)</w:t>
      </w:r>
      <w:r w:rsidRPr="00A13394">
        <w:rPr>
          <w:rFonts w:ascii="Arial" w:eastAsia="Calibri" w:hAnsi="Arial" w:cs="Arial"/>
          <w:sz w:val="24"/>
          <w:szCs w:val="24"/>
        </w:rPr>
        <w:tab/>
        <w:t>przedmiot naruszenia prawa;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3)</w:t>
      </w:r>
      <w:r w:rsidRPr="00A13394">
        <w:rPr>
          <w:rFonts w:ascii="Arial" w:eastAsia="Calibri" w:hAnsi="Arial" w:cs="Arial"/>
          <w:sz w:val="24"/>
          <w:szCs w:val="24"/>
        </w:rPr>
        <w:tab/>
        <w:t>dane osobowe sygnalisty oraz osoby, której dotyczy zgłoszenie, niezbędne do identyfikacji tych osób;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4)</w:t>
      </w:r>
      <w:r w:rsidRPr="00A13394">
        <w:rPr>
          <w:rFonts w:ascii="Arial" w:eastAsia="Calibri" w:hAnsi="Arial" w:cs="Arial"/>
          <w:sz w:val="24"/>
          <w:szCs w:val="24"/>
        </w:rPr>
        <w:tab/>
        <w:t>datę dokonania zgłoszenia;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5)</w:t>
      </w:r>
      <w:r w:rsidRPr="00A13394">
        <w:rPr>
          <w:rFonts w:ascii="Arial" w:eastAsia="Calibri" w:hAnsi="Arial" w:cs="Arial"/>
          <w:sz w:val="24"/>
          <w:szCs w:val="24"/>
        </w:rPr>
        <w:tab/>
        <w:t>informację o podjętych działaniach następczych;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6)</w:t>
      </w:r>
      <w:r w:rsidRPr="00A13394">
        <w:rPr>
          <w:rFonts w:ascii="Arial" w:eastAsia="Calibri" w:hAnsi="Arial" w:cs="Arial"/>
          <w:sz w:val="24"/>
          <w:szCs w:val="24"/>
        </w:rPr>
        <w:tab/>
        <w:t>info</w:t>
      </w:r>
      <w:r w:rsidRPr="00A13394">
        <w:rPr>
          <w:rFonts w:ascii="Arial" w:eastAsia="Calibri" w:hAnsi="Arial" w:cs="Arial"/>
          <w:sz w:val="24"/>
          <w:szCs w:val="24"/>
        </w:rPr>
        <w:t>rmację o wydaniu zaświadczenia, o którym mowa w art. 38;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7)</w:t>
      </w:r>
      <w:r w:rsidRPr="00A13394">
        <w:rPr>
          <w:rFonts w:ascii="Arial" w:eastAsia="Calibri" w:hAnsi="Arial" w:cs="Arial"/>
          <w:sz w:val="24"/>
          <w:szCs w:val="24"/>
        </w:rPr>
        <w:tab/>
        <w:t>datę zakończenia sprawy;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8)</w:t>
      </w:r>
      <w:r w:rsidRPr="00A13394">
        <w:rPr>
          <w:rFonts w:ascii="Arial" w:eastAsia="Calibri" w:hAnsi="Arial" w:cs="Arial"/>
          <w:sz w:val="24"/>
          <w:szCs w:val="24"/>
        </w:rPr>
        <w:tab/>
        <w:t>informacje o niepodejmowaniu dalszych działań w przypadku, gdy sprawa jest już przedmiotem wcześniejszego zgłoszenia zewnętrznego albo przez tego samego lub innego sygn</w:t>
      </w:r>
      <w:r w:rsidRPr="00A13394">
        <w:rPr>
          <w:rFonts w:ascii="Arial" w:eastAsia="Calibri" w:hAnsi="Arial" w:cs="Arial"/>
          <w:sz w:val="24"/>
          <w:szCs w:val="24"/>
        </w:rPr>
        <w:t xml:space="preserve">alistę nie zawarto istotnych nowych informacji na temat naruszeń prawa w porównaniu z wcześniejszym zgłoszeniem zewnętrznym. Organ publiczny informuje sygnalistę o niepodjęciu działań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następczych, podając uzasadnienie, a w razie kolejnego zgłoszenia - pozo</w:t>
      </w:r>
      <w:r w:rsidRPr="00A13394">
        <w:rPr>
          <w:rFonts w:ascii="Arial" w:eastAsia="Calibri" w:hAnsi="Arial" w:cs="Arial"/>
          <w:sz w:val="24"/>
          <w:szCs w:val="24"/>
        </w:rPr>
        <w:t xml:space="preserve">stawia je bez rozpoznania i nie informuje o tym sygnalisty. </w:t>
      </w:r>
    </w:p>
    <w:p w:rsidR="00534886" w:rsidRPr="00A13394" w:rsidRDefault="000223B9" w:rsidP="00534886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9)</w:t>
      </w:r>
      <w:r w:rsidRPr="00A13394">
        <w:rPr>
          <w:rFonts w:ascii="Arial" w:eastAsia="Calibri" w:hAnsi="Arial" w:cs="Arial"/>
          <w:sz w:val="24"/>
          <w:szCs w:val="24"/>
        </w:rPr>
        <w:tab/>
        <w:t xml:space="preserve">szacunkową szkodę majątkową, jeżeli została stwierdzona, oraz kwoty odzyskane w wyniku postępowań dotyczących naruszeń prawa będących przedmiotem zgłoszenia - o ile organ publiczny posiada te </w:t>
      </w:r>
      <w:r w:rsidRPr="00A13394">
        <w:rPr>
          <w:rFonts w:ascii="Arial" w:eastAsia="Calibri" w:hAnsi="Arial" w:cs="Arial"/>
          <w:sz w:val="24"/>
          <w:szCs w:val="24"/>
        </w:rPr>
        <w:t>dane.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Dostęp do „Rejestru Zgłoszeń Zewnętrznych” przysługuje wyłącznie:</w:t>
      </w:r>
    </w:p>
    <w:p w:rsidR="00534886" w:rsidRPr="00A13394" w:rsidRDefault="000223B9" w:rsidP="00534886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a) członkom Komisji ds. Naruszeń,</w:t>
      </w:r>
    </w:p>
    <w:p w:rsidR="00534886" w:rsidRPr="00A13394" w:rsidRDefault="000223B9" w:rsidP="00534886">
      <w:pPr>
        <w:spacing w:before="24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b) innym zobowiązanym do zachowania poufności pracownikom służbowo zaangażowanym w proces merytorycznego wyjaśniania spraw z zakresu naruszeń – ale </w:t>
      </w:r>
      <w:r w:rsidRPr="00A13394">
        <w:rPr>
          <w:rFonts w:ascii="Arial" w:eastAsia="Calibri" w:hAnsi="Arial" w:cs="Arial"/>
          <w:sz w:val="24"/>
          <w:szCs w:val="24"/>
        </w:rPr>
        <w:t>wyłącznie w zakresie spraw, w których brali udział,</w:t>
      </w:r>
    </w:p>
    <w:p w:rsidR="00534886" w:rsidRPr="00A13394" w:rsidRDefault="000223B9" w:rsidP="00534886">
      <w:pPr>
        <w:spacing w:before="240" w:line="360" w:lineRule="auto"/>
        <w:ind w:left="709" w:hanging="283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c) organom ścigania, w związku z przeprowadzanymi czynnościami wynikającymi z przepisów prawa powszechnie obowiązującego.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Dane osobowe oraz pozostałe informacje zawarte w rejestrze zgłoszeń zewnętrznych s</w:t>
      </w:r>
      <w:r w:rsidRPr="00A13394">
        <w:rPr>
          <w:rFonts w:ascii="Arial" w:eastAsia="Calibri" w:hAnsi="Arial" w:cs="Arial"/>
          <w:sz w:val="24"/>
          <w:szCs w:val="24"/>
        </w:rPr>
        <w:t xml:space="preserve">ą przechowywane przez okres 3 lat po zakończeniu roku kalendarzowego, w którym zakończono działania następcze lub po zakończeniu postępowań zainicjowanych tymi działaniami. 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Łódzki Urząd Wojewódzki w Łodzi za każdy rok kalendarzowy sporządza sprawozdanie z</w:t>
      </w:r>
      <w:r w:rsidRPr="00A13394">
        <w:rPr>
          <w:rFonts w:ascii="Arial" w:eastAsia="Calibri" w:hAnsi="Arial" w:cs="Arial"/>
          <w:sz w:val="24"/>
          <w:szCs w:val="24"/>
        </w:rPr>
        <w:t>awierające dane statystyczne dotyczące zgłoszeń zewnętrznych, obejmujące:</w:t>
      </w:r>
    </w:p>
    <w:p w:rsidR="00534886" w:rsidRPr="00A13394" w:rsidRDefault="000223B9" w:rsidP="00534886">
      <w:pPr>
        <w:spacing w:before="24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1)</w:t>
      </w:r>
      <w:r w:rsidRPr="00A13394">
        <w:rPr>
          <w:rFonts w:ascii="Arial" w:eastAsia="Calibri" w:hAnsi="Arial" w:cs="Arial"/>
          <w:sz w:val="24"/>
          <w:szCs w:val="24"/>
        </w:rPr>
        <w:tab/>
        <w:t>liczbę przyjętych zgłoszeń zewnętrznych;</w:t>
      </w:r>
    </w:p>
    <w:p w:rsidR="00534886" w:rsidRPr="00A13394" w:rsidRDefault="000223B9" w:rsidP="00534886">
      <w:pPr>
        <w:spacing w:before="24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2)</w:t>
      </w:r>
      <w:r w:rsidRPr="00A13394">
        <w:rPr>
          <w:rFonts w:ascii="Arial" w:eastAsia="Calibri" w:hAnsi="Arial" w:cs="Arial"/>
          <w:sz w:val="24"/>
          <w:szCs w:val="24"/>
        </w:rPr>
        <w:tab/>
        <w:t>liczbę postępowań wyjaśniających i postępowań wszczętych w wyniku przyjętych zgłoszeń zewnętrznych oraz informacje na temat wyniku tych</w:t>
      </w:r>
      <w:r w:rsidRPr="00A13394">
        <w:rPr>
          <w:rFonts w:ascii="Arial" w:eastAsia="Calibri" w:hAnsi="Arial" w:cs="Arial"/>
          <w:sz w:val="24"/>
          <w:szCs w:val="24"/>
        </w:rPr>
        <w:t xml:space="preserve"> postępowań;</w:t>
      </w:r>
    </w:p>
    <w:p w:rsidR="00534886" w:rsidRPr="00A13394" w:rsidRDefault="000223B9" w:rsidP="00534886">
      <w:pPr>
        <w:spacing w:before="24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3)</w:t>
      </w:r>
      <w:r w:rsidRPr="00A13394">
        <w:rPr>
          <w:rFonts w:ascii="Arial" w:eastAsia="Calibri" w:hAnsi="Arial" w:cs="Arial"/>
          <w:sz w:val="24"/>
          <w:szCs w:val="24"/>
        </w:rPr>
        <w:tab/>
        <w:t>szacunkową szkodę majątkową, jeżeli została stwierdzona, oraz kwoty odzyskane w   wyniku postępowań dotyczących naruszeń prawa będących przedmiotem zgłoszenia zewnętrznego - o ile organ publiczny posiada te dane.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Dane statystyczne, o któryc</w:t>
      </w:r>
      <w:r w:rsidRPr="00A13394">
        <w:rPr>
          <w:rFonts w:ascii="Arial" w:eastAsia="Calibri" w:hAnsi="Arial" w:cs="Arial"/>
          <w:sz w:val="24"/>
          <w:szCs w:val="24"/>
        </w:rPr>
        <w:t>h mowa w ust. 1, nie obejmują danych osobowych ani informacji stanowiących tajemnicę przedsiębiorstwa.</w:t>
      </w:r>
    </w:p>
    <w:p w:rsidR="00534886" w:rsidRPr="00A13394" w:rsidRDefault="000223B9" w:rsidP="00534886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Sprawozdanie, o którym mowa w ust. 7, organ publiczny przekazuje Rzecznikowi Praw Obywatelskich w terminie do dnia 31 marca roku następującego po roku, z</w:t>
      </w:r>
      <w:r w:rsidRPr="00A13394">
        <w:rPr>
          <w:rFonts w:ascii="Arial" w:eastAsia="Calibri" w:hAnsi="Arial" w:cs="Arial"/>
          <w:sz w:val="24"/>
          <w:szCs w:val="24"/>
        </w:rPr>
        <w:t>a jaki sprawozdanie jest sporządzane, począwszy od roku 2026.</w:t>
      </w:r>
    </w:p>
    <w:p w:rsidR="00E47279" w:rsidRDefault="000223B9" w:rsidP="00534886">
      <w:pPr>
        <w:spacing w:before="360" w:line="360" w:lineRule="auto"/>
        <w:ind w:left="709" w:hanging="272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34886" w:rsidRPr="00A13394" w:rsidRDefault="000223B9" w:rsidP="00534886">
      <w:pPr>
        <w:spacing w:before="360" w:line="360" w:lineRule="auto"/>
        <w:ind w:left="709" w:hanging="272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lastRenderedPageBreak/>
        <w:t>§ 9</w:t>
      </w:r>
    </w:p>
    <w:p w:rsidR="00534886" w:rsidRPr="00A13394" w:rsidRDefault="000223B9" w:rsidP="00534886">
      <w:pPr>
        <w:spacing w:line="360" w:lineRule="auto"/>
        <w:ind w:left="709" w:hanging="272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ZGŁOSZENIA ANONIMOWE</w:t>
      </w:r>
    </w:p>
    <w:p w:rsidR="00534886" w:rsidRPr="00A13394" w:rsidRDefault="000223B9" w:rsidP="00534886">
      <w:pPr>
        <w:numPr>
          <w:ilvl w:val="3"/>
          <w:numId w:val="10"/>
        </w:numPr>
        <w:suppressAutoHyphens w:val="0"/>
        <w:spacing w:after="160" w:line="360" w:lineRule="auto"/>
        <w:ind w:left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Organ publiczny nie przewiduje możliwości przyjmowania anonimowych zgłoszeń zewnętrznych.</w:t>
      </w:r>
    </w:p>
    <w:p w:rsidR="00534886" w:rsidRPr="00A13394" w:rsidRDefault="000223B9" w:rsidP="00534886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10</w:t>
      </w:r>
    </w:p>
    <w:p w:rsidR="00534886" w:rsidRPr="00A13394" w:rsidRDefault="000223B9" w:rsidP="00534886">
      <w:pPr>
        <w:spacing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KANAŁY KOMUNIKACJI</w:t>
      </w:r>
    </w:p>
    <w:p w:rsidR="00534886" w:rsidRPr="00A13394" w:rsidRDefault="000223B9" w:rsidP="00534886">
      <w:pPr>
        <w:numPr>
          <w:ilvl w:val="0"/>
          <w:numId w:val="11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Kanały komunikacji przyjęte przez organ publiczny na potrzeby przyjmowania zgłoszeń zewnętrznych: </w:t>
      </w:r>
    </w:p>
    <w:p w:rsidR="00534886" w:rsidRPr="00A13394" w:rsidRDefault="000223B9" w:rsidP="00534886">
      <w:pPr>
        <w:numPr>
          <w:ilvl w:val="0"/>
          <w:numId w:val="12"/>
        </w:numPr>
        <w:suppressAutoHyphens w:val="0"/>
        <w:spacing w:after="160" w:line="360" w:lineRule="auto"/>
        <w:ind w:left="85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są niezależne od kanałów komunikacji wykorzystywanych w ramach zwykłej działalności tych organów,</w:t>
      </w:r>
    </w:p>
    <w:p w:rsidR="00534886" w:rsidRPr="00A13394" w:rsidRDefault="000223B9" w:rsidP="00534886">
      <w:pPr>
        <w:numPr>
          <w:ilvl w:val="0"/>
          <w:numId w:val="12"/>
        </w:numPr>
        <w:suppressAutoHyphens w:val="0"/>
        <w:spacing w:after="160" w:line="360" w:lineRule="auto"/>
        <w:ind w:left="85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zapewniają kompletność, poufność i integralność danych, w t</w:t>
      </w:r>
      <w:r w:rsidRPr="00A13394">
        <w:rPr>
          <w:rFonts w:ascii="Arial" w:eastAsia="Calibri" w:hAnsi="Arial" w:cs="Arial"/>
          <w:sz w:val="24"/>
          <w:szCs w:val="24"/>
        </w:rPr>
        <w:t>ym ich zabezpieczenie przed dostępem osób upoważnionych,</w:t>
      </w:r>
    </w:p>
    <w:p w:rsidR="00534886" w:rsidRPr="00A13394" w:rsidRDefault="000223B9" w:rsidP="00534886">
      <w:pPr>
        <w:numPr>
          <w:ilvl w:val="0"/>
          <w:numId w:val="12"/>
        </w:numPr>
        <w:suppressAutoHyphens w:val="0"/>
        <w:spacing w:after="160" w:line="360" w:lineRule="auto"/>
        <w:ind w:left="85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pozwalając na przechowywanie informacji w sposób trwały w celu umożliwienia prowadzenia dalszego postępowania wyjaśniającego.</w:t>
      </w:r>
    </w:p>
    <w:p w:rsidR="00534886" w:rsidRPr="00A13394" w:rsidRDefault="000223B9" w:rsidP="00534886">
      <w:pPr>
        <w:numPr>
          <w:ilvl w:val="0"/>
          <w:numId w:val="11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Kanały komunikacji wykorzystywane przez organ publiczny do innych celów n</w:t>
      </w:r>
      <w:r w:rsidRPr="00A13394">
        <w:rPr>
          <w:rFonts w:ascii="Arial" w:eastAsia="Calibri" w:hAnsi="Arial" w:cs="Arial"/>
          <w:sz w:val="24"/>
          <w:szCs w:val="24"/>
        </w:rPr>
        <w:t>iż przyjmowanie zgłoszeń zewnętrznych mogą zostać wykorzystane także na potrzeby przyjmowania takich zgłoszeń, o ile spe</w:t>
      </w:r>
      <w:r>
        <w:rPr>
          <w:rFonts w:ascii="Arial" w:eastAsia="Calibri" w:hAnsi="Arial" w:cs="Arial"/>
          <w:sz w:val="24"/>
          <w:szCs w:val="24"/>
        </w:rPr>
        <w:t>łniają warunki określone w ust. </w:t>
      </w:r>
      <w:r w:rsidRPr="00A13394">
        <w:rPr>
          <w:rFonts w:ascii="Arial" w:eastAsia="Calibri" w:hAnsi="Arial" w:cs="Arial"/>
          <w:sz w:val="24"/>
          <w:szCs w:val="24"/>
        </w:rPr>
        <w:t xml:space="preserve">1. </w:t>
      </w:r>
    </w:p>
    <w:p w:rsidR="00534886" w:rsidRPr="00A13394" w:rsidRDefault="000223B9" w:rsidP="00E47279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11</w:t>
      </w:r>
    </w:p>
    <w:p w:rsidR="00534886" w:rsidRPr="00A13394" w:rsidRDefault="000223B9" w:rsidP="00534886">
      <w:pPr>
        <w:spacing w:line="360" w:lineRule="auto"/>
        <w:ind w:left="425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DANE OSOBOWE</w:t>
      </w:r>
    </w:p>
    <w:p w:rsidR="00534886" w:rsidRPr="00A13394" w:rsidRDefault="000223B9" w:rsidP="00534886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jest administratorem danych osobowych przetwarzanych w związku z p</w:t>
      </w:r>
      <w:r w:rsidRPr="00A13394">
        <w:rPr>
          <w:rFonts w:ascii="Arial" w:eastAsia="Calibri" w:hAnsi="Arial" w:cs="Arial"/>
          <w:sz w:val="24"/>
          <w:szCs w:val="24"/>
        </w:rPr>
        <w:t>rzyjęciem zgłoszenia, a także w związku z prowadzeniem działań następczych oraz prowadzeniem „Rejestru Zgłoszeń Zewnętrznych”.</w:t>
      </w:r>
    </w:p>
    <w:p w:rsidR="00534886" w:rsidRPr="00A13394" w:rsidRDefault="000223B9" w:rsidP="00534886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Do przetwarzania danych osobowych uprawnieni są członkowie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Naruszeń.</w:t>
      </w:r>
    </w:p>
    <w:p w:rsidR="00534886" w:rsidRPr="00A13394" w:rsidRDefault="000223B9" w:rsidP="00534886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przetwarza dane osobowe w zakres</w:t>
      </w:r>
      <w:r w:rsidRPr="00A13394">
        <w:rPr>
          <w:rFonts w:ascii="Arial" w:eastAsia="Calibri" w:hAnsi="Arial" w:cs="Arial"/>
          <w:sz w:val="24"/>
          <w:szCs w:val="24"/>
        </w:rPr>
        <w:t>ie niezbędnym do przyjęcia zgłoszenia oraz podjęcia działań następczych. Dane osobowe, które nie mają znaczenia dla rozpoznania zgłoszenia są zbierane, a w przypadku zebrania usuwane. Usunięcie tych danych osobowych następuje w terminie 14 dni od chwili us</w:t>
      </w:r>
      <w:r w:rsidRPr="00A13394">
        <w:rPr>
          <w:rFonts w:ascii="Arial" w:eastAsia="Calibri" w:hAnsi="Arial" w:cs="Arial"/>
          <w:sz w:val="24"/>
          <w:szCs w:val="24"/>
        </w:rPr>
        <w:t>talenia, że nie mają one znaczenia dla sprawy.</w:t>
      </w:r>
    </w:p>
    <w:p w:rsidR="00534886" w:rsidRPr="00A13394" w:rsidRDefault="000223B9" w:rsidP="00534886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Dane osobowe Zgłaszającego, pozwalające na ustalenie jego tożsamości, nie podlegają ujawnieniu nieupoważnionym osobom, chyba ze za wyraźną zgodą Zgłaszającego.</w:t>
      </w:r>
    </w:p>
    <w:p w:rsidR="00534886" w:rsidRPr="00A13394" w:rsidRDefault="000223B9" w:rsidP="00534886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Na zasadach przewidzianych w ustawie może dojść </w:t>
      </w:r>
      <w:r w:rsidRPr="00A13394">
        <w:rPr>
          <w:rFonts w:ascii="Arial" w:eastAsia="Calibri" w:hAnsi="Arial" w:cs="Arial"/>
          <w:sz w:val="24"/>
          <w:szCs w:val="24"/>
        </w:rPr>
        <w:t>do konieczności ujawnienia danych osobowych Sygnalisty przez organ publiczny, o czym, Sygnalista zostanie poinformowany.</w:t>
      </w:r>
    </w:p>
    <w:p w:rsidR="00534886" w:rsidRPr="00A13394" w:rsidRDefault="000223B9" w:rsidP="00534886">
      <w:pPr>
        <w:spacing w:before="36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12</w:t>
      </w:r>
    </w:p>
    <w:p w:rsidR="00534886" w:rsidRPr="00A13394" w:rsidRDefault="000223B9" w:rsidP="00534886">
      <w:pPr>
        <w:spacing w:line="360" w:lineRule="auto"/>
        <w:ind w:left="426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POSTANOWIENIA KOŃCOWE</w:t>
      </w:r>
    </w:p>
    <w:p w:rsidR="00534886" w:rsidRPr="00A13394" w:rsidRDefault="000223B9" w:rsidP="00534886">
      <w:pPr>
        <w:numPr>
          <w:ilvl w:val="0"/>
          <w:numId w:val="14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Przepisy niniejszej Procedury podlegają przeglądowi nie rzadziej niż raz na trzy lata.</w:t>
      </w:r>
    </w:p>
    <w:p w:rsidR="00534886" w:rsidRPr="004964DC" w:rsidRDefault="000223B9" w:rsidP="00534886">
      <w:pPr>
        <w:numPr>
          <w:ilvl w:val="0"/>
          <w:numId w:val="14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Procedura wchodzi w życie z dniem </w:t>
      </w:r>
      <w:r w:rsidRPr="004964DC">
        <w:rPr>
          <w:rFonts w:ascii="Arial" w:eastAsia="Calibri" w:hAnsi="Arial" w:cs="Arial"/>
          <w:b/>
          <w:sz w:val="24"/>
          <w:szCs w:val="24"/>
        </w:rPr>
        <w:t>25 grudnia 2024 r.</w:t>
      </w:r>
    </w:p>
    <w:p w:rsidR="00534886" w:rsidRPr="00A13394" w:rsidRDefault="000223B9" w:rsidP="00534886">
      <w:pPr>
        <w:numPr>
          <w:ilvl w:val="0"/>
          <w:numId w:val="14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W sprawach nieuregulowanych niniejszą procedurą zastosowanie mają odpowiednie przepisy ustawy z dnia 24 czerwca 2024 r. o ochronie sygnalistów,  działów VII i VIII  Kodeks postępowania administracyjnego,</w:t>
      </w:r>
      <w:r w:rsidRPr="00A13394">
        <w:rPr>
          <w:rFonts w:ascii="Arial" w:eastAsia="Calibri" w:hAnsi="Arial" w:cs="Arial"/>
          <w:sz w:val="24"/>
          <w:szCs w:val="24"/>
        </w:rPr>
        <w:t xml:space="preserve"> Kodeksu pracy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A13394">
        <w:rPr>
          <w:rFonts w:ascii="Arial" w:eastAsia="Calibri" w:hAnsi="Arial" w:cs="Arial"/>
          <w:sz w:val="24"/>
          <w:szCs w:val="24"/>
        </w:rPr>
        <w:t>, Kodeksu postępowania karnego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A13394">
        <w:rPr>
          <w:rFonts w:ascii="Arial" w:eastAsia="Calibri" w:hAnsi="Arial" w:cs="Arial"/>
          <w:sz w:val="24"/>
          <w:szCs w:val="24"/>
        </w:rPr>
        <w:t xml:space="preserve"> i Kodeksu karnego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</w:p>
    <w:p w:rsidR="00534886" w:rsidRPr="00A13394" w:rsidRDefault="000223B9" w:rsidP="00534886">
      <w:pPr>
        <w:spacing w:before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34886" w:rsidRPr="00A13394" w:rsidRDefault="000223B9" w:rsidP="00534886">
      <w:pPr>
        <w:spacing w:before="240" w:line="360" w:lineRule="auto"/>
        <w:ind w:left="4678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DYREKTOR GENERALNY URZĘDU</w:t>
      </w:r>
    </w:p>
    <w:p w:rsidR="00534886" w:rsidRPr="00A13394" w:rsidRDefault="000223B9" w:rsidP="00534886">
      <w:pPr>
        <w:spacing w:before="240" w:line="360" w:lineRule="auto"/>
        <w:ind w:left="482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13394">
        <w:rPr>
          <w:rFonts w:ascii="Arial" w:eastAsia="Calibri" w:hAnsi="Arial" w:cs="Arial"/>
          <w:b/>
          <w:i/>
          <w:sz w:val="24"/>
          <w:szCs w:val="24"/>
        </w:rPr>
        <w:t>Aleksandra Sowińska-Banaszkiewicz</w:t>
      </w:r>
    </w:p>
    <w:p w:rsidR="00534886" w:rsidRPr="00A13394" w:rsidRDefault="000223B9" w:rsidP="00534886">
      <w:pPr>
        <w:spacing w:before="60" w:line="36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  <w:r w:rsidRPr="00A13394">
        <w:rPr>
          <w:rFonts w:ascii="Arial" w:eastAsia="Calibri" w:hAnsi="Arial" w:cs="Arial"/>
          <w:sz w:val="20"/>
          <w:szCs w:val="20"/>
        </w:rPr>
        <w:t>(podpisano elektronicznie)</w:t>
      </w:r>
    </w:p>
    <w:p w:rsidR="00C04420" w:rsidRPr="00F43954" w:rsidRDefault="000223B9" w:rsidP="00534886">
      <w:pPr>
        <w:rPr>
          <w:rFonts w:ascii="Arial" w:hAnsi="Arial" w:cs="Arial"/>
          <w:sz w:val="24"/>
          <w:szCs w:val="24"/>
        </w:rPr>
      </w:pPr>
    </w:p>
    <w:sectPr w:rsidR="00C04420" w:rsidRPr="00F43954" w:rsidSect="00534886">
      <w:pgSz w:w="11906" w:h="16838"/>
      <w:pgMar w:top="1560" w:right="1434" w:bottom="993" w:left="1418" w:header="0" w:footer="549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B9" w:rsidRDefault="000223B9">
      <w:r>
        <w:separator/>
      </w:r>
    </w:p>
  </w:endnote>
  <w:endnote w:type="continuationSeparator" w:id="0">
    <w:p w:rsidR="000223B9" w:rsidRDefault="0002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B9" w:rsidRDefault="000223B9" w:rsidP="00534886">
      <w:r>
        <w:separator/>
      </w:r>
    </w:p>
  </w:footnote>
  <w:footnote w:type="continuationSeparator" w:id="0">
    <w:p w:rsidR="000223B9" w:rsidRDefault="000223B9" w:rsidP="00534886">
      <w:r>
        <w:continuationSeparator/>
      </w:r>
    </w:p>
  </w:footnote>
  <w:footnote w:id="1">
    <w:p w:rsidR="00534886" w:rsidRPr="00A13394" w:rsidRDefault="000223B9" w:rsidP="00534886">
      <w:pPr>
        <w:pStyle w:val="Tekstprzypisudolnego1"/>
        <w:jc w:val="both"/>
        <w:rPr>
          <w:rFonts w:cs="Calibri"/>
        </w:rPr>
      </w:pPr>
      <w:r w:rsidRPr="00A13394">
        <w:rPr>
          <w:rStyle w:val="Znakiprzypiswdolnych"/>
          <w:rFonts w:cs="Calibri"/>
        </w:rPr>
        <w:footnoteRef/>
      </w:r>
      <w:r w:rsidRPr="00A13394">
        <w:rPr>
          <w:rFonts w:cs="Calibri"/>
        </w:rPr>
        <w:t xml:space="preserve"> Ustawa z dnia 26 czerwca 1974 r. Kodeks pracy (</w:t>
      </w:r>
      <w:r w:rsidRPr="005C17A7">
        <w:rPr>
          <w:rFonts w:cs="Calibri"/>
        </w:rPr>
        <w:t>Dz. U. z 2025 r.</w:t>
      </w:r>
      <w:r>
        <w:rPr>
          <w:rFonts w:cs="Calibri"/>
        </w:rPr>
        <w:t xml:space="preserve"> </w:t>
      </w:r>
      <w:r w:rsidRPr="00E47279">
        <w:rPr>
          <w:rFonts w:cs="Calibri"/>
        </w:rPr>
        <w:t>poz. 277, 807.</w:t>
      </w:r>
      <w:r w:rsidRPr="00A13394">
        <w:rPr>
          <w:rFonts w:cs="Calibri"/>
        </w:rPr>
        <w:t>)</w:t>
      </w:r>
    </w:p>
  </w:footnote>
  <w:footnote w:id="2">
    <w:p w:rsidR="00534886" w:rsidRPr="00A13394" w:rsidRDefault="000223B9" w:rsidP="00534886">
      <w:pPr>
        <w:pStyle w:val="Tekstprzypisudolnego1"/>
        <w:jc w:val="both"/>
        <w:rPr>
          <w:rFonts w:cs="Calibri"/>
        </w:rPr>
      </w:pPr>
      <w:r w:rsidRPr="00A13394">
        <w:rPr>
          <w:rStyle w:val="Znakiprzypiswdolnych"/>
          <w:rFonts w:cs="Calibri"/>
        </w:rPr>
        <w:footnoteRef/>
      </w:r>
      <w:r w:rsidRPr="00A13394">
        <w:rPr>
          <w:rFonts w:cs="Calibri"/>
        </w:rPr>
        <w:t xml:space="preserve"> Ustawa z dnia 6 czerwca 1997 r. Kodeks postępowania karnego (</w:t>
      </w:r>
      <w:r w:rsidRPr="005C17A7">
        <w:rPr>
          <w:rFonts w:cs="Calibri"/>
        </w:rPr>
        <w:t>Dz. U. z 2025 r.</w:t>
      </w:r>
      <w:r>
        <w:rPr>
          <w:rFonts w:cs="Calibri"/>
        </w:rPr>
        <w:t xml:space="preserve"> </w:t>
      </w:r>
      <w:r w:rsidRPr="005C17A7">
        <w:rPr>
          <w:rFonts w:cs="Calibri"/>
        </w:rPr>
        <w:t>poz. 46, 304.</w:t>
      </w:r>
      <w:r w:rsidRPr="00A13394">
        <w:rPr>
          <w:rFonts w:cs="Calibri"/>
        </w:rPr>
        <w:t>)</w:t>
      </w:r>
    </w:p>
  </w:footnote>
  <w:footnote w:id="3">
    <w:p w:rsidR="00534886" w:rsidRDefault="000223B9" w:rsidP="00534886">
      <w:pPr>
        <w:pStyle w:val="Tekstprzypisudolnego1"/>
        <w:jc w:val="both"/>
      </w:pPr>
      <w:r w:rsidRPr="00A13394">
        <w:rPr>
          <w:rStyle w:val="Znakiprzypiswdolnych"/>
          <w:rFonts w:cs="Calibri"/>
        </w:rPr>
        <w:footnoteRef/>
      </w:r>
      <w:r w:rsidRPr="00A13394">
        <w:rPr>
          <w:rFonts w:cs="Calibri"/>
        </w:rPr>
        <w:t xml:space="preserve"> Ustawa z dnia 6 czerwca 1997 r. Kodeks karny (</w:t>
      </w:r>
      <w:r w:rsidRPr="005C17A7">
        <w:rPr>
          <w:rFonts w:cs="Calibri"/>
        </w:rPr>
        <w:t>Dz. U. z 2025 r.</w:t>
      </w:r>
      <w:r>
        <w:rPr>
          <w:rFonts w:cs="Calibri"/>
        </w:rPr>
        <w:t xml:space="preserve"> </w:t>
      </w:r>
      <w:r w:rsidRPr="005C17A7">
        <w:rPr>
          <w:rFonts w:cs="Calibri"/>
        </w:rPr>
        <w:t>poz. 383.</w:t>
      </w:r>
      <w:r w:rsidRPr="00A13394">
        <w:rPr>
          <w:rFonts w:cs="Calibr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C3CD"/>
    <w:multiLevelType w:val="hybridMultilevel"/>
    <w:tmpl w:val="00000000"/>
    <w:lvl w:ilvl="0" w:tplc="CBC6E2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17127E28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 w:tplc="40ECEC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4042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176DE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32C4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8F46B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14A73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A46EF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B23C4B"/>
    <w:multiLevelType w:val="hybridMultilevel"/>
    <w:tmpl w:val="00000000"/>
    <w:lvl w:ilvl="0" w:tplc="73A4F6BA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/>
        <w:sz w:val="24"/>
      </w:rPr>
    </w:lvl>
    <w:lvl w:ilvl="1" w:tplc="CC6E4DD2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C0D421DA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0B401A14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C3285CF8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1C32F198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F62C99B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56CC49D8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5CDAAFB4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880D3A1"/>
    <w:multiLevelType w:val="hybridMultilevel"/>
    <w:tmpl w:val="00000000"/>
    <w:lvl w:ilvl="0" w:tplc="AB289B9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ascii="Times New Roman" w:hAnsi="Times New Roman"/>
        <w:b/>
        <w:sz w:val="24"/>
      </w:rPr>
    </w:lvl>
    <w:lvl w:ilvl="1" w:tplc="5DAE6F62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 w:tplc="9A4A7950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 w:tplc="7FDCAFB0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 w:tplc="8402DB06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 w:tplc="27844050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 w:tplc="B17C5EF2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 w:tplc="BD342F38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 w:tplc="E10403D0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" w15:restartNumberingAfterBreak="0">
    <w:nsid w:val="1F56D281"/>
    <w:multiLevelType w:val="hybridMultilevel"/>
    <w:tmpl w:val="00000000"/>
    <w:lvl w:ilvl="0" w:tplc="567064B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AA6A1D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864D5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D20C26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22095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AE66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EE17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8D2D8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1E486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218935"/>
    <w:multiLevelType w:val="hybridMultilevel"/>
    <w:tmpl w:val="00000000"/>
    <w:lvl w:ilvl="0" w:tplc="7D00F5E6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/>
        <w:sz w:val="24"/>
      </w:rPr>
    </w:lvl>
    <w:lvl w:ilvl="1" w:tplc="3C981E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5C58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CCB6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9FC40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186CD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D2019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1A9D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452DA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F40990"/>
    <w:multiLevelType w:val="hybridMultilevel"/>
    <w:tmpl w:val="00000000"/>
    <w:lvl w:ilvl="0" w:tplc="B822720E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 w:tplc="05A62F38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 w:tplc="EB4A021C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 w:tplc="55029B6C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 w:tplc="142067E2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 w:tplc="CA442886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 w:tplc="008C6F62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 w:tplc="650CEFE2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 w:tplc="5EE855E0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" w15:restartNumberingAfterBreak="0">
    <w:nsid w:val="2E7D8EC0"/>
    <w:multiLevelType w:val="hybridMultilevel"/>
    <w:tmpl w:val="00000000"/>
    <w:lvl w:ilvl="0" w:tplc="B4E6581A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/>
        <w:b w:val="0"/>
        <w:sz w:val="24"/>
      </w:rPr>
    </w:lvl>
    <w:lvl w:ilvl="1" w:tplc="3776F38A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 w:tplc="833CF266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 w:tplc="C82CB6C2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 w:tplc="C4D23EB8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 w:tplc="9A1242FC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 w:tplc="3E0818E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 w:tplc="B9941A5E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 w:tplc="DF764932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32EDA827"/>
    <w:multiLevelType w:val="hybridMultilevel"/>
    <w:tmpl w:val="00000000"/>
    <w:lvl w:ilvl="0" w:tplc="F52AF4D2">
      <w:start w:val="1"/>
      <w:numFmt w:val="decimal"/>
      <w:lvlText w:val="%1)"/>
      <w:lvlJc w:val="left"/>
      <w:pPr>
        <w:tabs>
          <w:tab w:val="num" w:pos="0"/>
        </w:tabs>
        <w:ind w:left="1434" w:hanging="360"/>
      </w:pPr>
    </w:lvl>
    <w:lvl w:ilvl="1" w:tplc="B2D0594C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 w:tplc="1F3CB4B6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 w:tplc="3B8A8B82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 w:tplc="81D8DFA2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 w:tplc="046C045E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 w:tplc="C39001C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 w:tplc="7F50C44E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 w:tplc="85822BEA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8" w15:restartNumberingAfterBreak="0">
    <w:nsid w:val="6AD2661E"/>
    <w:multiLevelType w:val="hybridMultilevel"/>
    <w:tmpl w:val="00000000"/>
    <w:lvl w:ilvl="0" w:tplc="ED9C2FC2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ascii="Times New Roman" w:hAnsi="Times New Roman"/>
        <w:b/>
        <w:sz w:val="24"/>
      </w:rPr>
    </w:lvl>
    <w:lvl w:ilvl="1" w:tplc="79AE8F46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 w:tplc="F5AA217E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 w:tplc="4C4EADE4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 w:tplc="6F84A15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 w:tplc="92E4A384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 w:tplc="6D0AA2AE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 w:tplc="95C40A30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 w:tplc="4E28BEFE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9" w15:restartNumberingAfterBreak="0">
    <w:nsid w:val="6D4BFDDE"/>
    <w:multiLevelType w:val="hybridMultilevel"/>
    <w:tmpl w:val="00000000"/>
    <w:lvl w:ilvl="0" w:tplc="161483F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41CECC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4A22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848728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48AD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F6664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F0C33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3A419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EC64F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448958"/>
    <w:multiLevelType w:val="hybridMultilevel"/>
    <w:tmpl w:val="00000000"/>
    <w:lvl w:ilvl="0" w:tplc="A05680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739ECD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766A8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3AE4F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C2A069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7F067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4C4F3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3D2EE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A4C14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4C8F2ED"/>
    <w:multiLevelType w:val="hybridMultilevel"/>
    <w:tmpl w:val="00000000"/>
    <w:lvl w:ilvl="0" w:tplc="5770FB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46C7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F8BF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BC6F9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C78B6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6EC9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70CBF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B5E5C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4043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E201AC2"/>
    <w:multiLevelType w:val="hybridMultilevel"/>
    <w:tmpl w:val="00000000"/>
    <w:lvl w:ilvl="0" w:tplc="E53814A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587642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E42F1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3B28D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EBC817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21CC7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D02C9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D84FE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64F9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40FE61"/>
    <w:multiLevelType w:val="hybridMultilevel"/>
    <w:tmpl w:val="00000000"/>
    <w:lvl w:ilvl="0" w:tplc="4530D95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F1422A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9FAB1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DF224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sz w:val="24"/>
        <w:szCs w:val="24"/>
      </w:rPr>
    </w:lvl>
    <w:lvl w:ilvl="4" w:tplc="42422D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946B2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0EA1D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C96EB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D683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C9"/>
    <w:rsid w:val="000223B9"/>
    <w:rsid w:val="00A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1D6D-1C90-4E52-9E44-FFEA4D9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kstprzypisudolnego1">
    <w:name w:val="Tekst przypisu dolnego1"/>
    <w:basedOn w:val="Normalny"/>
    <w:uiPriority w:val="99"/>
    <w:semiHidden/>
    <w:unhideWhenUsed/>
    <w:rsid w:val="00534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@lodz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EE54-5CC9-4171-B82B-089D2229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4108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2025-08-11T06:03:00Z</dcterms:created>
  <dcterms:modified xsi:type="dcterms:W3CDTF">2025-08-11T06:03:00Z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