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73CC8D84" w:rsidR="00350165" w:rsidRPr="00350165" w:rsidRDefault="00350165" w:rsidP="00350165">
      <w:pPr>
        <w:rPr>
          <w:rFonts w:ascii="Lato" w:hAnsi="Lato"/>
          <w:spacing w:val="4"/>
          <w:sz w:val="22"/>
          <w:szCs w:val="22"/>
        </w:rPr>
      </w:pPr>
      <w:r w:rsidRPr="007D72E3">
        <w:rPr>
          <w:rFonts w:ascii="Lato" w:hAnsi="Lato"/>
          <w:spacing w:val="4"/>
          <w:sz w:val="22"/>
          <w:szCs w:val="22"/>
        </w:rPr>
        <w:t>Znak sprawy</w:t>
      </w:r>
      <w:r w:rsidRPr="002C770F">
        <w:rPr>
          <w:rFonts w:ascii="Lato" w:hAnsi="Lato"/>
          <w:spacing w:val="4"/>
          <w:sz w:val="22"/>
          <w:szCs w:val="22"/>
        </w:rPr>
        <w:t xml:space="preserve">: </w:t>
      </w:r>
      <w:bookmarkStart w:id="0" w:name="_Hlk122433712"/>
      <w:r w:rsidR="00173BB2" w:rsidRPr="003259BA">
        <w:rPr>
          <w:rFonts w:ascii="Lato" w:hAnsi="Lato"/>
          <w:spacing w:val="4"/>
          <w:sz w:val="22"/>
          <w:szCs w:val="22"/>
        </w:rPr>
        <w:t>DLI-II.7620.</w:t>
      </w:r>
      <w:r w:rsidR="00E134F2">
        <w:rPr>
          <w:rFonts w:ascii="Lato" w:hAnsi="Lato"/>
          <w:spacing w:val="4"/>
          <w:sz w:val="22"/>
          <w:szCs w:val="22"/>
        </w:rPr>
        <w:t>12</w:t>
      </w:r>
      <w:r w:rsidR="00173BB2" w:rsidRPr="003259BA">
        <w:rPr>
          <w:rFonts w:ascii="Lato" w:hAnsi="Lato"/>
          <w:spacing w:val="4"/>
          <w:sz w:val="22"/>
          <w:szCs w:val="22"/>
        </w:rPr>
        <w:t>.202</w:t>
      </w:r>
      <w:r w:rsidR="00F02356" w:rsidRPr="003259BA">
        <w:rPr>
          <w:rFonts w:ascii="Lato" w:hAnsi="Lato"/>
          <w:spacing w:val="4"/>
          <w:sz w:val="22"/>
          <w:szCs w:val="22"/>
        </w:rPr>
        <w:t>3</w:t>
      </w:r>
      <w:r w:rsidR="00173BB2" w:rsidRPr="003259BA">
        <w:rPr>
          <w:rFonts w:ascii="Lato" w:hAnsi="Lato"/>
          <w:spacing w:val="4"/>
          <w:sz w:val="22"/>
          <w:szCs w:val="22"/>
        </w:rPr>
        <w:t>.</w:t>
      </w:r>
      <w:r w:rsidR="00F02356" w:rsidRPr="003259BA">
        <w:rPr>
          <w:rFonts w:ascii="Lato" w:hAnsi="Lato"/>
          <w:spacing w:val="4"/>
          <w:sz w:val="22"/>
          <w:szCs w:val="22"/>
        </w:rPr>
        <w:t>KM</w:t>
      </w:r>
      <w:r w:rsidR="00173BB2" w:rsidRPr="003259BA">
        <w:rPr>
          <w:rFonts w:ascii="Lato" w:hAnsi="Lato"/>
          <w:spacing w:val="4"/>
          <w:sz w:val="22"/>
          <w:szCs w:val="22"/>
        </w:rPr>
        <w:t>.1</w:t>
      </w:r>
      <w:bookmarkEnd w:id="0"/>
      <w:r w:rsidR="00716011">
        <w:rPr>
          <w:rFonts w:ascii="Lato" w:hAnsi="Lato"/>
          <w:spacing w:val="4"/>
          <w:sz w:val="22"/>
          <w:szCs w:val="22"/>
        </w:rPr>
        <w:t>1</w:t>
      </w:r>
    </w:p>
    <w:p w14:paraId="003177D0" w14:textId="1FEB8D92" w:rsidR="00350165" w:rsidRPr="00350165" w:rsidRDefault="00350165" w:rsidP="00350165">
      <w:pPr>
        <w:rPr>
          <w:rFonts w:ascii="Lato" w:hAnsi="Lato"/>
          <w:spacing w:val="4"/>
          <w:sz w:val="22"/>
          <w:szCs w:val="22"/>
        </w:rPr>
      </w:pPr>
      <w:r w:rsidRPr="00350165">
        <w:rPr>
          <w:rFonts w:ascii="Lato" w:hAnsi="Lato"/>
          <w:spacing w:val="4"/>
          <w:sz w:val="22"/>
          <w:szCs w:val="22"/>
        </w:rPr>
        <w:t>Warszawa,</w:t>
      </w:r>
      <w:r w:rsidR="00513A8B">
        <w:rPr>
          <w:rFonts w:ascii="Lato" w:hAnsi="Lato"/>
          <w:spacing w:val="4"/>
          <w:sz w:val="22"/>
          <w:szCs w:val="22"/>
        </w:rPr>
        <w:t xml:space="preserve"> </w:t>
      </w:r>
      <w:r w:rsidR="00E134F2">
        <w:rPr>
          <w:rFonts w:ascii="Lato" w:hAnsi="Lato"/>
          <w:spacing w:val="4"/>
          <w:sz w:val="22"/>
          <w:szCs w:val="22"/>
        </w:rPr>
        <w:t xml:space="preserve"> </w:t>
      </w:r>
      <w:r w:rsidR="00B07BCD">
        <w:rPr>
          <w:rFonts w:ascii="Lato" w:hAnsi="Lato"/>
          <w:spacing w:val="4"/>
          <w:sz w:val="22"/>
          <w:szCs w:val="22"/>
        </w:rPr>
        <w:t>8</w:t>
      </w:r>
      <w:r w:rsidR="00E134F2">
        <w:rPr>
          <w:rFonts w:ascii="Lato" w:hAnsi="Lato"/>
          <w:spacing w:val="4"/>
          <w:sz w:val="22"/>
          <w:szCs w:val="22"/>
        </w:rPr>
        <w:t xml:space="preserve"> </w:t>
      </w:r>
      <w:r w:rsidR="00173BB2">
        <w:rPr>
          <w:rFonts w:ascii="Lato" w:hAnsi="Lato"/>
          <w:spacing w:val="4"/>
          <w:sz w:val="22"/>
          <w:szCs w:val="22"/>
        </w:rPr>
        <w:t xml:space="preserve"> </w:t>
      </w:r>
      <w:r w:rsidR="00E134F2">
        <w:rPr>
          <w:rFonts w:ascii="Lato" w:hAnsi="Lato"/>
          <w:spacing w:val="4"/>
          <w:sz w:val="22"/>
          <w:szCs w:val="22"/>
        </w:rPr>
        <w:t>kwietnia</w:t>
      </w:r>
      <w:r w:rsidRPr="007D72E3">
        <w:rPr>
          <w:rFonts w:ascii="Lato" w:hAnsi="Lato"/>
          <w:spacing w:val="4"/>
          <w:sz w:val="22"/>
          <w:szCs w:val="22"/>
        </w:rPr>
        <w:t xml:space="preserve"> 202</w:t>
      </w:r>
      <w:r w:rsidR="00E134F2">
        <w:rPr>
          <w:rFonts w:ascii="Lato" w:hAnsi="Lato"/>
          <w:spacing w:val="4"/>
          <w:sz w:val="22"/>
          <w:szCs w:val="22"/>
        </w:rPr>
        <w:t xml:space="preserve">4 </w:t>
      </w:r>
      <w:r w:rsidRPr="007D72E3">
        <w:rPr>
          <w:rFonts w:ascii="Lato" w:hAnsi="Lato"/>
          <w:spacing w:val="4"/>
          <w:sz w:val="22"/>
          <w:szCs w:val="22"/>
        </w:rPr>
        <w:t>r.</w:t>
      </w:r>
    </w:p>
    <w:p w14:paraId="4A3B9B7A" w14:textId="137BBECD" w:rsidR="004116FD" w:rsidRDefault="004116FD" w:rsidP="00D61726">
      <w:pPr>
        <w:spacing w:line="260" w:lineRule="exact"/>
        <w:rPr>
          <w:rFonts w:ascii="Lato" w:hAnsi="Lato" w:cstheme="minorHAnsi"/>
        </w:rPr>
      </w:pPr>
    </w:p>
    <w:p w14:paraId="0D536F41" w14:textId="5865D747" w:rsidR="00350165" w:rsidRDefault="00350165" w:rsidP="00D61726">
      <w:pPr>
        <w:spacing w:line="260" w:lineRule="exact"/>
        <w:rPr>
          <w:rFonts w:ascii="Lato" w:hAnsi="Lato" w:cstheme="minorHAnsi"/>
        </w:rPr>
      </w:pPr>
    </w:p>
    <w:p w14:paraId="5A3363CD" w14:textId="77777777" w:rsidR="00B3087B" w:rsidRDefault="00B3087B" w:rsidP="00D61726">
      <w:pPr>
        <w:spacing w:line="260" w:lineRule="exact"/>
        <w:rPr>
          <w:rFonts w:ascii="Lato" w:hAnsi="Lato" w:cstheme="minorHAnsi"/>
        </w:rPr>
      </w:pPr>
    </w:p>
    <w:p w14:paraId="62E5E483" w14:textId="77777777" w:rsidR="00A21071" w:rsidRPr="00173BB2" w:rsidRDefault="00A21071" w:rsidP="00A21071">
      <w:pPr>
        <w:tabs>
          <w:tab w:val="left" w:pos="5387"/>
          <w:tab w:val="left" w:pos="5670"/>
          <w:tab w:val="left" w:pos="6096"/>
          <w:tab w:val="right" w:pos="6237"/>
          <w:tab w:val="left" w:pos="8931"/>
        </w:tabs>
        <w:spacing w:after="360" w:line="240" w:lineRule="exact"/>
        <w:jc w:val="center"/>
        <w:outlineLvl w:val="0"/>
        <w:rPr>
          <w:rFonts w:ascii="Lato" w:eastAsia="Arial" w:hAnsi="Lato" w:cs="Arial"/>
          <w:color w:val="000000"/>
          <w:spacing w:val="4"/>
          <w:sz w:val="22"/>
          <w:szCs w:val="22"/>
          <w:lang w:eastAsia="en-US"/>
        </w:rPr>
      </w:pPr>
      <w:r w:rsidRPr="00173BB2">
        <w:rPr>
          <w:rFonts w:ascii="Lato" w:eastAsiaTheme="minorHAnsi" w:hAnsi="Lato" w:cs="Arial"/>
          <w:b/>
          <w:spacing w:val="4"/>
          <w:sz w:val="22"/>
          <w:szCs w:val="22"/>
          <w:lang w:eastAsia="en-US"/>
        </w:rPr>
        <w:t>DECYZJA</w:t>
      </w:r>
    </w:p>
    <w:p w14:paraId="3E509789" w14:textId="0742D0C3" w:rsidR="00D90AE7" w:rsidRDefault="00173BB2" w:rsidP="007B2AD8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430A7E">
        <w:rPr>
          <w:rFonts w:ascii="Lato" w:hAnsi="Lato" w:cs="Arial"/>
          <w:spacing w:val="4"/>
          <w:sz w:val="22"/>
          <w:szCs w:val="22"/>
        </w:rPr>
        <w:t>Na podstawie art. 138 § 1 pkt 2 ustawy z dnia 14 czerwca 1960 r. Kodeks postępowania administracyjnego (t.j. Dz.U. z 202</w:t>
      </w:r>
      <w:r w:rsidR="00F02356">
        <w:rPr>
          <w:rFonts w:ascii="Lato" w:hAnsi="Lato" w:cs="Arial"/>
          <w:spacing w:val="4"/>
          <w:sz w:val="22"/>
          <w:szCs w:val="22"/>
        </w:rPr>
        <w:t>3</w:t>
      </w:r>
      <w:r w:rsidRPr="00430A7E">
        <w:rPr>
          <w:rFonts w:ascii="Lato" w:hAnsi="Lato" w:cs="Arial"/>
          <w:spacing w:val="4"/>
          <w:sz w:val="22"/>
          <w:szCs w:val="22"/>
        </w:rPr>
        <w:t xml:space="preserve"> r. poz. </w:t>
      </w:r>
      <w:r w:rsidR="00F02356">
        <w:rPr>
          <w:rFonts w:ascii="Lato" w:hAnsi="Lato" w:cs="Arial"/>
          <w:spacing w:val="4"/>
          <w:sz w:val="22"/>
          <w:szCs w:val="22"/>
        </w:rPr>
        <w:t>775</w:t>
      </w:r>
      <w:r w:rsidR="00DB6B6E" w:rsidRPr="00430A7E">
        <w:rPr>
          <w:rFonts w:ascii="Lato" w:hAnsi="Lato" w:cs="Arial"/>
          <w:spacing w:val="4"/>
          <w:sz w:val="22"/>
          <w:szCs w:val="22"/>
        </w:rPr>
        <w:t>, z późn.zm.</w:t>
      </w:r>
      <w:r w:rsidRPr="00430A7E">
        <w:rPr>
          <w:rFonts w:ascii="Lato" w:hAnsi="Lato" w:cs="Arial"/>
          <w:spacing w:val="4"/>
          <w:sz w:val="22"/>
          <w:szCs w:val="22"/>
        </w:rPr>
        <w:t xml:space="preserve">), zwanej dalej </w:t>
      </w:r>
      <w:r w:rsidRPr="00430A7E">
        <w:rPr>
          <w:rFonts w:ascii="Lato" w:hAnsi="Lato" w:cs="Arial"/>
          <w:i/>
          <w:spacing w:val="4"/>
          <w:sz w:val="22"/>
          <w:szCs w:val="22"/>
        </w:rPr>
        <w:t>„kpa”</w:t>
      </w:r>
      <w:r w:rsidRPr="00430A7E">
        <w:rPr>
          <w:rFonts w:ascii="Lato" w:hAnsi="Lato" w:cs="Arial"/>
          <w:spacing w:val="4"/>
          <w:sz w:val="22"/>
          <w:szCs w:val="22"/>
        </w:rPr>
        <w:t xml:space="preserve">, oraz </w:t>
      </w:r>
      <w:r w:rsidR="00F02356">
        <w:rPr>
          <w:rFonts w:ascii="Lato" w:hAnsi="Lato" w:cs="Arial"/>
          <w:spacing w:val="4"/>
          <w:sz w:val="22"/>
          <w:szCs w:val="22"/>
        </w:rPr>
        <w:br/>
      </w:r>
      <w:r w:rsidRPr="00430A7E">
        <w:rPr>
          <w:rFonts w:ascii="Lato" w:hAnsi="Lato" w:cs="Arial"/>
          <w:spacing w:val="4"/>
          <w:sz w:val="22"/>
          <w:szCs w:val="22"/>
        </w:rPr>
        <w:t>art</w:t>
      </w:r>
      <w:r w:rsidRPr="0058794E">
        <w:rPr>
          <w:rFonts w:ascii="Lato" w:hAnsi="Lato" w:cs="Arial"/>
          <w:spacing w:val="4"/>
          <w:sz w:val="22"/>
          <w:szCs w:val="22"/>
        </w:rPr>
        <w:t xml:space="preserve">. 5 ust. 3 </w:t>
      </w:r>
      <w:r w:rsidR="00FE232D" w:rsidRPr="00570174">
        <w:rPr>
          <w:rFonts w:ascii="Lato" w:hAnsi="Lato" w:cs="Arial"/>
          <w:spacing w:val="4"/>
          <w:sz w:val="22"/>
          <w:szCs w:val="22"/>
        </w:rPr>
        <w:t xml:space="preserve">w zw. z art. 39 ust. 1 </w:t>
      </w:r>
      <w:bookmarkStart w:id="1" w:name="_Hlk144907730"/>
      <w:r w:rsidRPr="00430A7E">
        <w:rPr>
          <w:rFonts w:ascii="Lato" w:hAnsi="Lato" w:cs="Arial"/>
          <w:spacing w:val="4"/>
          <w:sz w:val="22"/>
          <w:szCs w:val="22"/>
        </w:rPr>
        <w:t xml:space="preserve">ustawy z dnia 24 kwietnia 2009 r. o inwestycjach </w:t>
      </w:r>
      <w:r w:rsidR="00840288">
        <w:rPr>
          <w:rFonts w:ascii="Lato" w:hAnsi="Lato" w:cs="Arial"/>
          <w:spacing w:val="4"/>
          <w:sz w:val="22"/>
          <w:szCs w:val="22"/>
        </w:rPr>
        <w:br/>
      </w:r>
      <w:r w:rsidRPr="00430A7E">
        <w:rPr>
          <w:rFonts w:ascii="Lato" w:hAnsi="Lato" w:cs="Arial"/>
          <w:spacing w:val="4"/>
          <w:sz w:val="22"/>
          <w:szCs w:val="22"/>
        </w:rPr>
        <w:t xml:space="preserve">w zakresie terminalu regazyfikacyjnego skroplonego gazu ziemnego w Świnoujściu </w:t>
      </w:r>
      <w:bookmarkEnd w:id="1"/>
      <w:r w:rsidR="00840288">
        <w:rPr>
          <w:rFonts w:ascii="Lato" w:hAnsi="Lato" w:cs="Arial"/>
          <w:spacing w:val="4"/>
          <w:sz w:val="22"/>
          <w:szCs w:val="22"/>
        </w:rPr>
        <w:br/>
      </w:r>
      <w:r w:rsidRPr="0058794E">
        <w:rPr>
          <w:rFonts w:ascii="Lato" w:hAnsi="Lato" w:cs="Arial"/>
          <w:spacing w:val="4"/>
          <w:sz w:val="22"/>
          <w:szCs w:val="22"/>
        </w:rPr>
        <w:t>(t.j. Dz.U. z 202</w:t>
      </w:r>
      <w:r w:rsidR="0058794E" w:rsidRPr="0058794E">
        <w:rPr>
          <w:rFonts w:ascii="Lato" w:hAnsi="Lato" w:cs="Arial"/>
          <w:spacing w:val="4"/>
          <w:sz w:val="22"/>
          <w:szCs w:val="22"/>
        </w:rPr>
        <w:t>3</w:t>
      </w:r>
      <w:r w:rsidRPr="0058794E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8794E" w:rsidRPr="0058794E">
        <w:rPr>
          <w:rFonts w:ascii="Lato" w:hAnsi="Lato" w:cs="Arial"/>
          <w:spacing w:val="4"/>
          <w:sz w:val="22"/>
          <w:szCs w:val="22"/>
        </w:rPr>
        <w:t>924</w:t>
      </w:r>
      <w:r w:rsidR="002E2308">
        <w:rPr>
          <w:rFonts w:ascii="Lato" w:hAnsi="Lato" w:cs="Arial"/>
          <w:spacing w:val="4"/>
          <w:sz w:val="22"/>
          <w:szCs w:val="22"/>
        </w:rPr>
        <w:t>, z późn.zm.</w:t>
      </w:r>
      <w:r w:rsidRPr="0058794E">
        <w:rPr>
          <w:rFonts w:ascii="Lato" w:hAnsi="Lato" w:cs="Arial"/>
          <w:spacing w:val="4"/>
          <w:sz w:val="22"/>
          <w:szCs w:val="22"/>
        </w:rPr>
        <w:t>),</w:t>
      </w:r>
      <w:r w:rsidRPr="00430A7E">
        <w:rPr>
          <w:rFonts w:ascii="Lato" w:hAnsi="Lato" w:cs="Arial"/>
          <w:spacing w:val="4"/>
          <w:sz w:val="22"/>
          <w:szCs w:val="22"/>
        </w:rPr>
        <w:t xml:space="preserve"> zwanej dalej „</w:t>
      </w:r>
      <w:r w:rsidRPr="00430A7E">
        <w:rPr>
          <w:rFonts w:ascii="Lato" w:hAnsi="Lato" w:cs="Arial"/>
          <w:i/>
          <w:spacing w:val="4"/>
          <w:sz w:val="22"/>
          <w:szCs w:val="22"/>
        </w:rPr>
        <w:t>specustawą gazową</w:t>
      </w:r>
      <w:r w:rsidRPr="00430A7E">
        <w:rPr>
          <w:rFonts w:ascii="Lato" w:hAnsi="Lato" w:cs="Arial"/>
          <w:spacing w:val="4"/>
          <w:sz w:val="22"/>
          <w:szCs w:val="22"/>
        </w:rPr>
        <w:t xml:space="preserve">”, </w:t>
      </w:r>
      <w:r w:rsidR="002E1B58">
        <w:rPr>
          <w:rFonts w:ascii="Lato" w:hAnsi="Lato" w:cs="Arial"/>
          <w:spacing w:val="4"/>
          <w:sz w:val="22"/>
          <w:szCs w:val="22"/>
        </w:rPr>
        <w:br/>
      </w:r>
      <w:r w:rsidRPr="00430A7E">
        <w:rPr>
          <w:rFonts w:ascii="Lato" w:hAnsi="Lato" w:cs="Arial"/>
          <w:spacing w:val="4"/>
          <w:sz w:val="22"/>
          <w:szCs w:val="22"/>
        </w:rPr>
        <w:t xml:space="preserve">po rozpatrzeniu </w:t>
      </w:r>
      <w:r w:rsidRPr="00F02C41">
        <w:rPr>
          <w:rFonts w:ascii="Lato" w:hAnsi="Lato" w:cs="Arial"/>
          <w:spacing w:val="4"/>
          <w:sz w:val="22"/>
          <w:szCs w:val="22"/>
        </w:rPr>
        <w:t>odwoła</w:t>
      </w:r>
      <w:r w:rsidR="00F02356">
        <w:rPr>
          <w:rFonts w:ascii="Lato" w:hAnsi="Lato" w:cs="Arial"/>
          <w:spacing w:val="4"/>
          <w:sz w:val="22"/>
          <w:szCs w:val="22"/>
        </w:rPr>
        <w:t>nia</w:t>
      </w:r>
      <w:r w:rsidRPr="00F02C41">
        <w:rPr>
          <w:rFonts w:ascii="Lato" w:hAnsi="Lato" w:cs="Arial"/>
          <w:spacing w:val="4"/>
          <w:sz w:val="22"/>
          <w:szCs w:val="22"/>
        </w:rPr>
        <w:t xml:space="preserve"> </w:t>
      </w:r>
      <w:bookmarkStart w:id="2" w:name="_Hlk122432681"/>
      <w:r w:rsidR="005015E0">
        <w:rPr>
          <w:rFonts w:ascii="Lato" w:hAnsi="Lato" w:cs="Arial"/>
          <w:spacing w:val="4"/>
          <w:sz w:val="22"/>
          <w:szCs w:val="22"/>
        </w:rPr>
        <w:t xml:space="preserve">Pana </w:t>
      </w:r>
      <w:r w:rsidR="00D41876">
        <w:rPr>
          <w:rFonts w:ascii="Lato" w:hAnsi="Lato" w:cs="Arial"/>
          <w:spacing w:val="4"/>
          <w:sz w:val="22"/>
          <w:szCs w:val="22"/>
        </w:rPr>
        <w:t>K.K.</w:t>
      </w:r>
      <w:r w:rsidR="00EA35B1">
        <w:rPr>
          <w:rFonts w:ascii="Lato" w:hAnsi="Lato" w:cs="Arial"/>
          <w:spacing w:val="4"/>
          <w:sz w:val="22"/>
          <w:szCs w:val="22"/>
        </w:rPr>
        <w:t xml:space="preserve"> </w:t>
      </w:r>
      <w:r w:rsidR="00CB6B8A" w:rsidRPr="00430A7E">
        <w:rPr>
          <w:rFonts w:ascii="Lato" w:hAnsi="Lato" w:cs="Arial"/>
          <w:spacing w:val="4"/>
          <w:sz w:val="22"/>
          <w:szCs w:val="22"/>
        </w:rPr>
        <w:t xml:space="preserve">od decyzji Wojewody </w:t>
      </w:r>
      <w:r w:rsidR="00D90AE7">
        <w:rPr>
          <w:rFonts w:ascii="Lato" w:hAnsi="Lato" w:cs="Arial"/>
          <w:spacing w:val="4"/>
          <w:sz w:val="22"/>
          <w:szCs w:val="22"/>
        </w:rPr>
        <w:t>Małopolskiego</w:t>
      </w:r>
      <w:r w:rsidR="00CB6B8A" w:rsidRPr="00430A7E">
        <w:rPr>
          <w:rFonts w:ascii="Lato" w:hAnsi="Lato" w:cs="Arial"/>
          <w:spacing w:val="4"/>
          <w:sz w:val="22"/>
          <w:szCs w:val="22"/>
        </w:rPr>
        <w:t xml:space="preserve"> </w:t>
      </w:r>
      <w:r w:rsidR="00730729">
        <w:rPr>
          <w:rFonts w:ascii="Lato" w:hAnsi="Lato" w:cs="Arial"/>
          <w:spacing w:val="4"/>
          <w:sz w:val="22"/>
          <w:szCs w:val="22"/>
        </w:rPr>
        <w:br/>
      </w:r>
      <w:r w:rsidR="00D90AE7" w:rsidRPr="00ED07EA">
        <w:rPr>
          <w:rFonts w:ascii="Lato" w:hAnsi="Lato" w:cs="Arial"/>
          <w:spacing w:val="4"/>
          <w:sz w:val="22"/>
          <w:szCs w:val="22"/>
        </w:rPr>
        <w:t xml:space="preserve">z dnia </w:t>
      </w:r>
      <w:r w:rsidR="00D90AE7">
        <w:rPr>
          <w:rFonts w:ascii="Lato" w:hAnsi="Lato" w:cs="Arial"/>
          <w:spacing w:val="4"/>
          <w:sz w:val="22"/>
          <w:szCs w:val="22"/>
        </w:rPr>
        <w:t>3</w:t>
      </w:r>
      <w:r w:rsidR="00D90AE7" w:rsidRPr="00ED07EA">
        <w:rPr>
          <w:rFonts w:ascii="Lato" w:hAnsi="Lato" w:cs="Arial"/>
          <w:spacing w:val="4"/>
          <w:sz w:val="22"/>
          <w:szCs w:val="22"/>
        </w:rPr>
        <w:t xml:space="preserve"> </w:t>
      </w:r>
      <w:r w:rsidR="00D90AE7">
        <w:rPr>
          <w:rFonts w:ascii="Lato" w:hAnsi="Lato" w:cs="Arial"/>
          <w:spacing w:val="4"/>
          <w:sz w:val="22"/>
          <w:szCs w:val="22"/>
        </w:rPr>
        <w:t>marca</w:t>
      </w:r>
      <w:r w:rsidR="00D90AE7" w:rsidRPr="00ED07EA">
        <w:rPr>
          <w:rFonts w:ascii="Lato" w:hAnsi="Lato" w:cs="Arial"/>
          <w:spacing w:val="4"/>
          <w:sz w:val="22"/>
          <w:szCs w:val="22"/>
        </w:rPr>
        <w:t xml:space="preserve"> 202</w:t>
      </w:r>
      <w:r w:rsidR="00D90AE7">
        <w:rPr>
          <w:rFonts w:ascii="Lato" w:hAnsi="Lato" w:cs="Arial"/>
          <w:spacing w:val="4"/>
          <w:sz w:val="22"/>
          <w:szCs w:val="22"/>
        </w:rPr>
        <w:t>3</w:t>
      </w:r>
      <w:r w:rsidR="00D90AE7" w:rsidRPr="00ED07EA">
        <w:rPr>
          <w:rFonts w:ascii="Lato" w:hAnsi="Lato" w:cs="Arial"/>
          <w:spacing w:val="4"/>
          <w:sz w:val="22"/>
          <w:szCs w:val="22"/>
        </w:rPr>
        <w:t xml:space="preserve"> r., znak:</w:t>
      </w:r>
      <w:r w:rsidR="00D90AE7">
        <w:rPr>
          <w:rFonts w:ascii="Lato" w:hAnsi="Lato" w:cs="Arial"/>
          <w:spacing w:val="4"/>
          <w:sz w:val="22"/>
          <w:szCs w:val="22"/>
        </w:rPr>
        <w:t xml:space="preserve"> WI-IV.747.1.24.2022</w:t>
      </w:r>
      <w:r w:rsidR="00D90AE7" w:rsidRPr="00ED07EA">
        <w:rPr>
          <w:rFonts w:ascii="Lato" w:hAnsi="Lato" w:cs="Arial"/>
          <w:spacing w:val="4"/>
          <w:sz w:val="22"/>
          <w:szCs w:val="22"/>
        </w:rPr>
        <w:t xml:space="preserve">, o ustaleniu lokalizacji inwestycji towarzyszącej inwestycjom w zakresie terminalu regazyfikacyjnego skroplonego gazu ziemnego w Świnoujściu dla inwestycji pn.: </w:t>
      </w:r>
      <w:r w:rsidR="00D90AE7" w:rsidRPr="0020614C">
        <w:rPr>
          <w:rFonts w:ascii="Lato" w:hAnsi="Lato" w:cs="Arial"/>
          <w:spacing w:val="4"/>
          <w:sz w:val="22"/>
          <w:szCs w:val="22"/>
        </w:rPr>
        <w:t>„</w:t>
      </w:r>
      <w:bookmarkStart w:id="3" w:name="_Hlk163033239"/>
      <w:r w:rsidR="00D90AE7">
        <w:rPr>
          <w:rFonts w:ascii="Lato" w:hAnsi="Lato" w:cs="Arial"/>
          <w:spacing w:val="4"/>
          <w:sz w:val="22"/>
          <w:szCs w:val="22"/>
        </w:rPr>
        <w:t xml:space="preserve">Przebudowa gazociągu wysokiego ciśnienia DN 400 Śledziejowice – Skawina na odcinku od Wieliczka ul. Za Torem do działki </w:t>
      </w:r>
      <w:r w:rsidR="00EA35B1">
        <w:rPr>
          <w:rFonts w:ascii="Lato" w:hAnsi="Lato" w:cs="Arial"/>
          <w:spacing w:val="4"/>
          <w:sz w:val="22"/>
          <w:szCs w:val="22"/>
        </w:rPr>
        <w:br/>
      </w:r>
      <w:r w:rsidR="00D90AE7">
        <w:rPr>
          <w:rFonts w:ascii="Lato" w:hAnsi="Lato" w:cs="Arial"/>
          <w:spacing w:val="4"/>
          <w:sz w:val="22"/>
          <w:szCs w:val="22"/>
        </w:rPr>
        <w:t>nr 203/4 przy ul. Sawiczewskich w Krakowie na długości około 6,5 km</w:t>
      </w:r>
      <w:bookmarkEnd w:id="3"/>
      <w:r w:rsidR="00D90AE7" w:rsidRPr="00ED07EA">
        <w:rPr>
          <w:rFonts w:ascii="Lato" w:hAnsi="Lato" w:cs="Arial"/>
          <w:spacing w:val="4"/>
          <w:sz w:val="22"/>
          <w:szCs w:val="22"/>
        </w:rPr>
        <w:t>”</w:t>
      </w:r>
      <w:r w:rsidR="00A34C0E">
        <w:rPr>
          <w:rFonts w:ascii="Lato" w:hAnsi="Lato" w:cs="Arial"/>
          <w:spacing w:val="4"/>
          <w:sz w:val="22"/>
          <w:szCs w:val="22"/>
        </w:rPr>
        <w:t>,</w:t>
      </w:r>
      <w:r w:rsidR="00303241">
        <w:rPr>
          <w:rFonts w:ascii="Lato" w:hAnsi="Lato" w:cs="Arial"/>
          <w:spacing w:val="4"/>
          <w:sz w:val="22"/>
          <w:szCs w:val="22"/>
        </w:rPr>
        <w:t xml:space="preserve"> </w:t>
      </w:r>
    </w:p>
    <w:p w14:paraId="003826E7" w14:textId="4312ABAB" w:rsidR="009C14A3" w:rsidRPr="00880F21" w:rsidRDefault="00430A7E" w:rsidP="00880F21">
      <w:pPr>
        <w:pStyle w:val="Akapitzlist"/>
        <w:numPr>
          <w:ilvl w:val="0"/>
          <w:numId w:val="48"/>
        </w:numPr>
        <w:spacing w:after="240" w:line="240" w:lineRule="exact"/>
        <w:ind w:left="284" w:hanging="142"/>
        <w:contextualSpacing w:val="0"/>
        <w:jc w:val="both"/>
        <w:rPr>
          <w:rFonts w:ascii="Lato" w:hAnsi="Lato" w:cs="Arial"/>
          <w:spacing w:val="4"/>
          <w:sz w:val="22"/>
          <w:szCs w:val="22"/>
          <w:lang w:eastAsia="x-none"/>
        </w:rPr>
      </w:pPr>
      <w:r w:rsidRPr="00880F21">
        <w:rPr>
          <w:rFonts w:ascii="Lato" w:hAnsi="Lato" w:cs="Arial"/>
          <w:b/>
          <w:bCs/>
          <w:spacing w:val="4"/>
          <w:sz w:val="22"/>
          <w:szCs w:val="22"/>
          <w:lang w:eastAsia="x-none"/>
        </w:rPr>
        <w:t>Uchylam</w:t>
      </w:r>
      <w:r w:rsidR="00D94E42" w:rsidRPr="00880F21">
        <w:rPr>
          <w:rFonts w:ascii="Lato" w:hAnsi="Lato" w:cs="Arial"/>
          <w:b/>
          <w:bCs/>
          <w:spacing w:val="4"/>
          <w:sz w:val="22"/>
          <w:szCs w:val="22"/>
          <w:lang w:eastAsia="x-none"/>
        </w:rPr>
        <w:t>:</w:t>
      </w:r>
    </w:p>
    <w:p w14:paraId="234E700D" w14:textId="09629FA0" w:rsidR="0000046C" w:rsidRPr="0000046C" w:rsidRDefault="00167538" w:rsidP="00D934D9">
      <w:pPr>
        <w:pStyle w:val="Akapitzlist"/>
        <w:numPr>
          <w:ilvl w:val="0"/>
          <w:numId w:val="41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006D0D">
        <w:rPr>
          <w:rFonts w:ascii="Lato" w:hAnsi="Lato" w:cs="Arial"/>
          <w:spacing w:val="4"/>
          <w:sz w:val="22"/>
          <w:szCs w:val="22"/>
        </w:rPr>
        <w:t xml:space="preserve">w rozstrzygnięciu zaskarżonej decyzji, </w:t>
      </w:r>
      <w:r w:rsidR="00006D0D">
        <w:rPr>
          <w:rFonts w:ascii="Lato" w:hAnsi="Lato" w:cs="Arial"/>
          <w:spacing w:val="4"/>
          <w:sz w:val="22"/>
          <w:szCs w:val="22"/>
        </w:rPr>
        <w:t>pozycję</w:t>
      </w:r>
      <w:r w:rsidR="0000046C">
        <w:rPr>
          <w:rFonts w:ascii="Lato" w:hAnsi="Lato" w:cs="Arial"/>
          <w:spacing w:val="4"/>
          <w:sz w:val="22"/>
          <w:szCs w:val="22"/>
        </w:rPr>
        <w:t xml:space="preserve"> nr 205 </w:t>
      </w:r>
      <w:r w:rsidR="0000046C" w:rsidRPr="0000046C">
        <w:rPr>
          <w:rFonts w:ascii="Lato" w:hAnsi="Lato" w:cs="Arial"/>
          <w:spacing w:val="4"/>
          <w:sz w:val="22"/>
          <w:szCs w:val="22"/>
        </w:rPr>
        <w:t>tabeli znajdującej się na str. 9 w p</w:t>
      </w:r>
      <w:r w:rsidR="00D934D9">
        <w:rPr>
          <w:rFonts w:ascii="Lato" w:hAnsi="Lato" w:cs="Arial"/>
          <w:spacing w:val="4"/>
          <w:sz w:val="22"/>
          <w:szCs w:val="22"/>
        </w:rPr>
        <w:t>kt</w:t>
      </w:r>
      <w:r w:rsidR="0000046C" w:rsidRPr="0000046C">
        <w:rPr>
          <w:rFonts w:ascii="Lato" w:hAnsi="Lato" w:cs="Arial"/>
          <w:spacing w:val="4"/>
          <w:sz w:val="22"/>
          <w:szCs w:val="22"/>
        </w:rPr>
        <w:t xml:space="preserve"> VIII.1,</w:t>
      </w:r>
    </w:p>
    <w:p w14:paraId="791D4DF4" w14:textId="5628EA21" w:rsidR="001152E4" w:rsidRPr="00847D9B" w:rsidRDefault="00096A02" w:rsidP="00D934D9">
      <w:pPr>
        <w:pStyle w:val="Akapitzlist"/>
        <w:numPr>
          <w:ilvl w:val="0"/>
          <w:numId w:val="42"/>
        </w:numPr>
        <w:spacing w:after="240" w:line="240" w:lineRule="exact"/>
        <w:ind w:left="568" w:hanging="284"/>
        <w:contextualSpacing w:val="0"/>
        <w:jc w:val="both"/>
        <w:rPr>
          <w:rFonts w:ascii="Lato" w:hAnsi="Lato" w:cs="Arial"/>
          <w:spacing w:val="4"/>
          <w:sz w:val="22"/>
          <w:szCs w:val="22"/>
          <w:lang w:eastAsia="x-none"/>
        </w:rPr>
      </w:pPr>
      <w:r>
        <w:rPr>
          <w:rFonts w:ascii="Lato" w:hAnsi="Lato" w:cs="Arial"/>
          <w:spacing w:val="4"/>
          <w:sz w:val="22"/>
          <w:szCs w:val="22"/>
          <w:lang w:eastAsia="x-none"/>
        </w:rPr>
        <w:t xml:space="preserve">rysunek </w:t>
      </w:r>
      <w:r w:rsidR="00B6377F" w:rsidRPr="00847D9B">
        <w:rPr>
          <w:rFonts w:ascii="Lato" w:hAnsi="Lato" w:cs="Arial"/>
          <w:spacing w:val="4"/>
          <w:sz w:val="22"/>
          <w:szCs w:val="22"/>
          <w:lang w:eastAsia="x-none"/>
        </w:rPr>
        <w:t xml:space="preserve">nr </w:t>
      </w:r>
      <w:r>
        <w:rPr>
          <w:rFonts w:ascii="Lato" w:hAnsi="Lato" w:cs="Arial"/>
          <w:spacing w:val="4"/>
          <w:sz w:val="22"/>
          <w:szCs w:val="22"/>
          <w:lang w:eastAsia="x-none"/>
        </w:rPr>
        <w:t>2.4</w:t>
      </w:r>
      <w:r w:rsidR="00B6377F" w:rsidRPr="00847D9B">
        <w:rPr>
          <w:rFonts w:ascii="Lato" w:hAnsi="Lato" w:cs="Arial"/>
          <w:spacing w:val="4"/>
          <w:sz w:val="22"/>
          <w:szCs w:val="22"/>
          <w:lang w:eastAsia="x-none"/>
        </w:rPr>
        <w:t xml:space="preserve"> mapy określającej </w:t>
      </w:r>
      <w:r w:rsidR="00A30996">
        <w:rPr>
          <w:rFonts w:ascii="Lato" w:hAnsi="Lato" w:cs="Arial"/>
          <w:spacing w:val="4"/>
          <w:sz w:val="22"/>
          <w:szCs w:val="22"/>
          <w:lang w:eastAsia="x-none"/>
        </w:rPr>
        <w:t>granice terenu objętego inwestycją</w:t>
      </w:r>
      <w:r w:rsidR="00B6377F" w:rsidRPr="00847D9B">
        <w:rPr>
          <w:rFonts w:ascii="Lato" w:hAnsi="Lato" w:cs="Arial"/>
          <w:spacing w:val="4"/>
          <w:sz w:val="22"/>
          <w:szCs w:val="22"/>
          <w:lang w:eastAsia="x-none"/>
        </w:rPr>
        <w:t>, stanowiąc</w:t>
      </w:r>
      <w:r>
        <w:rPr>
          <w:rFonts w:ascii="Lato" w:hAnsi="Lato" w:cs="Arial"/>
          <w:spacing w:val="4"/>
          <w:sz w:val="22"/>
          <w:szCs w:val="22"/>
          <w:lang w:eastAsia="x-none"/>
        </w:rPr>
        <w:t>y</w:t>
      </w:r>
      <w:r w:rsidR="00B6377F" w:rsidRPr="00847D9B">
        <w:rPr>
          <w:rFonts w:ascii="Lato" w:hAnsi="Lato" w:cs="Arial"/>
          <w:spacing w:val="4"/>
          <w:sz w:val="22"/>
          <w:szCs w:val="22"/>
          <w:lang w:eastAsia="x-none"/>
        </w:rPr>
        <w:t xml:space="preserve"> część załącznik</w:t>
      </w:r>
      <w:r w:rsidR="00E6494C">
        <w:rPr>
          <w:rFonts w:ascii="Lato" w:hAnsi="Lato" w:cs="Arial"/>
          <w:spacing w:val="4"/>
          <w:sz w:val="22"/>
          <w:szCs w:val="22"/>
          <w:lang w:eastAsia="x-none"/>
        </w:rPr>
        <w:t>a</w:t>
      </w:r>
      <w:r w:rsidR="00B6377F" w:rsidRPr="00847D9B">
        <w:rPr>
          <w:rFonts w:ascii="Lato" w:hAnsi="Lato" w:cs="Arial"/>
          <w:spacing w:val="4"/>
          <w:sz w:val="22"/>
          <w:szCs w:val="22"/>
          <w:lang w:eastAsia="x-none"/>
        </w:rPr>
        <w:t xml:space="preserve"> nr 1 </w:t>
      </w:r>
      <w:r w:rsidR="00B6377F" w:rsidRPr="003259BA">
        <w:rPr>
          <w:rFonts w:ascii="Lato" w:hAnsi="Lato" w:cs="Arial"/>
          <w:spacing w:val="4"/>
          <w:sz w:val="22"/>
          <w:szCs w:val="22"/>
          <w:lang w:eastAsia="x-none"/>
        </w:rPr>
        <w:t>do zaskarżonej decyzji,</w:t>
      </w:r>
    </w:p>
    <w:p w14:paraId="0E71EE75" w14:textId="3A60F329" w:rsidR="00430A7E" w:rsidRPr="00847D9B" w:rsidRDefault="00430A7E" w:rsidP="00D934D9">
      <w:pPr>
        <w:spacing w:after="240" w:line="240" w:lineRule="exact"/>
        <w:ind w:left="284"/>
        <w:jc w:val="both"/>
        <w:rPr>
          <w:rFonts w:ascii="Lato" w:hAnsi="Lato" w:cs="Arial"/>
          <w:spacing w:val="4"/>
          <w:sz w:val="22"/>
          <w:szCs w:val="22"/>
          <w:lang w:eastAsia="x-none"/>
        </w:rPr>
      </w:pPr>
      <w:r w:rsidRPr="00847D9B">
        <w:rPr>
          <w:rFonts w:ascii="Lato" w:hAnsi="Lato" w:cs="Arial"/>
          <w:b/>
          <w:spacing w:val="4"/>
          <w:sz w:val="22"/>
          <w:szCs w:val="22"/>
          <w:lang w:eastAsia="x-none"/>
        </w:rPr>
        <w:t>i orzekam w tym zakresie</w:t>
      </w:r>
      <w:r w:rsidR="00AE3EC5" w:rsidRPr="00847D9B">
        <w:rPr>
          <w:rFonts w:ascii="Lato" w:hAnsi="Lato" w:cs="Arial"/>
          <w:spacing w:val="4"/>
          <w:sz w:val="22"/>
          <w:szCs w:val="22"/>
          <w:lang w:eastAsia="x-none"/>
        </w:rPr>
        <w:t xml:space="preserve">, </w:t>
      </w:r>
      <w:r w:rsidRPr="003259BA">
        <w:rPr>
          <w:rFonts w:ascii="Lato" w:hAnsi="Lato" w:cs="Arial"/>
          <w:spacing w:val="4"/>
          <w:sz w:val="22"/>
          <w:szCs w:val="22"/>
          <w:lang w:eastAsia="x-none"/>
        </w:rPr>
        <w:t>poprzez</w:t>
      </w:r>
      <w:r w:rsidR="00060297" w:rsidRPr="00847D9B">
        <w:rPr>
          <w:rFonts w:ascii="Lato" w:hAnsi="Lato" w:cs="Arial"/>
          <w:spacing w:val="4"/>
          <w:sz w:val="22"/>
          <w:szCs w:val="22"/>
          <w:lang w:eastAsia="x-none"/>
        </w:rPr>
        <w:t>:</w:t>
      </w:r>
    </w:p>
    <w:p w14:paraId="707D7C87" w14:textId="0264793D" w:rsidR="0057179A" w:rsidRPr="00880F21" w:rsidRDefault="0032021F" w:rsidP="00880F21">
      <w:pPr>
        <w:pStyle w:val="Akapitzlist"/>
        <w:numPr>
          <w:ilvl w:val="0"/>
          <w:numId w:val="41"/>
        </w:numPr>
        <w:spacing w:after="240" w:line="240" w:lineRule="exact"/>
        <w:ind w:left="568" w:hanging="284"/>
        <w:contextualSpacing w:val="0"/>
        <w:jc w:val="both"/>
        <w:rPr>
          <w:rFonts w:ascii="Lato" w:hAnsi="Lato" w:cs="Arial"/>
          <w:b/>
          <w:bCs/>
          <w:spacing w:val="4"/>
          <w:sz w:val="22"/>
          <w:szCs w:val="22"/>
          <w:lang w:eastAsia="x-none"/>
        </w:rPr>
      </w:pPr>
      <w:r w:rsidRPr="0057179A">
        <w:rPr>
          <w:rFonts w:ascii="Lato" w:hAnsi="Lato" w:cs="Arial"/>
          <w:spacing w:val="4"/>
          <w:sz w:val="22"/>
          <w:szCs w:val="22"/>
          <w:lang w:eastAsia="x-none"/>
        </w:rPr>
        <w:t xml:space="preserve">ustalenie, w rozstrzygnięciu zaskarżonej decyzji, w miejsce uchylenia, na stronie </w:t>
      </w:r>
      <w:r w:rsidR="0057179A" w:rsidRPr="0057179A">
        <w:rPr>
          <w:rFonts w:ascii="Lato" w:hAnsi="Lato" w:cs="Arial"/>
          <w:spacing w:val="4"/>
          <w:sz w:val="22"/>
          <w:szCs w:val="22"/>
          <w:lang w:eastAsia="x-none"/>
        </w:rPr>
        <w:t>9</w:t>
      </w:r>
      <w:r w:rsidRPr="0057179A">
        <w:rPr>
          <w:rFonts w:ascii="Lato" w:hAnsi="Lato" w:cs="Arial"/>
          <w:spacing w:val="4"/>
          <w:sz w:val="22"/>
          <w:szCs w:val="22"/>
          <w:lang w:eastAsia="x-none"/>
        </w:rPr>
        <w:t xml:space="preserve">, </w:t>
      </w:r>
      <w:r w:rsidR="0057179A" w:rsidRPr="0057179A">
        <w:rPr>
          <w:rFonts w:ascii="Lato" w:hAnsi="Lato" w:cs="Arial"/>
          <w:spacing w:val="4"/>
          <w:sz w:val="22"/>
          <w:szCs w:val="22"/>
          <w:lang w:eastAsia="x-none"/>
        </w:rPr>
        <w:t xml:space="preserve">w tabeli znajdującej się w pkt VIII.1, zapisu stanowiącego nową </w:t>
      </w:r>
      <w:r w:rsidR="00D934D9">
        <w:rPr>
          <w:rFonts w:ascii="Lato" w:hAnsi="Lato" w:cs="Arial"/>
          <w:spacing w:val="4"/>
          <w:sz w:val="22"/>
          <w:szCs w:val="22"/>
          <w:lang w:eastAsia="x-none"/>
        </w:rPr>
        <w:t xml:space="preserve">treść </w:t>
      </w:r>
      <w:r w:rsidR="0057179A" w:rsidRPr="0057179A">
        <w:rPr>
          <w:rFonts w:ascii="Lato" w:hAnsi="Lato" w:cs="Arial"/>
          <w:spacing w:val="4"/>
          <w:sz w:val="22"/>
          <w:szCs w:val="22"/>
          <w:lang w:eastAsia="x-none"/>
        </w:rPr>
        <w:t>pozycj</w:t>
      </w:r>
      <w:r w:rsidR="00D934D9">
        <w:rPr>
          <w:rFonts w:ascii="Lato" w:hAnsi="Lato" w:cs="Arial"/>
          <w:spacing w:val="4"/>
          <w:sz w:val="22"/>
          <w:szCs w:val="22"/>
          <w:lang w:eastAsia="x-none"/>
        </w:rPr>
        <w:t xml:space="preserve">i </w:t>
      </w:r>
      <w:r w:rsidR="00D934D9">
        <w:rPr>
          <w:rFonts w:ascii="Lato" w:hAnsi="Lato" w:cs="Arial"/>
          <w:spacing w:val="4"/>
          <w:sz w:val="22"/>
          <w:szCs w:val="22"/>
          <w:lang w:eastAsia="x-none"/>
        </w:rPr>
        <w:br/>
        <w:t>nr 205:</w:t>
      </w:r>
    </w:p>
    <w:p w14:paraId="05D80E56" w14:textId="215C48C7" w:rsidR="00D934D9" w:rsidRPr="00880F21" w:rsidRDefault="00D934D9" w:rsidP="00880F21">
      <w:pPr>
        <w:pStyle w:val="Akapitzlist"/>
        <w:ind w:left="567"/>
        <w:contextualSpacing w:val="0"/>
        <w:jc w:val="both"/>
        <w:rPr>
          <w:rFonts w:ascii="Lato" w:hAnsi="Lato" w:cs="Arial"/>
          <w:spacing w:val="4"/>
          <w:sz w:val="22"/>
          <w:szCs w:val="22"/>
          <w:lang w:eastAsia="x-none"/>
        </w:rPr>
      </w:pPr>
      <w:r w:rsidRPr="00880F21">
        <w:rPr>
          <w:rFonts w:ascii="Lato" w:hAnsi="Lato" w:cs="Arial"/>
          <w:spacing w:val="4"/>
          <w:sz w:val="22"/>
          <w:szCs w:val="22"/>
          <w:lang w:eastAsia="x-none"/>
        </w:rPr>
        <w:t>„</w:t>
      </w:r>
    </w:p>
    <w:tbl>
      <w:tblPr>
        <w:tblW w:w="822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"/>
        <w:gridCol w:w="1981"/>
        <w:gridCol w:w="1538"/>
        <w:gridCol w:w="1711"/>
        <w:gridCol w:w="2400"/>
      </w:tblGrid>
      <w:tr w:rsidR="0057179A" w:rsidRPr="00DE3E5B" w14:paraId="082FCC90" w14:textId="77777777" w:rsidTr="00880F21">
        <w:trPr>
          <w:trHeight w:val="252"/>
        </w:trPr>
        <w:tc>
          <w:tcPr>
            <w:tcW w:w="592" w:type="dxa"/>
          </w:tcPr>
          <w:p w14:paraId="355634E9" w14:textId="77777777" w:rsidR="0057179A" w:rsidRPr="00174B65" w:rsidRDefault="0057179A" w:rsidP="00D934D9">
            <w:pPr>
              <w:pStyle w:val="Akapitzlist"/>
              <w:ind w:left="0" w:right="-72"/>
              <w:contextualSpacing w:val="0"/>
              <w:rPr>
                <w:rFonts w:ascii="Lato" w:hAnsi="Lato" w:cs="Arial"/>
                <w:bCs/>
                <w:spacing w:val="4"/>
                <w:sz w:val="22"/>
                <w:szCs w:val="22"/>
              </w:rPr>
            </w:pPr>
            <w:r>
              <w:rPr>
                <w:rFonts w:ascii="Lato" w:hAnsi="Lato" w:cs="Arial"/>
                <w:bCs/>
                <w:spacing w:val="4"/>
                <w:sz w:val="22"/>
                <w:szCs w:val="22"/>
              </w:rPr>
              <w:t>205.</w:t>
            </w:r>
          </w:p>
        </w:tc>
        <w:tc>
          <w:tcPr>
            <w:tcW w:w="1981" w:type="dxa"/>
          </w:tcPr>
          <w:p w14:paraId="47388C46" w14:textId="77777777" w:rsidR="0057179A" w:rsidRPr="00174B65" w:rsidRDefault="0057179A" w:rsidP="00D934D9">
            <w:pPr>
              <w:pStyle w:val="Akapitzlist"/>
              <w:ind w:left="0"/>
              <w:contextualSpacing w:val="0"/>
              <w:jc w:val="center"/>
              <w:rPr>
                <w:rFonts w:ascii="Lato" w:hAnsi="Lato" w:cs="Arial"/>
                <w:bCs/>
                <w:spacing w:val="4"/>
                <w:sz w:val="22"/>
                <w:szCs w:val="22"/>
              </w:rPr>
            </w:pPr>
            <w:r>
              <w:rPr>
                <w:rFonts w:ascii="Lato" w:hAnsi="Lato" w:cs="Arial"/>
                <w:bCs/>
                <w:spacing w:val="4"/>
                <w:sz w:val="22"/>
                <w:szCs w:val="22"/>
              </w:rPr>
              <w:t>389/521</w:t>
            </w:r>
          </w:p>
        </w:tc>
        <w:tc>
          <w:tcPr>
            <w:tcW w:w="1538" w:type="dxa"/>
          </w:tcPr>
          <w:p w14:paraId="5F6A2F69" w14:textId="77777777" w:rsidR="0057179A" w:rsidRPr="00174B65" w:rsidRDefault="0057179A" w:rsidP="00880F21">
            <w:pPr>
              <w:pStyle w:val="Akapitzlist"/>
              <w:ind w:left="0"/>
              <w:contextualSpacing w:val="0"/>
              <w:jc w:val="center"/>
              <w:rPr>
                <w:rFonts w:ascii="Lato" w:hAnsi="Lato" w:cs="Arial"/>
                <w:bCs/>
                <w:spacing w:val="4"/>
                <w:sz w:val="22"/>
                <w:szCs w:val="22"/>
              </w:rPr>
            </w:pPr>
            <w:r>
              <w:rPr>
                <w:rFonts w:ascii="Lato" w:hAnsi="Lato" w:cs="Arial"/>
                <w:bCs/>
                <w:spacing w:val="4"/>
                <w:sz w:val="22"/>
                <w:szCs w:val="22"/>
              </w:rPr>
              <w:t>W-0003</w:t>
            </w:r>
          </w:p>
        </w:tc>
        <w:tc>
          <w:tcPr>
            <w:tcW w:w="1711" w:type="dxa"/>
          </w:tcPr>
          <w:p w14:paraId="07A9A65D" w14:textId="77777777" w:rsidR="0057179A" w:rsidRPr="00174B65" w:rsidRDefault="0057179A" w:rsidP="00D934D9">
            <w:pPr>
              <w:pStyle w:val="Akapitzlist"/>
              <w:ind w:left="0"/>
              <w:contextualSpacing w:val="0"/>
              <w:jc w:val="center"/>
              <w:rPr>
                <w:rFonts w:ascii="Lato" w:hAnsi="Lato" w:cs="Arial"/>
                <w:bCs/>
                <w:spacing w:val="4"/>
                <w:sz w:val="22"/>
                <w:szCs w:val="22"/>
              </w:rPr>
            </w:pPr>
            <w:r>
              <w:rPr>
                <w:rFonts w:ascii="Lato" w:hAnsi="Lato" w:cs="Arial"/>
                <w:bCs/>
                <w:spacing w:val="4"/>
                <w:sz w:val="22"/>
                <w:szCs w:val="22"/>
              </w:rPr>
              <w:t>T</w:t>
            </w:r>
          </w:p>
        </w:tc>
        <w:tc>
          <w:tcPr>
            <w:tcW w:w="2400" w:type="dxa"/>
          </w:tcPr>
          <w:p w14:paraId="126001C0" w14:textId="7A573684" w:rsidR="0057179A" w:rsidRPr="00006D0D" w:rsidRDefault="0057179A" w:rsidP="00D934D9">
            <w:pPr>
              <w:pStyle w:val="Akapitzlist"/>
              <w:ind w:left="0"/>
              <w:contextualSpacing w:val="0"/>
              <w:jc w:val="center"/>
              <w:rPr>
                <w:rFonts w:ascii="Lato" w:hAnsi="Lato" w:cs="Arial"/>
                <w:bCs/>
                <w:spacing w:val="4"/>
                <w:sz w:val="22"/>
                <w:szCs w:val="22"/>
              </w:rPr>
            </w:pPr>
            <w:r>
              <w:rPr>
                <w:rFonts w:ascii="Lato" w:hAnsi="Lato" w:cs="Arial"/>
                <w:bCs/>
                <w:spacing w:val="4"/>
                <w:sz w:val="22"/>
                <w:szCs w:val="22"/>
              </w:rPr>
              <w:t>S</w:t>
            </w:r>
          </w:p>
        </w:tc>
      </w:tr>
    </w:tbl>
    <w:p w14:paraId="0B398B0B" w14:textId="7D8B19EA" w:rsidR="00060297" w:rsidRPr="00880F21" w:rsidRDefault="00D934D9" w:rsidP="00D934D9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lang w:eastAsia="x-none"/>
        </w:rPr>
      </w:pPr>
      <w:r>
        <w:rPr>
          <w:rFonts w:ascii="Lato" w:hAnsi="Lato" w:cs="Arial"/>
          <w:spacing w:val="4"/>
          <w:sz w:val="22"/>
          <w:szCs w:val="22"/>
          <w:lang w:eastAsia="x-none"/>
        </w:rPr>
        <w:t xml:space="preserve">                                                                                                                                                </w:t>
      </w:r>
      <w:r w:rsidRPr="00880F21">
        <w:rPr>
          <w:rFonts w:ascii="Lato" w:hAnsi="Lato" w:cs="Arial"/>
          <w:spacing w:val="4"/>
          <w:sz w:val="22"/>
          <w:szCs w:val="22"/>
          <w:lang w:eastAsia="x-none"/>
        </w:rPr>
        <w:t>”</w:t>
      </w:r>
    </w:p>
    <w:p w14:paraId="0E3E0B4B" w14:textId="4AFA6AAD" w:rsidR="00871FB9" w:rsidRPr="00847D9B" w:rsidRDefault="00FB1267" w:rsidP="00880F21">
      <w:pPr>
        <w:pStyle w:val="Akapitzlist"/>
        <w:numPr>
          <w:ilvl w:val="0"/>
          <w:numId w:val="41"/>
        </w:numPr>
        <w:spacing w:after="240" w:line="240" w:lineRule="exact"/>
        <w:ind w:left="568" w:hanging="284"/>
        <w:contextualSpacing w:val="0"/>
        <w:jc w:val="both"/>
        <w:rPr>
          <w:rFonts w:ascii="Lato" w:hAnsi="Lato" w:cs="Arial"/>
          <w:bCs/>
          <w:spacing w:val="4"/>
          <w:sz w:val="22"/>
          <w:szCs w:val="22"/>
          <w:lang w:eastAsia="x-none"/>
        </w:rPr>
      </w:pPr>
      <w:r w:rsidRPr="00847D9B">
        <w:rPr>
          <w:rFonts w:ascii="Lato" w:hAnsi="Lato" w:cs="Arial"/>
          <w:spacing w:val="4"/>
          <w:sz w:val="22"/>
          <w:szCs w:val="22"/>
          <w:lang w:eastAsia="x-none"/>
        </w:rPr>
        <w:t>z</w:t>
      </w:r>
      <w:r w:rsidR="00A5585E" w:rsidRPr="00847D9B">
        <w:rPr>
          <w:rFonts w:ascii="Lato" w:hAnsi="Lato" w:cs="Arial"/>
          <w:spacing w:val="4"/>
          <w:sz w:val="22"/>
          <w:szCs w:val="22"/>
          <w:lang w:eastAsia="x-none"/>
        </w:rPr>
        <w:t>atwierdz</w:t>
      </w:r>
      <w:r w:rsidR="00C10A8E" w:rsidRPr="00847D9B">
        <w:rPr>
          <w:rFonts w:ascii="Lato" w:hAnsi="Lato" w:cs="Arial"/>
          <w:spacing w:val="4"/>
          <w:sz w:val="22"/>
          <w:szCs w:val="22"/>
          <w:lang w:eastAsia="x-none"/>
        </w:rPr>
        <w:t xml:space="preserve">enie, </w:t>
      </w:r>
      <w:r w:rsidR="00A5585E" w:rsidRPr="00847D9B">
        <w:rPr>
          <w:rFonts w:ascii="Lato" w:hAnsi="Lato" w:cs="Arial"/>
          <w:spacing w:val="4"/>
          <w:sz w:val="22"/>
          <w:szCs w:val="22"/>
          <w:lang w:eastAsia="x-none"/>
        </w:rPr>
        <w:t>w miejsce uchylenia</w:t>
      </w:r>
      <w:r w:rsidR="00C10A8E" w:rsidRPr="00847D9B">
        <w:rPr>
          <w:rFonts w:ascii="Lato" w:hAnsi="Lato" w:cs="Arial"/>
          <w:spacing w:val="4"/>
          <w:sz w:val="22"/>
          <w:szCs w:val="22"/>
          <w:lang w:eastAsia="x-none"/>
        </w:rPr>
        <w:t xml:space="preserve">, </w:t>
      </w:r>
      <w:bookmarkStart w:id="4" w:name="_Hlk122536037"/>
      <w:r w:rsidR="00C27F12">
        <w:rPr>
          <w:rFonts w:ascii="Lato" w:hAnsi="Lato" w:cs="Arial"/>
          <w:bCs/>
          <w:spacing w:val="4"/>
          <w:sz w:val="22"/>
          <w:szCs w:val="22"/>
          <w:lang w:eastAsia="x-none"/>
        </w:rPr>
        <w:t>rysunku nr 2.4</w:t>
      </w:r>
      <w:r w:rsidR="00C10A8E" w:rsidRPr="00847D9B">
        <w:rPr>
          <w:rFonts w:ascii="Lato" w:hAnsi="Lato" w:cs="Arial"/>
          <w:bCs/>
          <w:spacing w:val="4"/>
          <w:sz w:val="22"/>
          <w:szCs w:val="22"/>
          <w:lang w:eastAsia="x-none"/>
        </w:rPr>
        <w:t xml:space="preserve"> mapy </w:t>
      </w:r>
      <w:bookmarkEnd w:id="4"/>
      <w:r w:rsidR="00C27F12" w:rsidRPr="00847D9B">
        <w:rPr>
          <w:rFonts w:ascii="Lato" w:hAnsi="Lato" w:cs="Arial"/>
          <w:spacing w:val="4"/>
          <w:sz w:val="22"/>
          <w:szCs w:val="22"/>
          <w:lang w:eastAsia="x-none"/>
        </w:rPr>
        <w:t xml:space="preserve">określającej </w:t>
      </w:r>
      <w:r w:rsidR="00A30996">
        <w:rPr>
          <w:rFonts w:ascii="Lato" w:hAnsi="Lato" w:cs="Arial"/>
          <w:spacing w:val="4"/>
          <w:sz w:val="22"/>
          <w:szCs w:val="22"/>
          <w:lang w:eastAsia="x-none"/>
        </w:rPr>
        <w:t>granice terenu objętego inwestycją</w:t>
      </w:r>
      <w:r w:rsidR="00C27F12" w:rsidRPr="00847D9B">
        <w:rPr>
          <w:rFonts w:ascii="Lato" w:hAnsi="Lato" w:cs="Arial"/>
          <w:spacing w:val="4"/>
          <w:sz w:val="22"/>
          <w:szCs w:val="22"/>
          <w:lang w:eastAsia="x-none"/>
        </w:rPr>
        <w:t>, stanowiąc</w:t>
      </w:r>
      <w:r w:rsidR="00D934D9">
        <w:rPr>
          <w:rFonts w:ascii="Lato" w:hAnsi="Lato" w:cs="Arial"/>
          <w:spacing w:val="4"/>
          <w:sz w:val="22"/>
          <w:szCs w:val="22"/>
          <w:lang w:eastAsia="x-none"/>
        </w:rPr>
        <w:t>ego</w:t>
      </w:r>
      <w:r w:rsidR="00C27F12" w:rsidRPr="00847D9B">
        <w:rPr>
          <w:rFonts w:ascii="Lato" w:hAnsi="Lato" w:cs="Arial"/>
          <w:spacing w:val="4"/>
          <w:sz w:val="22"/>
          <w:szCs w:val="22"/>
          <w:lang w:eastAsia="x-none"/>
        </w:rPr>
        <w:t xml:space="preserve"> załącznik nr 1 </w:t>
      </w:r>
      <w:r w:rsidR="00C27F12" w:rsidRPr="003259BA">
        <w:rPr>
          <w:rFonts w:ascii="Lato" w:hAnsi="Lato" w:cs="Arial"/>
          <w:spacing w:val="4"/>
          <w:sz w:val="22"/>
          <w:szCs w:val="22"/>
          <w:lang w:eastAsia="x-none"/>
        </w:rPr>
        <w:t xml:space="preserve">do </w:t>
      </w:r>
      <w:r w:rsidR="00D934D9">
        <w:rPr>
          <w:rFonts w:ascii="Lato" w:hAnsi="Lato" w:cs="Arial"/>
          <w:spacing w:val="4"/>
          <w:sz w:val="22"/>
          <w:szCs w:val="22"/>
          <w:lang w:eastAsia="x-none"/>
        </w:rPr>
        <w:t xml:space="preserve">niniejszej </w:t>
      </w:r>
      <w:r w:rsidR="00C27F12" w:rsidRPr="003259BA">
        <w:rPr>
          <w:rFonts w:ascii="Lato" w:hAnsi="Lato" w:cs="Arial"/>
          <w:spacing w:val="4"/>
          <w:sz w:val="22"/>
          <w:szCs w:val="22"/>
          <w:lang w:eastAsia="x-none"/>
        </w:rPr>
        <w:t>decyzji</w:t>
      </w:r>
      <w:r w:rsidR="00C27F12">
        <w:rPr>
          <w:rFonts w:ascii="Lato" w:hAnsi="Lato" w:cs="Arial"/>
          <w:spacing w:val="4"/>
          <w:sz w:val="22"/>
          <w:szCs w:val="22"/>
          <w:lang w:eastAsia="x-none"/>
        </w:rPr>
        <w:t>.</w:t>
      </w:r>
    </w:p>
    <w:p w14:paraId="51140640" w14:textId="1737CEB6" w:rsidR="00662430" w:rsidRDefault="00430A7E" w:rsidP="00880F21">
      <w:pPr>
        <w:numPr>
          <w:ilvl w:val="0"/>
          <w:numId w:val="48"/>
        </w:numPr>
        <w:spacing w:after="600" w:line="240" w:lineRule="exact"/>
        <w:ind w:left="284" w:hanging="142"/>
        <w:rPr>
          <w:rFonts w:ascii="Lato" w:hAnsi="Lato" w:cs="Arial"/>
          <w:b/>
          <w:bCs/>
          <w:spacing w:val="4"/>
          <w:sz w:val="22"/>
          <w:szCs w:val="22"/>
        </w:rPr>
      </w:pPr>
      <w:r w:rsidRPr="004F6DD3">
        <w:rPr>
          <w:rFonts w:ascii="Lato" w:hAnsi="Lato" w:cs="Arial"/>
          <w:b/>
          <w:spacing w:val="4"/>
          <w:sz w:val="22"/>
          <w:szCs w:val="22"/>
          <w:lang w:eastAsia="x-none"/>
        </w:rPr>
        <w:t>W pozostałej części zaskarżoną decyzję utrzymuję w mocy.</w:t>
      </w:r>
      <w:bookmarkEnd w:id="2"/>
    </w:p>
    <w:p w14:paraId="09D77B02" w14:textId="549AC8BE" w:rsidR="000058A3" w:rsidRPr="000058A3" w:rsidRDefault="000058A3" w:rsidP="00E14456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0058A3">
        <w:rPr>
          <w:rFonts w:ascii="Lato" w:hAnsi="Lato" w:cs="Arial"/>
          <w:b/>
          <w:bCs/>
          <w:spacing w:val="4"/>
          <w:sz w:val="22"/>
          <w:szCs w:val="22"/>
        </w:rPr>
        <w:t>UZASADNIENIE</w:t>
      </w:r>
    </w:p>
    <w:p w14:paraId="16AF5F23" w14:textId="5301D49D" w:rsidR="00EA32A1" w:rsidRPr="00FA5D77" w:rsidRDefault="00EA32A1" w:rsidP="00FA5D77">
      <w:pPr>
        <w:spacing w:after="240" w:line="240" w:lineRule="exact"/>
        <w:jc w:val="both"/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</w:pP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Wnioskiem z dnia 28 października 2022 r.,</w:t>
      </w:r>
      <w:r w:rsidR="008413FF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</w:t>
      </w:r>
      <w:r w:rsidR="00060814" w:rsidRPr="00060814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skorygowanym</w:t>
      </w:r>
      <w:r w:rsidR="00060814" w:rsidRPr="00060814" w:rsidDel="00060814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</w:t>
      </w:r>
      <w:r w:rsidR="008413FF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w trakcie prowadzonego postępowania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Operator Gazociągów Przesyłowych GAZ-SYSTEM S.A. z siedzibą </w:t>
      </w:r>
      <w:r w:rsidR="00D21A34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br/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w Warszawie, zwan</w:t>
      </w:r>
      <w:r w:rsidR="00E6494C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y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dalej „</w:t>
      </w:r>
      <w:r w:rsidRPr="00880F21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inwestorem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”, wystąpił do Wojewody </w:t>
      </w:r>
      <w:r w:rsidR="005015E0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Małopolskiego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</w:t>
      </w:r>
      <w:r w:rsidR="00D21A34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br/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o wydanie decyzji o ustaleniu lokalizacji</w:t>
      </w:r>
      <w:r w:rsidRPr="00FA5D77">
        <w:rPr>
          <w:rFonts w:ascii="Lato" w:eastAsiaTheme="minorHAnsi" w:hAnsi="Lato" w:cstheme="minorBidi"/>
          <w:spacing w:val="4"/>
          <w:sz w:val="22"/>
          <w:szCs w:val="22"/>
          <w:lang w:eastAsia="en-US"/>
        </w:rPr>
        <w:t xml:space="preserve"> inwestycji towarzyszącej inwestycjom w zakresie terminalu pn.: </w:t>
      </w:r>
      <w:r w:rsidR="001D441D" w:rsidRPr="0020614C">
        <w:rPr>
          <w:rFonts w:ascii="Lato" w:hAnsi="Lato" w:cs="Arial"/>
          <w:spacing w:val="4"/>
          <w:sz w:val="22"/>
          <w:szCs w:val="22"/>
        </w:rPr>
        <w:t>„</w:t>
      </w:r>
      <w:r w:rsidR="001D441D">
        <w:rPr>
          <w:rFonts w:ascii="Lato" w:hAnsi="Lato" w:cs="Arial"/>
          <w:spacing w:val="4"/>
          <w:sz w:val="22"/>
          <w:szCs w:val="22"/>
        </w:rPr>
        <w:t xml:space="preserve">Przebudowa gazociągu wysokiego ciśnienia DN 400 Śledziejowice </w:t>
      </w:r>
      <w:r w:rsidR="001B1276">
        <w:rPr>
          <w:rFonts w:ascii="Lato" w:hAnsi="Lato" w:cs="Arial"/>
          <w:spacing w:val="4"/>
          <w:sz w:val="22"/>
          <w:szCs w:val="22"/>
        </w:rPr>
        <w:br/>
      </w:r>
      <w:r w:rsidR="001D441D">
        <w:rPr>
          <w:rFonts w:ascii="Lato" w:hAnsi="Lato" w:cs="Arial"/>
          <w:spacing w:val="4"/>
          <w:sz w:val="22"/>
          <w:szCs w:val="22"/>
        </w:rPr>
        <w:lastRenderedPageBreak/>
        <w:t>– Skawina na odcinku od Wieliczka ul. Za Torem do działki nr 203/4 przy ul. Sawiczewskich w Krakowie na długości około 6,5 km</w:t>
      </w:r>
      <w:r w:rsidR="001D441D" w:rsidRPr="00ED07EA">
        <w:rPr>
          <w:rFonts w:ascii="Lato" w:hAnsi="Lato" w:cs="Arial"/>
          <w:spacing w:val="4"/>
          <w:sz w:val="22"/>
          <w:szCs w:val="22"/>
        </w:rPr>
        <w:t>”</w:t>
      </w:r>
      <w:r w:rsidR="001D441D">
        <w:rPr>
          <w:rFonts w:ascii="Lato" w:hAnsi="Lato" w:cs="Arial"/>
          <w:spacing w:val="4"/>
          <w:sz w:val="22"/>
          <w:szCs w:val="22"/>
        </w:rPr>
        <w:t>.</w:t>
      </w:r>
      <w:r w:rsidR="007E31C7">
        <w:rPr>
          <w:rFonts w:ascii="Lato" w:hAnsi="Lato" w:cs="Arial"/>
          <w:spacing w:val="4"/>
          <w:sz w:val="22"/>
          <w:szCs w:val="22"/>
        </w:rPr>
        <w:t xml:space="preserve"> </w:t>
      </w:r>
    </w:p>
    <w:p w14:paraId="582A2351" w14:textId="76A60727" w:rsidR="00EA35B1" w:rsidRPr="00FA5D77" w:rsidRDefault="00EA32A1" w:rsidP="00FA5D77">
      <w:pPr>
        <w:spacing w:after="240" w:line="240" w:lineRule="exact"/>
        <w:jc w:val="both"/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</w:pP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Po przeprowadzeniu postępowania</w:t>
      </w:r>
      <w:r w:rsidR="007C3C19" w:rsidRPr="007C3C19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w sprawie ww. wniosku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, Wojewoda </w:t>
      </w:r>
      <w:r w:rsidR="008B28A6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Małopolski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wydał w dniu </w:t>
      </w:r>
      <w:r w:rsidR="00C27296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3 marca 2023 r. 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decyzję </w:t>
      </w:r>
      <w:r w:rsidR="00C27296" w:rsidRPr="00ED07EA">
        <w:rPr>
          <w:rFonts w:ascii="Lato" w:hAnsi="Lato" w:cs="Arial"/>
          <w:spacing w:val="4"/>
          <w:sz w:val="22"/>
          <w:szCs w:val="22"/>
        </w:rPr>
        <w:t>znak:</w:t>
      </w:r>
      <w:r w:rsidR="00C27296">
        <w:rPr>
          <w:rFonts w:ascii="Lato" w:hAnsi="Lato" w:cs="Arial"/>
          <w:spacing w:val="4"/>
          <w:sz w:val="22"/>
          <w:szCs w:val="22"/>
        </w:rPr>
        <w:t xml:space="preserve"> WI-IV.747.1.24.2022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, o ustaleniu lokalizacji</w:t>
      </w:r>
      <w:r w:rsidRPr="00FA5D77">
        <w:rPr>
          <w:rFonts w:ascii="Lato" w:eastAsiaTheme="minorHAnsi" w:hAnsi="Lato" w:cstheme="minorBidi"/>
          <w:spacing w:val="4"/>
          <w:sz w:val="22"/>
          <w:szCs w:val="22"/>
          <w:lang w:eastAsia="en-US"/>
        </w:rPr>
        <w:t xml:space="preserve"> inwestycji towarzyszącej inwestycjom w zakresie terminalu pn.: </w:t>
      </w:r>
      <w:r w:rsidR="001D441D" w:rsidRPr="0020614C">
        <w:rPr>
          <w:rFonts w:ascii="Lato" w:hAnsi="Lato" w:cs="Arial"/>
          <w:spacing w:val="4"/>
          <w:sz w:val="22"/>
          <w:szCs w:val="22"/>
        </w:rPr>
        <w:t>„</w:t>
      </w:r>
      <w:r w:rsidR="001D441D">
        <w:rPr>
          <w:rFonts w:ascii="Lato" w:hAnsi="Lato" w:cs="Arial"/>
          <w:spacing w:val="4"/>
          <w:sz w:val="22"/>
          <w:szCs w:val="22"/>
        </w:rPr>
        <w:t xml:space="preserve">Przebudowa gazociągu wysokiego ciśnienia DN 400 Śledziejowice – Skawina na odcinku od Wieliczka </w:t>
      </w:r>
      <w:r w:rsidR="001D441D">
        <w:rPr>
          <w:rFonts w:ascii="Lato" w:hAnsi="Lato" w:cs="Arial"/>
          <w:spacing w:val="4"/>
          <w:sz w:val="22"/>
          <w:szCs w:val="22"/>
        </w:rPr>
        <w:br/>
        <w:t>ul. Za Torem do działki nr 203/4 przy ul. Sawiczewskich w Krakowie na długości około</w:t>
      </w:r>
      <w:r w:rsidR="007C3C19">
        <w:rPr>
          <w:rFonts w:ascii="Lato" w:hAnsi="Lato" w:cs="Arial"/>
          <w:spacing w:val="4"/>
          <w:sz w:val="22"/>
          <w:szCs w:val="22"/>
        </w:rPr>
        <w:t xml:space="preserve"> </w:t>
      </w:r>
      <w:r w:rsidR="001D441D">
        <w:rPr>
          <w:rFonts w:ascii="Lato" w:hAnsi="Lato" w:cs="Arial"/>
          <w:spacing w:val="4"/>
          <w:sz w:val="22"/>
          <w:szCs w:val="22"/>
        </w:rPr>
        <w:t>6,5 km</w:t>
      </w:r>
      <w:r w:rsidR="001D441D" w:rsidRPr="00ED07EA">
        <w:rPr>
          <w:rFonts w:ascii="Lato" w:hAnsi="Lato" w:cs="Arial"/>
          <w:spacing w:val="4"/>
          <w:sz w:val="22"/>
          <w:szCs w:val="22"/>
        </w:rPr>
        <w:t>”</w:t>
      </w:r>
      <w:r w:rsidR="001D441D">
        <w:rPr>
          <w:rFonts w:ascii="Lato" w:hAnsi="Lato" w:cs="Arial"/>
          <w:spacing w:val="4"/>
          <w:sz w:val="22"/>
          <w:szCs w:val="22"/>
        </w:rPr>
        <w:t>,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zwaną dalej „</w:t>
      </w:r>
      <w:r w:rsidRPr="00FA5D77">
        <w:rPr>
          <w:rFonts w:ascii="Lato" w:eastAsiaTheme="minorHAnsi" w:hAnsi="Lato" w:cs="Arial"/>
          <w:i/>
          <w:color w:val="000000"/>
          <w:spacing w:val="4"/>
          <w:sz w:val="22"/>
          <w:szCs w:val="22"/>
          <w:lang w:eastAsia="en-US"/>
        </w:rPr>
        <w:t xml:space="preserve">decyzją Wojewody </w:t>
      </w:r>
      <w:r w:rsidR="001D441D">
        <w:rPr>
          <w:rFonts w:ascii="Lato" w:eastAsiaTheme="minorHAnsi" w:hAnsi="Lato" w:cs="Arial"/>
          <w:i/>
          <w:color w:val="000000"/>
          <w:spacing w:val="4"/>
          <w:sz w:val="22"/>
          <w:szCs w:val="22"/>
          <w:lang w:eastAsia="en-US"/>
        </w:rPr>
        <w:t>Małopolskiego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”.</w:t>
      </w:r>
      <w:r w:rsidR="00E6494C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</w:t>
      </w:r>
      <w:r w:rsidR="00FC127B" w:rsidRPr="00FA5D77">
        <w:rPr>
          <w:rFonts w:ascii="Lato" w:eastAsiaTheme="minorHAnsi" w:hAnsi="Lato" w:cs="Arial"/>
          <w:i/>
          <w:iCs/>
          <w:color w:val="000000"/>
          <w:spacing w:val="4"/>
          <w:sz w:val="22"/>
          <w:szCs w:val="22"/>
          <w:lang w:eastAsia="en-US"/>
        </w:rPr>
        <w:t xml:space="preserve">Decyzja </w:t>
      </w:r>
      <w:r w:rsidR="007C3C19">
        <w:rPr>
          <w:rFonts w:ascii="Lato" w:eastAsiaTheme="minorHAnsi" w:hAnsi="Lato" w:cs="Arial"/>
          <w:i/>
          <w:iCs/>
          <w:color w:val="000000"/>
          <w:spacing w:val="4"/>
          <w:sz w:val="22"/>
          <w:szCs w:val="22"/>
          <w:lang w:eastAsia="en-US"/>
        </w:rPr>
        <w:t xml:space="preserve">Wojewody </w:t>
      </w:r>
      <w:r w:rsidR="001D441D">
        <w:rPr>
          <w:rFonts w:ascii="Lato" w:eastAsiaTheme="minorHAnsi" w:hAnsi="Lato" w:cs="Arial"/>
          <w:i/>
          <w:iCs/>
          <w:color w:val="000000"/>
          <w:spacing w:val="4"/>
          <w:sz w:val="22"/>
          <w:szCs w:val="22"/>
          <w:lang w:eastAsia="en-US"/>
        </w:rPr>
        <w:t>Małopolskiego</w:t>
      </w:r>
      <w:r w:rsidR="00FC127B" w:rsidRPr="00FA5D77">
        <w:rPr>
          <w:rFonts w:ascii="Lato" w:eastAsiaTheme="minorHAnsi" w:hAnsi="Lato" w:cs="Arial"/>
          <w:i/>
          <w:iCs/>
          <w:color w:val="000000"/>
          <w:spacing w:val="4"/>
          <w:sz w:val="22"/>
          <w:szCs w:val="22"/>
          <w:lang w:eastAsia="en-US"/>
        </w:rPr>
        <w:t xml:space="preserve"> </w:t>
      </w:r>
      <w:r w:rsidR="00FC127B"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została następnie sprostowana </w:t>
      </w:r>
      <w:bookmarkStart w:id="5" w:name="_Hlk115860792"/>
      <w:bookmarkStart w:id="6" w:name="_Hlk118304013"/>
      <w:r w:rsidR="00FC127B"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postanowieniem </w:t>
      </w:r>
      <w:r w:rsidR="003C3073"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Wojewody </w:t>
      </w:r>
      <w:r w:rsidR="001D441D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Małopolskieg</w:t>
      </w:r>
      <w:r w:rsidR="003C3073"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o z dnia </w:t>
      </w:r>
      <w:r w:rsidR="0084548F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br/>
      </w:r>
      <w:r w:rsidR="001D441D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4</w:t>
      </w:r>
      <w:r w:rsidR="003C3073"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</w:t>
      </w:r>
      <w:r w:rsidR="001D441D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marca</w:t>
      </w:r>
      <w:r w:rsidR="003C3073"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202</w:t>
      </w:r>
      <w:r w:rsidR="001D441D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4</w:t>
      </w:r>
      <w:r w:rsidR="003C3073"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r., znak: WI</w:t>
      </w:r>
      <w:bookmarkEnd w:id="5"/>
      <w:bookmarkEnd w:id="6"/>
      <w:r w:rsidR="007C3C19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-</w:t>
      </w:r>
      <w:r w:rsidR="001D441D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IV.747.1.24.2022</w:t>
      </w:r>
      <w:r w:rsidR="00EA35B1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.</w:t>
      </w:r>
    </w:p>
    <w:p w14:paraId="70C9B5BD" w14:textId="24777132" w:rsidR="006C4DCB" w:rsidRPr="00D41876" w:rsidRDefault="00EA32A1" w:rsidP="00FA5D77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Od </w:t>
      </w:r>
      <w:r w:rsidRPr="00FA5D77">
        <w:rPr>
          <w:rFonts w:ascii="Lato" w:eastAsiaTheme="minorHAnsi" w:hAnsi="Lato" w:cs="Arial"/>
          <w:i/>
          <w:iCs/>
          <w:color w:val="000000"/>
          <w:spacing w:val="4"/>
          <w:sz w:val="22"/>
          <w:szCs w:val="22"/>
          <w:lang w:eastAsia="en-US"/>
        </w:rPr>
        <w:t xml:space="preserve">decyzji Wojewody </w:t>
      </w:r>
      <w:r w:rsidR="006841F9">
        <w:rPr>
          <w:rFonts w:ascii="Lato" w:eastAsiaTheme="minorHAnsi" w:hAnsi="Lato" w:cs="Arial"/>
          <w:i/>
          <w:iCs/>
          <w:color w:val="000000"/>
          <w:spacing w:val="4"/>
          <w:sz w:val="22"/>
          <w:szCs w:val="22"/>
          <w:lang w:eastAsia="en-US"/>
        </w:rPr>
        <w:t>Małopolskiego</w:t>
      </w:r>
      <w:r w:rsidRPr="00FA5D77">
        <w:rPr>
          <w:rFonts w:ascii="Lato" w:eastAsiaTheme="minorHAnsi" w:hAnsi="Lato" w:cs="Arial"/>
          <w:i/>
          <w:iCs/>
          <w:color w:val="000000"/>
          <w:spacing w:val="4"/>
          <w:sz w:val="22"/>
          <w:szCs w:val="22"/>
          <w:lang w:eastAsia="en-US"/>
        </w:rPr>
        <w:t xml:space="preserve"> 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odwołanie, za pośrednictwem organu I instancji, wni</w:t>
      </w:r>
      <w:r w:rsidR="006841F9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>ósł</w:t>
      </w:r>
      <w:r w:rsidRPr="00FA5D77">
        <w:rPr>
          <w:rFonts w:ascii="Lato" w:eastAsiaTheme="minorHAnsi" w:hAnsi="Lato" w:cs="Arial"/>
          <w:color w:val="000000"/>
          <w:spacing w:val="4"/>
          <w:sz w:val="22"/>
          <w:szCs w:val="22"/>
          <w:lang w:eastAsia="en-US"/>
        </w:rPr>
        <w:t xml:space="preserve"> Pan </w:t>
      </w:r>
      <w:r w:rsidR="00D41876">
        <w:rPr>
          <w:rFonts w:ascii="Lato" w:eastAsiaTheme="minorHAnsi" w:hAnsi="Lato" w:cs="Arial"/>
          <w:spacing w:val="4"/>
          <w:sz w:val="22"/>
          <w:szCs w:val="22"/>
          <w:lang w:eastAsia="en-US"/>
        </w:rPr>
        <w:t>K.K.</w:t>
      </w:r>
      <w:r w:rsidR="004D0D9C">
        <w:rPr>
          <w:rFonts w:ascii="Lato" w:eastAsiaTheme="minorHAnsi" w:hAnsi="Lato" w:cs="Arial"/>
          <w:spacing w:val="4"/>
          <w:sz w:val="22"/>
          <w:szCs w:val="22"/>
          <w:lang w:eastAsia="en-US"/>
        </w:rPr>
        <w:t>, reprezentowany przez pełnomocnika</w:t>
      </w:r>
      <w:r w:rsidR="007C3C1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r.pr. </w:t>
      </w:r>
      <w:r w:rsidR="00D41876">
        <w:rPr>
          <w:rFonts w:ascii="Lato" w:eastAsiaTheme="minorHAnsi" w:hAnsi="Lato" w:cs="Arial"/>
          <w:spacing w:val="4"/>
          <w:sz w:val="22"/>
          <w:szCs w:val="22"/>
          <w:lang w:eastAsia="en-US"/>
        </w:rPr>
        <w:t>P.S.</w:t>
      </w:r>
      <w:r w:rsidR="00B64D20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</w:t>
      </w:r>
      <w:r w:rsidRPr="00FA5D77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Odwołanie wniesiono </w:t>
      </w:r>
      <w:r w:rsidR="00D41876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FA5D77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 terminie. W odwołaniu, </w:t>
      </w:r>
      <w:r w:rsidRPr="00FA5D77">
        <w:rPr>
          <w:rFonts w:ascii="Lato" w:hAnsi="Lato" w:cs="Arial"/>
          <w:spacing w:val="4"/>
          <w:sz w:val="22"/>
          <w:szCs w:val="22"/>
        </w:rPr>
        <w:t>s</w:t>
      </w:r>
      <w:r w:rsidR="00CB32DB" w:rsidRPr="00FA5D77">
        <w:rPr>
          <w:rFonts w:ascii="Lato" w:hAnsi="Lato" w:cs="Arial"/>
          <w:spacing w:val="4"/>
          <w:sz w:val="22"/>
          <w:szCs w:val="22"/>
        </w:rPr>
        <w:t>karżąc</w:t>
      </w:r>
      <w:r w:rsidR="00484131">
        <w:rPr>
          <w:rFonts w:ascii="Lato" w:hAnsi="Lato" w:cs="Arial"/>
          <w:spacing w:val="4"/>
          <w:sz w:val="22"/>
          <w:szCs w:val="22"/>
        </w:rPr>
        <w:t>y</w:t>
      </w:r>
      <w:r w:rsidR="00CB32DB" w:rsidRPr="00FA5D77">
        <w:rPr>
          <w:rFonts w:ascii="Lato" w:hAnsi="Lato" w:cs="Arial"/>
          <w:spacing w:val="4"/>
          <w:sz w:val="22"/>
          <w:szCs w:val="22"/>
        </w:rPr>
        <w:t xml:space="preserve"> podni</w:t>
      </w:r>
      <w:r w:rsidR="00F53B13">
        <w:rPr>
          <w:rFonts w:ascii="Lato" w:hAnsi="Lato" w:cs="Arial"/>
          <w:spacing w:val="4"/>
          <w:sz w:val="22"/>
          <w:szCs w:val="22"/>
        </w:rPr>
        <w:t>ósł</w:t>
      </w:r>
      <w:r w:rsidR="00CB32DB" w:rsidRPr="00FA5D77">
        <w:rPr>
          <w:rFonts w:ascii="Lato" w:hAnsi="Lato" w:cs="Arial"/>
          <w:spacing w:val="4"/>
          <w:sz w:val="22"/>
          <w:szCs w:val="22"/>
        </w:rPr>
        <w:t xml:space="preserve"> zarzuty odnoszące się do </w:t>
      </w:r>
      <w:r w:rsidR="00CB32DB" w:rsidRPr="00FA5D77">
        <w:rPr>
          <w:rFonts w:ascii="Lato" w:hAnsi="Lato" w:cs="Arial"/>
          <w:i/>
          <w:spacing w:val="4"/>
          <w:sz w:val="22"/>
          <w:szCs w:val="22"/>
        </w:rPr>
        <w:t xml:space="preserve">decyzji Wojewody </w:t>
      </w:r>
      <w:r w:rsidR="00484131">
        <w:rPr>
          <w:rFonts w:ascii="Lato" w:hAnsi="Lato" w:cs="Arial"/>
          <w:i/>
          <w:spacing w:val="4"/>
          <w:sz w:val="22"/>
          <w:szCs w:val="22"/>
        </w:rPr>
        <w:t>Małopolskiego</w:t>
      </w:r>
      <w:r w:rsidR="00CB32DB" w:rsidRPr="00FA5D77">
        <w:rPr>
          <w:rFonts w:ascii="Lato" w:hAnsi="Lato" w:cs="Arial"/>
          <w:spacing w:val="4"/>
          <w:sz w:val="22"/>
          <w:szCs w:val="22"/>
        </w:rPr>
        <w:t>, określi</w:t>
      </w:r>
      <w:r w:rsidR="00F05CAA" w:rsidRPr="00FA5D77">
        <w:rPr>
          <w:rFonts w:ascii="Lato" w:hAnsi="Lato" w:cs="Arial"/>
          <w:spacing w:val="4"/>
          <w:sz w:val="22"/>
          <w:szCs w:val="22"/>
        </w:rPr>
        <w:t>ł</w:t>
      </w:r>
      <w:r w:rsidR="00CB32DB" w:rsidRPr="00FA5D77">
        <w:rPr>
          <w:rFonts w:ascii="Lato" w:hAnsi="Lato" w:cs="Arial"/>
          <w:spacing w:val="4"/>
          <w:sz w:val="22"/>
          <w:szCs w:val="22"/>
        </w:rPr>
        <w:t xml:space="preserve"> istotę i zakres żądania będącego przedmiotem odwołania oraz wskaza</w:t>
      </w:r>
      <w:r w:rsidR="00F05CAA" w:rsidRPr="00FA5D77">
        <w:rPr>
          <w:rFonts w:ascii="Lato" w:hAnsi="Lato" w:cs="Arial"/>
          <w:spacing w:val="4"/>
          <w:sz w:val="22"/>
          <w:szCs w:val="22"/>
        </w:rPr>
        <w:t>ł</w:t>
      </w:r>
      <w:r w:rsidR="00CB32DB" w:rsidRPr="00FA5D77">
        <w:rPr>
          <w:rFonts w:ascii="Lato" w:hAnsi="Lato" w:cs="Arial"/>
          <w:spacing w:val="4"/>
          <w:sz w:val="22"/>
          <w:szCs w:val="22"/>
        </w:rPr>
        <w:t xml:space="preserve"> na dowody uzasadniające to żądanie.</w:t>
      </w:r>
      <w:r w:rsidR="003B62E3">
        <w:rPr>
          <w:rFonts w:ascii="Lato" w:hAnsi="Lato" w:cs="Arial"/>
          <w:spacing w:val="4"/>
          <w:sz w:val="22"/>
          <w:szCs w:val="22"/>
        </w:rPr>
        <w:t xml:space="preserve"> </w:t>
      </w:r>
    </w:p>
    <w:p w14:paraId="50611E77" w14:textId="004ACD53" w:rsidR="00B5345B" w:rsidRPr="00F24C6D" w:rsidRDefault="00855129" w:rsidP="00B5345B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A5D77">
        <w:rPr>
          <w:rFonts w:ascii="Lato" w:hAnsi="Lato" w:cs="Arial"/>
          <w:spacing w:val="4"/>
          <w:sz w:val="22"/>
          <w:szCs w:val="22"/>
        </w:rPr>
        <w:t xml:space="preserve">Ponadto, odwołanie od </w:t>
      </w:r>
      <w:r w:rsidRPr="00FA5D77">
        <w:rPr>
          <w:rFonts w:ascii="Lato" w:hAnsi="Lato" w:cs="Arial"/>
          <w:i/>
          <w:iCs/>
          <w:spacing w:val="4"/>
          <w:sz w:val="22"/>
          <w:szCs w:val="22"/>
        </w:rPr>
        <w:t xml:space="preserve">decyzji Wojewody </w:t>
      </w:r>
      <w:r w:rsidR="00484131">
        <w:rPr>
          <w:rFonts w:ascii="Lato" w:hAnsi="Lato" w:cs="Arial"/>
          <w:i/>
          <w:iCs/>
          <w:spacing w:val="4"/>
          <w:sz w:val="22"/>
          <w:szCs w:val="22"/>
        </w:rPr>
        <w:t>Małopolskiego</w:t>
      </w:r>
      <w:r w:rsidRPr="00FA5D77">
        <w:rPr>
          <w:rFonts w:ascii="Lato" w:hAnsi="Lato" w:cs="Arial"/>
          <w:spacing w:val="4"/>
          <w:sz w:val="22"/>
          <w:szCs w:val="22"/>
        </w:rPr>
        <w:t xml:space="preserve">, za pośrednictwem organu pierwszej instancji, </w:t>
      </w:r>
      <w:r w:rsidR="00B64D20" w:rsidRPr="00FA5D77">
        <w:rPr>
          <w:rFonts w:ascii="Lato" w:hAnsi="Lato" w:cs="Arial"/>
          <w:spacing w:val="4"/>
          <w:sz w:val="22"/>
          <w:szCs w:val="22"/>
        </w:rPr>
        <w:t>wnio</w:t>
      </w:r>
      <w:r w:rsidR="00B64D20">
        <w:rPr>
          <w:rFonts w:ascii="Lato" w:hAnsi="Lato" w:cs="Arial"/>
          <w:spacing w:val="4"/>
          <w:sz w:val="22"/>
          <w:szCs w:val="22"/>
        </w:rPr>
        <w:t>sła</w:t>
      </w:r>
      <w:r w:rsidRPr="00FA5D77">
        <w:rPr>
          <w:rFonts w:ascii="Lato" w:hAnsi="Lato" w:cs="Arial"/>
          <w:spacing w:val="4"/>
          <w:sz w:val="22"/>
          <w:szCs w:val="22"/>
        </w:rPr>
        <w:t xml:space="preserve"> także </w:t>
      </w:r>
      <w:r w:rsidR="00F53B13">
        <w:rPr>
          <w:rFonts w:ascii="Lato" w:hAnsi="Lato" w:cs="Arial"/>
          <w:spacing w:val="4"/>
          <w:sz w:val="22"/>
          <w:szCs w:val="22"/>
        </w:rPr>
        <w:t xml:space="preserve">Pani </w:t>
      </w:r>
      <w:r w:rsidR="00D41876">
        <w:rPr>
          <w:rFonts w:ascii="Lato" w:hAnsi="Lato" w:cs="Arial"/>
          <w:spacing w:val="4"/>
          <w:sz w:val="22"/>
          <w:szCs w:val="22"/>
        </w:rPr>
        <w:t>D.J.</w:t>
      </w:r>
      <w:r w:rsidR="006C4DCB">
        <w:rPr>
          <w:rFonts w:ascii="Lato" w:hAnsi="Lato" w:cs="Arial"/>
          <w:spacing w:val="4"/>
          <w:sz w:val="22"/>
          <w:szCs w:val="22"/>
        </w:rPr>
        <w:t>. O</w:t>
      </w:r>
      <w:r w:rsidRPr="00FA5D77">
        <w:rPr>
          <w:rFonts w:ascii="Lato" w:hAnsi="Lato" w:cs="Arial"/>
          <w:spacing w:val="4"/>
          <w:sz w:val="22"/>
          <w:szCs w:val="22"/>
        </w:rPr>
        <w:t>dwołani</w:t>
      </w:r>
      <w:r w:rsidR="00F53B13">
        <w:rPr>
          <w:rFonts w:ascii="Lato" w:hAnsi="Lato" w:cs="Arial"/>
          <w:spacing w:val="4"/>
          <w:sz w:val="22"/>
          <w:szCs w:val="22"/>
        </w:rPr>
        <w:t>e</w:t>
      </w:r>
      <w:r w:rsidRPr="00FA5D77">
        <w:rPr>
          <w:rFonts w:ascii="Lato" w:hAnsi="Lato" w:cs="Arial"/>
          <w:spacing w:val="4"/>
          <w:sz w:val="22"/>
          <w:szCs w:val="22"/>
        </w:rPr>
        <w:t xml:space="preserve"> </w:t>
      </w:r>
      <w:r w:rsidR="006C4DCB">
        <w:rPr>
          <w:rFonts w:ascii="Lato" w:hAnsi="Lato" w:cs="Arial"/>
          <w:spacing w:val="4"/>
          <w:sz w:val="22"/>
          <w:szCs w:val="22"/>
        </w:rPr>
        <w:t xml:space="preserve">to </w:t>
      </w:r>
      <w:r w:rsidRPr="00FA5D77">
        <w:rPr>
          <w:rFonts w:ascii="Lato" w:hAnsi="Lato" w:cs="Arial"/>
          <w:spacing w:val="4"/>
          <w:sz w:val="22"/>
          <w:szCs w:val="22"/>
        </w:rPr>
        <w:t>został</w:t>
      </w:r>
      <w:r w:rsidR="00F53B13">
        <w:rPr>
          <w:rFonts w:ascii="Lato" w:hAnsi="Lato" w:cs="Arial"/>
          <w:spacing w:val="4"/>
          <w:sz w:val="22"/>
          <w:szCs w:val="22"/>
        </w:rPr>
        <w:t>o</w:t>
      </w:r>
      <w:r w:rsidRPr="00FA5D77">
        <w:rPr>
          <w:rFonts w:ascii="Lato" w:hAnsi="Lato" w:cs="Arial"/>
          <w:spacing w:val="4"/>
          <w:sz w:val="22"/>
          <w:szCs w:val="22"/>
        </w:rPr>
        <w:t xml:space="preserve"> </w:t>
      </w:r>
      <w:r w:rsidRPr="00810F14">
        <w:rPr>
          <w:rFonts w:ascii="Lato" w:hAnsi="Lato" w:cs="Arial"/>
          <w:spacing w:val="4"/>
          <w:sz w:val="22"/>
          <w:szCs w:val="22"/>
        </w:rPr>
        <w:t>pozostawione bez rozpoznania z powodu nieusunięcia braków formalnych,</w:t>
      </w:r>
      <w:r w:rsidRPr="00FA5D77">
        <w:rPr>
          <w:rFonts w:ascii="Lato" w:hAnsi="Lato" w:cs="Arial"/>
          <w:spacing w:val="4"/>
          <w:sz w:val="22"/>
          <w:szCs w:val="22"/>
        </w:rPr>
        <w:t xml:space="preserve"> o czym </w:t>
      </w:r>
      <w:r w:rsidR="006C4DCB">
        <w:rPr>
          <w:rFonts w:ascii="Lato" w:hAnsi="Lato" w:cs="Arial"/>
          <w:spacing w:val="4"/>
          <w:sz w:val="22"/>
          <w:szCs w:val="22"/>
        </w:rPr>
        <w:t xml:space="preserve">skarżąca </w:t>
      </w:r>
      <w:r w:rsidRPr="00FA5D77">
        <w:rPr>
          <w:rFonts w:ascii="Lato" w:hAnsi="Lato" w:cs="Arial"/>
          <w:spacing w:val="4"/>
          <w:sz w:val="22"/>
          <w:szCs w:val="22"/>
        </w:rPr>
        <w:t>zosta</w:t>
      </w:r>
      <w:r w:rsidR="00F53B13">
        <w:rPr>
          <w:rFonts w:ascii="Lato" w:hAnsi="Lato" w:cs="Arial"/>
          <w:spacing w:val="4"/>
          <w:sz w:val="22"/>
          <w:szCs w:val="22"/>
        </w:rPr>
        <w:t>ła</w:t>
      </w:r>
      <w:r w:rsidRPr="00FA5D77">
        <w:rPr>
          <w:rFonts w:ascii="Lato" w:hAnsi="Lato" w:cs="Arial"/>
          <w:spacing w:val="4"/>
          <w:sz w:val="22"/>
          <w:szCs w:val="22"/>
        </w:rPr>
        <w:t xml:space="preserve"> poinformowan</w:t>
      </w:r>
      <w:r w:rsidR="00F92AAA">
        <w:rPr>
          <w:rFonts w:ascii="Lato" w:hAnsi="Lato" w:cs="Arial"/>
          <w:spacing w:val="4"/>
          <w:sz w:val="22"/>
          <w:szCs w:val="22"/>
        </w:rPr>
        <w:t>a</w:t>
      </w:r>
      <w:r w:rsidRPr="00FA5D77">
        <w:rPr>
          <w:rFonts w:ascii="Lato" w:hAnsi="Lato" w:cs="Arial"/>
          <w:spacing w:val="4"/>
          <w:sz w:val="22"/>
          <w:szCs w:val="22"/>
        </w:rPr>
        <w:t xml:space="preserve"> w odrębnym piśmie organu odwoławczego.  </w:t>
      </w:r>
      <w:r w:rsidR="00B5345B">
        <w:rPr>
          <w:rFonts w:ascii="Lato" w:hAnsi="Lato" w:cs="Arial"/>
          <w:spacing w:val="4"/>
          <w:sz w:val="22"/>
          <w:szCs w:val="22"/>
        </w:rPr>
        <w:t>O</w:t>
      </w:r>
      <w:r w:rsidR="00B5345B" w:rsidRPr="00F24C6D">
        <w:rPr>
          <w:rFonts w:ascii="Lato" w:hAnsi="Lato" w:cs="Arial"/>
          <w:spacing w:val="4"/>
          <w:sz w:val="22"/>
          <w:szCs w:val="22"/>
        </w:rPr>
        <w:t xml:space="preserve">dwołanie od </w:t>
      </w:r>
      <w:r w:rsidR="00B5345B" w:rsidRPr="00F24C6D">
        <w:rPr>
          <w:rFonts w:ascii="Lato" w:hAnsi="Lato" w:cs="Arial"/>
          <w:i/>
          <w:spacing w:val="4"/>
          <w:sz w:val="22"/>
          <w:szCs w:val="22"/>
        </w:rPr>
        <w:t xml:space="preserve">decyzji Wojewody </w:t>
      </w:r>
      <w:r w:rsidR="00B5345B">
        <w:rPr>
          <w:rFonts w:ascii="Lato" w:hAnsi="Lato" w:cs="Arial"/>
          <w:i/>
          <w:spacing w:val="4"/>
          <w:sz w:val="22"/>
          <w:szCs w:val="22"/>
        </w:rPr>
        <w:t>Małopolskiego</w:t>
      </w:r>
      <w:r w:rsidR="006C4DCB">
        <w:rPr>
          <w:rFonts w:ascii="Lato" w:hAnsi="Lato" w:cs="Arial"/>
          <w:spacing w:val="4"/>
          <w:sz w:val="22"/>
          <w:szCs w:val="22"/>
        </w:rPr>
        <w:t xml:space="preserve">, wraz z </w:t>
      </w:r>
      <w:r w:rsidR="00B5345B" w:rsidRPr="00F24C6D">
        <w:rPr>
          <w:rFonts w:ascii="Lato" w:hAnsi="Lato" w:cs="Arial"/>
          <w:spacing w:val="4"/>
          <w:sz w:val="22"/>
          <w:szCs w:val="22"/>
        </w:rPr>
        <w:t>wniosk</w:t>
      </w:r>
      <w:r w:rsidR="006C4DCB">
        <w:rPr>
          <w:rFonts w:ascii="Lato" w:hAnsi="Lato" w:cs="Arial"/>
          <w:spacing w:val="4"/>
          <w:sz w:val="22"/>
          <w:szCs w:val="22"/>
        </w:rPr>
        <w:t>iem</w:t>
      </w:r>
      <w:r w:rsidR="00B5345B" w:rsidRPr="00F24C6D">
        <w:rPr>
          <w:rFonts w:ascii="Lato" w:hAnsi="Lato" w:cs="Arial"/>
          <w:spacing w:val="4"/>
          <w:sz w:val="22"/>
          <w:szCs w:val="22"/>
        </w:rPr>
        <w:t xml:space="preserve"> o przywróceni</w:t>
      </w:r>
      <w:r w:rsidR="00262552">
        <w:rPr>
          <w:rFonts w:ascii="Lato" w:hAnsi="Lato" w:cs="Arial"/>
          <w:spacing w:val="4"/>
          <w:sz w:val="22"/>
          <w:szCs w:val="22"/>
        </w:rPr>
        <w:t>e</w:t>
      </w:r>
      <w:r w:rsidR="00B5345B" w:rsidRPr="00F24C6D">
        <w:rPr>
          <w:rFonts w:ascii="Lato" w:hAnsi="Lato" w:cs="Arial"/>
          <w:spacing w:val="4"/>
          <w:sz w:val="22"/>
          <w:szCs w:val="22"/>
        </w:rPr>
        <w:t xml:space="preserve"> terminu</w:t>
      </w:r>
      <w:r w:rsidR="00B5345B">
        <w:rPr>
          <w:rFonts w:ascii="Lato" w:hAnsi="Lato" w:cs="Arial"/>
          <w:spacing w:val="4"/>
          <w:sz w:val="22"/>
          <w:szCs w:val="22"/>
        </w:rPr>
        <w:br/>
      </w:r>
      <w:r w:rsidR="00B5345B" w:rsidRPr="00F24C6D">
        <w:rPr>
          <w:rFonts w:ascii="Lato" w:hAnsi="Lato" w:cs="Arial"/>
          <w:spacing w:val="4"/>
          <w:sz w:val="22"/>
          <w:szCs w:val="22"/>
        </w:rPr>
        <w:t>do złożenia odwołania, wni</w:t>
      </w:r>
      <w:r w:rsidR="00B5345B">
        <w:rPr>
          <w:rFonts w:ascii="Lato" w:hAnsi="Lato" w:cs="Arial"/>
          <w:spacing w:val="4"/>
          <w:sz w:val="22"/>
          <w:szCs w:val="22"/>
        </w:rPr>
        <w:t>osła również</w:t>
      </w:r>
      <w:r w:rsidR="00B5345B" w:rsidRPr="00F24C6D">
        <w:rPr>
          <w:rFonts w:ascii="Lato" w:hAnsi="Lato" w:cs="Arial"/>
          <w:spacing w:val="4"/>
          <w:sz w:val="22"/>
          <w:szCs w:val="22"/>
        </w:rPr>
        <w:t xml:space="preserve"> Pan</w:t>
      </w:r>
      <w:r w:rsidR="00B5345B">
        <w:rPr>
          <w:rFonts w:ascii="Lato" w:hAnsi="Lato" w:cs="Arial"/>
          <w:spacing w:val="4"/>
          <w:sz w:val="22"/>
          <w:szCs w:val="22"/>
        </w:rPr>
        <w:t>i</w:t>
      </w:r>
      <w:r w:rsidR="00B5345B" w:rsidRPr="00F24C6D">
        <w:rPr>
          <w:rFonts w:ascii="Lato" w:hAnsi="Lato" w:cs="Arial"/>
          <w:spacing w:val="4"/>
          <w:sz w:val="22"/>
          <w:szCs w:val="22"/>
        </w:rPr>
        <w:t xml:space="preserve"> </w:t>
      </w:r>
      <w:r w:rsidR="00D41876">
        <w:rPr>
          <w:rFonts w:ascii="Lato" w:hAnsi="Lato" w:cs="Arial"/>
          <w:spacing w:val="4"/>
          <w:sz w:val="22"/>
          <w:szCs w:val="22"/>
        </w:rPr>
        <w:t>J.S</w:t>
      </w:r>
      <w:r w:rsidR="00B5345B">
        <w:rPr>
          <w:rFonts w:ascii="Lato" w:hAnsi="Lato" w:cs="Arial"/>
          <w:spacing w:val="4"/>
          <w:sz w:val="22"/>
          <w:szCs w:val="22"/>
        </w:rPr>
        <w:t xml:space="preserve">. </w:t>
      </w:r>
      <w:r w:rsidR="00B5345B" w:rsidRPr="00F24C6D">
        <w:rPr>
          <w:rFonts w:ascii="Lato" w:hAnsi="Lato" w:cs="Arial"/>
          <w:spacing w:val="4"/>
          <w:sz w:val="22"/>
          <w:szCs w:val="22"/>
        </w:rPr>
        <w:t>Organ odwoławczy</w:t>
      </w:r>
      <w:r w:rsidR="006C4DCB">
        <w:rPr>
          <w:rFonts w:ascii="Lato" w:hAnsi="Lato" w:cs="Arial"/>
          <w:spacing w:val="4"/>
          <w:sz w:val="22"/>
          <w:szCs w:val="22"/>
        </w:rPr>
        <w:t>,</w:t>
      </w:r>
      <w:r w:rsidR="00B5345B" w:rsidRPr="00F24C6D">
        <w:rPr>
          <w:rFonts w:ascii="Lato" w:hAnsi="Lato" w:cs="Arial"/>
          <w:spacing w:val="4"/>
          <w:sz w:val="22"/>
          <w:szCs w:val="22"/>
        </w:rPr>
        <w:t xml:space="preserve"> postanowieniem wydanym na podstawie art. 59 § 2 </w:t>
      </w:r>
      <w:r w:rsidR="00B5345B" w:rsidRPr="00F24C6D">
        <w:rPr>
          <w:rFonts w:ascii="Lato" w:hAnsi="Lato" w:cs="Arial"/>
          <w:i/>
          <w:spacing w:val="4"/>
          <w:sz w:val="22"/>
          <w:szCs w:val="22"/>
        </w:rPr>
        <w:t>kpa</w:t>
      </w:r>
      <w:r w:rsidR="00B5345B" w:rsidRPr="00F24C6D">
        <w:rPr>
          <w:rFonts w:ascii="Lato" w:hAnsi="Lato" w:cs="Arial"/>
          <w:spacing w:val="4"/>
          <w:sz w:val="22"/>
          <w:szCs w:val="22"/>
        </w:rPr>
        <w:t xml:space="preserve">, odmówił przywrócenia terminu do wniesienia odwołania przez </w:t>
      </w:r>
      <w:r w:rsidR="006C4DCB">
        <w:rPr>
          <w:rFonts w:ascii="Lato" w:hAnsi="Lato" w:cs="Arial"/>
          <w:spacing w:val="4"/>
          <w:sz w:val="22"/>
          <w:szCs w:val="22"/>
        </w:rPr>
        <w:t xml:space="preserve">tą </w:t>
      </w:r>
      <w:r w:rsidR="00542E60">
        <w:rPr>
          <w:rFonts w:ascii="Lato" w:hAnsi="Lato" w:cs="Arial"/>
          <w:spacing w:val="4"/>
          <w:sz w:val="22"/>
          <w:szCs w:val="22"/>
        </w:rPr>
        <w:t>skarżącą.</w:t>
      </w:r>
    </w:p>
    <w:p w14:paraId="1A03A085" w14:textId="24C60A3E" w:rsidR="00D37439" w:rsidRPr="00FA5D77" w:rsidRDefault="00E215B9" w:rsidP="00FA5D77">
      <w:pPr>
        <w:spacing w:after="240" w:line="240" w:lineRule="exact"/>
        <w:jc w:val="both"/>
        <w:outlineLvl w:val="0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FA5D77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Uwzględniając fakt, iż właściwym w przedmiotowej sprawie - stosownie do treści rozporządzenia Prezesa Rady Ministrów </w:t>
      </w:r>
      <w:r w:rsidR="006C4DCB" w:rsidRPr="006C4DCB">
        <w:rPr>
          <w:rFonts w:ascii="Lato" w:eastAsiaTheme="minorHAnsi" w:hAnsi="Lato" w:cs="Arial"/>
          <w:spacing w:val="4"/>
          <w:sz w:val="22"/>
          <w:szCs w:val="22"/>
          <w:lang w:eastAsia="en-US"/>
        </w:rPr>
        <w:t>z dnia 18 grudnia</w:t>
      </w:r>
      <w:r w:rsidR="006C4DCB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6C4DCB" w:rsidRPr="006C4DCB">
        <w:rPr>
          <w:rFonts w:ascii="Lato" w:eastAsiaTheme="minorHAnsi" w:hAnsi="Lato" w:cs="Arial"/>
          <w:spacing w:val="4"/>
          <w:sz w:val="22"/>
          <w:szCs w:val="22"/>
          <w:lang w:eastAsia="en-US"/>
        </w:rPr>
        <w:t>2023 r. w sprawie szczegółowego zakresu działania Ministra Rozwoju i Technologii (Dz.U. z 2023 r. poz. 2721)</w:t>
      </w:r>
      <w:r w:rsidR="006C4DCB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Pr="00FA5D77">
        <w:rPr>
          <w:rFonts w:ascii="Lato" w:eastAsiaTheme="minorHAnsi" w:hAnsi="Lato" w:cs="Arial"/>
          <w:spacing w:val="4"/>
          <w:sz w:val="22"/>
          <w:szCs w:val="22"/>
          <w:lang w:eastAsia="en-US"/>
        </w:rPr>
        <w:t>- jest Minister Rozwoju i Technologii, zwany dalej „</w:t>
      </w:r>
      <w:r w:rsidRPr="003259BA">
        <w:rPr>
          <w:rFonts w:ascii="Lato" w:eastAsiaTheme="minorHAnsi" w:hAnsi="Lato" w:cs="Arial"/>
          <w:spacing w:val="4"/>
          <w:sz w:val="22"/>
          <w:szCs w:val="22"/>
          <w:lang w:eastAsia="en-US"/>
        </w:rPr>
        <w:t>Ministrem</w:t>
      </w:r>
      <w:r w:rsidRPr="00FA5D77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”, stwierdzono, </w:t>
      </w:r>
      <w:r w:rsidRPr="00FA5D77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  <w:t>co następuje.</w:t>
      </w:r>
    </w:p>
    <w:p w14:paraId="56BE13A3" w14:textId="1709753F" w:rsidR="005A7B1F" w:rsidRPr="009C6AD3" w:rsidRDefault="005A7B1F" w:rsidP="00FA5D77">
      <w:pPr>
        <w:spacing w:after="240" w:line="240" w:lineRule="exact"/>
        <w:jc w:val="both"/>
        <w:outlineLvl w:val="0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Kompetencje organu odwoławczego obejmują korygowanie zarówno wad prawnych decyzji organu I instancji, polegających na niewłaściwym zastosowaniu przepisu prawa materialnego, bądź postępowania administracyjnego, jak i wad polegających </w:t>
      </w:r>
      <w:r w:rsidR="000279FC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na niewłaściwej ocenie okoliczności faktycznych. Zgodnie z ogólnie przyjętą zasadą, organy administracji publicznej powinny działać wnikliwie, prowadząc wyczerpujące postępowanie dowodowe w celu uzyskania prawdy obiektywnej, a fakty istotne dla podjęcia rozstrzygnięcia powinny zostać w miarę możliwości bezsprzecznie ustalone. Obowiązek ten wynika z art. 7 i art. 77 </w:t>
      </w:r>
      <w:r w:rsidRPr="009C6AD3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kpa</w:t>
      </w:r>
      <w:r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Dlatego też trafność rozstrzygnięcia </w:t>
      </w:r>
      <w:r w:rsidR="000279FC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9C6AD3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kpa</w:t>
      </w:r>
      <w:r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>, a przede wszystkim do podejmowania wszelkich kroków niezbędnych do dokładnego wyjaśnienia stanu faktycznego.</w:t>
      </w:r>
    </w:p>
    <w:p w14:paraId="153DD378" w14:textId="54A0D0D3" w:rsidR="005A7B1F" w:rsidRPr="009C6AD3" w:rsidRDefault="00855129" w:rsidP="00FA5D77">
      <w:pPr>
        <w:spacing w:after="240" w:line="240" w:lineRule="exact"/>
        <w:jc w:val="both"/>
        <w:outlineLvl w:val="0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>Mając na uwadze powyższe, w</w:t>
      </w:r>
      <w:r w:rsidR="005A7B1F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trakcie przeprowadzonego postępowania odwoławczego Minister rozpatrzył ponownie wniosek </w:t>
      </w:r>
      <w:r w:rsidR="005A7B1F" w:rsidRPr="00880F21">
        <w:rPr>
          <w:rFonts w:ascii="Lato" w:eastAsiaTheme="minorHAnsi" w:hAnsi="Lato" w:cs="Arial"/>
          <w:spacing w:val="4"/>
          <w:sz w:val="22"/>
          <w:szCs w:val="22"/>
          <w:lang w:eastAsia="en-US"/>
        </w:rPr>
        <w:t>inwestora</w:t>
      </w:r>
      <w:r w:rsidR="005A7B1F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o wydanie </w:t>
      </w:r>
      <w:r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przedmiotowej </w:t>
      </w:r>
      <w:r w:rsidR="005A7B1F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decyzji </w:t>
      </w:r>
      <w:r w:rsidR="00E6494C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5A7B1F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o ustaleniu lokalizacji inwestycji towarzyszącej inwestycjom w zakresie terminalu, przeanalizował materiał dowodowy zgromadzony przez Wojewodę </w:t>
      </w:r>
      <w:r w:rsidR="00CD7CC4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>Małopolskiego</w:t>
      </w:r>
      <w:r w:rsidR="005A7B1F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, </w:t>
      </w:r>
      <w:r w:rsidR="00CD7CC4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5A7B1F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 tym zbadał poprawność postępowania organu I instancji oraz poprawność kończącej to postępowanie </w:t>
      </w:r>
      <w:r w:rsidR="005A7B1F" w:rsidRPr="009C6AD3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 xml:space="preserve">decyzji Wojewody </w:t>
      </w:r>
      <w:r w:rsidR="00077579" w:rsidRPr="009C6AD3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Małopolskiego</w:t>
      </w:r>
      <w:r w:rsidR="005A7B1F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, jak również rozpoznał zarzuty podniesione przez </w:t>
      </w:r>
      <w:r w:rsidR="00F05CAA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stronę </w:t>
      </w:r>
      <w:r w:rsidR="005A7B1F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>skarżąc</w:t>
      </w:r>
      <w:r w:rsidR="00F05CAA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>ą</w:t>
      </w:r>
      <w:r w:rsidR="005A7B1F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</w:p>
    <w:p w14:paraId="19211083" w14:textId="0087C75E" w:rsidR="008F7867" w:rsidRPr="009C6AD3" w:rsidRDefault="00855129" w:rsidP="00FA5D77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lastRenderedPageBreak/>
        <w:t xml:space="preserve">W niniejszym przypadku, wniosek o wydanie zaskarżonej decyzji, został złożony przez właściwy podmiot, zgodnie z art. 38 pkt 2 </w:t>
      </w:r>
      <w:r w:rsidRPr="009C6AD3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specustawy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Pr="009C6AD3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gazowej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tj. przez </w:t>
      </w:r>
      <w:r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>Operatora Gazociągów Przesyłowych GAZ-SYSTEM S.A. z siedzibą w Warszawie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 reprezentowanego przez ustanowionego w sprawie pełnomocnika. Projektowana inwestycja</w:t>
      </w:r>
      <w:r w:rsidR="00BB7075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</w:t>
      </w:r>
      <w:r w:rsidR="00BB7075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o czym będzie mowa szerzej w dalszej części niniejszej decyzji, stanowi inwestycję towarzyszącą inwestycjom w zakresie terminalu, o której mowa w art. 38 pkt 2 lit. zg </w:t>
      </w:r>
      <w:r w:rsidR="00BB7075"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="00BB7075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. </w:t>
      </w:r>
      <w:r w:rsidR="006E1482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Analizując złożony przez </w:t>
      </w:r>
      <w:r w:rsidR="006E1482" w:rsidRPr="00880F21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inwestora</w:t>
      </w:r>
      <w:r w:rsidR="006E1482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wniosek</w:t>
      </w:r>
      <w:r w:rsidR="000B7E8D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</w:t>
      </w:r>
      <w:r w:rsidR="006E1482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Minister</w:t>
      </w:r>
      <w:r w:rsidR="006E1482" w:rsidRPr="009C6AD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</w:t>
      </w:r>
      <w:r w:rsidR="006E1482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uznał, że zawiera on wszystkie elementy wymagane na podstawie przepisu art. 6 w zw. z art. 39 ust. 1 </w:t>
      </w:r>
      <w:r w:rsidR="006E1482" w:rsidRPr="009C6AD3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gazowej</w:t>
      </w:r>
      <w:r w:rsidR="008F7867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niezbędne w okolicznościach niniejszej sprawy. </w:t>
      </w:r>
    </w:p>
    <w:p w14:paraId="54265FC9" w14:textId="6E69671A" w:rsidR="006E1482" w:rsidRPr="009C6AD3" w:rsidRDefault="006E1482" w:rsidP="00FA5D77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Następnie organ odwoławczy poddał kontroli przeprowadzone przez Wojewodę </w:t>
      </w:r>
      <w:r w:rsidR="0086521C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Małopolskiego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postępowanie o wydanie </w:t>
      </w:r>
      <w:bookmarkStart w:id="7" w:name="_Hlk122521283"/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decyzji o ustaleniu lokalizacji inwestycji towarzyszącej inwestycjom w zakresie terminalu</w:t>
      </w:r>
      <w:bookmarkEnd w:id="7"/>
      <w:r w:rsidR="00BB7075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i stwierdził, co następuje.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W ocenie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Ministra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organ pierwszej instancji prawidłowo poinformował strony o wszczętym postępowaniu, podał jego podstawę prawną, pouczył o prawie do składania wniosków, uwag i zastrzeżeń, a zatem należycie i wyczerpująco poinformował strony </w:t>
      </w:r>
      <w:r w:rsidR="00BB7075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o okolicznościach faktycznych i prawnych, będących przedmiotem postępowania administracyjnego, które mogły mieć wpływ na ustalenie ich praw i obowiązków.</w:t>
      </w:r>
    </w:p>
    <w:p w14:paraId="6ECD2D88" w14:textId="5CA54076" w:rsidR="00E215B9" w:rsidRPr="009C6AD3" w:rsidRDefault="00E215B9" w:rsidP="00FA5D77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Wojewoda </w:t>
      </w:r>
      <w:r w:rsidR="0086521C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Małopolski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pismem z dnia </w:t>
      </w:r>
      <w:r w:rsidR="0086521C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5</w:t>
      </w:r>
      <w:r w:rsidR="00137807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86521C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stycznia</w:t>
      </w:r>
      <w:r w:rsidR="00137807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202</w:t>
      </w:r>
      <w:r w:rsidR="0086521C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3</w:t>
      </w:r>
      <w:r w:rsidR="003000F2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r., znak: </w:t>
      </w:r>
      <w:r w:rsidR="0086521C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WI-IV.747.1.24.2022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zawiadomił o wszczęciu postępowania wnioskodawcę, właścicieli nieruchomości </w:t>
      </w:r>
      <w:r w:rsidR="0086521C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i użytkowników wieczystych nieruchomości objętych wnioskiem,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wysyłając zawiadomieni</w:t>
      </w:r>
      <w:r w:rsidR="001516C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e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na adresy wskazane w katastrze nieruchomości. 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Pozostałe strony postępowania zostały poinformowane o jego wszczęciu w drodze obwieszcze</w:t>
      </w:r>
      <w:r w:rsidR="00EC1E98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nia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. </w:t>
      </w:r>
      <w:r w:rsidR="0086521C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 zawiadomieniu i obwieszczeniu organ I instancji poinformował o miejscu, gdzie strony mogą zapoznać się z dokumentacją dotyczącą inwestycji. </w:t>
      </w:r>
      <w:r w:rsidR="00945252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 toku postępowania przed Wojewodą </w:t>
      </w:r>
      <w:r w:rsidR="0086521C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Małopolskim</w:t>
      </w:r>
      <w:r w:rsidR="006E1482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="00945252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wniesiono zastrzeżenia dotyczące inwestycji</w:t>
      </w:r>
      <w:r w:rsidR="00EC1E98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które organ </w:t>
      </w:r>
      <w:r w:rsidR="0086521C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EC1E98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I instancji przesłał </w:t>
      </w:r>
      <w:r w:rsidR="00EC1E98" w:rsidRPr="00880F21">
        <w:rPr>
          <w:rFonts w:ascii="Lato" w:eastAsiaTheme="minorHAnsi" w:hAnsi="Lato" w:cs="Arial"/>
          <w:spacing w:val="4"/>
          <w:sz w:val="22"/>
          <w:szCs w:val="22"/>
          <w:lang w:eastAsia="en-US"/>
        </w:rPr>
        <w:t>inwestorowi</w:t>
      </w:r>
      <w:r w:rsidR="00EC1E98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 celu zajęcia stanowiska, a ten ustosunkował się </w:t>
      </w:r>
      <w:r w:rsidR="00077579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EC1E98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do zagadnień poruszonych przez strony postępowania.</w:t>
      </w:r>
    </w:p>
    <w:p w14:paraId="24AC8875" w14:textId="77777777" w:rsidR="00E5022F" w:rsidRDefault="00E215B9" w:rsidP="00FA5D77">
      <w:pPr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Uznając, że zebrany w sprawie materiał dowodowy pozwala na wydanie rozstrzygnięcia, Wojewoda </w:t>
      </w:r>
      <w:r w:rsidR="008B0163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Małopolski 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wydał w dniu </w:t>
      </w:r>
      <w:r w:rsidR="008B0163" w:rsidRPr="009C6AD3">
        <w:rPr>
          <w:rFonts w:ascii="Lato" w:hAnsi="Lato" w:cs="Arial"/>
          <w:spacing w:val="4"/>
          <w:sz w:val="22"/>
          <w:szCs w:val="22"/>
        </w:rPr>
        <w:t>3</w:t>
      </w:r>
      <w:r w:rsidR="00B60207" w:rsidRPr="009C6AD3">
        <w:rPr>
          <w:rFonts w:ascii="Lato" w:hAnsi="Lato" w:cs="Arial"/>
          <w:spacing w:val="4"/>
          <w:sz w:val="22"/>
          <w:szCs w:val="22"/>
        </w:rPr>
        <w:t xml:space="preserve"> </w:t>
      </w:r>
      <w:r w:rsidR="008B0163" w:rsidRPr="009C6AD3">
        <w:rPr>
          <w:rFonts w:ascii="Lato" w:hAnsi="Lato" w:cs="Arial"/>
          <w:spacing w:val="4"/>
          <w:sz w:val="22"/>
          <w:szCs w:val="22"/>
        </w:rPr>
        <w:t>marca</w:t>
      </w:r>
      <w:r w:rsidR="00B60207" w:rsidRPr="009C6AD3">
        <w:rPr>
          <w:rFonts w:ascii="Lato" w:hAnsi="Lato" w:cs="Arial"/>
          <w:spacing w:val="4"/>
          <w:sz w:val="22"/>
          <w:szCs w:val="22"/>
        </w:rPr>
        <w:t xml:space="preserve"> 202</w:t>
      </w:r>
      <w:r w:rsidR="008B0163" w:rsidRPr="009C6AD3">
        <w:rPr>
          <w:rFonts w:ascii="Lato" w:hAnsi="Lato" w:cs="Arial"/>
          <w:spacing w:val="4"/>
          <w:sz w:val="22"/>
          <w:szCs w:val="22"/>
        </w:rPr>
        <w:t>3</w:t>
      </w:r>
      <w:r w:rsidR="00B60207" w:rsidRPr="009C6AD3">
        <w:rPr>
          <w:rFonts w:ascii="Lato" w:hAnsi="Lato" w:cs="Arial"/>
          <w:spacing w:val="4"/>
          <w:sz w:val="22"/>
          <w:szCs w:val="22"/>
        </w:rPr>
        <w:t xml:space="preserve"> r.</w:t>
      </w:r>
      <w:r w:rsidR="00432060" w:rsidRPr="009C6AD3">
        <w:rPr>
          <w:rFonts w:ascii="Lato" w:hAnsi="Lato" w:cs="Arial"/>
          <w:spacing w:val="4"/>
          <w:sz w:val="22"/>
          <w:szCs w:val="22"/>
        </w:rPr>
        <w:t xml:space="preserve"> </w:t>
      </w:r>
      <w:r w:rsidR="00DE53BF" w:rsidRPr="009C6AD3">
        <w:rPr>
          <w:rFonts w:ascii="Lato" w:hAnsi="Lato" w:cs="Arial"/>
          <w:spacing w:val="4"/>
          <w:sz w:val="22"/>
          <w:szCs w:val="22"/>
        </w:rPr>
        <w:t>decyzję</w:t>
      </w:r>
      <w:r w:rsidR="00B60207" w:rsidRPr="009C6AD3">
        <w:rPr>
          <w:rFonts w:ascii="Lato" w:hAnsi="Lato" w:cs="Arial"/>
          <w:i/>
          <w:iCs/>
          <w:spacing w:val="4"/>
          <w:sz w:val="22"/>
          <w:szCs w:val="22"/>
        </w:rPr>
        <w:t xml:space="preserve"> 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o ustaleniu lokalizacji </w:t>
      </w:r>
      <w:r w:rsidR="008B0163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ww. inwestycji towarzyszącej inwestycjom w zakresie terminalu</w:t>
      </w:r>
      <w:r w:rsidR="00330093"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.</w:t>
      </w:r>
      <w:r w:rsidR="00330093"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>W uzasadnieniu kontrolowanej decyzji organ I instancji</w:t>
      </w:r>
      <w:r w:rsidR="00EC1E98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, </w:t>
      </w:r>
      <w:r w:rsidR="00EC1E98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mając na uwadze stanowisko przedstawione przez </w:t>
      </w:r>
      <w:r w:rsidR="00EC1E98" w:rsidRPr="00101FFA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>inwestora</w:t>
      </w:r>
      <w:r w:rsidR="00EC1E98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,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>odniósł się do uwag wniesionych w trakcie postępowania pierwszoinstancyjnego.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Stosownie do art. 34 ust. 1 </w:t>
      </w:r>
      <w:r w:rsidRPr="009C6AD3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 xml:space="preserve">specustawy gazowej 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decyzja podlega natychmiastowemu wykonaniu.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</w:t>
      </w:r>
    </w:p>
    <w:p w14:paraId="5058A182" w14:textId="11B37A15" w:rsidR="00E215B9" w:rsidRPr="009C6AD3" w:rsidRDefault="00EF23F7" w:rsidP="00FA5D77">
      <w:pPr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W myśl art. 12 ust. 1 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specustawy gazowej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Wojewoda Małopolski doręczył ww. decyzję wnioskodawcy oraz zawiadomił o jej wydaniu pozostałe strony w drodze obwieszczeń. Właścicieli nieruchomości objętych 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decyzją Wojewody Małopolskiego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, organ I instancji poinformował o wydaniu decyzji w drodze zawiadomienia z dnia 9 marca 2023 r., znak: WI-IV.747.1.24.2022, wysłanego na adres</w:t>
      </w:r>
      <w:r w:rsidR="001516C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y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wskazan</w:t>
      </w:r>
      <w:r w:rsidR="001516C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e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w katastrze nieruchomości. </w:t>
      </w:r>
      <w:r w:rsidR="00E5022F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W zawiadomieniu oraz w obwieszczeniu zamieszczono, zgodnie z art. 12</w:t>
      </w:r>
      <w:r w:rsidRPr="009C6AD3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ust. 2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 xml:space="preserve"> specustawy gazowej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informację o miejscu, w którym strony mogą zapoznać się z treścią decyzji. </w:t>
      </w:r>
    </w:p>
    <w:p w14:paraId="3D1BA4FF" w14:textId="2A1488CC" w:rsidR="00EF23F7" w:rsidRPr="009C6AD3" w:rsidRDefault="00330093" w:rsidP="00FA5D77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Kontrolowana 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 xml:space="preserve">decyzja Wojewody </w:t>
      </w:r>
      <w:r w:rsidR="001C1968"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Małopolskiego</w:t>
      </w:r>
      <w:r w:rsidR="00BB2D94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czyni zadość wymogom przedstawionym w art. 10 ust. 1 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specustawy gazowej</w:t>
      </w:r>
      <w:r w:rsidR="00321C82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bowiem zawiera </w:t>
      </w:r>
      <w:r w:rsidR="00BB2D94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wszystkie niezbędne </w:t>
      </w:r>
      <w:r w:rsidR="00B3087B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</w:r>
      <w:r w:rsidR="00BB2D94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w okolicznościach niniejszej sprawy elementy określone w tym przepisie</w:t>
      </w:r>
      <w:r w:rsidR="00321C82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.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Projekt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val="x-none" w:eastAsia="en-US" w:bidi="pl-PL"/>
        </w:rPr>
        <w:t>decyzji został sporządzony przez osobę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spełniającą warunki, o których mowa w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val="x-none" w:eastAsia="en-US" w:bidi="pl-PL"/>
        </w:rPr>
        <w:t xml:space="preserve"> art.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10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val="x-none" w:eastAsia="en-US" w:bidi="pl-PL"/>
        </w:rPr>
        <w:t xml:space="preserve"> ust. 2 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val="x-none" w:eastAsia="en-US" w:bidi="pl-PL"/>
        </w:rPr>
        <w:t xml:space="preserve">specustawy 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gazowej.</w:t>
      </w:r>
    </w:p>
    <w:p w14:paraId="4261C790" w14:textId="4E299EF7" w:rsidR="00785C54" w:rsidRPr="00E5022F" w:rsidRDefault="00594F01" w:rsidP="003259BA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2"/>
          <w:szCs w:val="22"/>
        </w:rPr>
      </w:pP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lastRenderedPageBreak/>
        <w:t>Rozpatrując odwołani</w:t>
      </w:r>
      <w:r w:rsidR="001A5C85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e</w:t>
      </w:r>
      <w:r w:rsidRPr="009C6AD3">
        <w:rPr>
          <w:rFonts w:ascii="Lato" w:hAnsi="Lato" w:cs="Arial"/>
          <w:color w:val="FF0000"/>
          <w:spacing w:val="4"/>
          <w:sz w:val="22"/>
          <w:szCs w:val="22"/>
        </w:rPr>
        <w:t xml:space="preserve"> </w:t>
      </w:r>
      <w:r w:rsidRPr="009C6AD3">
        <w:rPr>
          <w:rFonts w:ascii="Lato" w:hAnsi="Lato" w:cs="Arial"/>
          <w:spacing w:val="4"/>
          <w:sz w:val="22"/>
          <w:szCs w:val="22"/>
        </w:rPr>
        <w:t>Pan</w:t>
      </w:r>
      <w:r w:rsidR="00B70F35" w:rsidRPr="009C6AD3">
        <w:rPr>
          <w:rFonts w:ascii="Lato" w:hAnsi="Lato" w:cs="Arial"/>
          <w:spacing w:val="4"/>
          <w:sz w:val="22"/>
          <w:szCs w:val="22"/>
        </w:rPr>
        <w:t>a</w:t>
      </w:r>
      <w:r w:rsidRPr="009C6AD3">
        <w:rPr>
          <w:rFonts w:ascii="Lato" w:hAnsi="Lato" w:cs="Arial"/>
          <w:spacing w:val="4"/>
          <w:sz w:val="22"/>
          <w:szCs w:val="22"/>
        </w:rPr>
        <w:t xml:space="preserve"> </w:t>
      </w:r>
      <w:r w:rsidR="00D41876">
        <w:rPr>
          <w:rFonts w:ascii="Lato" w:hAnsi="Lato" w:cs="Arial"/>
          <w:spacing w:val="4"/>
          <w:sz w:val="22"/>
          <w:szCs w:val="22"/>
        </w:rPr>
        <w:t>K</w:t>
      </w:r>
      <w:r w:rsidR="004D4203">
        <w:rPr>
          <w:rFonts w:ascii="Lato" w:hAnsi="Lato" w:cs="Arial"/>
          <w:spacing w:val="4"/>
          <w:sz w:val="22"/>
          <w:szCs w:val="22"/>
        </w:rPr>
        <w:t>.</w:t>
      </w:r>
      <w:r w:rsidR="00D41876">
        <w:rPr>
          <w:rFonts w:ascii="Lato" w:hAnsi="Lato" w:cs="Arial"/>
          <w:spacing w:val="4"/>
          <w:sz w:val="22"/>
          <w:szCs w:val="22"/>
        </w:rPr>
        <w:t>K.</w:t>
      </w:r>
      <w:r w:rsidRPr="009C6AD3">
        <w:rPr>
          <w:rFonts w:ascii="Lato" w:hAnsi="Lato" w:cs="Arial"/>
          <w:spacing w:val="4"/>
          <w:sz w:val="22"/>
          <w:szCs w:val="22"/>
        </w:rPr>
        <w:t xml:space="preserve">, </w:t>
      </w:r>
      <w:r w:rsidR="008F30D5" w:rsidRPr="008F30D5">
        <w:rPr>
          <w:rFonts w:ascii="Lato" w:hAnsi="Lato" w:cs="Arial"/>
          <w:bCs/>
          <w:iCs/>
          <w:spacing w:val="4"/>
          <w:sz w:val="22"/>
          <w:szCs w:val="22"/>
        </w:rPr>
        <w:t xml:space="preserve">w pierwszej kolejności należy wyjaśnić istotę </w:t>
      </w:r>
      <w:r w:rsidR="008F30D5">
        <w:rPr>
          <w:rFonts w:ascii="Lato" w:hAnsi="Lato" w:cs="Arial"/>
          <w:bCs/>
          <w:iCs/>
          <w:spacing w:val="4"/>
          <w:sz w:val="22"/>
          <w:szCs w:val="22"/>
        </w:rPr>
        <w:t xml:space="preserve">decyzji </w:t>
      </w:r>
      <w:r w:rsidR="00D41876">
        <w:rPr>
          <w:rFonts w:ascii="Lato" w:hAnsi="Lato" w:cs="Arial"/>
          <w:bCs/>
          <w:iCs/>
          <w:spacing w:val="4"/>
          <w:sz w:val="22"/>
          <w:szCs w:val="22"/>
        </w:rPr>
        <w:br/>
      </w:r>
      <w:r w:rsidR="008F30D5">
        <w:rPr>
          <w:rFonts w:ascii="Lato" w:hAnsi="Lato" w:cs="Arial"/>
          <w:bCs/>
          <w:iCs/>
          <w:spacing w:val="4"/>
          <w:sz w:val="22"/>
          <w:szCs w:val="22"/>
        </w:rPr>
        <w:t xml:space="preserve">o ustaleniu lokalizacji inwestycji towarzyszącej </w:t>
      </w:r>
      <w:r w:rsidR="001516C5">
        <w:rPr>
          <w:rFonts w:ascii="Lato" w:hAnsi="Lato" w:cs="Arial"/>
          <w:bCs/>
          <w:iCs/>
          <w:spacing w:val="4"/>
          <w:sz w:val="22"/>
          <w:szCs w:val="22"/>
        </w:rPr>
        <w:t>inwestycjom</w:t>
      </w:r>
      <w:r w:rsidR="008F30D5">
        <w:rPr>
          <w:rFonts w:ascii="Lato" w:hAnsi="Lato" w:cs="Arial"/>
          <w:bCs/>
          <w:iCs/>
          <w:spacing w:val="4"/>
          <w:sz w:val="22"/>
          <w:szCs w:val="22"/>
        </w:rPr>
        <w:t xml:space="preserve"> w zakresie terminalu, </w:t>
      </w:r>
      <w:r w:rsidR="008F30D5" w:rsidRPr="008F30D5">
        <w:rPr>
          <w:rFonts w:ascii="Lato" w:hAnsi="Lato" w:cs="Arial"/>
          <w:bCs/>
          <w:iCs/>
          <w:spacing w:val="4"/>
          <w:sz w:val="22"/>
          <w:szCs w:val="22"/>
        </w:rPr>
        <w:t>wydawane</w:t>
      </w:r>
      <w:r w:rsidR="008F30D5">
        <w:rPr>
          <w:rFonts w:ascii="Lato" w:hAnsi="Lato" w:cs="Arial"/>
          <w:bCs/>
          <w:iCs/>
          <w:spacing w:val="4"/>
          <w:sz w:val="22"/>
          <w:szCs w:val="22"/>
        </w:rPr>
        <w:t>j</w:t>
      </w:r>
      <w:r w:rsidR="008F30D5" w:rsidRPr="008F30D5">
        <w:rPr>
          <w:rFonts w:ascii="Lato" w:hAnsi="Lato" w:cs="Arial"/>
          <w:bCs/>
          <w:iCs/>
          <w:spacing w:val="4"/>
          <w:sz w:val="22"/>
          <w:szCs w:val="22"/>
        </w:rPr>
        <w:t xml:space="preserve"> na podstawie </w:t>
      </w:r>
      <w:r w:rsidR="008F30D5" w:rsidRPr="008F30D5">
        <w:rPr>
          <w:rFonts w:ascii="Lato" w:hAnsi="Lato" w:cs="Arial"/>
          <w:bCs/>
          <w:i/>
          <w:iCs/>
          <w:spacing w:val="4"/>
          <w:sz w:val="22"/>
          <w:szCs w:val="22"/>
        </w:rPr>
        <w:t xml:space="preserve">specustawy </w:t>
      </w:r>
      <w:r w:rsidR="008F30D5">
        <w:rPr>
          <w:rFonts w:ascii="Lato" w:hAnsi="Lato" w:cs="Arial"/>
          <w:bCs/>
          <w:i/>
          <w:iCs/>
          <w:spacing w:val="4"/>
          <w:sz w:val="22"/>
          <w:szCs w:val="22"/>
        </w:rPr>
        <w:t xml:space="preserve">gazowej. </w:t>
      </w:r>
      <w:r w:rsidR="008F30D5">
        <w:rPr>
          <w:rFonts w:ascii="Lato" w:hAnsi="Lato" w:cs="Arial"/>
          <w:bCs/>
          <w:iCs/>
          <w:spacing w:val="4"/>
          <w:sz w:val="22"/>
          <w:szCs w:val="22"/>
        </w:rPr>
        <w:t>W</w:t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skazać należy, że zarówno wojewoda orzekający w sprawie jako organ I instancji, jaki </w:t>
      </w:r>
      <w:r w:rsidRPr="009C6AD3">
        <w:rPr>
          <w:rFonts w:ascii="Lato" w:hAnsi="Lato" w:cs="Arial"/>
          <w:bCs/>
          <w:spacing w:val="4"/>
          <w:sz w:val="22"/>
          <w:szCs w:val="22"/>
        </w:rPr>
        <w:t>Minister</w:t>
      </w:r>
      <w:r w:rsidRPr="009C6AD3">
        <w:rPr>
          <w:rFonts w:ascii="Lato" w:hAnsi="Lato" w:cs="Arial"/>
          <w:bCs/>
          <w:i/>
          <w:iCs/>
          <w:spacing w:val="4"/>
          <w:sz w:val="22"/>
          <w:szCs w:val="22"/>
        </w:rPr>
        <w:t xml:space="preserve"> </w:t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działający jako organ odwoławczy, pełnią w procesie inwestycyjnym funkcję organów, które będąc właściwe do wydania decyzji w przedmiocie ustalenia lokalizacji inwestycji w zakresie terminalu oraz inwestycji towarzyszących, nie są jednocześnie uprawnione do wyznaczania </w:t>
      </w:r>
      <w:r w:rsidR="00ED4FA6">
        <w:rPr>
          <w:rFonts w:ascii="Lato" w:hAnsi="Lato" w:cs="Arial"/>
          <w:bCs/>
          <w:iCs/>
          <w:spacing w:val="4"/>
          <w:sz w:val="22"/>
          <w:szCs w:val="22"/>
        </w:rPr>
        <w:br/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t>i korygowania trasy tych inwestycji, ani do zmiany proponowanych we wniosku rozwiązań.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To inwestor we wniosku o wydanie decyzji o ustaleniu lokalizacji </w:t>
      </w:r>
      <w:bookmarkStart w:id="8" w:name="_Hlk144911286"/>
      <w:r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inwestycji w zakresie terminalu oraz inwestycji towarzyszących </w:t>
      </w:r>
      <w:bookmarkEnd w:id="8"/>
      <w:r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decyduje o przebiegu inwestycji oraz o wielkości terenu niezbędnego dla jej realizacji. Inwestor samodzielnie dokonuje wyboru najbardziej korzystnych rozwiązań lokalizacyjnych. Zarówno wojewoda, jak </w:t>
      </w:r>
      <w:r w:rsidR="00E5022F">
        <w:rPr>
          <w:rFonts w:ascii="Lato" w:hAnsi="Lato" w:cs="Arial"/>
          <w:bCs/>
          <w:iCs/>
          <w:spacing w:val="4"/>
          <w:sz w:val="22"/>
          <w:szCs w:val="22"/>
        </w:rPr>
        <w:br/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t>i organ odwoławczy, mogą działać tylko w granicach tego wniosku i nie mają możliwości ingerowania w lokalizację inwestycji.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Organy orzekające nie mają uprawnienia do oceny racjonalności, czy też słuszności przyjętych we wniosku rozwiązań</w:t>
      </w:r>
      <w:r w:rsidR="00ED4FA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lokalizacyjnych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</w:t>
      </w:r>
      <w:r w:rsidR="00785C54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</w:t>
      </w:r>
      <w:r w:rsidR="00ED4FA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Na organie spoczywa wyłącznie obowiązek sprawdzenia zgodności planowanego zamierzenia z prawem, w szczególności spełnienia wymogów określonych w </w:t>
      </w:r>
      <w:r w:rsidR="00785C54" w:rsidRPr="009C6AD3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specustawie gazowej.</w:t>
      </w:r>
    </w:p>
    <w:p w14:paraId="64DC88F3" w14:textId="0313F575" w:rsidR="00FC5172" w:rsidRPr="00E5022F" w:rsidRDefault="00FC5172" w:rsidP="003259BA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2"/>
          <w:szCs w:val="22"/>
          <w:lang w:bidi="pl-PL"/>
        </w:rPr>
      </w:pPr>
      <w:r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Właściwy miejscowo wojewoda zobligowany jest – w przypadku spełnienia przez </w:t>
      </w:r>
      <w:r w:rsidRPr="00235DA1">
        <w:rPr>
          <w:rFonts w:ascii="Lato" w:hAnsi="Lato" w:cs="Arial"/>
          <w:bCs/>
          <w:spacing w:val="4"/>
          <w:sz w:val="22"/>
          <w:szCs w:val="22"/>
          <w:lang w:bidi="pl-PL"/>
        </w:rPr>
        <w:t>inwestora</w:t>
      </w:r>
      <w:r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wymagań określonych w </w:t>
      </w:r>
      <w:r w:rsidRPr="009C6AD3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specustawie gazowej</w:t>
      </w:r>
      <w:r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– ustalić lokalizację inwestycji </w:t>
      </w:r>
      <w:r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  <w:t>w wersji zgodnej z wnioskiem.</w:t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 Wynika z tego, iż decyzja lokalizacyjna wydawana </w:t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br/>
        <w:t xml:space="preserve">na podstawie </w:t>
      </w:r>
      <w:r w:rsidRPr="009C6AD3">
        <w:rPr>
          <w:rFonts w:ascii="Lato" w:hAnsi="Lato" w:cs="Arial"/>
          <w:bCs/>
          <w:i/>
          <w:iCs/>
          <w:spacing w:val="4"/>
          <w:sz w:val="22"/>
          <w:szCs w:val="22"/>
        </w:rPr>
        <w:t>specustawy gazowej</w:t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 nie ma charakteru uznaniowego i w razie spełnienia przez </w:t>
      </w:r>
      <w:r w:rsidRPr="00235DA1">
        <w:rPr>
          <w:rFonts w:ascii="Lato" w:hAnsi="Lato" w:cs="Arial"/>
          <w:bCs/>
          <w:spacing w:val="4"/>
          <w:sz w:val="22"/>
          <w:szCs w:val="22"/>
        </w:rPr>
        <w:t>inwestora</w:t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 wymagań określonych w przepisach </w:t>
      </w:r>
      <w:r w:rsidRPr="009C6AD3">
        <w:rPr>
          <w:rFonts w:ascii="Lato" w:hAnsi="Lato" w:cs="Arial"/>
          <w:bCs/>
          <w:i/>
          <w:iCs/>
          <w:spacing w:val="4"/>
          <w:sz w:val="22"/>
          <w:szCs w:val="22"/>
        </w:rPr>
        <w:t>specustawy gazowej</w:t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 organ jest zobligowany wydać decyzję w wersji zgodnej z wnioskiem </w:t>
      </w:r>
      <w:r w:rsidRPr="00ED4FA6">
        <w:rPr>
          <w:rFonts w:ascii="Lato" w:hAnsi="Lato" w:cs="Arial"/>
          <w:bCs/>
          <w:spacing w:val="4"/>
          <w:sz w:val="22"/>
          <w:szCs w:val="22"/>
        </w:rPr>
        <w:t>inwestora.</w:t>
      </w:r>
      <w:r w:rsidRPr="009C6AD3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bookmarkStart w:id="9" w:name="_Hlk162083259"/>
      <w:r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Stosownie bowiem do przepisu art. 6 ust. 2 </w:t>
      </w:r>
      <w:r w:rsidRPr="009C6AD3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specustawy gazowej</w:t>
      </w:r>
      <w:r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nie można uzależniać ustalenia lokalizacji inwestycji w zakresie terminalu oraz inwestycji towarzyszących od zobowiązania </w:t>
      </w:r>
      <w:r w:rsidRPr="009C6AD3">
        <w:rPr>
          <w:rFonts w:ascii="Lato" w:hAnsi="Lato" w:cs="Arial"/>
          <w:bCs/>
          <w:i/>
          <w:iCs/>
          <w:spacing w:val="4"/>
          <w:sz w:val="22"/>
          <w:szCs w:val="22"/>
          <w:lang w:bidi="pl-PL"/>
        </w:rPr>
        <w:t>inwestora</w:t>
      </w:r>
      <w:r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do spełnienia nieprzewidzianych odrębnymi przepisami świadczeń lub warunków.</w:t>
      </w:r>
      <w:bookmarkEnd w:id="9"/>
      <w:r w:rsidR="00785C54" w:rsidRPr="009C6AD3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Organ wydający decyzję o ustaleniu lokalizacji </w:t>
      </w:r>
      <w:r w:rsidR="00ED4FA6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inwestycji 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nie jest także kompetentny do oceny przesłanek ekonomicznych oraz społecznych powstającej inwestycji, w jej kształcie określonym przez </w:t>
      </w:r>
      <w:r w:rsidR="00785C54" w:rsidRPr="00ED4FA6">
        <w:rPr>
          <w:rFonts w:ascii="Lato" w:hAnsi="Lato" w:cs="Arial"/>
          <w:bCs/>
          <w:spacing w:val="4"/>
          <w:sz w:val="22"/>
          <w:szCs w:val="22"/>
          <w:lang w:bidi="pl-PL"/>
        </w:rPr>
        <w:t>inwestora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. Do organu administracji należy jedynie ocena wniosku </w:t>
      </w:r>
      <w:r w:rsidR="00785C54" w:rsidRPr="00ED4FA6">
        <w:rPr>
          <w:rFonts w:ascii="Lato" w:hAnsi="Lato" w:cs="Arial"/>
          <w:bCs/>
          <w:spacing w:val="4"/>
          <w:sz w:val="22"/>
          <w:szCs w:val="22"/>
          <w:lang w:bidi="pl-PL"/>
        </w:rPr>
        <w:t>inwestora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pod względem jego zgodności z prawem powszechnie obowiązującym.</w:t>
      </w:r>
      <w:r w:rsidR="00785C54" w:rsidRPr="009C6AD3">
        <w:rPr>
          <w:rFonts w:ascii="Lato" w:hAnsi="Lato" w:cs="Arial"/>
          <w:bCs/>
          <w:spacing w:val="4"/>
          <w:sz w:val="22"/>
          <w:szCs w:val="22"/>
          <w:lang w:bidi="pl-PL"/>
        </w:rPr>
        <w:t xml:space="preserve"> 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W postępowaniu w sprawie wydania decyzji o ustaleniu lokalizacji inwestycji w zakresie terminalu oraz inwestycji towarzyszących, zarówno wojewoda, jak i </w:t>
      </w:r>
      <w:r w:rsidR="00785C54" w:rsidRPr="00235DA1">
        <w:rPr>
          <w:rFonts w:ascii="Lato" w:hAnsi="Lato" w:cs="Arial"/>
          <w:bCs/>
          <w:spacing w:val="4"/>
          <w:sz w:val="22"/>
          <w:szCs w:val="22"/>
          <w:lang w:bidi="pl-PL"/>
        </w:rPr>
        <w:t>Minister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badają zgodność z prawem wniosku </w:t>
      </w:r>
      <w:r w:rsidR="00785C54" w:rsidRPr="00235DA1">
        <w:rPr>
          <w:rFonts w:ascii="Lato" w:hAnsi="Lato" w:cs="Arial"/>
          <w:bCs/>
          <w:spacing w:val="4"/>
          <w:sz w:val="22"/>
          <w:szCs w:val="22"/>
          <w:lang w:bidi="pl-PL"/>
        </w:rPr>
        <w:t>inwestora</w:t>
      </w:r>
      <w:r w:rsidR="00785C54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 nie zaś zagadnień dotyczących ewentualnych negatywnych następstw dla podmiotów objętych tą decyzją.</w:t>
      </w:r>
    </w:p>
    <w:p w14:paraId="7AE969CC" w14:textId="7847F3D0" w:rsidR="00B3087B" w:rsidRDefault="00785C54">
      <w:pPr>
        <w:autoSpaceDE w:val="0"/>
        <w:autoSpaceDN w:val="0"/>
        <w:adjustRightInd w:val="0"/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Powyższe stanowisko jest ugruntowane i jednolite w orzecznictwie sądów administracyjnych (por. wyrok Naczelnego Sądu Administracyjnego z dnia 8 listopada 2022 r., sygn. akt II OSK 1636/22, wyroki Wojewódzkiego Sądu Administracyjnego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  <w:t xml:space="preserve">w Warszawie: z dnia 12 lipca 2023 r., sygn. akt VII SA/Wa 1975/22, z dnia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  <w:t xml:space="preserve">28 października 2022 r., sygn. akt VII SA/Wa 544/22, z dnia 21 kwietnia 2021 r.,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  <w:t xml:space="preserve">sygn. akt VII SA/Wa 364/21, z dnia 19 listopada 2019 r., sygn. akt IV SA/Wa 1496/19, z dnia 31 sierpnia 2018 r., sygn. akt IV SA/Wa 3345/17, z dnia 19 września 2018 r.,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  <w:t>sygn. akt IV SA/Wa 510/18, opubl. Centralna Baza Orzeczeń Sądów Administracyjnych).</w:t>
      </w:r>
    </w:p>
    <w:p w14:paraId="5019269D" w14:textId="60FBC34C" w:rsidR="00262552" w:rsidRPr="00235DA1" w:rsidRDefault="00262552" w:rsidP="00235DA1">
      <w:pPr>
        <w:autoSpaceDE w:val="0"/>
        <w:autoSpaceDN w:val="0"/>
        <w:adjustRightInd w:val="0"/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Przechodząc następnie do odpowiedzi na zarzuty zawarte w odwołaniu, wskazać należy, co następuje. </w:t>
      </w:r>
    </w:p>
    <w:p w14:paraId="333F6594" w14:textId="2433F5BD" w:rsidR="00BD7923" w:rsidRPr="009C6AD3" w:rsidRDefault="00BD7923" w:rsidP="00BD7923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Za niezasadny należy uznać zarzut dotyczący naruszenia art. 6 ust. 1 pkt 3 i 4 </w:t>
      </w:r>
      <w:r w:rsidRPr="009C6AD3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gazowe</w:t>
      </w:r>
      <w:r w:rsidRPr="00235DA1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j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 poprzez wydanie decyzji na skutek niekompletnego wniosku inwestora, który nie zawierał wystarczającej analizy powiązania inwestycji z infrastrukturą w zakresie działek nr</w:t>
      </w:r>
      <w:r w:rsidR="00ED4FA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: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372/31, 372/46 i 389/5</w:t>
      </w:r>
      <w:r w:rsidR="00F2006C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21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 z obrębu 0003 Wieliczka</w:t>
      </w:r>
      <w:r w:rsidR="00327C4D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w postaci wskazania </w:t>
      </w:r>
      <w:r w:rsidR="00327C4D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lastRenderedPageBreak/>
        <w:t xml:space="preserve">„istniejącego szlaku drożnego stanowiącego drogę dojazdową i drogę konieczną do działki nr 372/22 przez działkę 372/46 a znajdującą się w obrębie inwestycji”. </w:t>
      </w:r>
    </w:p>
    <w:p w14:paraId="2228A93F" w14:textId="067C8BD0" w:rsidR="00BD7923" w:rsidRPr="009C6AD3" w:rsidRDefault="00B92986" w:rsidP="00BD7923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art. 6 ust. 1 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zawarte zostały elementy wniosku o wydanie decyzji o ustalenie lokalizacji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inwestycji towarzyszącej inwestycjom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zakresie terminalu.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  <w:t xml:space="preserve">Z dyspozycji </w:t>
      </w:r>
      <w:bookmarkStart w:id="10" w:name="_Hlk162598289"/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art. 6 ust. 1 pkt 3 i 4 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bookmarkEnd w:id="10"/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wynika, iż wniosek o wydanie decyzji o ustalenie lokalizacji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inwestycji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zawiera</w:t>
      </w:r>
      <w:r w:rsidRPr="00235DA1">
        <w:rPr>
          <w:rFonts w:ascii="Lato" w:hAnsi="Lato"/>
          <w:spacing w:val="4"/>
          <w:sz w:val="22"/>
          <w:szCs w:val="22"/>
        </w:rPr>
        <w:t xml:space="preserve">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określenie </w:t>
      </w:r>
      <w:bookmarkStart w:id="11" w:name="_Hlk163029727"/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zmian w dotychczasowym sposobie zagospodarowania i uzbrojeniu terenu </w:t>
      </w:r>
      <w:bookmarkEnd w:id="11"/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(pkt 3)</w:t>
      </w:r>
      <w:r w:rsidR="00B3087B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i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analizę powiązania inwestycji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  <w:t>z uzbrojeniem terenu</w:t>
      </w:r>
      <w:r w:rsidR="008F30D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(pkt 4)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. </w:t>
      </w:r>
      <w:r w:rsidR="00976E46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Do wniosku z dnia 28 października 2022 r. o wydanie decyzji o ustaleni</w:t>
      </w:r>
      <w:r w:rsidR="00ED4FA6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e</w:t>
      </w:r>
      <w:r w:rsidR="00976E46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lokalizacji przedmiotowej inwestycji, inwestor przedłożył elementy wymagane przez art. 6 ust. 1 pkt 3 i 4 </w:t>
      </w:r>
      <w:r w:rsidR="00976E46" w:rsidRPr="00235DA1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gazowej</w:t>
      </w:r>
      <w:r w:rsidR="00976E46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które </w:t>
      </w:r>
      <w:r w:rsidR="00BD7923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stanowiły odpowiednio załącznik nr 6 i 7 do </w:t>
      </w:r>
      <w:r w:rsidR="00976E46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tego </w:t>
      </w:r>
      <w:r w:rsidR="00BD7923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wniosku</w:t>
      </w:r>
      <w:r w:rsidR="00976E46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.</w:t>
      </w:r>
      <w:r w:rsidR="00A2159C" w:rsidRPr="00235DA1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A2159C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przedmiotowych załącznikach została dokonana analiza powiązania inwestycji z uzbrojeniem terenu, a także zostały określone zmiany </w:t>
      </w:r>
      <w:r w:rsidR="00C3548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="00A2159C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dotychczasowym sposobie zagospodarowania i uzbrojenia terenu. </w:t>
      </w:r>
      <w:r w:rsidR="00C3548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Przedstawione </w:t>
      </w:r>
      <w:r w:rsidR="00C3548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  <w:t xml:space="preserve">w tych dokumentach dane są wystarczające dla etapu </w:t>
      </w:r>
      <w:r w:rsidR="00C3548A" w:rsidRPr="00C3548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wstępn</w:t>
      </w:r>
      <w:r w:rsidR="00C3548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ego</w:t>
      </w:r>
      <w:r w:rsidR="00C3548A" w:rsidRPr="00C3548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procesu inwestycyjnego</w:t>
      </w:r>
      <w:r w:rsidR="00C3548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jakim jest ustalenie lokalizacji inwestycji. </w:t>
      </w:r>
    </w:p>
    <w:p w14:paraId="4894C068" w14:textId="43C27C84" w:rsidR="00AE406C" w:rsidRDefault="00F2006C" w:rsidP="00327C4D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Wbrew błędnemu przekonaniu skarżącego,</w:t>
      </w:r>
      <w:r w:rsidR="007E7C9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ramach elementów wniosku lokalizacyjnego określonych w dyspozycji art. 6 ust. 1 pkt 3 i 4 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nie jest wymagane, aby inwestor miał </w:t>
      </w:r>
      <w:r w:rsidR="00AE406C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dokładnie 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opisywać</w:t>
      </w:r>
      <w:r w:rsidR="007F0CD9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r w:rsidR="00AE406C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co do każdej nieruchomości</w:t>
      </w:r>
      <w:r w:rsidR="007F0CD9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r w:rsidR="00AE406C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jakie znajdują się na niej elementy </w:t>
      </w:r>
      <w:r w:rsidR="00E6552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zagospodarowania </w:t>
      </w:r>
      <w:r w:rsidR="00AE406C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(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np. </w:t>
      </w:r>
      <w:r w:rsidR="00AE406C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utwardzona droga</w:t>
      </w:r>
      <w:r w:rsidR="00E65527" w:rsidRPr="00E65527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wykonana </w:t>
      </w:r>
      <w:r w:rsidR="00CA2AF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="00E65527" w:rsidRPr="00E65527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 ramach służebności drogi koniecznej</w:t>
      </w:r>
      <w:r w:rsidR="00AE406C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). Biorąc pod uwagę</w:t>
      </w:r>
      <w:r w:rsidR="00E6552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, że inwestycje gazowe przechodzą często przez kilkaset działek (a nie kiedy ilość działek objętych wnioskiem inwestora oscyluje w granicach 1000, 2000 tys.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nieruchomości</w:t>
      </w:r>
      <w:r w:rsidR="00E6552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)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r w:rsidR="00E6552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opis co </w:t>
      </w:r>
      <w:r w:rsidR="00C3548A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do </w:t>
      </w:r>
      <w:r w:rsidR="00E6552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każdej 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E6552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z działek jej dokładnego zagospodarowania byłby </w:t>
      </w:r>
      <w:r w:rsidR="00C3548A" w:rsidRPr="00C3548A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niezwykle czasochłonn</w:t>
      </w:r>
      <w:r w:rsidR="00C3548A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y</w:t>
      </w:r>
      <w:r w:rsidR="00E6552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, a sama dokumentacja w tym zakresie składałaby się z kilkunastu tomów</w:t>
      </w:r>
      <w:r w:rsidR="00C3548A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. Natomiast celem uchwalenia </w:t>
      </w:r>
      <w:r w:rsidR="00C3548A" w:rsidRPr="00C3548A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="00C3548A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="00CA2AF8" w:rsidRPr="00CA2AF8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>(</w:t>
      </w:r>
      <w:r w:rsidR="00CA2AF8" w:rsidRPr="00CA2AF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ratio legis</w:t>
      </w:r>
      <w:r w:rsidR="00CA2AF8" w:rsidRPr="00CA2AF8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 ustawy)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 </w:t>
      </w:r>
      <w:r w:rsidR="00C3548A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było </w:t>
      </w:r>
      <w:r w:rsidR="00C3548A" w:rsidRPr="00C3548A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uproszczenie i przyspieszenie inwestycji</w:t>
      </w:r>
      <w:r w:rsidR="00C3548A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gazowych</w:t>
      </w:r>
      <w:r w:rsidR="00C3548A" w:rsidRPr="00C3548A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</w:t>
      </w:r>
      <w:r w:rsidR="00C3548A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="00E65527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N</w:t>
      </w:r>
      <w:r w:rsidR="00E65527" w:rsidRPr="00E65527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ie można </w:t>
      </w:r>
      <w:r w:rsidR="00C3548A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też </w:t>
      </w:r>
      <w:r w:rsidR="00E65527" w:rsidRPr="00E65527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zapomnieć, iż decyzja o ustaleniu lokalizacji inwestycji jest etapem wstępnym na drodze realizacji inwestycji. Określa ona jedynie ogólne warunki realizacji inwestycji. Decyzja lokalizacyjna nie rozstrzyga w przedmiocie szczegółowych rozwiązań projektowych, ani nie odnosi się do przyszłej realizacji inwestycji.</w:t>
      </w:r>
    </w:p>
    <w:p w14:paraId="7DDD7BE3" w14:textId="427CBC0A" w:rsidR="00F2006C" w:rsidRPr="00CE5238" w:rsidRDefault="00CE5238" w:rsidP="00327C4D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Co więcej,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</w:t>
      </w:r>
      <w:r w:rsidR="00327C4D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skazanie przez inwestora we wniosku ujawnionych ograniczonych praw rzeczowych obciążających nieruchomości</w:t>
      </w:r>
      <w:r w:rsidR="001516C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327C4D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jest wymagane w stosunku nieruchomości </w:t>
      </w:r>
      <w:r w:rsidR="00CA2AF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="00327C4D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co do których decyzja o ustaleniu lokalizacji inwestycji ma wywołać skutek, o którym mowa w art. 20 ust. 3 i 6 lub art. 20 ust. 6a </w:t>
      </w:r>
      <w:r w:rsidR="00327C4D" w:rsidRPr="00235DA1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gazowej</w:t>
      </w:r>
      <w:r w:rsidR="00327C4D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(por. art. 6 ust. 1 pkt 10 </w:t>
      </w:r>
      <w:r w:rsidR="00327C4D" w:rsidRPr="00235DA1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gazowej</w:t>
      </w:r>
      <w:r w:rsidR="00327C4D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). Natomiast </w:t>
      </w:r>
      <w:r w:rsidR="00CA2AF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wymienione </w:t>
      </w:r>
      <w:r w:rsidR="00327C4D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przez skarżącego działk</w:t>
      </w:r>
      <w:r w:rsidR="008F30D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i</w:t>
      </w:r>
      <w:r w:rsidR="001516C5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327C4D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nie zaliczają się do katalogu działek wobec których decyzja o ustaleniu lokalizacji inwestycji ma wywołać skutek, o którym mowa w art. 20 ust. 3 i 6 lub art. 20 ust. 6a </w:t>
      </w:r>
      <w:r w:rsidR="00327C4D"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="00327C4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. </w:t>
      </w:r>
    </w:p>
    <w:p w14:paraId="2CF4F1CE" w14:textId="0AE78753" w:rsidR="00366DCD" w:rsidRPr="009C6AD3" w:rsidRDefault="00366DCD" w:rsidP="00235DA1">
      <w:pPr>
        <w:tabs>
          <w:tab w:val="left" w:pos="2977"/>
        </w:tabs>
        <w:spacing w:after="12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Na uwzględnienie nie zasługują zarzuty dotyczące naruszenia:</w:t>
      </w:r>
    </w:p>
    <w:p w14:paraId="4B3AFF10" w14:textId="13F7C81C" w:rsidR="00366DCD" w:rsidRPr="009C6AD3" w:rsidRDefault="00366DCD" w:rsidP="00235DA1">
      <w:pPr>
        <w:pStyle w:val="Akapitzlist"/>
        <w:numPr>
          <w:ilvl w:val="0"/>
          <w:numId w:val="42"/>
        </w:numPr>
        <w:tabs>
          <w:tab w:val="left" w:pos="2977"/>
        </w:tabs>
        <w:spacing w:after="120" w:line="240" w:lineRule="exact"/>
        <w:ind w:left="284" w:hanging="284"/>
        <w:contextualSpacing w:val="0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art. 38 </w:t>
      </w:r>
      <w:r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poprzez wydanie decyzji na inwestycję nieobjętą przez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  <w:t>tą ustawę</w:t>
      </w:r>
      <w:r w:rsidR="00BA7AD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,</w:t>
      </w:r>
    </w:p>
    <w:p w14:paraId="6E4F44AE" w14:textId="567CDFC6" w:rsidR="00366DCD" w:rsidRPr="009C6AD3" w:rsidRDefault="00366DCD" w:rsidP="00235DA1">
      <w:pPr>
        <w:pStyle w:val="Akapitzlist"/>
        <w:numPr>
          <w:ilvl w:val="0"/>
          <w:numId w:val="42"/>
        </w:numPr>
        <w:spacing w:after="120" w:line="240" w:lineRule="exact"/>
        <w:ind w:left="284" w:hanging="284"/>
        <w:contextualSpacing w:val="0"/>
        <w:jc w:val="both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art. 1 ust. 1 w zw. z ust. 2 pkt 1 i 5 </w:t>
      </w:r>
      <w:r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w zw. z art. 107</w:t>
      </w:r>
      <w:r w:rsidR="00BA7AD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§ 1 pkt 6 </w:t>
      </w:r>
      <w:r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kpa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poprzez wydanie decyzji która nie zawiera uzasadnienia wskazującego, w jaki sposób i dlaczego likwidacja odcinka czynnego obecnie gazociągu i budowa nowego odcinka gazociągu stanowi inwestycję towarzyszącą, czy też przebudowę terminala i dlaczego do tejże inwestycji ma zastosowanie </w:t>
      </w:r>
      <w:r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specustawa gazowa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i czy jest uzasadniona</w:t>
      </w:r>
      <w:r w:rsidR="00BA7AD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,</w:t>
      </w:r>
    </w:p>
    <w:p w14:paraId="10BDD44B" w14:textId="28B33F01" w:rsidR="00366DCD" w:rsidRPr="009C6AD3" w:rsidRDefault="00366DCD" w:rsidP="00235DA1">
      <w:pPr>
        <w:pStyle w:val="Akapitzlist"/>
        <w:numPr>
          <w:ilvl w:val="0"/>
          <w:numId w:val="42"/>
        </w:numPr>
        <w:spacing w:after="240" w:line="240" w:lineRule="exact"/>
        <w:ind w:left="284" w:hanging="284"/>
        <w:contextualSpacing w:val="0"/>
        <w:jc w:val="both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art. 3 pkt 7a ustawy z dnia 7 lipca 1994 r.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- P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rawo budowlane (t.j. Dz.U. z 2023 r. poz. 682, z późn.zm.) </w:t>
      </w:r>
      <w:r w:rsidRPr="00235DA1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zw. z art. 1 ust. 1 w zw. z ust. 2 pkt 5 w zw. z ust. 2 pkt 1 </w:t>
      </w:r>
      <w:r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r w:rsidRPr="00235DA1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poprzez wydanie decyzji związanej z przebudową gazociągu wysokiego ciśnienia, podczas gdy inwestycja ta nie stanowi przebudowy.</w:t>
      </w:r>
    </w:p>
    <w:p w14:paraId="1F81CE40" w14:textId="2B5240B3" w:rsidR="00366DCD" w:rsidRPr="009C6AD3" w:rsidRDefault="00BA7AD6" w:rsidP="00235DA1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lastRenderedPageBreak/>
        <w:t xml:space="preserve">We wniosku lokalizacyjnym inwestor wskazał, iż </w:t>
      </w:r>
      <w:r w:rsidR="0039777C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inwestycja 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objęta zakresem tego wniosku </w:t>
      </w:r>
      <w:r w:rsidR="0039777C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stanowi inwestycję towarzyszącą inwestycjom w zakresie terminalu, o której mowa w art. 38 pkt 2 lit. zg </w:t>
      </w:r>
      <w:r w:rsidR="0039777C"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="0039777C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="00366DC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myśl art. 38 pkt 2 lit. zg </w:t>
      </w:r>
      <w:r w:rsidR="00366DCD"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="00366DC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inwestycją towarzyszącą inwestycjom w zakresie terminalu jest inwestycja realizowana przez Operatora Gazociągów Przesyłowych GAZ–SYSTEM S.A. z siedzibą 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366DC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Warszawie, w postaci budowy gazociągów w celu zmiany przebiegu trasy istniejących gazociągów przesyłowych wysokiego ciśnienia albo ich odbudowa, rozbudowa, przebudowa, remont, rozbiórka lub zmiana sposobu użytkowania wraz i infrastrukturą niezbędną do ich obsługi. Art. 39 ust. 1 </w:t>
      </w:r>
      <w:r w:rsidR="00366DCD"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="00366DC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stanowi, że do inwestycji towarzyszących stosuje się przepisy rozdziałów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:</w:t>
      </w:r>
      <w:r w:rsidR="00366DC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2 (Przygotowanie inwestycji w zakresie terminalu), 3 (Nabywanie tytułu prawnego do nieruchomości i realizacja inwestycji 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366DC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zakresie terminalu), 6 (Postępowanie administracyjne dla realizacji inwestycji 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366DC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zakresie terminalu) oraz art. 43, z uwzględnieniem ust. 1a i 1b. </w:t>
      </w:r>
    </w:p>
    <w:p w14:paraId="03EB3590" w14:textId="3108957D" w:rsidR="00366DCD" w:rsidRPr="009C6AD3" w:rsidRDefault="00366DCD" w:rsidP="0059712E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uzasadnieniu projektu ustawy z dnia 5 lipca 2018 r. o zmianie ustawy o inwestycjach w zakresie terminalu regazyfikacyjnego skroplonego gazu ziemnego w Świnoujściu oraz niektórych innych ustaw [(Dz.U. z 2018 r. poz. 1590 - por. uzasadnienie do rządowego projekt ustawy o zmianie ustawy o inwestycjach w zakresie terminalu regazyfikacyjnego skroplonego gazu ziemnego w Świnoujściu oraz niektórych innych ustaw,  http://www.sejm.gov.pl)] wskazano, iż „dodanie art. 38 pkt 2 lit. zg ma na celu umożliwienie inwestorowi dokonywania odbudowy, rozbudowy, przebudowy, remontu, rozbiórki lub zmiany sposobu użytkowania istniejących gazociągów przesyłowych wysokiego ciśnienia, wraz z infrastrukturą niezbędną do ich obsługi. Ponadto w sytuacji, w której niezbędna okaże się zmiana przebiegu trasy istniejącego gazociągu, inwestor będzie uprawniony do działania polegającego na budowie gazociągu. W związku </w:t>
      </w:r>
      <w:r w:rsidR="0059712E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z koniecznością zapewnienia stabilnych, bezpiecznych i ciągłych dostaw gazu ziemnego do Rzeczypospolitej Polskiej do 2022 r. oraz umożliwienia rozprowadzania importowanego gazu, jest konieczne zapewnienie możliwości przygotowania i realizacji inwestycji, o których mowa w art. 38 pkt 2 lit. zg, w uproszczonym trybie przewidzianym w ustawie terminalowej. Zaproponowane rozwiązanie ma na celu również zapewnienie komplementarności istniejącej i nowo powstałej infrastruktury. Realizacja inwestycji, </w:t>
      </w:r>
      <w:r w:rsidR="0059712E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o których mowa w art. 38 pkt 2 lit. zg, w trybie przewidzianym w przepisach ogólnych nie pozwoliłaby na osiągnięcie celu polegającego na zapewnieniu bezpieczeństwa energetycznego Rzeczypospolitej Polskiej w zamierzonym terminie”.</w:t>
      </w:r>
    </w:p>
    <w:p w14:paraId="63617825" w14:textId="2294C488" w:rsidR="00A2159C" w:rsidRPr="00E5022F" w:rsidRDefault="00F21E91" w:rsidP="008577DD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</w:t>
      </w:r>
      <w:r w:rsidR="0059712E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auważyć </w:t>
      </w:r>
      <w:r w:rsidR="00DD7878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należy, że o możliwości objęcia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danej </w:t>
      </w:r>
      <w:r w:rsidR="00DD7878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inwestycji </w:t>
      </w:r>
      <w:r w:rsidR="00DD7878"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</w:t>
      </w:r>
      <w:r w:rsidR="00DD7878"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ą</w:t>
      </w:r>
      <w:r w:rsidR="00DD7878"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 xml:space="preserve"> gazowej</w:t>
      </w:r>
      <w:r w:rsidR="00DD7878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nie decyduje nazwa inwestycji, ale jej zakres.</w:t>
      </w:r>
      <w:r w:rsidR="00DD7878" w:rsidRPr="00235DA1">
        <w:rPr>
          <w:rFonts w:ascii="Lato" w:eastAsia="Calibri" w:hAnsi="Lato" w:cs="Arial"/>
          <w:spacing w:val="4"/>
          <w:sz w:val="22"/>
          <w:szCs w:val="22"/>
          <w:shd w:val="clear" w:color="auto" w:fill="FFFFFF"/>
        </w:rPr>
        <w:t xml:space="preserve"> </w:t>
      </w:r>
      <w:r w:rsidR="00A2159C" w:rsidRPr="00235DA1">
        <w:rPr>
          <w:rFonts w:ascii="Lato" w:eastAsia="Calibri" w:hAnsi="Lato" w:cs="Arial"/>
          <w:spacing w:val="4"/>
          <w:sz w:val="22"/>
          <w:szCs w:val="22"/>
          <w:shd w:val="clear" w:color="auto" w:fill="FFFFFF"/>
        </w:rPr>
        <w:t xml:space="preserve">Nazwa zadania inwestycyjnego ma </w:t>
      </w:r>
      <w:r w:rsidR="00BA7AD6">
        <w:rPr>
          <w:rFonts w:ascii="Lato" w:eastAsia="Calibri" w:hAnsi="Lato" w:cs="Arial"/>
          <w:spacing w:val="4"/>
          <w:sz w:val="22"/>
          <w:szCs w:val="22"/>
          <w:shd w:val="clear" w:color="auto" w:fill="FFFFFF"/>
        </w:rPr>
        <w:t xml:space="preserve">bowiem najczęściej </w:t>
      </w:r>
      <w:r w:rsidR="00A2159C" w:rsidRPr="00235DA1">
        <w:rPr>
          <w:rFonts w:ascii="Lato" w:eastAsia="Calibri" w:hAnsi="Lato" w:cs="Arial"/>
          <w:spacing w:val="4"/>
          <w:sz w:val="22"/>
          <w:szCs w:val="22"/>
          <w:shd w:val="clear" w:color="auto" w:fill="FFFFFF"/>
        </w:rPr>
        <w:t xml:space="preserve">ogólny charakter. O klasyfikacji podstawy prawnej decyduje zakres planowanych robót przedstawionych w dokumentacji i wskazanych we wniosku </w:t>
      </w:r>
      <w:r w:rsidR="00BA7AD6">
        <w:rPr>
          <w:rFonts w:ascii="Lato" w:eastAsia="Calibri" w:hAnsi="Lato" w:cs="Arial"/>
          <w:spacing w:val="4"/>
          <w:sz w:val="22"/>
          <w:szCs w:val="22"/>
          <w:shd w:val="clear" w:color="auto" w:fill="FFFFFF"/>
        </w:rPr>
        <w:br/>
      </w:r>
      <w:r w:rsidR="00A2159C" w:rsidRPr="00235DA1">
        <w:rPr>
          <w:rFonts w:ascii="Lato" w:eastAsia="Calibri" w:hAnsi="Lato" w:cs="Arial"/>
          <w:spacing w:val="4"/>
          <w:sz w:val="22"/>
          <w:szCs w:val="22"/>
          <w:shd w:val="clear" w:color="auto" w:fill="FFFFFF"/>
        </w:rPr>
        <w:t>o wydanie decyzji</w:t>
      </w:r>
      <w:r w:rsidR="00BA7AD6">
        <w:rPr>
          <w:rFonts w:ascii="Lato" w:eastAsia="Calibri" w:hAnsi="Lato" w:cs="Arial"/>
          <w:spacing w:val="4"/>
          <w:sz w:val="22"/>
          <w:szCs w:val="22"/>
          <w:shd w:val="clear" w:color="auto" w:fill="FFFFFF"/>
        </w:rPr>
        <w:t xml:space="preserve"> lokalizacyjnej</w:t>
      </w:r>
      <w:r w:rsidR="00DD7878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. </w:t>
      </w:r>
      <w:r w:rsidR="008577D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ramach niniejszej inwestycji planuje się budowę odcinków gazociągów o średnicy nominalnej DN400 i </w:t>
      </w:r>
      <w:r w:rsidR="008577DD" w:rsidRPr="00235DA1">
        <w:rPr>
          <w:rFonts w:ascii="Lato" w:eastAsiaTheme="minorHAnsi" w:hAnsi="Lato" w:cs="Arial"/>
          <w:spacing w:val="4"/>
          <w:sz w:val="22"/>
          <w:szCs w:val="22"/>
          <w:lang w:eastAsia="en-US"/>
        </w:rPr>
        <w:t>DN100</w:t>
      </w:r>
      <w:r w:rsidR="008577DD" w:rsidRPr="009C6AD3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8577DD" w:rsidRPr="00235DA1">
        <w:rPr>
          <w:rFonts w:ascii="Lato" w:eastAsiaTheme="minorHAnsi" w:hAnsi="Lato" w:cs="Arial"/>
          <w:spacing w:val="4"/>
          <w:sz w:val="22"/>
          <w:szCs w:val="22"/>
          <w:lang w:eastAsia="en-US"/>
        </w:rPr>
        <w:t>MOP 5,5 MPa</w:t>
      </w:r>
      <w:r w:rsidR="008577D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wraz </w:t>
      </w:r>
      <w:r w:rsidR="00CA2AF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8577D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 zespołem zaworowo-upustowym ZZU DN400; wyłączenie z eksploatacji istniejącego gazociągu (rozbiórka oraz wyciągniecie z gruntu lub zamulenie); przebudowę (w tym rozbiórkę i budowę) istniejącej infrastruktury technicznej kolidującej z projektowaną inwestycją.</w:t>
      </w:r>
      <w:r w:rsidR="00E5022F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="008577D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Trasę gazociągu w bardzo dużej części zaprojektowano po istniejącym gazociągu DN400, jedynie miejscowo projektowany gazociąg odchodzi od istniejącej trasy w celu ominięcia terenów istniejącej i przyszłej zabudowy i wykorzystania terenów niezabudowanych, co pozwoli na likwidację gazociągu na działkach gęsto uzbrojonych </w:t>
      </w:r>
      <w:r w:rsidR="00E5022F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8577DD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i zabudowanych.</w:t>
      </w:r>
      <w:r w:rsidR="00A2159C" w:rsidRPr="00235DA1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="00A2159C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ramach planowanej inwestycji występują odcinki istniejącego gazociągu, które zostaną poddane budowie w celu zmiany przebiegu trasy istniejącego gazociągu, a także rozbiórce oraz przebudowie. </w:t>
      </w:r>
    </w:p>
    <w:p w14:paraId="6A9FC5D7" w14:textId="68B14386" w:rsidR="00F21E91" w:rsidRPr="009C6AD3" w:rsidRDefault="00F21E91" w:rsidP="008577DD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Zakres powyższych robót realizowany jest pod ogólną nazwą inwestycji</w:t>
      </w:r>
      <w:r w:rsidR="00BA7AD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określoną przez inwestora jako:</w:t>
      </w:r>
      <w:r w:rsidRPr="009C6AD3">
        <w:rPr>
          <w:rFonts w:ascii="Lato" w:hAnsi="Lato" w:cs="Arial"/>
          <w:spacing w:val="4"/>
          <w:sz w:val="22"/>
          <w:szCs w:val="22"/>
        </w:rPr>
        <w:t xml:space="preserve"> „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Przebudowa gazociągu wysokiego ciśnienia DN 400 Śledziejowice </w:t>
      </w:r>
      <w:r w:rsidR="00BA7AD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lastRenderedPageBreak/>
        <w:t>– Skawina na odcinku od Wieliczka ul. Za Torem do działki nr 203/4 przy ul. Sawiczewskich w Krakowie na długości około 6,5 km</w:t>
      </w:r>
      <w:r w:rsidR="00A2159C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”.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Ponadto, z wyjaśnień inwestora złożonych na etapie odwoławczym wynika, iż definicja przebudowy, wskazana w nazwie inwestycji, została potraktowana szerzej, nie tylko w odniesieniu do samego gazociągu, ale i infrastruktury towarzyszącej (sieci uzbrojenia terenu), czy też przebudowy zjazdów. </w:t>
      </w:r>
    </w:p>
    <w:p w14:paraId="283514BA" w14:textId="4DF496A9" w:rsidR="00A2159C" w:rsidRPr="009C6AD3" w:rsidRDefault="00A2159C" w:rsidP="00A2159C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świetle powyższego, w ocenie Ministra, przedmiotowa inwestycja spełnia przesłanki wskazane w art. 38 ust. 2 lit. zg </w:t>
      </w:r>
      <w:r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</w:t>
      </w:r>
    </w:p>
    <w:p w14:paraId="77B7547F" w14:textId="44BEF796" w:rsidR="0039777C" w:rsidRPr="009C6AD3" w:rsidRDefault="0039777C" w:rsidP="00A2159C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Odnośnie natomiast zarzutu skarżącego, iż trasa gazociągu uniemożliwia korzystanie </w:t>
      </w:r>
      <w:r w:rsidR="00E5022F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 ustanowionej służebności przejazdu na działce nr 372/46</w:t>
      </w:r>
      <w:r w:rsidR="009F1B0F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bookmarkStart w:id="12" w:name="_Hlk163040893"/>
      <w:r w:rsidR="009F1B0F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 obrębu 0003 Wieliczka</w:t>
      </w:r>
      <w:r w:rsidR="00D31A67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bookmarkEnd w:id="12"/>
      <w:r w:rsidR="00D31A67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(objętej zakresem inwestycji)</w:t>
      </w:r>
      <w:r w:rsidR="009F1B0F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do </w:t>
      </w:r>
      <w:r w:rsidR="00C72362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jego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działki</w:t>
      </w:r>
      <w:r w:rsidR="00D31A67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nr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372/22</w:t>
      </w:r>
      <w:r w:rsidR="00D31A67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r w:rsidR="00C72362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z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obręb</w:t>
      </w:r>
      <w:r w:rsidR="00C72362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u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0003 Wieliczka</w:t>
      </w:r>
      <w:r w:rsidR="00D31A67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="00E5022F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D31A67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(nie objętej zakresem inwestycji), wskazać należy, co następuje. </w:t>
      </w:r>
    </w:p>
    <w:p w14:paraId="767A5723" w14:textId="37B9869F" w:rsidR="00980421" w:rsidRPr="009C6AD3" w:rsidRDefault="00D31A67" w:rsidP="00A2159C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</w:t>
      </w:r>
      <w:r w:rsidR="0056282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pismach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z dnia 19 stycznia </w:t>
      </w:r>
      <w:r w:rsidR="0056282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i 8 marca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2024 r., znak: MP-MOSTY/464/P/DM/2/24-1/93, inwestor wskazał, iż wyszedł naprzeciw oczekiwaniom strony odwołującej się</w:t>
      </w:r>
      <w:r w:rsidR="00980421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="00D03C4A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980421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(tj. Pana </w:t>
      </w:r>
      <w:r w:rsidR="00D4187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K.K.</w:t>
      </w:r>
      <w:r w:rsidR="00980421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)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i dokonał zmiany trasy gazociągu wysokiego ciśnienia schodząc ze strefy służebności przejazdu ustanowionej na ww. działce 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nr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372/46. </w:t>
      </w:r>
      <w:r w:rsidR="004B567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wyniku wprowadzonej korekty, działka nr 389/521, z obrębu 0003 Wieliczka, która dotychczas była objęta jedynie ograniczeniem w korzystaniu na czas określony (art. 24 ust. 1b </w:t>
      </w:r>
      <w:r w:rsidR="004B5679"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="004B567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), została objęta także trwałym ograniczeniem w korzystaniu (na czas stały) </w:t>
      </w:r>
      <w:r w:rsidR="00A86E5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4B567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z powodu konieczności wyznaczenia strefy kontrolowanej 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projektowanego </w:t>
      </w:r>
      <w:r w:rsidR="004B567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gazociągu </w:t>
      </w:r>
      <w:r w:rsidR="00A86E5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4B567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na tej działce.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Inwestor wyjaśnił, iż uzyskał dla nowej trasy gazociągu zgodę użytkownika wieczystego </w:t>
      </w:r>
      <w:r w:rsidR="004B567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ww.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dział</w:t>
      </w:r>
      <w:r w:rsidR="004B567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ek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nr 372/46</w:t>
      </w:r>
      <w:r w:rsidR="004B567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i nr 389/521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. </w:t>
      </w:r>
      <w:r w:rsidR="0056282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Przy piśmie z dnia 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56282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19 stycznia 2024 r. inwestor przedłożył zgodę u</w:t>
      </w:r>
      <w:r w:rsidR="004B567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żytkownika wieczystego ww. działek 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4B567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nr 372/46 i nr 389/521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: </w:t>
      </w:r>
      <w:r w:rsidR="00D03C4A" w:rsidRPr="00235DA1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&lt;&lt;na przebieg nowego/projektowanego gazociągu zgodnie 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="00D03C4A" w:rsidRPr="00235DA1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 tras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ą</w:t>
      </w:r>
      <w:r w:rsidR="00D03C4A" w:rsidRPr="00235DA1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przedstawion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ą</w:t>
      </w:r>
      <w:r w:rsidR="00D03C4A" w:rsidRPr="00235DA1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na planie sytuacyjny</w:t>
      </w:r>
      <w:r w:rsidR="00A86E5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m</w:t>
      </w:r>
      <w:r w:rsidR="00D03C4A" w:rsidRPr="00235DA1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nr 2.4</w:t>
      </w:r>
      <w:r w:rsidR="00D03C4A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pn. "Projekt zagospodarowania terenu", który stanowi integralną częścią niniejszego uzgodnienia&gt;&gt;. </w:t>
      </w:r>
      <w:r w:rsidR="00980421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Inwestor przedłożył</w:t>
      </w:r>
      <w:r w:rsidR="00D03C4A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także</w:t>
      </w:r>
      <w:r w:rsidR="00980421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w odpowiedniej ilości egzemplarzy, zamienny rysunek nr 2.4 mapy określającej granice terenu objętego inwestycją, uwzględniający wnioskowaną korektę. </w:t>
      </w:r>
    </w:p>
    <w:p w14:paraId="426FFC95" w14:textId="7C3B33B7" w:rsidR="008B36BC" w:rsidRPr="009C6AD3" w:rsidRDefault="00980421" w:rsidP="00A2159C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piśmie z dnia 7 marca 2024 r. - stanowiącym odpowiedź na pismo Ministra z dnia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  <w:t xml:space="preserve">13 lutego 2024 r., znak: DLI-II.7620.12.2023.KM.9 </w:t>
      </w:r>
      <w:r w:rsidR="003D73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-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skarżący wskazał, iż zgadza się 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ze zmienionym przebiegiem trasy 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gazociągu, </w:t>
      </w:r>
      <w:r w:rsidR="0056282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i 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wn</w:t>
      </w:r>
      <w:r w:rsidR="0056282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iósł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o zmianę </w:t>
      </w:r>
      <w:r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decyzji</w:t>
      </w:r>
      <w:r w:rsidR="00085470"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 xml:space="preserve"> Wojewody Małopolskiego</w:t>
      </w:r>
      <w:r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r w:rsidR="0056282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zgodnie z wnioskiem </w:t>
      </w:r>
      <w:r w:rsidR="00562829" w:rsidRPr="00235DA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inwestora</w:t>
      </w:r>
      <w:r w:rsidR="00562829" w:rsidRPr="009C6AD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. </w:t>
      </w:r>
    </w:p>
    <w:p w14:paraId="2A19AF03" w14:textId="5D5C6C35" w:rsidR="00FC5172" w:rsidRPr="009C6AD3" w:rsidRDefault="003E4B5A" w:rsidP="00EF6564">
      <w:pPr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9C6AD3">
        <w:rPr>
          <w:rFonts w:ascii="Lato" w:hAnsi="Lato" w:cs="Arial"/>
          <w:spacing w:val="4"/>
          <w:sz w:val="22"/>
          <w:szCs w:val="22"/>
        </w:rPr>
        <w:t xml:space="preserve">Należy zauważyć, iż przepis </w:t>
      </w:r>
      <w:r w:rsidRPr="009C6AD3">
        <w:rPr>
          <w:rFonts w:ascii="Lato" w:hAnsi="Lato" w:cs="Arial"/>
          <w:color w:val="000000"/>
          <w:spacing w:val="4"/>
          <w:sz w:val="22"/>
          <w:szCs w:val="22"/>
        </w:rPr>
        <w:t xml:space="preserve">art. 138 § 1 pkt 2 </w:t>
      </w:r>
      <w:r w:rsidRPr="009C6AD3">
        <w:rPr>
          <w:rFonts w:ascii="Lato" w:hAnsi="Lato" w:cs="Arial"/>
          <w:i/>
          <w:color w:val="000000"/>
          <w:spacing w:val="4"/>
          <w:sz w:val="22"/>
          <w:szCs w:val="22"/>
        </w:rPr>
        <w:t>kpa</w:t>
      </w:r>
      <w:r w:rsidRPr="009C6AD3">
        <w:rPr>
          <w:rFonts w:ascii="Lato" w:hAnsi="Lato" w:cs="Arial"/>
          <w:color w:val="000000"/>
          <w:spacing w:val="4"/>
          <w:sz w:val="22"/>
          <w:szCs w:val="22"/>
        </w:rPr>
        <w:t xml:space="preserve"> umożliwia organowi odwoławczemu korektę zaskarżonej decyzji przez jej uchylenie w części i orzeczenie w tym zakresie </w:t>
      </w:r>
      <w:r w:rsidR="00E0430A" w:rsidRPr="009C6AD3">
        <w:rPr>
          <w:rFonts w:ascii="Lato" w:hAnsi="Lato" w:cs="Arial"/>
          <w:color w:val="000000"/>
          <w:spacing w:val="4"/>
          <w:sz w:val="22"/>
          <w:szCs w:val="22"/>
        </w:rPr>
        <w:br/>
      </w:r>
      <w:r w:rsidRPr="009C6AD3">
        <w:rPr>
          <w:rFonts w:ascii="Lato" w:hAnsi="Lato" w:cs="Arial"/>
          <w:color w:val="000000"/>
          <w:spacing w:val="4"/>
          <w:sz w:val="22"/>
          <w:szCs w:val="22"/>
        </w:rPr>
        <w:t>co do istoty sprawy.</w:t>
      </w:r>
      <w:r w:rsidR="00E0430A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085470" w:rsidRPr="0008547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Minister uzyskał materiał dowodowy pozwalający na dokonanie korekty reformatoryjnej </w:t>
      </w:r>
      <w:r w:rsidR="00085470" w:rsidRPr="00085470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 xml:space="preserve">decyzji Wojewody </w:t>
      </w:r>
      <w:r w:rsidR="00085470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 xml:space="preserve">Małopolskiego </w:t>
      </w:r>
      <w:r w:rsidR="00085470" w:rsidRPr="0008547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i orzeczenie w tym zakresie </w:t>
      </w:r>
      <w:r w:rsidR="0008547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="00085470" w:rsidRPr="0008547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co do istoty sprawy, uwzględniając zmiany wnioskowane przez </w:t>
      </w:r>
      <w:r w:rsidR="00085470" w:rsidRPr="00235DA1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>inwestora</w:t>
      </w:r>
      <w:r w:rsidR="00085470" w:rsidRPr="00085470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 xml:space="preserve"> </w:t>
      </w:r>
      <w:r w:rsidR="00085470" w:rsidRPr="00235DA1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w ww. pismach 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br/>
      </w:r>
      <w:r w:rsidR="00085470" w:rsidRPr="00235DA1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>z dnia 19 stycznia i 8 marca 2024 r.</w:t>
      </w:r>
      <w:r w:rsidR="00A049E6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 W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iązał się </w:t>
      </w:r>
      <w:r w:rsidR="00A049E6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to 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 xml:space="preserve">z koniecznością dokonania korekty </w:t>
      </w:r>
      <w:r w:rsidR="00085470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br/>
        <w:t>w odpowiednej jednostce redakcyjnej zaskarżonej decyzji</w:t>
      </w:r>
      <w:r w:rsidR="0060799E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jak </w:t>
      </w:r>
      <w:r w:rsidR="00E5022F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i </w:t>
      </w:r>
      <w:r w:rsidR="0060799E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załącznik</w:t>
      </w:r>
      <w:r w:rsidR="00E5022F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a</w:t>
      </w:r>
      <w:r w:rsidR="0060799E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graficzn</w:t>
      </w:r>
      <w:r w:rsidR="00E5022F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ego</w:t>
      </w:r>
      <w:r w:rsidR="0060799E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</w:t>
      </w:r>
      <w:r w:rsidR="00E5022F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</w:r>
      <w:r w:rsidR="0060799E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do tej decyzji</w:t>
      </w:r>
      <w:r w:rsidR="00085470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. Zmiany w tym zakresie zostały </w:t>
      </w:r>
      <w:r w:rsidR="00FC5172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określone w pkt I niniejszej decyzji</w:t>
      </w:r>
      <w:r w:rsidR="0060799E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. </w:t>
      </w:r>
      <w:r w:rsidR="00FC5172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Organ odwoławczy dokonując rozstrzygnię</w:t>
      </w:r>
      <w:r w:rsidR="0060799E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cia</w:t>
      </w:r>
      <w:r w:rsidR="00FC5172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, o który</w:t>
      </w:r>
      <w:r w:rsidR="0060799E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m</w:t>
      </w:r>
      <w:r w:rsidR="00FC5172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mowa w pkt I przedmiotowej decyzji, uznał, że nie narusza on</w:t>
      </w:r>
      <w:r w:rsidR="0060799E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o</w:t>
      </w:r>
      <w:r w:rsidR="00FC5172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zasady dwuinstancyjności postępowania, o której mowa w art. 15 </w:t>
      </w:r>
      <w:r w:rsidR="00FC5172"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kpa</w:t>
      </w:r>
      <w:r w:rsidR="00FC5172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. </w:t>
      </w:r>
    </w:p>
    <w:p w14:paraId="0F2DBD21" w14:textId="77777777" w:rsidR="00B66A36" w:rsidRPr="009C6AD3" w:rsidRDefault="00D44E9B" w:rsidP="003259BA">
      <w:pPr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Podsumowując, organ odwoławczy uznał, że przebieg planowanej inwestycji został ustalony prawidłowo. Organ uznał racje przemawiające za ustaloną lokalizacją, które przedstawił </w:t>
      </w:r>
      <w:r w:rsidRPr="003D7393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>inwestor</w:t>
      </w:r>
      <w:r w:rsidRPr="009C6AD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 xml:space="preserve"> </w:t>
      </w:r>
      <w:r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w dokumentacji przedłożonej w trakcie postępowania w sprawie wydania decyzji w przedmiocie ustalenia lokalizacji ww. inwestycji towarzyszącej inwestycjom w zakresie terminalu.</w:t>
      </w:r>
      <w:r w:rsidR="00F97C1A" w:rsidRPr="009C6AD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</w:t>
      </w:r>
    </w:p>
    <w:p w14:paraId="08985374" w14:textId="1FE0D3E5" w:rsidR="00DC67C5" w:rsidRPr="009C6AD3" w:rsidRDefault="00DC67C5" w:rsidP="003259BA">
      <w:pPr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9C6AD3">
        <w:rPr>
          <w:rFonts w:ascii="Lato" w:hAnsi="Lato" w:cs="Arial"/>
          <w:spacing w:val="4"/>
          <w:sz w:val="22"/>
          <w:szCs w:val="22"/>
        </w:rPr>
        <w:lastRenderedPageBreak/>
        <w:t xml:space="preserve">Niniejsza decyzja jest ostateczna. </w:t>
      </w:r>
    </w:p>
    <w:p w14:paraId="56C63B31" w14:textId="14E753E5" w:rsidR="00DC67C5" w:rsidRPr="009C6AD3" w:rsidRDefault="00DC67C5" w:rsidP="003259BA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C6AD3">
        <w:rPr>
          <w:rFonts w:ascii="Lato" w:hAnsi="Lato" w:cs="Arial"/>
          <w:spacing w:val="4"/>
          <w:sz w:val="22"/>
          <w:szCs w:val="22"/>
        </w:rPr>
        <w:t xml:space="preserve">Na decyzję, na podstawie art. 53 § 1 i art. 54 § 1 ustawy z dnia 30 sierpnia 2002 r. </w:t>
      </w:r>
      <w:r w:rsidR="003962E0" w:rsidRPr="009C6AD3">
        <w:rPr>
          <w:rFonts w:ascii="Lato" w:hAnsi="Lato" w:cs="Arial"/>
          <w:spacing w:val="4"/>
          <w:sz w:val="22"/>
          <w:szCs w:val="22"/>
        </w:rPr>
        <w:br/>
      </w:r>
      <w:r w:rsidRPr="009C6AD3">
        <w:rPr>
          <w:rFonts w:ascii="Lato" w:hAnsi="Lato" w:cs="Arial"/>
          <w:spacing w:val="4"/>
          <w:sz w:val="22"/>
          <w:szCs w:val="22"/>
        </w:rPr>
        <w:t>– Prawo o postępowaniu przed sądami administracyjnymi (</w:t>
      </w:r>
      <w:r w:rsidR="00D44E9B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t.j. Dz.U. z 2023 r. poz. 1634</w:t>
      </w:r>
      <w:r w:rsidR="0060799E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323FE1" w:rsidRPr="009C6AD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z późn.zm.</w:t>
      </w:r>
      <w:r w:rsidRPr="009C6AD3">
        <w:rPr>
          <w:rFonts w:ascii="Lato" w:hAnsi="Lato" w:cs="Arial"/>
          <w:spacing w:val="4"/>
          <w:sz w:val="22"/>
          <w:szCs w:val="22"/>
        </w:rPr>
        <w:t>), zwanej dalej „</w:t>
      </w:r>
      <w:r w:rsidRPr="009C6AD3">
        <w:rPr>
          <w:rFonts w:ascii="Lato" w:hAnsi="Lato" w:cs="Arial"/>
          <w:i/>
          <w:spacing w:val="4"/>
          <w:sz w:val="22"/>
          <w:szCs w:val="22"/>
        </w:rPr>
        <w:t>ppsa</w:t>
      </w:r>
      <w:r w:rsidRPr="009C6AD3">
        <w:rPr>
          <w:rFonts w:ascii="Lato" w:hAnsi="Lato" w:cs="Arial"/>
          <w:spacing w:val="4"/>
          <w:sz w:val="22"/>
          <w:szCs w:val="22"/>
        </w:rPr>
        <w:t xml:space="preserve">”, przysługuje skarga do Wojewódzkiego Sądu Administracyjnego w Warszawie, wnoszona za pośrednictwem Ministra Rozwoju </w:t>
      </w:r>
      <w:r w:rsidR="00323FE1" w:rsidRPr="009C6AD3">
        <w:rPr>
          <w:rFonts w:ascii="Lato" w:hAnsi="Lato" w:cs="Arial"/>
          <w:spacing w:val="4"/>
          <w:sz w:val="22"/>
          <w:szCs w:val="22"/>
        </w:rPr>
        <w:br/>
      </w:r>
      <w:r w:rsidRPr="009C6AD3">
        <w:rPr>
          <w:rFonts w:ascii="Lato" w:hAnsi="Lato" w:cs="Arial"/>
          <w:spacing w:val="4"/>
          <w:sz w:val="22"/>
          <w:szCs w:val="22"/>
        </w:rPr>
        <w:t>i Technologii, w terminie 30 dni od dnia doręczenia decyzji.</w:t>
      </w:r>
    </w:p>
    <w:p w14:paraId="0DD9AD88" w14:textId="44A2EDDA" w:rsidR="00DC67C5" w:rsidRDefault="00DC67C5" w:rsidP="003259BA">
      <w:pPr>
        <w:spacing w:after="12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CF3ED3">
        <w:rPr>
          <w:rFonts w:ascii="Lato" w:hAnsi="Lato" w:cs="Arial"/>
          <w:spacing w:val="4"/>
          <w:sz w:val="22"/>
          <w:szCs w:val="22"/>
        </w:rPr>
        <w:t xml:space="preserve">Jednocześnie informuję, że do skargi należy załączyć dowód uiszczenia wpisu </w:t>
      </w:r>
      <w:r w:rsidR="005A7B1F" w:rsidRPr="00CF3ED3">
        <w:rPr>
          <w:rFonts w:ascii="Lato" w:hAnsi="Lato" w:cs="Arial"/>
          <w:spacing w:val="4"/>
          <w:sz w:val="22"/>
          <w:szCs w:val="22"/>
        </w:rPr>
        <w:br/>
      </w:r>
      <w:r w:rsidRPr="00CF3ED3">
        <w:rPr>
          <w:rFonts w:ascii="Lato" w:hAnsi="Lato" w:cs="Arial"/>
          <w:spacing w:val="4"/>
          <w:sz w:val="22"/>
          <w:szCs w:val="22"/>
        </w:rPr>
        <w:t>od wniesienia skargi w kwocie 500 zł, płatnego w kasie sądu lub na rachunek bankowy sądu wskazany w publikatorze teleinformatycznym – Biuletynie Informacji Publicznej sądu (</w:t>
      </w:r>
      <w:r w:rsidRPr="00880F21">
        <w:rPr>
          <w:rFonts w:ascii="Lato" w:hAnsi="Lato" w:cs="Arial"/>
          <w:iCs/>
          <w:spacing w:val="4"/>
          <w:sz w:val="22"/>
          <w:szCs w:val="22"/>
        </w:rPr>
        <w:t>http://bip.warszawa.wsa.gov.pl</w:t>
      </w:r>
      <w:r w:rsidRPr="00CF3ED3">
        <w:rPr>
          <w:rFonts w:ascii="Lato" w:hAnsi="Lato" w:cs="Arial"/>
          <w:spacing w:val="4"/>
          <w:sz w:val="22"/>
          <w:szCs w:val="22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r w:rsidRPr="00CF3ED3">
        <w:rPr>
          <w:rFonts w:ascii="Lato" w:hAnsi="Lato" w:cs="Arial"/>
          <w:i/>
          <w:spacing w:val="4"/>
          <w:sz w:val="22"/>
          <w:szCs w:val="22"/>
        </w:rPr>
        <w:t>ppsa</w:t>
      </w:r>
      <w:r w:rsidRPr="00CF3ED3">
        <w:rPr>
          <w:rFonts w:ascii="Lato" w:hAnsi="Lato" w:cs="Arial"/>
          <w:spacing w:val="4"/>
          <w:sz w:val="22"/>
          <w:szCs w:val="22"/>
        </w:rPr>
        <w:t>.</w:t>
      </w:r>
    </w:p>
    <w:p w14:paraId="621F7B8E" w14:textId="098A2E12" w:rsidR="00D44E9B" w:rsidRPr="002C770F" w:rsidRDefault="00D44E9B" w:rsidP="003259BA">
      <w:pPr>
        <w:spacing w:after="80"/>
        <w:jc w:val="both"/>
        <w:rPr>
          <w:rFonts w:ascii="Lato" w:hAnsi="Lato" w:cs="Arial"/>
          <w:b/>
          <w:bCs/>
          <w:spacing w:val="4"/>
          <w:sz w:val="22"/>
          <w:szCs w:val="22"/>
          <w:u w:val="single"/>
        </w:rPr>
      </w:pPr>
      <w:r w:rsidRPr="002C770F">
        <w:rPr>
          <w:rFonts w:ascii="Lato" w:hAnsi="Lato" w:cs="Arial"/>
          <w:b/>
          <w:bCs/>
          <w:spacing w:val="4"/>
          <w:sz w:val="22"/>
          <w:szCs w:val="22"/>
          <w:u w:val="single"/>
        </w:rPr>
        <w:t>Załącznik:</w:t>
      </w:r>
    </w:p>
    <w:p w14:paraId="76409DAC" w14:textId="2A86C2F7" w:rsidR="00D44E9B" w:rsidRPr="002C770F" w:rsidRDefault="00D44E9B" w:rsidP="003259BA">
      <w:pPr>
        <w:jc w:val="both"/>
        <w:rPr>
          <w:rFonts w:ascii="Lato" w:hAnsi="Lato" w:cs="Arial"/>
          <w:b/>
          <w:bCs/>
          <w:iCs/>
          <w:spacing w:val="4"/>
          <w:sz w:val="22"/>
          <w:szCs w:val="22"/>
        </w:rPr>
      </w:pPr>
      <w:r w:rsidRPr="002C770F">
        <w:rPr>
          <w:rFonts w:ascii="Lato" w:hAnsi="Lato" w:cs="Arial"/>
          <w:b/>
          <w:spacing w:val="4"/>
          <w:sz w:val="22"/>
          <w:szCs w:val="22"/>
        </w:rPr>
        <w:t xml:space="preserve">Nr </w:t>
      </w:r>
      <w:r w:rsidRPr="002C770F">
        <w:rPr>
          <w:rFonts w:ascii="Lato" w:hAnsi="Lato" w:cs="Arial"/>
          <w:b/>
          <w:bCs/>
          <w:iCs/>
          <w:spacing w:val="4"/>
          <w:sz w:val="22"/>
          <w:szCs w:val="22"/>
        </w:rPr>
        <w:t xml:space="preserve">1 </w:t>
      </w:r>
      <w:r w:rsidR="003D7393">
        <w:rPr>
          <w:rFonts w:ascii="Lato" w:hAnsi="Lato" w:cs="Arial"/>
          <w:iCs/>
          <w:spacing w:val="4"/>
          <w:sz w:val="22"/>
          <w:szCs w:val="22"/>
        </w:rPr>
        <w:t>–</w:t>
      </w:r>
      <w:r w:rsidRPr="00F357A3"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="003D7393">
        <w:rPr>
          <w:rFonts w:ascii="Lato" w:hAnsi="Lato" w:cs="Arial"/>
          <w:iCs/>
          <w:spacing w:val="4"/>
          <w:sz w:val="22"/>
          <w:szCs w:val="22"/>
        </w:rPr>
        <w:t xml:space="preserve">rysunek </w:t>
      </w:r>
      <w:r w:rsidR="00F357A3" w:rsidRPr="00F357A3">
        <w:rPr>
          <w:rFonts w:ascii="Lato" w:hAnsi="Lato" w:cs="Arial"/>
          <w:iCs/>
          <w:spacing w:val="4"/>
          <w:sz w:val="22"/>
          <w:szCs w:val="22"/>
        </w:rPr>
        <w:t xml:space="preserve">nr </w:t>
      </w:r>
      <w:r w:rsidR="009133DA">
        <w:rPr>
          <w:rFonts w:ascii="Lato" w:hAnsi="Lato" w:cs="Arial"/>
          <w:iCs/>
          <w:spacing w:val="4"/>
          <w:sz w:val="22"/>
          <w:szCs w:val="22"/>
        </w:rPr>
        <w:t>2.4</w:t>
      </w:r>
      <w:r w:rsidR="00F357A3" w:rsidRPr="00F357A3">
        <w:rPr>
          <w:rFonts w:ascii="Lato" w:hAnsi="Lato" w:cs="Arial"/>
          <w:iCs/>
          <w:spacing w:val="4"/>
          <w:sz w:val="22"/>
          <w:szCs w:val="22"/>
        </w:rPr>
        <w:t xml:space="preserve"> mapy określającej granice terenu objętego inwestycją</w:t>
      </w:r>
      <w:r w:rsidR="0060799E">
        <w:rPr>
          <w:rFonts w:ascii="Lato" w:hAnsi="Lato" w:cs="Arial"/>
          <w:iCs/>
          <w:spacing w:val="4"/>
          <w:sz w:val="22"/>
          <w:szCs w:val="22"/>
        </w:rPr>
        <w:t>.</w:t>
      </w:r>
    </w:p>
    <w:p w14:paraId="113F74CE" w14:textId="77777777" w:rsidR="00B66A36" w:rsidRDefault="00B66A36" w:rsidP="002C770F">
      <w:pPr>
        <w:spacing w:after="80"/>
        <w:jc w:val="both"/>
        <w:rPr>
          <w:rFonts w:ascii="Lato" w:eastAsiaTheme="minorHAnsi" w:hAnsi="Lato" w:cs="Arial"/>
          <w:b/>
          <w:spacing w:val="4"/>
          <w:sz w:val="22"/>
          <w:szCs w:val="22"/>
          <w:u w:val="single"/>
          <w:lang w:eastAsia="en-US"/>
        </w:rPr>
      </w:pPr>
    </w:p>
    <w:p w14:paraId="143066B4" w14:textId="77777777" w:rsidR="00B66A36" w:rsidRDefault="00B66A36" w:rsidP="002C770F">
      <w:pPr>
        <w:spacing w:after="80"/>
        <w:jc w:val="both"/>
        <w:rPr>
          <w:rFonts w:ascii="Lato" w:eastAsiaTheme="minorHAnsi" w:hAnsi="Lato" w:cs="Arial"/>
          <w:b/>
          <w:spacing w:val="4"/>
          <w:sz w:val="22"/>
          <w:szCs w:val="22"/>
          <w:u w:val="single"/>
          <w:lang w:eastAsia="en-US"/>
        </w:rPr>
      </w:pPr>
    </w:p>
    <w:p w14:paraId="73025B83" w14:textId="77777777" w:rsidR="00B66A36" w:rsidRDefault="00B66A36" w:rsidP="002C770F">
      <w:pPr>
        <w:spacing w:after="80"/>
        <w:jc w:val="both"/>
        <w:rPr>
          <w:rFonts w:ascii="Lato" w:eastAsiaTheme="minorHAnsi" w:hAnsi="Lato" w:cs="Arial"/>
          <w:b/>
          <w:spacing w:val="4"/>
          <w:sz w:val="22"/>
          <w:szCs w:val="22"/>
          <w:u w:val="single"/>
          <w:lang w:eastAsia="en-US"/>
        </w:rPr>
      </w:pPr>
    </w:p>
    <w:p w14:paraId="3A6D6AAB" w14:textId="77777777" w:rsidR="00B66A36" w:rsidRDefault="00B66A36" w:rsidP="002C770F">
      <w:pPr>
        <w:spacing w:after="80"/>
        <w:jc w:val="both"/>
        <w:rPr>
          <w:rFonts w:ascii="Lato" w:eastAsiaTheme="minorHAnsi" w:hAnsi="Lato" w:cs="Arial"/>
          <w:b/>
          <w:spacing w:val="4"/>
          <w:sz w:val="22"/>
          <w:szCs w:val="22"/>
          <w:u w:val="single"/>
          <w:lang w:eastAsia="en-US"/>
        </w:rPr>
      </w:pPr>
    </w:p>
    <w:p w14:paraId="699BD820" w14:textId="77777777" w:rsidR="00DB0C90" w:rsidRDefault="00DB0C90" w:rsidP="00546D79">
      <w:pPr>
        <w:spacing w:after="80"/>
        <w:jc w:val="both"/>
        <w:rPr>
          <w:rFonts w:ascii="Lato" w:eastAsiaTheme="minorHAnsi" w:hAnsi="Lato" w:cs="Arial"/>
          <w:b/>
          <w:spacing w:val="4"/>
          <w:sz w:val="22"/>
          <w:szCs w:val="22"/>
          <w:u w:val="single"/>
          <w:lang w:eastAsia="en-US"/>
        </w:rPr>
      </w:pPr>
    </w:p>
    <w:p w14:paraId="33A8CF92" w14:textId="77777777" w:rsidR="00DB0C90" w:rsidRDefault="00DB0C90" w:rsidP="00546D79">
      <w:pPr>
        <w:spacing w:after="80"/>
        <w:jc w:val="both"/>
        <w:rPr>
          <w:rFonts w:ascii="Lato" w:eastAsiaTheme="minorHAnsi" w:hAnsi="Lato" w:cs="Arial"/>
          <w:b/>
          <w:spacing w:val="4"/>
          <w:sz w:val="22"/>
          <w:szCs w:val="22"/>
          <w:u w:val="single"/>
          <w:lang w:eastAsia="en-US"/>
        </w:rPr>
      </w:pPr>
    </w:p>
    <w:p w14:paraId="5475BC68" w14:textId="77777777" w:rsidR="00B3087B" w:rsidRDefault="00B3087B" w:rsidP="00546D79">
      <w:pPr>
        <w:spacing w:after="80"/>
        <w:jc w:val="both"/>
        <w:rPr>
          <w:rFonts w:ascii="Lato" w:eastAsiaTheme="minorHAnsi" w:hAnsi="Lato" w:cs="Arial"/>
          <w:b/>
          <w:spacing w:val="4"/>
          <w:sz w:val="22"/>
          <w:szCs w:val="22"/>
          <w:u w:val="single"/>
          <w:lang w:eastAsia="en-US"/>
        </w:rPr>
      </w:pPr>
    </w:p>
    <w:p w14:paraId="2208B0AC" w14:textId="77777777" w:rsidR="00E5022F" w:rsidRDefault="00E5022F" w:rsidP="00546D79">
      <w:pPr>
        <w:spacing w:after="80"/>
        <w:jc w:val="both"/>
        <w:rPr>
          <w:rFonts w:ascii="Lato" w:eastAsiaTheme="minorHAnsi" w:hAnsi="Lato" w:cs="Arial"/>
          <w:b/>
          <w:spacing w:val="4"/>
          <w:sz w:val="22"/>
          <w:szCs w:val="22"/>
          <w:u w:val="single"/>
          <w:lang w:eastAsia="en-US"/>
        </w:rPr>
      </w:pPr>
    </w:p>
    <w:p w14:paraId="28DF879B" w14:textId="636E5CF3" w:rsidR="00350165" w:rsidRPr="00E5022F" w:rsidRDefault="00350165" w:rsidP="00E5022F">
      <w:pPr>
        <w:pStyle w:val="Akapitzlist"/>
        <w:tabs>
          <w:tab w:val="left" w:pos="360"/>
        </w:tabs>
        <w:suppressAutoHyphens/>
        <w:ind w:left="360"/>
        <w:contextualSpacing w:val="0"/>
        <w:jc w:val="both"/>
        <w:rPr>
          <w:rFonts w:ascii="Lato" w:hAnsi="Lato" w:cs="Arial"/>
          <w:bCs/>
          <w:spacing w:val="4"/>
          <w:sz w:val="22"/>
          <w:szCs w:val="22"/>
        </w:rPr>
      </w:pPr>
    </w:p>
    <w:sectPr w:rsidR="00350165" w:rsidRPr="00E5022F" w:rsidSect="00AA5B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FD5F8" w14:textId="77777777" w:rsidR="00AA5B50" w:rsidRDefault="00AA5B50" w:rsidP="009276B2">
      <w:r>
        <w:separator/>
      </w:r>
    </w:p>
  </w:endnote>
  <w:endnote w:type="continuationSeparator" w:id="0">
    <w:p w14:paraId="68C290E0" w14:textId="77777777" w:rsidR="00AA5B50" w:rsidRDefault="00AA5B50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127ACFDB-D683-4A4B-9BBB-2572BD53BE0C}"/>
    <w:embedBold r:id="rId2" w:fontKey="{22572F90-55CA-41BC-8E4A-03B20246877D}"/>
    <w:embedItalic r:id="rId3" w:fontKey="{C93E2419-0806-4743-82D3-95B5DD8AC28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CA06EA95-9F57-4D50-8A80-B210E56BFD67}"/>
    <w:embedBold r:id="rId5" w:fontKey="{94274A55-3CA4-41F4-AAC5-A4C71C471836}"/>
    <w:embedItalic r:id="rId6" w:fontKey="{CD6FD0DF-0F11-4FBA-B0C4-30C7608E50B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CA50D5D-297E-47D7-AA6E-6C1FC331D3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70FD8BC1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0799E">
          <w:rPr>
            <w:rFonts w:ascii="Lato" w:hAnsi="Lato"/>
            <w:sz w:val="16"/>
            <w:szCs w:val="16"/>
          </w:rPr>
          <w:t>8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61660" w14:textId="77777777" w:rsidR="00AA5B50" w:rsidRDefault="00AA5B50" w:rsidP="009276B2">
      <w:r>
        <w:separator/>
      </w:r>
    </w:p>
  </w:footnote>
  <w:footnote w:type="continuationSeparator" w:id="0">
    <w:p w14:paraId="3B927DCA" w14:textId="77777777" w:rsidR="00AA5B50" w:rsidRDefault="00AA5B50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995305941" name="Obraz 19953059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1" w15:restartNumberingAfterBreak="0">
    <w:nsid w:val="04A72338"/>
    <w:multiLevelType w:val="hybridMultilevel"/>
    <w:tmpl w:val="995863F0"/>
    <w:lvl w:ilvl="0" w:tplc="69C89C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31897"/>
    <w:multiLevelType w:val="hybridMultilevel"/>
    <w:tmpl w:val="073CEE4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C6032C"/>
    <w:multiLevelType w:val="hybridMultilevel"/>
    <w:tmpl w:val="7EA05B36"/>
    <w:lvl w:ilvl="0" w:tplc="9EAEFEFA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  <w:b w:val="0"/>
        <w:bCs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CFA1413"/>
    <w:multiLevelType w:val="hybridMultilevel"/>
    <w:tmpl w:val="897014AC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520E0"/>
    <w:multiLevelType w:val="hybridMultilevel"/>
    <w:tmpl w:val="F1E8E1C6"/>
    <w:lvl w:ilvl="0" w:tplc="021A20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712D01"/>
    <w:multiLevelType w:val="hybridMultilevel"/>
    <w:tmpl w:val="74C2C86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9A2669"/>
    <w:multiLevelType w:val="hybridMultilevel"/>
    <w:tmpl w:val="6D30357C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547C08"/>
    <w:multiLevelType w:val="hybridMultilevel"/>
    <w:tmpl w:val="1E7CEF54"/>
    <w:lvl w:ilvl="0" w:tplc="5C7C59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9865792"/>
    <w:multiLevelType w:val="hybridMultilevel"/>
    <w:tmpl w:val="706C76EE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52C22"/>
    <w:multiLevelType w:val="hybridMultilevel"/>
    <w:tmpl w:val="C2E0BC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2B69E1"/>
    <w:multiLevelType w:val="hybridMultilevel"/>
    <w:tmpl w:val="56F2F8A6"/>
    <w:lvl w:ilvl="0" w:tplc="40D0D5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7C1FCA"/>
    <w:multiLevelType w:val="hybridMultilevel"/>
    <w:tmpl w:val="A136FB82"/>
    <w:lvl w:ilvl="0" w:tplc="096CC03A">
      <w:start w:val="1"/>
      <w:numFmt w:val="bullet"/>
      <w:lvlText w:val="-"/>
      <w:lvlJc w:val="left"/>
      <w:pPr>
        <w:ind w:left="1287" w:hanging="360"/>
      </w:pPr>
      <w:rPr>
        <w:rFonts w:ascii="Lato" w:hAnsi="Lato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E57EEB"/>
    <w:multiLevelType w:val="hybridMultilevel"/>
    <w:tmpl w:val="B15458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B651E5"/>
    <w:multiLevelType w:val="hybridMultilevel"/>
    <w:tmpl w:val="59B02AF4"/>
    <w:lvl w:ilvl="0" w:tplc="8D3CC05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8D3CC05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346470"/>
    <w:multiLevelType w:val="hybridMultilevel"/>
    <w:tmpl w:val="F82E9CCC"/>
    <w:lvl w:ilvl="0" w:tplc="69C89C6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3F8E7AB4"/>
    <w:multiLevelType w:val="hybridMultilevel"/>
    <w:tmpl w:val="4E00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E349E"/>
    <w:multiLevelType w:val="hybridMultilevel"/>
    <w:tmpl w:val="8422899E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A9B586F"/>
    <w:multiLevelType w:val="hybridMultilevel"/>
    <w:tmpl w:val="26943F8E"/>
    <w:lvl w:ilvl="0" w:tplc="78641B6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E628C"/>
    <w:multiLevelType w:val="hybridMultilevel"/>
    <w:tmpl w:val="B86ECF7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EC52EE0"/>
    <w:multiLevelType w:val="hybridMultilevel"/>
    <w:tmpl w:val="45FE7368"/>
    <w:lvl w:ilvl="0" w:tplc="FDC6508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775F0D"/>
    <w:multiLevelType w:val="hybridMultilevel"/>
    <w:tmpl w:val="A5541BE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087B23"/>
    <w:multiLevelType w:val="hybridMultilevel"/>
    <w:tmpl w:val="71CE6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1F0C62"/>
    <w:multiLevelType w:val="hybridMultilevel"/>
    <w:tmpl w:val="9B442B3E"/>
    <w:lvl w:ilvl="0" w:tplc="40D0D5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815F07"/>
    <w:multiLevelType w:val="hybridMultilevel"/>
    <w:tmpl w:val="C2EE9C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84141C3"/>
    <w:multiLevelType w:val="hybridMultilevel"/>
    <w:tmpl w:val="60424CB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566D0C"/>
    <w:multiLevelType w:val="hybridMultilevel"/>
    <w:tmpl w:val="7E9CCEFE"/>
    <w:lvl w:ilvl="0" w:tplc="A0B028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6A58B0"/>
    <w:multiLevelType w:val="hybridMultilevel"/>
    <w:tmpl w:val="2EDAD86C"/>
    <w:lvl w:ilvl="0" w:tplc="4164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D0E21"/>
    <w:multiLevelType w:val="hybridMultilevel"/>
    <w:tmpl w:val="32B6C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B249F"/>
    <w:multiLevelType w:val="hybridMultilevel"/>
    <w:tmpl w:val="355212F8"/>
    <w:lvl w:ilvl="0" w:tplc="FDC6508E">
      <w:start w:val="1"/>
      <w:numFmt w:val="upperRoman"/>
      <w:lvlText w:val="%1."/>
      <w:lvlJc w:val="right"/>
      <w:pPr>
        <w:ind w:left="502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7622357B"/>
    <w:multiLevelType w:val="hybridMultilevel"/>
    <w:tmpl w:val="EAE26E5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7"/>
  </w:num>
  <w:num w:numId="3" w16cid:durableId="3894976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26"/>
  </w:num>
  <w:num w:numId="6" w16cid:durableId="2019427163">
    <w:abstractNumId w:val="46"/>
  </w:num>
  <w:num w:numId="7" w16cid:durableId="60681338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20"/>
  </w:num>
  <w:num w:numId="9" w16cid:durableId="80179416">
    <w:abstractNumId w:val="4"/>
  </w:num>
  <w:num w:numId="10" w16cid:durableId="6558861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714546">
    <w:abstractNumId w:val="28"/>
  </w:num>
  <w:num w:numId="15" w16cid:durableId="1256590152">
    <w:abstractNumId w:val="27"/>
  </w:num>
  <w:num w:numId="16" w16cid:durableId="1775662717">
    <w:abstractNumId w:val="38"/>
  </w:num>
  <w:num w:numId="17" w16cid:durableId="1005745388">
    <w:abstractNumId w:val="14"/>
  </w:num>
  <w:num w:numId="18" w16cid:durableId="1138650409">
    <w:abstractNumId w:val="12"/>
  </w:num>
  <w:num w:numId="19" w16cid:durableId="815996633">
    <w:abstractNumId w:val="8"/>
  </w:num>
  <w:num w:numId="20" w16cid:durableId="1325013337">
    <w:abstractNumId w:val="0"/>
  </w:num>
  <w:num w:numId="21" w16cid:durableId="1838223636">
    <w:abstractNumId w:val="31"/>
  </w:num>
  <w:num w:numId="22" w16cid:durableId="1040469650">
    <w:abstractNumId w:val="36"/>
  </w:num>
  <w:num w:numId="23" w16cid:durableId="293949675">
    <w:abstractNumId w:val="40"/>
  </w:num>
  <w:num w:numId="24" w16cid:durableId="1790706907">
    <w:abstractNumId w:val="41"/>
  </w:num>
  <w:num w:numId="25" w16cid:durableId="1879051373">
    <w:abstractNumId w:val="42"/>
  </w:num>
  <w:num w:numId="26" w16cid:durableId="575241635">
    <w:abstractNumId w:val="13"/>
  </w:num>
  <w:num w:numId="27" w16cid:durableId="1995644327">
    <w:abstractNumId w:val="34"/>
  </w:num>
  <w:num w:numId="28" w16cid:durableId="843134802">
    <w:abstractNumId w:val="2"/>
  </w:num>
  <w:num w:numId="29" w16cid:durableId="78062493">
    <w:abstractNumId w:val="44"/>
  </w:num>
  <w:num w:numId="30" w16cid:durableId="873033243">
    <w:abstractNumId w:val="29"/>
  </w:num>
  <w:num w:numId="31" w16cid:durableId="1319067557">
    <w:abstractNumId w:val="10"/>
  </w:num>
  <w:num w:numId="32" w16cid:durableId="920989676">
    <w:abstractNumId w:val="3"/>
  </w:num>
  <w:num w:numId="33" w16cid:durableId="1019544316">
    <w:abstractNumId w:val="35"/>
  </w:num>
  <w:num w:numId="34" w16cid:durableId="975913543">
    <w:abstractNumId w:val="21"/>
  </w:num>
  <w:num w:numId="35" w16cid:durableId="1729376587">
    <w:abstractNumId w:val="11"/>
  </w:num>
  <w:num w:numId="36" w16cid:durableId="1516727090">
    <w:abstractNumId w:val="9"/>
  </w:num>
  <w:num w:numId="37" w16cid:durableId="1525485840">
    <w:abstractNumId w:val="22"/>
  </w:num>
  <w:num w:numId="38" w16cid:durableId="2012105028">
    <w:abstractNumId w:val="43"/>
  </w:num>
  <w:num w:numId="39" w16cid:durableId="295917525">
    <w:abstractNumId w:val="25"/>
  </w:num>
  <w:num w:numId="40" w16cid:durableId="2130658803">
    <w:abstractNumId w:val="33"/>
  </w:num>
  <w:num w:numId="41" w16cid:durableId="179130083">
    <w:abstractNumId w:val="6"/>
  </w:num>
  <w:num w:numId="42" w16cid:durableId="171451931">
    <w:abstractNumId w:val="1"/>
  </w:num>
  <w:num w:numId="43" w16cid:durableId="485822682">
    <w:abstractNumId w:val="15"/>
  </w:num>
  <w:num w:numId="44" w16cid:durableId="1211377034">
    <w:abstractNumId w:val="24"/>
  </w:num>
  <w:num w:numId="45" w16cid:durableId="1556969341">
    <w:abstractNumId w:val="5"/>
  </w:num>
  <w:num w:numId="46" w16cid:durableId="1815640493">
    <w:abstractNumId w:val="19"/>
  </w:num>
  <w:num w:numId="47" w16cid:durableId="916088657">
    <w:abstractNumId w:val="37"/>
  </w:num>
  <w:num w:numId="48" w16cid:durableId="14554444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46C"/>
    <w:rsid w:val="000052E7"/>
    <w:rsid w:val="000058A3"/>
    <w:rsid w:val="00005EE3"/>
    <w:rsid w:val="000068D0"/>
    <w:rsid w:val="00006D0D"/>
    <w:rsid w:val="000075B0"/>
    <w:rsid w:val="00014F3C"/>
    <w:rsid w:val="000150C3"/>
    <w:rsid w:val="0001645C"/>
    <w:rsid w:val="00016FDE"/>
    <w:rsid w:val="00020C84"/>
    <w:rsid w:val="00024A74"/>
    <w:rsid w:val="000250BF"/>
    <w:rsid w:val="0002674E"/>
    <w:rsid w:val="000279FC"/>
    <w:rsid w:val="00034ABD"/>
    <w:rsid w:val="00044B94"/>
    <w:rsid w:val="00044FA7"/>
    <w:rsid w:val="000462D0"/>
    <w:rsid w:val="00055F10"/>
    <w:rsid w:val="00060297"/>
    <w:rsid w:val="00060814"/>
    <w:rsid w:val="00077579"/>
    <w:rsid w:val="0007787A"/>
    <w:rsid w:val="00077E29"/>
    <w:rsid w:val="000821D1"/>
    <w:rsid w:val="00085470"/>
    <w:rsid w:val="00090439"/>
    <w:rsid w:val="000918FB"/>
    <w:rsid w:val="000945F2"/>
    <w:rsid w:val="00096A02"/>
    <w:rsid w:val="000A5E84"/>
    <w:rsid w:val="000A628E"/>
    <w:rsid w:val="000B7E8D"/>
    <w:rsid w:val="000B7F5D"/>
    <w:rsid w:val="000C1293"/>
    <w:rsid w:val="000C4E91"/>
    <w:rsid w:val="000C60CB"/>
    <w:rsid w:val="000C6308"/>
    <w:rsid w:val="000C64A4"/>
    <w:rsid w:val="000C77AA"/>
    <w:rsid w:val="000D15E6"/>
    <w:rsid w:val="000D4D24"/>
    <w:rsid w:val="000D5D3C"/>
    <w:rsid w:val="000E0D2E"/>
    <w:rsid w:val="000E182C"/>
    <w:rsid w:val="000E3C8E"/>
    <w:rsid w:val="000E64E2"/>
    <w:rsid w:val="000E6677"/>
    <w:rsid w:val="000E7417"/>
    <w:rsid w:val="000E74E7"/>
    <w:rsid w:val="000F3320"/>
    <w:rsid w:val="000F4A5C"/>
    <w:rsid w:val="00100315"/>
    <w:rsid w:val="00101C03"/>
    <w:rsid w:val="00101FFA"/>
    <w:rsid w:val="00103258"/>
    <w:rsid w:val="001045E9"/>
    <w:rsid w:val="0011121C"/>
    <w:rsid w:val="00113528"/>
    <w:rsid w:val="001152E4"/>
    <w:rsid w:val="00115E7F"/>
    <w:rsid w:val="00116078"/>
    <w:rsid w:val="00117C6D"/>
    <w:rsid w:val="00120E32"/>
    <w:rsid w:val="001228A9"/>
    <w:rsid w:val="001236B0"/>
    <w:rsid w:val="00124033"/>
    <w:rsid w:val="001266EB"/>
    <w:rsid w:val="00127C74"/>
    <w:rsid w:val="00130B14"/>
    <w:rsid w:val="001345CE"/>
    <w:rsid w:val="0013537D"/>
    <w:rsid w:val="00137807"/>
    <w:rsid w:val="00140203"/>
    <w:rsid w:val="00141B72"/>
    <w:rsid w:val="0014286D"/>
    <w:rsid w:val="00142C22"/>
    <w:rsid w:val="00146C61"/>
    <w:rsid w:val="0014781E"/>
    <w:rsid w:val="00151312"/>
    <w:rsid w:val="001516C5"/>
    <w:rsid w:val="00152BC1"/>
    <w:rsid w:val="00153253"/>
    <w:rsid w:val="00155471"/>
    <w:rsid w:val="00156C78"/>
    <w:rsid w:val="00161219"/>
    <w:rsid w:val="0016286C"/>
    <w:rsid w:val="00163D92"/>
    <w:rsid w:val="00163DE9"/>
    <w:rsid w:val="001645DC"/>
    <w:rsid w:val="001656A7"/>
    <w:rsid w:val="00166A88"/>
    <w:rsid w:val="00167538"/>
    <w:rsid w:val="00167588"/>
    <w:rsid w:val="001716D6"/>
    <w:rsid w:val="00173BB2"/>
    <w:rsid w:val="001756F0"/>
    <w:rsid w:val="00175C18"/>
    <w:rsid w:val="00181676"/>
    <w:rsid w:val="00181C9B"/>
    <w:rsid w:val="00183B62"/>
    <w:rsid w:val="00190231"/>
    <w:rsid w:val="00192720"/>
    <w:rsid w:val="00194542"/>
    <w:rsid w:val="001945BA"/>
    <w:rsid w:val="00194899"/>
    <w:rsid w:val="00195D86"/>
    <w:rsid w:val="001A2335"/>
    <w:rsid w:val="001A2B6B"/>
    <w:rsid w:val="001A32E2"/>
    <w:rsid w:val="001A34AE"/>
    <w:rsid w:val="001A56D2"/>
    <w:rsid w:val="001A5C85"/>
    <w:rsid w:val="001A6C9B"/>
    <w:rsid w:val="001B0F52"/>
    <w:rsid w:val="001B1276"/>
    <w:rsid w:val="001B70EB"/>
    <w:rsid w:val="001C1968"/>
    <w:rsid w:val="001C41F9"/>
    <w:rsid w:val="001C4C9D"/>
    <w:rsid w:val="001C5A50"/>
    <w:rsid w:val="001C682C"/>
    <w:rsid w:val="001D441D"/>
    <w:rsid w:val="001D4DFA"/>
    <w:rsid w:val="001D556B"/>
    <w:rsid w:val="001D5F9C"/>
    <w:rsid w:val="001D754C"/>
    <w:rsid w:val="001D75F1"/>
    <w:rsid w:val="001E0225"/>
    <w:rsid w:val="001E4F2D"/>
    <w:rsid w:val="001E5430"/>
    <w:rsid w:val="001F0C7F"/>
    <w:rsid w:val="001F0F37"/>
    <w:rsid w:val="001F4089"/>
    <w:rsid w:val="00200080"/>
    <w:rsid w:val="002014EB"/>
    <w:rsid w:val="00213AA1"/>
    <w:rsid w:val="00216165"/>
    <w:rsid w:val="002168E4"/>
    <w:rsid w:val="00217EDB"/>
    <w:rsid w:val="00220624"/>
    <w:rsid w:val="00220BEE"/>
    <w:rsid w:val="00222C9E"/>
    <w:rsid w:val="002304B6"/>
    <w:rsid w:val="002326C3"/>
    <w:rsid w:val="00235DA1"/>
    <w:rsid w:val="00240B08"/>
    <w:rsid w:val="002410D8"/>
    <w:rsid w:val="00241923"/>
    <w:rsid w:val="00243F57"/>
    <w:rsid w:val="00244BB4"/>
    <w:rsid w:val="002508F8"/>
    <w:rsid w:val="00254F51"/>
    <w:rsid w:val="002551A0"/>
    <w:rsid w:val="002578AD"/>
    <w:rsid w:val="00262552"/>
    <w:rsid w:val="002669C2"/>
    <w:rsid w:val="00273B4B"/>
    <w:rsid w:val="00274D44"/>
    <w:rsid w:val="002830CF"/>
    <w:rsid w:val="002913EC"/>
    <w:rsid w:val="00291C93"/>
    <w:rsid w:val="002934F8"/>
    <w:rsid w:val="00295904"/>
    <w:rsid w:val="00295B92"/>
    <w:rsid w:val="002A0552"/>
    <w:rsid w:val="002A1DBE"/>
    <w:rsid w:val="002A2F63"/>
    <w:rsid w:val="002A6773"/>
    <w:rsid w:val="002A7392"/>
    <w:rsid w:val="002B494A"/>
    <w:rsid w:val="002B4B38"/>
    <w:rsid w:val="002C1B3C"/>
    <w:rsid w:val="002C4D6C"/>
    <w:rsid w:val="002C579E"/>
    <w:rsid w:val="002C770F"/>
    <w:rsid w:val="002D0648"/>
    <w:rsid w:val="002D2F93"/>
    <w:rsid w:val="002D367A"/>
    <w:rsid w:val="002E0C9D"/>
    <w:rsid w:val="002E1B58"/>
    <w:rsid w:val="002E2308"/>
    <w:rsid w:val="002E5901"/>
    <w:rsid w:val="002E60CF"/>
    <w:rsid w:val="002E747C"/>
    <w:rsid w:val="002E7C9C"/>
    <w:rsid w:val="002F0A50"/>
    <w:rsid w:val="002F310C"/>
    <w:rsid w:val="002F35D9"/>
    <w:rsid w:val="002F67DF"/>
    <w:rsid w:val="003000F2"/>
    <w:rsid w:val="003006D5"/>
    <w:rsid w:val="00303241"/>
    <w:rsid w:val="003117DF"/>
    <w:rsid w:val="0031303E"/>
    <w:rsid w:val="0031649A"/>
    <w:rsid w:val="0032021F"/>
    <w:rsid w:val="00321C82"/>
    <w:rsid w:val="00322291"/>
    <w:rsid w:val="00323FE1"/>
    <w:rsid w:val="003259BA"/>
    <w:rsid w:val="00326A67"/>
    <w:rsid w:val="003273C6"/>
    <w:rsid w:val="00327C4D"/>
    <w:rsid w:val="00330093"/>
    <w:rsid w:val="00330F64"/>
    <w:rsid w:val="00332651"/>
    <w:rsid w:val="00332AE9"/>
    <w:rsid w:val="00332DD1"/>
    <w:rsid w:val="003342BC"/>
    <w:rsid w:val="00336D6F"/>
    <w:rsid w:val="00343330"/>
    <w:rsid w:val="00343A14"/>
    <w:rsid w:val="003444EF"/>
    <w:rsid w:val="003445AF"/>
    <w:rsid w:val="0034579B"/>
    <w:rsid w:val="00350165"/>
    <w:rsid w:val="00355268"/>
    <w:rsid w:val="00361640"/>
    <w:rsid w:val="00362CAD"/>
    <w:rsid w:val="00363198"/>
    <w:rsid w:val="00366489"/>
    <w:rsid w:val="00366DCD"/>
    <w:rsid w:val="003712BE"/>
    <w:rsid w:val="003715F5"/>
    <w:rsid w:val="003744BC"/>
    <w:rsid w:val="003767DB"/>
    <w:rsid w:val="00380104"/>
    <w:rsid w:val="00380C22"/>
    <w:rsid w:val="00380D4E"/>
    <w:rsid w:val="0038749F"/>
    <w:rsid w:val="0039273A"/>
    <w:rsid w:val="00394A0E"/>
    <w:rsid w:val="003951B2"/>
    <w:rsid w:val="003962E0"/>
    <w:rsid w:val="0039777C"/>
    <w:rsid w:val="003A0AFC"/>
    <w:rsid w:val="003A1976"/>
    <w:rsid w:val="003A4B15"/>
    <w:rsid w:val="003B098B"/>
    <w:rsid w:val="003B2D11"/>
    <w:rsid w:val="003B2D5D"/>
    <w:rsid w:val="003B62E3"/>
    <w:rsid w:val="003C0837"/>
    <w:rsid w:val="003C123B"/>
    <w:rsid w:val="003C3073"/>
    <w:rsid w:val="003D12F1"/>
    <w:rsid w:val="003D21E2"/>
    <w:rsid w:val="003D2AD6"/>
    <w:rsid w:val="003D5B05"/>
    <w:rsid w:val="003D71D8"/>
    <w:rsid w:val="003D7393"/>
    <w:rsid w:val="003E154A"/>
    <w:rsid w:val="003E1E16"/>
    <w:rsid w:val="003E330E"/>
    <w:rsid w:val="003E3E3A"/>
    <w:rsid w:val="003E4B5A"/>
    <w:rsid w:val="003E4EE8"/>
    <w:rsid w:val="003F0446"/>
    <w:rsid w:val="003F1733"/>
    <w:rsid w:val="003F18D4"/>
    <w:rsid w:val="003F1A48"/>
    <w:rsid w:val="003F3F88"/>
    <w:rsid w:val="003F6427"/>
    <w:rsid w:val="003F7008"/>
    <w:rsid w:val="00400BD8"/>
    <w:rsid w:val="00400DBF"/>
    <w:rsid w:val="00402C82"/>
    <w:rsid w:val="00403E9E"/>
    <w:rsid w:val="00403FA1"/>
    <w:rsid w:val="004042E0"/>
    <w:rsid w:val="004056BB"/>
    <w:rsid w:val="00407AA2"/>
    <w:rsid w:val="004116FD"/>
    <w:rsid w:val="0041360A"/>
    <w:rsid w:val="00416811"/>
    <w:rsid w:val="00417720"/>
    <w:rsid w:val="00430031"/>
    <w:rsid w:val="0043013A"/>
    <w:rsid w:val="00430A7E"/>
    <w:rsid w:val="004312A3"/>
    <w:rsid w:val="00432060"/>
    <w:rsid w:val="00442488"/>
    <w:rsid w:val="004510E0"/>
    <w:rsid w:val="00456461"/>
    <w:rsid w:val="00457AD2"/>
    <w:rsid w:val="00457B8B"/>
    <w:rsid w:val="00460DBF"/>
    <w:rsid w:val="004655E8"/>
    <w:rsid w:val="00472B42"/>
    <w:rsid w:val="0047465D"/>
    <w:rsid w:val="00474BAE"/>
    <w:rsid w:val="00475A9A"/>
    <w:rsid w:val="004760D7"/>
    <w:rsid w:val="00483E3B"/>
    <w:rsid w:val="00484131"/>
    <w:rsid w:val="00484A4C"/>
    <w:rsid w:val="00484D64"/>
    <w:rsid w:val="00487B05"/>
    <w:rsid w:val="004902B1"/>
    <w:rsid w:val="004903B9"/>
    <w:rsid w:val="004921A9"/>
    <w:rsid w:val="00492F8C"/>
    <w:rsid w:val="00495679"/>
    <w:rsid w:val="004A091E"/>
    <w:rsid w:val="004A2223"/>
    <w:rsid w:val="004A2C36"/>
    <w:rsid w:val="004A373D"/>
    <w:rsid w:val="004A7B3C"/>
    <w:rsid w:val="004B09CE"/>
    <w:rsid w:val="004B4058"/>
    <w:rsid w:val="004B4CED"/>
    <w:rsid w:val="004B5679"/>
    <w:rsid w:val="004B7071"/>
    <w:rsid w:val="004C0C3B"/>
    <w:rsid w:val="004C1B82"/>
    <w:rsid w:val="004C3032"/>
    <w:rsid w:val="004C40EE"/>
    <w:rsid w:val="004C4633"/>
    <w:rsid w:val="004D03F4"/>
    <w:rsid w:val="004D0D9C"/>
    <w:rsid w:val="004D14EB"/>
    <w:rsid w:val="004D1E8D"/>
    <w:rsid w:val="004D3210"/>
    <w:rsid w:val="004D3783"/>
    <w:rsid w:val="004D3B8F"/>
    <w:rsid w:val="004D4203"/>
    <w:rsid w:val="004D505A"/>
    <w:rsid w:val="004E106E"/>
    <w:rsid w:val="004E2D2E"/>
    <w:rsid w:val="004E4580"/>
    <w:rsid w:val="004F2A6C"/>
    <w:rsid w:val="004F3BBE"/>
    <w:rsid w:val="004F5D02"/>
    <w:rsid w:val="004F6D40"/>
    <w:rsid w:val="004F6DD3"/>
    <w:rsid w:val="004F783A"/>
    <w:rsid w:val="004F7EBE"/>
    <w:rsid w:val="005001B2"/>
    <w:rsid w:val="00500299"/>
    <w:rsid w:val="005015E0"/>
    <w:rsid w:val="00510259"/>
    <w:rsid w:val="00510987"/>
    <w:rsid w:val="005116D9"/>
    <w:rsid w:val="00513A8B"/>
    <w:rsid w:val="00516C76"/>
    <w:rsid w:val="00520DF6"/>
    <w:rsid w:val="00521628"/>
    <w:rsid w:val="00523E33"/>
    <w:rsid w:val="0052511C"/>
    <w:rsid w:val="005274FD"/>
    <w:rsid w:val="005276EC"/>
    <w:rsid w:val="00540154"/>
    <w:rsid w:val="00540AC2"/>
    <w:rsid w:val="00542E60"/>
    <w:rsid w:val="00546D79"/>
    <w:rsid w:val="00547ACE"/>
    <w:rsid w:val="00550837"/>
    <w:rsid w:val="00550C8C"/>
    <w:rsid w:val="00552A66"/>
    <w:rsid w:val="00557B22"/>
    <w:rsid w:val="00557D28"/>
    <w:rsid w:val="00560431"/>
    <w:rsid w:val="00561421"/>
    <w:rsid w:val="00561EAC"/>
    <w:rsid w:val="005622DB"/>
    <w:rsid w:val="00562829"/>
    <w:rsid w:val="00563C38"/>
    <w:rsid w:val="005645FE"/>
    <w:rsid w:val="005659E4"/>
    <w:rsid w:val="00565D32"/>
    <w:rsid w:val="00570174"/>
    <w:rsid w:val="00570AAD"/>
    <w:rsid w:val="0057179A"/>
    <w:rsid w:val="005754CA"/>
    <w:rsid w:val="00577323"/>
    <w:rsid w:val="00577D3C"/>
    <w:rsid w:val="00581B32"/>
    <w:rsid w:val="00581F3E"/>
    <w:rsid w:val="005828A2"/>
    <w:rsid w:val="00584CC7"/>
    <w:rsid w:val="0058794E"/>
    <w:rsid w:val="00590C4E"/>
    <w:rsid w:val="00591F2D"/>
    <w:rsid w:val="0059434A"/>
    <w:rsid w:val="00594F01"/>
    <w:rsid w:val="0059563A"/>
    <w:rsid w:val="0059712E"/>
    <w:rsid w:val="005A53C3"/>
    <w:rsid w:val="005A7B1F"/>
    <w:rsid w:val="005B3DC2"/>
    <w:rsid w:val="005C0378"/>
    <w:rsid w:val="005C1960"/>
    <w:rsid w:val="005C323A"/>
    <w:rsid w:val="005C3DC4"/>
    <w:rsid w:val="005C4D28"/>
    <w:rsid w:val="005C565F"/>
    <w:rsid w:val="005D01A8"/>
    <w:rsid w:val="005D2AEC"/>
    <w:rsid w:val="005D4657"/>
    <w:rsid w:val="005D4ED9"/>
    <w:rsid w:val="005E1527"/>
    <w:rsid w:val="005E56C6"/>
    <w:rsid w:val="005E69EA"/>
    <w:rsid w:val="005F104C"/>
    <w:rsid w:val="005F5102"/>
    <w:rsid w:val="0060505E"/>
    <w:rsid w:val="00605C3A"/>
    <w:rsid w:val="00606B51"/>
    <w:rsid w:val="006071E4"/>
    <w:rsid w:val="0060799E"/>
    <w:rsid w:val="00610EB4"/>
    <w:rsid w:val="00610FA6"/>
    <w:rsid w:val="00616A00"/>
    <w:rsid w:val="006235A2"/>
    <w:rsid w:val="00625B62"/>
    <w:rsid w:val="0063226D"/>
    <w:rsid w:val="00632306"/>
    <w:rsid w:val="006410DE"/>
    <w:rsid w:val="00644D51"/>
    <w:rsid w:val="00645CE5"/>
    <w:rsid w:val="00647AF4"/>
    <w:rsid w:val="0065078B"/>
    <w:rsid w:val="00650BFD"/>
    <w:rsid w:val="00652B2C"/>
    <w:rsid w:val="00657120"/>
    <w:rsid w:val="006611EE"/>
    <w:rsid w:val="00662430"/>
    <w:rsid w:val="00662541"/>
    <w:rsid w:val="006647C1"/>
    <w:rsid w:val="0067069E"/>
    <w:rsid w:val="00672644"/>
    <w:rsid w:val="00672C81"/>
    <w:rsid w:val="006735D4"/>
    <w:rsid w:val="00673E82"/>
    <w:rsid w:val="0067693A"/>
    <w:rsid w:val="006770C5"/>
    <w:rsid w:val="00680BEB"/>
    <w:rsid w:val="00683F15"/>
    <w:rsid w:val="006841F9"/>
    <w:rsid w:val="006858F1"/>
    <w:rsid w:val="00686527"/>
    <w:rsid w:val="00686548"/>
    <w:rsid w:val="0068732E"/>
    <w:rsid w:val="00692FBE"/>
    <w:rsid w:val="00695141"/>
    <w:rsid w:val="0069587D"/>
    <w:rsid w:val="00697FCF"/>
    <w:rsid w:val="006A5AC9"/>
    <w:rsid w:val="006A661B"/>
    <w:rsid w:val="006B09A7"/>
    <w:rsid w:val="006B116D"/>
    <w:rsid w:val="006B1783"/>
    <w:rsid w:val="006B23F5"/>
    <w:rsid w:val="006B3D6E"/>
    <w:rsid w:val="006B5269"/>
    <w:rsid w:val="006B6E70"/>
    <w:rsid w:val="006C1B27"/>
    <w:rsid w:val="006C24EC"/>
    <w:rsid w:val="006C45D4"/>
    <w:rsid w:val="006C4DCB"/>
    <w:rsid w:val="006C66EF"/>
    <w:rsid w:val="006C7A97"/>
    <w:rsid w:val="006D2A65"/>
    <w:rsid w:val="006D79BC"/>
    <w:rsid w:val="006E1482"/>
    <w:rsid w:val="006F2E03"/>
    <w:rsid w:val="00703AD3"/>
    <w:rsid w:val="0070631E"/>
    <w:rsid w:val="00715088"/>
    <w:rsid w:val="00716011"/>
    <w:rsid w:val="00716214"/>
    <w:rsid w:val="00716FF7"/>
    <w:rsid w:val="00717253"/>
    <w:rsid w:val="00723740"/>
    <w:rsid w:val="00725816"/>
    <w:rsid w:val="007277A5"/>
    <w:rsid w:val="00727CB7"/>
    <w:rsid w:val="00730729"/>
    <w:rsid w:val="007316A0"/>
    <w:rsid w:val="00731C11"/>
    <w:rsid w:val="00734693"/>
    <w:rsid w:val="00736A45"/>
    <w:rsid w:val="0073729D"/>
    <w:rsid w:val="00737504"/>
    <w:rsid w:val="00743990"/>
    <w:rsid w:val="007449D8"/>
    <w:rsid w:val="00744C49"/>
    <w:rsid w:val="007475AB"/>
    <w:rsid w:val="00750EAD"/>
    <w:rsid w:val="00750FB2"/>
    <w:rsid w:val="007567FE"/>
    <w:rsid w:val="007570D7"/>
    <w:rsid w:val="00757649"/>
    <w:rsid w:val="007602BF"/>
    <w:rsid w:val="0076070F"/>
    <w:rsid w:val="00763D93"/>
    <w:rsid w:val="007673F5"/>
    <w:rsid w:val="00772D59"/>
    <w:rsid w:val="00776A1E"/>
    <w:rsid w:val="007770D9"/>
    <w:rsid w:val="00781715"/>
    <w:rsid w:val="00782214"/>
    <w:rsid w:val="007822FB"/>
    <w:rsid w:val="00782D68"/>
    <w:rsid w:val="007832F2"/>
    <w:rsid w:val="0078395D"/>
    <w:rsid w:val="00785C54"/>
    <w:rsid w:val="00785FD2"/>
    <w:rsid w:val="00791154"/>
    <w:rsid w:val="007917B0"/>
    <w:rsid w:val="00797577"/>
    <w:rsid w:val="007A0849"/>
    <w:rsid w:val="007A08D5"/>
    <w:rsid w:val="007A3E5E"/>
    <w:rsid w:val="007A477F"/>
    <w:rsid w:val="007B1B23"/>
    <w:rsid w:val="007B2AD8"/>
    <w:rsid w:val="007B2BC4"/>
    <w:rsid w:val="007C0044"/>
    <w:rsid w:val="007C02C3"/>
    <w:rsid w:val="007C0FB1"/>
    <w:rsid w:val="007C3C19"/>
    <w:rsid w:val="007C5444"/>
    <w:rsid w:val="007D103C"/>
    <w:rsid w:val="007D2D31"/>
    <w:rsid w:val="007D3F21"/>
    <w:rsid w:val="007D72E3"/>
    <w:rsid w:val="007D7AAA"/>
    <w:rsid w:val="007E2CA1"/>
    <w:rsid w:val="007E31C7"/>
    <w:rsid w:val="007E7C93"/>
    <w:rsid w:val="007F0CD9"/>
    <w:rsid w:val="007F30D6"/>
    <w:rsid w:val="007F61CA"/>
    <w:rsid w:val="00801162"/>
    <w:rsid w:val="00801501"/>
    <w:rsid w:val="00801837"/>
    <w:rsid w:val="008027DB"/>
    <w:rsid w:val="00802BB2"/>
    <w:rsid w:val="00803B9C"/>
    <w:rsid w:val="00810F14"/>
    <w:rsid w:val="008120A7"/>
    <w:rsid w:val="00813CC7"/>
    <w:rsid w:val="00814528"/>
    <w:rsid w:val="00816D51"/>
    <w:rsid w:val="00820293"/>
    <w:rsid w:val="00820FEC"/>
    <w:rsid w:val="0082781A"/>
    <w:rsid w:val="00827D0B"/>
    <w:rsid w:val="00830FF6"/>
    <w:rsid w:val="00832316"/>
    <w:rsid w:val="00840288"/>
    <w:rsid w:val="008413FF"/>
    <w:rsid w:val="00843122"/>
    <w:rsid w:val="00843A76"/>
    <w:rsid w:val="00843E5E"/>
    <w:rsid w:val="00844110"/>
    <w:rsid w:val="00844917"/>
    <w:rsid w:val="0084548F"/>
    <w:rsid w:val="00847D9B"/>
    <w:rsid w:val="00855078"/>
    <w:rsid w:val="00855129"/>
    <w:rsid w:val="008565E2"/>
    <w:rsid w:val="00857647"/>
    <w:rsid w:val="008577DD"/>
    <w:rsid w:val="0086521C"/>
    <w:rsid w:val="0086603E"/>
    <w:rsid w:val="00867F82"/>
    <w:rsid w:val="00871FB9"/>
    <w:rsid w:val="00874C1B"/>
    <w:rsid w:val="00874C6B"/>
    <w:rsid w:val="00880C5F"/>
    <w:rsid w:val="00880F21"/>
    <w:rsid w:val="0088270C"/>
    <w:rsid w:val="00883CB2"/>
    <w:rsid w:val="0088451E"/>
    <w:rsid w:val="0088506B"/>
    <w:rsid w:val="008871CA"/>
    <w:rsid w:val="008900C1"/>
    <w:rsid w:val="00890A45"/>
    <w:rsid w:val="00893203"/>
    <w:rsid w:val="008A62D0"/>
    <w:rsid w:val="008A796D"/>
    <w:rsid w:val="008B0163"/>
    <w:rsid w:val="008B10E0"/>
    <w:rsid w:val="008B28A6"/>
    <w:rsid w:val="008B36BC"/>
    <w:rsid w:val="008B7CA4"/>
    <w:rsid w:val="008B7D34"/>
    <w:rsid w:val="008C16CE"/>
    <w:rsid w:val="008D0767"/>
    <w:rsid w:val="008D14D1"/>
    <w:rsid w:val="008D1E87"/>
    <w:rsid w:val="008E739D"/>
    <w:rsid w:val="008E7B16"/>
    <w:rsid w:val="008F0622"/>
    <w:rsid w:val="008F0A3B"/>
    <w:rsid w:val="008F0E2F"/>
    <w:rsid w:val="008F1882"/>
    <w:rsid w:val="008F1EC7"/>
    <w:rsid w:val="008F30D5"/>
    <w:rsid w:val="008F5152"/>
    <w:rsid w:val="008F5398"/>
    <w:rsid w:val="008F7867"/>
    <w:rsid w:val="008F7F9D"/>
    <w:rsid w:val="008F7FB6"/>
    <w:rsid w:val="0090054B"/>
    <w:rsid w:val="00900782"/>
    <w:rsid w:val="00900BCC"/>
    <w:rsid w:val="00903903"/>
    <w:rsid w:val="0090523E"/>
    <w:rsid w:val="0090725E"/>
    <w:rsid w:val="00912EFD"/>
    <w:rsid w:val="009133DA"/>
    <w:rsid w:val="0091398B"/>
    <w:rsid w:val="00913A71"/>
    <w:rsid w:val="00916730"/>
    <w:rsid w:val="00917126"/>
    <w:rsid w:val="0092371D"/>
    <w:rsid w:val="00925B79"/>
    <w:rsid w:val="009276B2"/>
    <w:rsid w:val="00930136"/>
    <w:rsid w:val="00931782"/>
    <w:rsid w:val="00931DCA"/>
    <w:rsid w:val="00934168"/>
    <w:rsid w:val="0093525C"/>
    <w:rsid w:val="00940BDD"/>
    <w:rsid w:val="00940F39"/>
    <w:rsid w:val="00945252"/>
    <w:rsid w:val="00945393"/>
    <w:rsid w:val="00946408"/>
    <w:rsid w:val="00946722"/>
    <w:rsid w:val="00947F4D"/>
    <w:rsid w:val="009504B4"/>
    <w:rsid w:val="00952885"/>
    <w:rsid w:val="00953D75"/>
    <w:rsid w:val="00955322"/>
    <w:rsid w:val="00955F4E"/>
    <w:rsid w:val="009573E5"/>
    <w:rsid w:val="00957FA8"/>
    <w:rsid w:val="00960594"/>
    <w:rsid w:val="00960843"/>
    <w:rsid w:val="0096192C"/>
    <w:rsid w:val="0096517C"/>
    <w:rsid w:val="0096718D"/>
    <w:rsid w:val="009701E6"/>
    <w:rsid w:val="00974302"/>
    <w:rsid w:val="00974379"/>
    <w:rsid w:val="00975E1D"/>
    <w:rsid w:val="0097692C"/>
    <w:rsid w:val="00976E46"/>
    <w:rsid w:val="009775C7"/>
    <w:rsid w:val="00980421"/>
    <w:rsid w:val="00980437"/>
    <w:rsid w:val="00984FAD"/>
    <w:rsid w:val="00986EE1"/>
    <w:rsid w:val="009903C5"/>
    <w:rsid w:val="00991767"/>
    <w:rsid w:val="00994239"/>
    <w:rsid w:val="00995B7B"/>
    <w:rsid w:val="0099615B"/>
    <w:rsid w:val="009961A4"/>
    <w:rsid w:val="009A0045"/>
    <w:rsid w:val="009A1CE2"/>
    <w:rsid w:val="009A4320"/>
    <w:rsid w:val="009A4854"/>
    <w:rsid w:val="009B5F96"/>
    <w:rsid w:val="009C14A3"/>
    <w:rsid w:val="009C55EC"/>
    <w:rsid w:val="009C6AD3"/>
    <w:rsid w:val="009C7EF8"/>
    <w:rsid w:val="009D1A21"/>
    <w:rsid w:val="009D58D2"/>
    <w:rsid w:val="009E00EB"/>
    <w:rsid w:val="009E6BE9"/>
    <w:rsid w:val="009E77CF"/>
    <w:rsid w:val="009F1B0F"/>
    <w:rsid w:val="009F6BBB"/>
    <w:rsid w:val="009F7650"/>
    <w:rsid w:val="00A01460"/>
    <w:rsid w:val="00A014CA"/>
    <w:rsid w:val="00A049E6"/>
    <w:rsid w:val="00A04E65"/>
    <w:rsid w:val="00A04ECB"/>
    <w:rsid w:val="00A05014"/>
    <w:rsid w:val="00A067FD"/>
    <w:rsid w:val="00A10DDA"/>
    <w:rsid w:val="00A12082"/>
    <w:rsid w:val="00A12B3F"/>
    <w:rsid w:val="00A1517B"/>
    <w:rsid w:val="00A159C3"/>
    <w:rsid w:val="00A15A9D"/>
    <w:rsid w:val="00A21071"/>
    <w:rsid w:val="00A2159C"/>
    <w:rsid w:val="00A30996"/>
    <w:rsid w:val="00A30A9E"/>
    <w:rsid w:val="00A31501"/>
    <w:rsid w:val="00A32177"/>
    <w:rsid w:val="00A34C0E"/>
    <w:rsid w:val="00A35303"/>
    <w:rsid w:val="00A37105"/>
    <w:rsid w:val="00A372C4"/>
    <w:rsid w:val="00A41E1A"/>
    <w:rsid w:val="00A434F7"/>
    <w:rsid w:val="00A43831"/>
    <w:rsid w:val="00A4457C"/>
    <w:rsid w:val="00A471B9"/>
    <w:rsid w:val="00A508F2"/>
    <w:rsid w:val="00A528BE"/>
    <w:rsid w:val="00A54934"/>
    <w:rsid w:val="00A5585E"/>
    <w:rsid w:val="00A614D1"/>
    <w:rsid w:val="00A61B02"/>
    <w:rsid w:val="00A660F3"/>
    <w:rsid w:val="00A70DEF"/>
    <w:rsid w:val="00A73057"/>
    <w:rsid w:val="00A75360"/>
    <w:rsid w:val="00A7546A"/>
    <w:rsid w:val="00A75E3E"/>
    <w:rsid w:val="00A77A76"/>
    <w:rsid w:val="00A814AF"/>
    <w:rsid w:val="00A827E3"/>
    <w:rsid w:val="00A83D82"/>
    <w:rsid w:val="00A8440A"/>
    <w:rsid w:val="00A84A0D"/>
    <w:rsid w:val="00A86B86"/>
    <w:rsid w:val="00A86E56"/>
    <w:rsid w:val="00A87656"/>
    <w:rsid w:val="00A90D95"/>
    <w:rsid w:val="00A9118F"/>
    <w:rsid w:val="00A91387"/>
    <w:rsid w:val="00A9463B"/>
    <w:rsid w:val="00A95B8A"/>
    <w:rsid w:val="00AA1C3D"/>
    <w:rsid w:val="00AA2261"/>
    <w:rsid w:val="00AA5B50"/>
    <w:rsid w:val="00AA5DBB"/>
    <w:rsid w:val="00AB1F17"/>
    <w:rsid w:val="00AB7176"/>
    <w:rsid w:val="00AB7868"/>
    <w:rsid w:val="00AB7936"/>
    <w:rsid w:val="00AC1C89"/>
    <w:rsid w:val="00AC20F5"/>
    <w:rsid w:val="00AC3D2E"/>
    <w:rsid w:val="00AC4B61"/>
    <w:rsid w:val="00AD480C"/>
    <w:rsid w:val="00AD484B"/>
    <w:rsid w:val="00AD6984"/>
    <w:rsid w:val="00AD6EBE"/>
    <w:rsid w:val="00AE0AFD"/>
    <w:rsid w:val="00AE3506"/>
    <w:rsid w:val="00AE3EC5"/>
    <w:rsid w:val="00AE406C"/>
    <w:rsid w:val="00AE6415"/>
    <w:rsid w:val="00AF0F76"/>
    <w:rsid w:val="00AF22B7"/>
    <w:rsid w:val="00AF3873"/>
    <w:rsid w:val="00AF3F4A"/>
    <w:rsid w:val="00AF5034"/>
    <w:rsid w:val="00AF5879"/>
    <w:rsid w:val="00B06E81"/>
    <w:rsid w:val="00B06FC6"/>
    <w:rsid w:val="00B07337"/>
    <w:rsid w:val="00B07BCD"/>
    <w:rsid w:val="00B10CEB"/>
    <w:rsid w:val="00B122DB"/>
    <w:rsid w:val="00B12327"/>
    <w:rsid w:val="00B15AD1"/>
    <w:rsid w:val="00B15D61"/>
    <w:rsid w:val="00B16CD0"/>
    <w:rsid w:val="00B201F7"/>
    <w:rsid w:val="00B20AD8"/>
    <w:rsid w:val="00B24E62"/>
    <w:rsid w:val="00B255B6"/>
    <w:rsid w:val="00B3087B"/>
    <w:rsid w:val="00B33526"/>
    <w:rsid w:val="00B36262"/>
    <w:rsid w:val="00B41850"/>
    <w:rsid w:val="00B433D5"/>
    <w:rsid w:val="00B475A2"/>
    <w:rsid w:val="00B475EA"/>
    <w:rsid w:val="00B479CA"/>
    <w:rsid w:val="00B47DBB"/>
    <w:rsid w:val="00B50020"/>
    <w:rsid w:val="00B515EF"/>
    <w:rsid w:val="00B53441"/>
    <w:rsid w:val="00B5345B"/>
    <w:rsid w:val="00B5446E"/>
    <w:rsid w:val="00B55318"/>
    <w:rsid w:val="00B55987"/>
    <w:rsid w:val="00B56085"/>
    <w:rsid w:val="00B56E80"/>
    <w:rsid w:val="00B60207"/>
    <w:rsid w:val="00B6075B"/>
    <w:rsid w:val="00B61170"/>
    <w:rsid w:val="00B62766"/>
    <w:rsid w:val="00B6377F"/>
    <w:rsid w:val="00B64D20"/>
    <w:rsid w:val="00B66591"/>
    <w:rsid w:val="00B6689C"/>
    <w:rsid w:val="00B66A36"/>
    <w:rsid w:val="00B70F35"/>
    <w:rsid w:val="00B731F1"/>
    <w:rsid w:val="00B747BA"/>
    <w:rsid w:val="00B74B95"/>
    <w:rsid w:val="00B75629"/>
    <w:rsid w:val="00B7576E"/>
    <w:rsid w:val="00B8027A"/>
    <w:rsid w:val="00B809CB"/>
    <w:rsid w:val="00B815A0"/>
    <w:rsid w:val="00B82199"/>
    <w:rsid w:val="00B8265B"/>
    <w:rsid w:val="00B84D3E"/>
    <w:rsid w:val="00B86227"/>
    <w:rsid w:val="00B866EC"/>
    <w:rsid w:val="00B87744"/>
    <w:rsid w:val="00B90498"/>
    <w:rsid w:val="00B92986"/>
    <w:rsid w:val="00BA04E0"/>
    <w:rsid w:val="00BA0BEF"/>
    <w:rsid w:val="00BA0F15"/>
    <w:rsid w:val="00BA1061"/>
    <w:rsid w:val="00BA1723"/>
    <w:rsid w:val="00BA1754"/>
    <w:rsid w:val="00BA424F"/>
    <w:rsid w:val="00BA42AF"/>
    <w:rsid w:val="00BA49EE"/>
    <w:rsid w:val="00BA6485"/>
    <w:rsid w:val="00BA7AD6"/>
    <w:rsid w:val="00BB2523"/>
    <w:rsid w:val="00BB2641"/>
    <w:rsid w:val="00BB2D94"/>
    <w:rsid w:val="00BB7075"/>
    <w:rsid w:val="00BC1545"/>
    <w:rsid w:val="00BC328B"/>
    <w:rsid w:val="00BC3370"/>
    <w:rsid w:val="00BC6C89"/>
    <w:rsid w:val="00BD1152"/>
    <w:rsid w:val="00BD3132"/>
    <w:rsid w:val="00BD349F"/>
    <w:rsid w:val="00BD4B7E"/>
    <w:rsid w:val="00BD7923"/>
    <w:rsid w:val="00BE0A70"/>
    <w:rsid w:val="00BE40E1"/>
    <w:rsid w:val="00BE48C9"/>
    <w:rsid w:val="00BE56F3"/>
    <w:rsid w:val="00BE6444"/>
    <w:rsid w:val="00BE72E7"/>
    <w:rsid w:val="00BE77FE"/>
    <w:rsid w:val="00BF2434"/>
    <w:rsid w:val="00BF46BF"/>
    <w:rsid w:val="00C00069"/>
    <w:rsid w:val="00C034A3"/>
    <w:rsid w:val="00C05713"/>
    <w:rsid w:val="00C10A8E"/>
    <w:rsid w:val="00C14971"/>
    <w:rsid w:val="00C156E4"/>
    <w:rsid w:val="00C16610"/>
    <w:rsid w:val="00C24072"/>
    <w:rsid w:val="00C24BC0"/>
    <w:rsid w:val="00C27296"/>
    <w:rsid w:val="00C27F12"/>
    <w:rsid w:val="00C3548A"/>
    <w:rsid w:val="00C36334"/>
    <w:rsid w:val="00C36C30"/>
    <w:rsid w:val="00C40F1A"/>
    <w:rsid w:val="00C4165F"/>
    <w:rsid w:val="00C43B00"/>
    <w:rsid w:val="00C44F50"/>
    <w:rsid w:val="00C46DD3"/>
    <w:rsid w:val="00C478DF"/>
    <w:rsid w:val="00C52239"/>
    <w:rsid w:val="00C5303F"/>
    <w:rsid w:val="00C53583"/>
    <w:rsid w:val="00C53987"/>
    <w:rsid w:val="00C547F0"/>
    <w:rsid w:val="00C560DC"/>
    <w:rsid w:val="00C57B92"/>
    <w:rsid w:val="00C60F46"/>
    <w:rsid w:val="00C61046"/>
    <w:rsid w:val="00C630A1"/>
    <w:rsid w:val="00C6766C"/>
    <w:rsid w:val="00C70405"/>
    <w:rsid w:val="00C717BD"/>
    <w:rsid w:val="00C72362"/>
    <w:rsid w:val="00C72715"/>
    <w:rsid w:val="00C72A61"/>
    <w:rsid w:val="00C73C8C"/>
    <w:rsid w:val="00C77F11"/>
    <w:rsid w:val="00C8064A"/>
    <w:rsid w:val="00C8291F"/>
    <w:rsid w:val="00C830B4"/>
    <w:rsid w:val="00C830DA"/>
    <w:rsid w:val="00C85822"/>
    <w:rsid w:val="00C85D56"/>
    <w:rsid w:val="00C86814"/>
    <w:rsid w:val="00C9124B"/>
    <w:rsid w:val="00C934C4"/>
    <w:rsid w:val="00C93C57"/>
    <w:rsid w:val="00C96313"/>
    <w:rsid w:val="00C96CF3"/>
    <w:rsid w:val="00CA2845"/>
    <w:rsid w:val="00CA2AF8"/>
    <w:rsid w:val="00CA3D9F"/>
    <w:rsid w:val="00CA626A"/>
    <w:rsid w:val="00CA732F"/>
    <w:rsid w:val="00CB0C6E"/>
    <w:rsid w:val="00CB32DB"/>
    <w:rsid w:val="00CB367D"/>
    <w:rsid w:val="00CB5440"/>
    <w:rsid w:val="00CB5CDE"/>
    <w:rsid w:val="00CB61EE"/>
    <w:rsid w:val="00CB6B8A"/>
    <w:rsid w:val="00CB7B53"/>
    <w:rsid w:val="00CC06B7"/>
    <w:rsid w:val="00CC2AFE"/>
    <w:rsid w:val="00CC304F"/>
    <w:rsid w:val="00CC7761"/>
    <w:rsid w:val="00CD52E6"/>
    <w:rsid w:val="00CD7CC4"/>
    <w:rsid w:val="00CE244F"/>
    <w:rsid w:val="00CE2C7D"/>
    <w:rsid w:val="00CE5238"/>
    <w:rsid w:val="00CE7879"/>
    <w:rsid w:val="00CE79A3"/>
    <w:rsid w:val="00CE7F21"/>
    <w:rsid w:val="00CF1D4C"/>
    <w:rsid w:val="00CF21C3"/>
    <w:rsid w:val="00CF2B80"/>
    <w:rsid w:val="00CF2CC4"/>
    <w:rsid w:val="00CF3B5B"/>
    <w:rsid w:val="00CF3ED3"/>
    <w:rsid w:val="00D025F1"/>
    <w:rsid w:val="00D03C4A"/>
    <w:rsid w:val="00D076CF"/>
    <w:rsid w:val="00D132C0"/>
    <w:rsid w:val="00D156BC"/>
    <w:rsid w:val="00D207F1"/>
    <w:rsid w:val="00D21A34"/>
    <w:rsid w:val="00D23219"/>
    <w:rsid w:val="00D24C37"/>
    <w:rsid w:val="00D273EE"/>
    <w:rsid w:val="00D27606"/>
    <w:rsid w:val="00D31A67"/>
    <w:rsid w:val="00D330A4"/>
    <w:rsid w:val="00D34A1D"/>
    <w:rsid w:val="00D37439"/>
    <w:rsid w:val="00D41876"/>
    <w:rsid w:val="00D44E9B"/>
    <w:rsid w:val="00D46AE2"/>
    <w:rsid w:val="00D4773E"/>
    <w:rsid w:val="00D47CB4"/>
    <w:rsid w:val="00D50422"/>
    <w:rsid w:val="00D5071E"/>
    <w:rsid w:val="00D54443"/>
    <w:rsid w:val="00D55407"/>
    <w:rsid w:val="00D61726"/>
    <w:rsid w:val="00D635A2"/>
    <w:rsid w:val="00D70D53"/>
    <w:rsid w:val="00D71AFB"/>
    <w:rsid w:val="00D723B5"/>
    <w:rsid w:val="00D73437"/>
    <w:rsid w:val="00D74012"/>
    <w:rsid w:val="00D76E86"/>
    <w:rsid w:val="00D77AC0"/>
    <w:rsid w:val="00D82B61"/>
    <w:rsid w:val="00D90A1C"/>
    <w:rsid w:val="00D90AE7"/>
    <w:rsid w:val="00D91890"/>
    <w:rsid w:val="00D91D88"/>
    <w:rsid w:val="00D934D9"/>
    <w:rsid w:val="00D934EB"/>
    <w:rsid w:val="00D94253"/>
    <w:rsid w:val="00D94E42"/>
    <w:rsid w:val="00D950DE"/>
    <w:rsid w:val="00DA236E"/>
    <w:rsid w:val="00DA2527"/>
    <w:rsid w:val="00DA39FA"/>
    <w:rsid w:val="00DA3CB1"/>
    <w:rsid w:val="00DA46CC"/>
    <w:rsid w:val="00DB0C90"/>
    <w:rsid w:val="00DB6B6E"/>
    <w:rsid w:val="00DC00A0"/>
    <w:rsid w:val="00DC09EA"/>
    <w:rsid w:val="00DC293B"/>
    <w:rsid w:val="00DC4FCC"/>
    <w:rsid w:val="00DC5234"/>
    <w:rsid w:val="00DC5E6C"/>
    <w:rsid w:val="00DC67C5"/>
    <w:rsid w:val="00DC7127"/>
    <w:rsid w:val="00DD163A"/>
    <w:rsid w:val="00DD3926"/>
    <w:rsid w:val="00DD3B9E"/>
    <w:rsid w:val="00DD69B7"/>
    <w:rsid w:val="00DD7878"/>
    <w:rsid w:val="00DE0426"/>
    <w:rsid w:val="00DE280A"/>
    <w:rsid w:val="00DE2CDD"/>
    <w:rsid w:val="00DE2D8D"/>
    <w:rsid w:val="00DE3E5E"/>
    <w:rsid w:val="00DE53BF"/>
    <w:rsid w:val="00DF0920"/>
    <w:rsid w:val="00DF1194"/>
    <w:rsid w:val="00DF1F8E"/>
    <w:rsid w:val="00DF6EFD"/>
    <w:rsid w:val="00E00CA8"/>
    <w:rsid w:val="00E01CF1"/>
    <w:rsid w:val="00E03B0D"/>
    <w:rsid w:val="00E0430A"/>
    <w:rsid w:val="00E06CE5"/>
    <w:rsid w:val="00E134F2"/>
    <w:rsid w:val="00E14456"/>
    <w:rsid w:val="00E215B9"/>
    <w:rsid w:val="00E22609"/>
    <w:rsid w:val="00E264F7"/>
    <w:rsid w:val="00E27867"/>
    <w:rsid w:val="00E33592"/>
    <w:rsid w:val="00E3400A"/>
    <w:rsid w:val="00E3462E"/>
    <w:rsid w:val="00E37933"/>
    <w:rsid w:val="00E4026F"/>
    <w:rsid w:val="00E4196D"/>
    <w:rsid w:val="00E424A7"/>
    <w:rsid w:val="00E42FB8"/>
    <w:rsid w:val="00E43A4A"/>
    <w:rsid w:val="00E45631"/>
    <w:rsid w:val="00E501E7"/>
    <w:rsid w:val="00E5022F"/>
    <w:rsid w:val="00E510E1"/>
    <w:rsid w:val="00E524CB"/>
    <w:rsid w:val="00E62DEF"/>
    <w:rsid w:val="00E645AF"/>
    <w:rsid w:val="00E6494C"/>
    <w:rsid w:val="00E65527"/>
    <w:rsid w:val="00E74ECA"/>
    <w:rsid w:val="00E76796"/>
    <w:rsid w:val="00E77021"/>
    <w:rsid w:val="00E7727D"/>
    <w:rsid w:val="00E9001C"/>
    <w:rsid w:val="00E92B87"/>
    <w:rsid w:val="00EA31EE"/>
    <w:rsid w:val="00EA32A1"/>
    <w:rsid w:val="00EA34AF"/>
    <w:rsid w:val="00EA35B1"/>
    <w:rsid w:val="00EA5982"/>
    <w:rsid w:val="00EA75B7"/>
    <w:rsid w:val="00EB05AA"/>
    <w:rsid w:val="00EB0C3D"/>
    <w:rsid w:val="00EB222C"/>
    <w:rsid w:val="00EB4A91"/>
    <w:rsid w:val="00EB4EA7"/>
    <w:rsid w:val="00EC0764"/>
    <w:rsid w:val="00EC1E98"/>
    <w:rsid w:val="00EC7B95"/>
    <w:rsid w:val="00ED08A2"/>
    <w:rsid w:val="00ED0A4E"/>
    <w:rsid w:val="00ED0C2B"/>
    <w:rsid w:val="00ED4FA6"/>
    <w:rsid w:val="00ED5D70"/>
    <w:rsid w:val="00EE34A9"/>
    <w:rsid w:val="00EE3C32"/>
    <w:rsid w:val="00EE4DB2"/>
    <w:rsid w:val="00EF0177"/>
    <w:rsid w:val="00EF23F7"/>
    <w:rsid w:val="00EF6564"/>
    <w:rsid w:val="00F02356"/>
    <w:rsid w:val="00F02C41"/>
    <w:rsid w:val="00F04A3E"/>
    <w:rsid w:val="00F05CAA"/>
    <w:rsid w:val="00F05F16"/>
    <w:rsid w:val="00F11A5C"/>
    <w:rsid w:val="00F13890"/>
    <w:rsid w:val="00F14B6B"/>
    <w:rsid w:val="00F14DBD"/>
    <w:rsid w:val="00F15340"/>
    <w:rsid w:val="00F2006C"/>
    <w:rsid w:val="00F213B7"/>
    <w:rsid w:val="00F21E91"/>
    <w:rsid w:val="00F321F5"/>
    <w:rsid w:val="00F333C5"/>
    <w:rsid w:val="00F33626"/>
    <w:rsid w:val="00F33ABC"/>
    <w:rsid w:val="00F34D44"/>
    <w:rsid w:val="00F357A3"/>
    <w:rsid w:val="00F3595D"/>
    <w:rsid w:val="00F405A2"/>
    <w:rsid w:val="00F40743"/>
    <w:rsid w:val="00F40896"/>
    <w:rsid w:val="00F42134"/>
    <w:rsid w:val="00F53B13"/>
    <w:rsid w:val="00F53BC3"/>
    <w:rsid w:val="00F558C8"/>
    <w:rsid w:val="00F57159"/>
    <w:rsid w:val="00F626C2"/>
    <w:rsid w:val="00F63C87"/>
    <w:rsid w:val="00F6452A"/>
    <w:rsid w:val="00F65242"/>
    <w:rsid w:val="00F701AE"/>
    <w:rsid w:val="00F71B9C"/>
    <w:rsid w:val="00F71CF5"/>
    <w:rsid w:val="00F77BAF"/>
    <w:rsid w:val="00F80AC2"/>
    <w:rsid w:val="00F92AAA"/>
    <w:rsid w:val="00F94734"/>
    <w:rsid w:val="00F9585F"/>
    <w:rsid w:val="00F97C1A"/>
    <w:rsid w:val="00FA08BC"/>
    <w:rsid w:val="00FA52BF"/>
    <w:rsid w:val="00FA5D77"/>
    <w:rsid w:val="00FA66B6"/>
    <w:rsid w:val="00FA6BD4"/>
    <w:rsid w:val="00FA72CE"/>
    <w:rsid w:val="00FA76E5"/>
    <w:rsid w:val="00FB08FC"/>
    <w:rsid w:val="00FB1267"/>
    <w:rsid w:val="00FB269B"/>
    <w:rsid w:val="00FB290F"/>
    <w:rsid w:val="00FB3B22"/>
    <w:rsid w:val="00FB4B30"/>
    <w:rsid w:val="00FC127B"/>
    <w:rsid w:val="00FC1656"/>
    <w:rsid w:val="00FC23C7"/>
    <w:rsid w:val="00FC3BBA"/>
    <w:rsid w:val="00FC423E"/>
    <w:rsid w:val="00FC5172"/>
    <w:rsid w:val="00FD15AD"/>
    <w:rsid w:val="00FD454E"/>
    <w:rsid w:val="00FD4685"/>
    <w:rsid w:val="00FE232D"/>
    <w:rsid w:val="00FE51CD"/>
    <w:rsid w:val="00FE5790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2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5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005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8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08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8A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53253"/>
  </w:style>
  <w:style w:type="character" w:customStyle="1" w:styleId="Nagwek1Znak">
    <w:name w:val="Nagłówek 1 Znak"/>
    <w:basedOn w:val="Domylnaczcionkaakapitu"/>
    <w:link w:val="Nagwek1"/>
    <w:uiPriority w:val="9"/>
    <w:rsid w:val="007822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Default">
    <w:name w:val="Default"/>
    <w:rsid w:val="000C60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2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00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00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00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0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0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56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Uwydatnienie">
    <w:name w:val="Emphasis"/>
    <w:basedOn w:val="Domylnaczcionkaakapitu"/>
    <w:uiPriority w:val="20"/>
    <w:qFormat/>
    <w:rsid w:val="00F023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3699</Words>
  <Characters>22199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5</cp:revision>
  <cp:lastPrinted>2022-12-01T14:08:00Z</cp:lastPrinted>
  <dcterms:created xsi:type="dcterms:W3CDTF">2024-04-16T07:08:00Z</dcterms:created>
  <dcterms:modified xsi:type="dcterms:W3CDTF">2024-04-16T10:21:00Z</dcterms:modified>
</cp:coreProperties>
</file>