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CF09" w14:textId="77777777" w:rsidR="009316A3" w:rsidRDefault="009316A3" w:rsidP="00EB5EE5"/>
    <w:p w14:paraId="6358A9FD" w14:textId="69343D3B" w:rsidR="003B55C8" w:rsidRPr="00D847ED" w:rsidRDefault="003B55C8" w:rsidP="00D847ED"/>
    <w:p w14:paraId="5B7E4286" w14:textId="7D957F04" w:rsidR="000336E6" w:rsidRPr="00D847ED" w:rsidRDefault="000336E6" w:rsidP="00D847ED"/>
    <w:p w14:paraId="15CAF2F0" w14:textId="79A374F7" w:rsidR="000336E6" w:rsidRDefault="000336E6" w:rsidP="00EB5EE5"/>
    <w:p w14:paraId="0ECB229E" w14:textId="21FBB6AE" w:rsidR="004D381C" w:rsidRDefault="004D381C" w:rsidP="00EB5EE5"/>
    <w:p w14:paraId="509BFC4A" w14:textId="0B2A7CE0" w:rsidR="004D381C" w:rsidRDefault="004D381C" w:rsidP="00EB5EE5"/>
    <w:p w14:paraId="7805569E" w14:textId="77777777" w:rsidR="004D381C" w:rsidRDefault="004D381C" w:rsidP="00EB5EE5"/>
    <w:p w14:paraId="25D69604" w14:textId="77777777" w:rsidR="00B07B5A" w:rsidRDefault="00B07B5A" w:rsidP="00EB5EE5"/>
    <w:p w14:paraId="3445CD1A" w14:textId="29284EEB" w:rsidR="003B55C8" w:rsidRPr="00DA5A06" w:rsidRDefault="007F01E0" w:rsidP="00664908">
      <w:pPr>
        <w:pStyle w:val="Tytu"/>
        <w:rPr>
          <w:color w:val="538135" w:themeColor="accent6" w:themeShade="BF"/>
        </w:rPr>
      </w:pPr>
      <w:r>
        <w:rPr>
          <w:b w:val="0"/>
          <w:color w:val="538135" w:themeColor="accent6" w:themeShade="BF"/>
        </w:rPr>
        <w:t xml:space="preserve">Podsumowanie </w:t>
      </w:r>
      <w:r>
        <w:rPr>
          <w:b w:val="0"/>
          <w:color w:val="538135" w:themeColor="accent6" w:themeShade="BF"/>
        </w:rPr>
        <w:br/>
      </w:r>
      <w:r w:rsidR="00664908" w:rsidRPr="00664908">
        <w:rPr>
          <w:b w:val="0"/>
          <w:color w:val="538135" w:themeColor="accent6" w:themeShade="BF"/>
        </w:rPr>
        <w:t xml:space="preserve">strategicznej oceny oddziaływania </w:t>
      </w:r>
      <w:r w:rsidR="00664908">
        <w:rPr>
          <w:b w:val="0"/>
          <w:color w:val="538135" w:themeColor="accent6" w:themeShade="BF"/>
        </w:rPr>
        <w:br/>
      </w:r>
      <w:r w:rsidR="00664908" w:rsidRPr="00664908">
        <w:rPr>
          <w:b w:val="0"/>
          <w:color w:val="538135" w:themeColor="accent6" w:themeShade="BF"/>
        </w:rPr>
        <w:t>na środowisko</w:t>
      </w:r>
      <w:r w:rsidR="00664908">
        <w:rPr>
          <w:b w:val="0"/>
          <w:color w:val="538135" w:themeColor="accent6" w:themeShade="BF"/>
        </w:rPr>
        <w:t xml:space="preserve"> </w:t>
      </w:r>
      <w:r w:rsidR="00AE68FD" w:rsidRPr="00DA5A06">
        <w:rPr>
          <w:b w:val="0"/>
          <w:color w:val="538135" w:themeColor="accent6" w:themeShade="BF"/>
        </w:rPr>
        <w:t xml:space="preserve">projektu </w:t>
      </w:r>
      <w:r w:rsidR="002305D3">
        <w:rPr>
          <w:b w:val="0"/>
          <w:color w:val="538135" w:themeColor="accent6" w:themeShade="BF"/>
        </w:rPr>
        <w:t xml:space="preserve">aktualizacji </w:t>
      </w:r>
      <w:r w:rsidR="002305D3">
        <w:rPr>
          <w:b w:val="0"/>
          <w:color w:val="538135" w:themeColor="accent6" w:themeShade="BF"/>
        </w:rPr>
        <w:br/>
        <w:t xml:space="preserve">Krajowego planu gospodarki odpadami </w:t>
      </w:r>
    </w:p>
    <w:p w14:paraId="1750799E" w14:textId="49995B63" w:rsidR="00B164FF" w:rsidRPr="00B164FF" w:rsidRDefault="00B164FF" w:rsidP="00B164FF">
      <w:pPr>
        <w:spacing w:before="2000" w:after="240" w:line="240" w:lineRule="auto"/>
        <w:ind w:firstLine="0"/>
        <w:jc w:val="left"/>
        <w:rPr>
          <w:rFonts w:cstheme="minorHAnsi"/>
          <w:b/>
          <w:sz w:val="32"/>
          <w:szCs w:val="24"/>
        </w:rPr>
      </w:pPr>
      <w:r w:rsidRPr="000A4451">
        <w:rPr>
          <w:rFonts w:cstheme="minorHAnsi"/>
          <w:b/>
          <w:sz w:val="32"/>
          <w:szCs w:val="24"/>
        </w:rPr>
        <w:t xml:space="preserve">Opracowały: </w:t>
      </w:r>
    </w:p>
    <w:p w14:paraId="055672E0" w14:textId="77777777" w:rsidR="00B164FF" w:rsidRPr="00B164FF" w:rsidRDefault="00B164FF" w:rsidP="00B164FF">
      <w:pPr>
        <w:spacing w:before="0" w:after="0" w:line="240" w:lineRule="auto"/>
        <w:ind w:firstLine="0"/>
        <w:jc w:val="left"/>
        <w:rPr>
          <w:rFonts w:cstheme="minorHAnsi"/>
          <w:sz w:val="32"/>
          <w:szCs w:val="40"/>
        </w:rPr>
      </w:pPr>
      <w:r w:rsidRPr="00B164FF">
        <w:rPr>
          <w:rFonts w:cstheme="minorHAnsi"/>
          <w:sz w:val="32"/>
          <w:szCs w:val="40"/>
        </w:rPr>
        <w:t xml:space="preserve">dr Agnieszka Kuśmierz </w:t>
      </w:r>
    </w:p>
    <w:p w14:paraId="6081B1FF" w14:textId="77777777" w:rsidR="00B164FF" w:rsidRPr="00B164FF" w:rsidRDefault="00B164FF" w:rsidP="00B164FF">
      <w:pPr>
        <w:spacing w:before="0" w:after="0" w:line="240" w:lineRule="auto"/>
        <w:ind w:firstLine="0"/>
        <w:jc w:val="left"/>
        <w:rPr>
          <w:rFonts w:cstheme="minorHAnsi"/>
          <w:sz w:val="32"/>
          <w:szCs w:val="40"/>
        </w:rPr>
      </w:pPr>
      <w:r w:rsidRPr="00B164FF">
        <w:rPr>
          <w:rFonts w:cstheme="minorHAnsi"/>
          <w:sz w:val="32"/>
          <w:szCs w:val="40"/>
        </w:rPr>
        <w:t xml:space="preserve">mgr Małgorzata Hajto </w:t>
      </w:r>
    </w:p>
    <w:p w14:paraId="25B1EFCE" w14:textId="61708048" w:rsidR="00DC6DAD" w:rsidRDefault="00E91869" w:rsidP="00B164FF">
      <w:pPr>
        <w:spacing w:before="2760"/>
        <w:ind w:firstLine="0"/>
        <w:jc w:val="center"/>
      </w:pPr>
      <w:r w:rsidRPr="00EB5EE5">
        <w:rPr>
          <w:sz w:val="24"/>
          <w:szCs w:val="24"/>
        </w:rPr>
        <w:t>Warszawa, 202</w:t>
      </w:r>
      <w:r w:rsidR="00664908">
        <w:rPr>
          <w:sz w:val="24"/>
          <w:szCs w:val="24"/>
        </w:rPr>
        <w:t>3</w:t>
      </w:r>
      <w:r w:rsidR="00DC6DAD">
        <w:br w:type="page"/>
      </w:r>
    </w:p>
    <w:p w14:paraId="37FBBE35" w14:textId="49146AB7" w:rsidR="00B9602D" w:rsidRPr="007E08A5" w:rsidRDefault="00624CC9" w:rsidP="00B9602D">
      <w:pPr>
        <w:spacing w:before="0" w:after="160"/>
        <w:ind w:firstLine="0"/>
        <w:jc w:val="left"/>
        <w:rPr>
          <w:rFonts w:cstheme="minorHAnsi"/>
          <w:b/>
          <w:color w:val="538135" w:themeColor="accent6" w:themeShade="BF"/>
          <w:sz w:val="24"/>
          <w:szCs w:val="24"/>
        </w:rPr>
      </w:pPr>
      <w:r w:rsidRPr="007E08A5">
        <w:rPr>
          <w:rFonts w:cstheme="minorHAnsi"/>
          <w:b/>
          <w:color w:val="538135" w:themeColor="accent6" w:themeShade="BF"/>
          <w:sz w:val="24"/>
          <w:szCs w:val="24"/>
        </w:rPr>
        <w:lastRenderedPageBreak/>
        <w:t>SPIS TREŚCI</w:t>
      </w:r>
    </w:p>
    <w:p w14:paraId="546D7A87" w14:textId="06656846" w:rsidR="00B359AC" w:rsidRDefault="00D55AC8">
      <w:pPr>
        <w:pStyle w:val="Spistreci1"/>
        <w:rPr>
          <w:rFonts w:eastAsiaTheme="minorEastAsia"/>
          <w:noProof/>
          <w:lang w:eastAsia="pl-PL"/>
        </w:rPr>
      </w:pPr>
      <w:r w:rsidRPr="002D6778">
        <w:rPr>
          <w:rFonts w:cstheme="minorHAnsi"/>
          <w:sz w:val="18"/>
          <w:szCs w:val="18"/>
        </w:rPr>
        <w:fldChar w:fldCharType="begin"/>
      </w:r>
      <w:r w:rsidRPr="002D6778">
        <w:rPr>
          <w:rFonts w:cstheme="minorHAnsi"/>
          <w:sz w:val="18"/>
          <w:szCs w:val="18"/>
        </w:rPr>
        <w:instrText xml:space="preserve"> TOC \o "1-3" \h \z \u </w:instrText>
      </w:r>
      <w:r w:rsidRPr="002D6778">
        <w:rPr>
          <w:rFonts w:cstheme="minorHAnsi"/>
          <w:sz w:val="18"/>
          <w:szCs w:val="18"/>
        </w:rPr>
        <w:fldChar w:fldCharType="separate"/>
      </w:r>
      <w:hyperlink w:anchor="_Toc129596933" w:history="1">
        <w:r w:rsidR="00B359AC" w:rsidRPr="00854153">
          <w:rPr>
            <w:rStyle w:val="Hipercze"/>
            <w:noProof/>
          </w:rPr>
          <w:t>1.</w:t>
        </w:r>
        <w:r w:rsidR="00B359AC">
          <w:rPr>
            <w:rFonts w:eastAsiaTheme="minorEastAsia"/>
            <w:noProof/>
            <w:lang w:eastAsia="pl-PL"/>
          </w:rPr>
          <w:tab/>
        </w:r>
        <w:r w:rsidR="00B359AC" w:rsidRPr="00854153">
          <w:rPr>
            <w:rStyle w:val="Hipercze"/>
            <w:noProof/>
          </w:rPr>
          <w:t>Wprowadzenie</w:t>
        </w:r>
        <w:r w:rsidR="00B359AC">
          <w:rPr>
            <w:noProof/>
            <w:webHidden/>
          </w:rPr>
          <w:tab/>
        </w:r>
        <w:r w:rsidR="00B359AC">
          <w:rPr>
            <w:noProof/>
            <w:webHidden/>
          </w:rPr>
          <w:fldChar w:fldCharType="begin"/>
        </w:r>
        <w:r w:rsidR="00B359AC">
          <w:rPr>
            <w:noProof/>
            <w:webHidden/>
          </w:rPr>
          <w:instrText xml:space="preserve"> PAGEREF _Toc129596933 \h </w:instrText>
        </w:r>
        <w:r w:rsidR="00B359AC">
          <w:rPr>
            <w:noProof/>
            <w:webHidden/>
          </w:rPr>
        </w:r>
        <w:r w:rsidR="00B359AC">
          <w:rPr>
            <w:noProof/>
            <w:webHidden/>
          </w:rPr>
          <w:fldChar w:fldCharType="separate"/>
        </w:r>
        <w:r w:rsidR="00085029">
          <w:rPr>
            <w:noProof/>
            <w:webHidden/>
          </w:rPr>
          <w:t>3</w:t>
        </w:r>
        <w:r w:rsidR="00B359AC">
          <w:rPr>
            <w:noProof/>
            <w:webHidden/>
          </w:rPr>
          <w:fldChar w:fldCharType="end"/>
        </w:r>
      </w:hyperlink>
    </w:p>
    <w:p w14:paraId="0702677C" w14:textId="51395AC9" w:rsidR="00B359AC" w:rsidRDefault="00000000">
      <w:pPr>
        <w:pStyle w:val="Spistreci1"/>
        <w:rPr>
          <w:rFonts w:eastAsiaTheme="minorEastAsia"/>
          <w:noProof/>
          <w:lang w:eastAsia="pl-PL"/>
        </w:rPr>
      </w:pPr>
      <w:hyperlink w:anchor="_Toc129596934" w:history="1">
        <w:r w:rsidR="00B359AC" w:rsidRPr="00854153">
          <w:rPr>
            <w:rStyle w:val="Hipercze"/>
            <w:noProof/>
          </w:rPr>
          <w:t>2.</w:t>
        </w:r>
        <w:r w:rsidR="00B359AC">
          <w:rPr>
            <w:rFonts w:eastAsiaTheme="minorEastAsia"/>
            <w:noProof/>
            <w:lang w:eastAsia="pl-PL"/>
          </w:rPr>
          <w:tab/>
        </w:r>
        <w:r w:rsidR="00B359AC" w:rsidRPr="00854153">
          <w:rPr>
            <w:rStyle w:val="Hipercze"/>
            <w:noProof/>
          </w:rPr>
          <w:t>Podstawa prawna i zakres Podsumowania</w:t>
        </w:r>
        <w:r w:rsidR="00B359AC">
          <w:rPr>
            <w:noProof/>
            <w:webHidden/>
          </w:rPr>
          <w:tab/>
        </w:r>
        <w:r w:rsidR="00B359AC">
          <w:rPr>
            <w:noProof/>
            <w:webHidden/>
          </w:rPr>
          <w:fldChar w:fldCharType="begin"/>
        </w:r>
        <w:r w:rsidR="00B359AC">
          <w:rPr>
            <w:noProof/>
            <w:webHidden/>
          </w:rPr>
          <w:instrText xml:space="preserve"> PAGEREF _Toc129596934 \h </w:instrText>
        </w:r>
        <w:r w:rsidR="00B359AC">
          <w:rPr>
            <w:noProof/>
            <w:webHidden/>
          </w:rPr>
        </w:r>
        <w:r w:rsidR="00B359AC">
          <w:rPr>
            <w:noProof/>
            <w:webHidden/>
          </w:rPr>
          <w:fldChar w:fldCharType="separate"/>
        </w:r>
        <w:r w:rsidR="00085029">
          <w:rPr>
            <w:noProof/>
            <w:webHidden/>
          </w:rPr>
          <w:t>3</w:t>
        </w:r>
        <w:r w:rsidR="00B359AC">
          <w:rPr>
            <w:noProof/>
            <w:webHidden/>
          </w:rPr>
          <w:fldChar w:fldCharType="end"/>
        </w:r>
      </w:hyperlink>
    </w:p>
    <w:p w14:paraId="0248BCBE" w14:textId="7A33D17D" w:rsidR="00B359AC" w:rsidRDefault="00000000">
      <w:pPr>
        <w:pStyle w:val="Spistreci1"/>
        <w:rPr>
          <w:rFonts w:eastAsiaTheme="minorEastAsia"/>
          <w:noProof/>
          <w:lang w:eastAsia="pl-PL"/>
        </w:rPr>
      </w:pPr>
      <w:hyperlink w:anchor="_Toc129596935" w:history="1">
        <w:r w:rsidR="00B359AC" w:rsidRPr="00854153">
          <w:rPr>
            <w:rStyle w:val="Hipercze"/>
            <w:noProof/>
          </w:rPr>
          <w:t>3.</w:t>
        </w:r>
        <w:r w:rsidR="00B359AC">
          <w:rPr>
            <w:rFonts w:eastAsiaTheme="minorEastAsia"/>
            <w:noProof/>
            <w:lang w:eastAsia="pl-PL"/>
          </w:rPr>
          <w:tab/>
        </w:r>
        <w:r w:rsidR="00B359AC" w:rsidRPr="00854153">
          <w:rPr>
            <w:rStyle w:val="Hipercze"/>
            <w:noProof/>
          </w:rPr>
          <w:t>Przebieg strategicznej oceny oddziaływania</w:t>
        </w:r>
        <w:r w:rsidR="00B359AC">
          <w:rPr>
            <w:noProof/>
            <w:webHidden/>
          </w:rPr>
          <w:tab/>
        </w:r>
        <w:r w:rsidR="00B359AC">
          <w:rPr>
            <w:noProof/>
            <w:webHidden/>
          </w:rPr>
          <w:fldChar w:fldCharType="begin"/>
        </w:r>
        <w:r w:rsidR="00B359AC">
          <w:rPr>
            <w:noProof/>
            <w:webHidden/>
          </w:rPr>
          <w:instrText xml:space="preserve"> PAGEREF _Toc129596935 \h </w:instrText>
        </w:r>
        <w:r w:rsidR="00B359AC">
          <w:rPr>
            <w:noProof/>
            <w:webHidden/>
          </w:rPr>
        </w:r>
        <w:r w:rsidR="00B359AC">
          <w:rPr>
            <w:noProof/>
            <w:webHidden/>
          </w:rPr>
          <w:fldChar w:fldCharType="separate"/>
        </w:r>
        <w:r w:rsidR="00085029">
          <w:rPr>
            <w:noProof/>
            <w:webHidden/>
          </w:rPr>
          <w:t>3</w:t>
        </w:r>
        <w:r w:rsidR="00B359AC">
          <w:rPr>
            <w:noProof/>
            <w:webHidden/>
          </w:rPr>
          <w:fldChar w:fldCharType="end"/>
        </w:r>
      </w:hyperlink>
    </w:p>
    <w:p w14:paraId="3B7D7D72" w14:textId="1C6B2580" w:rsidR="00B359AC" w:rsidRDefault="00000000">
      <w:pPr>
        <w:pStyle w:val="Spistreci1"/>
        <w:rPr>
          <w:rFonts w:eastAsiaTheme="minorEastAsia"/>
          <w:noProof/>
          <w:lang w:eastAsia="pl-PL"/>
        </w:rPr>
      </w:pPr>
      <w:hyperlink w:anchor="_Toc129596936" w:history="1">
        <w:r w:rsidR="00B359AC" w:rsidRPr="00854153">
          <w:rPr>
            <w:rStyle w:val="Hipercze"/>
            <w:noProof/>
          </w:rPr>
          <w:t>4.</w:t>
        </w:r>
        <w:r w:rsidR="00B359AC">
          <w:rPr>
            <w:rFonts w:eastAsiaTheme="minorEastAsia"/>
            <w:noProof/>
            <w:lang w:eastAsia="pl-PL"/>
          </w:rPr>
          <w:tab/>
        </w:r>
        <w:r w:rsidR="00B359AC" w:rsidRPr="00854153">
          <w:rPr>
            <w:rStyle w:val="Hipercze"/>
            <w:noProof/>
          </w:rPr>
          <w:t>Informacja o sposobie uwzględnienia w KPGO wyników strategicznej oceny oddziaływania na środowisko</w:t>
        </w:r>
        <w:r w:rsidR="00B359AC">
          <w:rPr>
            <w:noProof/>
            <w:webHidden/>
          </w:rPr>
          <w:tab/>
        </w:r>
        <w:r w:rsidR="00B359AC">
          <w:rPr>
            <w:noProof/>
            <w:webHidden/>
          </w:rPr>
          <w:fldChar w:fldCharType="begin"/>
        </w:r>
        <w:r w:rsidR="00B359AC">
          <w:rPr>
            <w:noProof/>
            <w:webHidden/>
          </w:rPr>
          <w:instrText xml:space="preserve"> PAGEREF _Toc129596936 \h </w:instrText>
        </w:r>
        <w:r w:rsidR="00B359AC">
          <w:rPr>
            <w:noProof/>
            <w:webHidden/>
          </w:rPr>
        </w:r>
        <w:r w:rsidR="00B359AC">
          <w:rPr>
            <w:noProof/>
            <w:webHidden/>
          </w:rPr>
          <w:fldChar w:fldCharType="separate"/>
        </w:r>
        <w:r w:rsidR="00085029">
          <w:rPr>
            <w:noProof/>
            <w:webHidden/>
          </w:rPr>
          <w:t>5</w:t>
        </w:r>
        <w:r w:rsidR="00B359AC">
          <w:rPr>
            <w:noProof/>
            <w:webHidden/>
          </w:rPr>
          <w:fldChar w:fldCharType="end"/>
        </w:r>
      </w:hyperlink>
    </w:p>
    <w:p w14:paraId="58424FA3" w14:textId="7931B6AA" w:rsidR="00B359AC" w:rsidRDefault="00000000">
      <w:pPr>
        <w:pStyle w:val="Spistreci2"/>
        <w:rPr>
          <w:rFonts w:eastAsiaTheme="minorEastAsia"/>
          <w:noProof/>
          <w:lang w:eastAsia="pl-PL"/>
        </w:rPr>
      </w:pPr>
      <w:hyperlink w:anchor="_Toc129596937" w:history="1">
        <w:r w:rsidR="00B359AC" w:rsidRPr="00854153">
          <w:rPr>
            <w:rStyle w:val="Hipercze"/>
            <w:noProof/>
          </w:rPr>
          <w:t>4.1.</w:t>
        </w:r>
        <w:r w:rsidR="00B359AC">
          <w:rPr>
            <w:rFonts w:eastAsiaTheme="minorEastAsia"/>
            <w:noProof/>
            <w:lang w:eastAsia="pl-PL"/>
          </w:rPr>
          <w:tab/>
        </w:r>
        <w:r w:rsidR="00B359AC" w:rsidRPr="00854153">
          <w:rPr>
            <w:rStyle w:val="Hipercze"/>
            <w:noProof/>
          </w:rPr>
          <w:t>Ustalenia Prognozy oddziaływania na środowisko</w:t>
        </w:r>
        <w:r w:rsidR="00B359AC">
          <w:rPr>
            <w:noProof/>
            <w:webHidden/>
          </w:rPr>
          <w:tab/>
        </w:r>
        <w:r w:rsidR="00B359AC">
          <w:rPr>
            <w:noProof/>
            <w:webHidden/>
          </w:rPr>
          <w:fldChar w:fldCharType="begin"/>
        </w:r>
        <w:r w:rsidR="00B359AC">
          <w:rPr>
            <w:noProof/>
            <w:webHidden/>
          </w:rPr>
          <w:instrText xml:space="preserve"> PAGEREF _Toc129596937 \h </w:instrText>
        </w:r>
        <w:r w:rsidR="00B359AC">
          <w:rPr>
            <w:noProof/>
            <w:webHidden/>
          </w:rPr>
        </w:r>
        <w:r w:rsidR="00B359AC">
          <w:rPr>
            <w:noProof/>
            <w:webHidden/>
          </w:rPr>
          <w:fldChar w:fldCharType="separate"/>
        </w:r>
        <w:r w:rsidR="00085029">
          <w:rPr>
            <w:noProof/>
            <w:webHidden/>
          </w:rPr>
          <w:t>5</w:t>
        </w:r>
        <w:r w:rsidR="00B359AC">
          <w:rPr>
            <w:noProof/>
            <w:webHidden/>
          </w:rPr>
          <w:fldChar w:fldCharType="end"/>
        </w:r>
      </w:hyperlink>
    </w:p>
    <w:p w14:paraId="02F60D2A" w14:textId="32F3F103" w:rsidR="00B359AC" w:rsidRDefault="00000000">
      <w:pPr>
        <w:pStyle w:val="Spistreci2"/>
        <w:rPr>
          <w:rFonts w:eastAsiaTheme="minorEastAsia"/>
          <w:noProof/>
          <w:lang w:eastAsia="pl-PL"/>
        </w:rPr>
      </w:pPr>
      <w:hyperlink w:anchor="_Toc129596938" w:history="1">
        <w:r w:rsidR="00B359AC" w:rsidRPr="00854153">
          <w:rPr>
            <w:rStyle w:val="Hipercze"/>
            <w:noProof/>
          </w:rPr>
          <w:t>4.2.</w:t>
        </w:r>
        <w:r w:rsidR="00B359AC">
          <w:rPr>
            <w:rFonts w:eastAsiaTheme="minorEastAsia"/>
            <w:noProof/>
            <w:lang w:eastAsia="pl-PL"/>
          </w:rPr>
          <w:tab/>
        </w:r>
        <w:r w:rsidR="00B359AC" w:rsidRPr="00854153">
          <w:rPr>
            <w:rStyle w:val="Hipercze"/>
            <w:noProof/>
          </w:rPr>
          <w:t>Opinie organów właściwych w strategicznej ocenie oddziaływania na środowisko</w:t>
        </w:r>
        <w:r w:rsidR="00B359AC">
          <w:rPr>
            <w:noProof/>
            <w:webHidden/>
          </w:rPr>
          <w:tab/>
        </w:r>
        <w:r w:rsidR="00B359AC">
          <w:rPr>
            <w:noProof/>
            <w:webHidden/>
          </w:rPr>
          <w:fldChar w:fldCharType="begin"/>
        </w:r>
        <w:r w:rsidR="00B359AC">
          <w:rPr>
            <w:noProof/>
            <w:webHidden/>
          </w:rPr>
          <w:instrText xml:space="preserve"> PAGEREF _Toc129596938 \h </w:instrText>
        </w:r>
        <w:r w:rsidR="00B359AC">
          <w:rPr>
            <w:noProof/>
            <w:webHidden/>
          </w:rPr>
        </w:r>
        <w:r w:rsidR="00B359AC">
          <w:rPr>
            <w:noProof/>
            <w:webHidden/>
          </w:rPr>
          <w:fldChar w:fldCharType="separate"/>
        </w:r>
        <w:r w:rsidR="00085029">
          <w:rPr>
            <w:noProof/>
            <w:webHidden/>
          </w:rPr>
          <w:t>9</w:t>
        </w:r>
        <w:r w:rsidR="00B359AC">
          <w:rPr>
            <w:noProof/>
            <w:webHidden/>
          </w:rPr>
          <w:fldChar w:fldCharType="end"/>
        </w:r>
      </w:hyperlink>
    </w:p>
    <w:p w14:paraId="3463BBC8" w14:textId="1E9F6D2D" w:rsidR="00B359AC" w:rsidRDefault="00000000">
      <w:pPr>
        <w:pStyle w:val="Spistreci2"/>
        <w:rPr>
          <w:rFonts w:eastAsiaTheme="minorEastAsia"/>
          <w:noProof/>
          <w:lang w:eastAsia="pl-PL"/>
        </w:rPr>
      </w:pPr>
      <w:hyperlink w:anchor="_Toc129596939" w:history="1">
        <w:r w:rsidR="00B359AC" w:rsidRPr="00854153">
          <w:rPr>
            <w:rStyle w:val="Hipercze"/>
            <w:noProof/>
          </w:rPr>
          <w:t>4.3.</w:t>
        </w:r>
        <w:r w:rsidR="00B359AC">
          <w:rPr>
            <w:rFonts w:eastAsiaTheme="minorEastAsia"/>
            <w:noProof/>
            <w:lang w:eastAsia="pl-PL"/>
          </w:rPr>
          <w:tab/>
        </w:r>
        <w:r w:rsidR="00B359AC" w:rsidRPr="00854153">
          <w:rPr>
            <w:rStyle w:val="Hipercze"/>
            <w:noProof/>
          </w:rPr>
          <w:t>Uwagi i wnioski zgłoszone w związku z udziałem społeczeństwa</w:t>
        </w:r>
        <w:r w:rsidR="00B359AC">
          <w:rPr>
            <w:noProof/>
            <w:webHidden/>
          </w:rPr>
          <w:tab/>
        </w:r>
        <w:r w:rsidR="00B359AC">
          <w:rPr>
            <w:noProof/>
            <w:webHidden/>
          </w:rPr>
          <w:fldChar w:fldCharType="begin"/>
        </w:r>
        <w:r w:rsidR="00B359AC">
          <w:rPr>
            <w:noProof/>
            <w:webHidden/>
          </w:rPr>
          <w:instrText xml:space="preserve"> PAGEREF _Toc129596939 \h </w:instrText>
        </w:r>
        <w:r w:rsidR="00B359AC">
          <w:rPr>
            <w:noProof/>
            <w:webHidden/>
          </w:rPr>
        </w:r>
        <w:r w:rsidR="00B359AC">
          <w:rPr>
            <w:noProof/>
            <w:webHidden/>
          </w:rPr>
          <w:fldChar w:fldCharType="separate"/>
        </w:r>
        <w:r w:rsidR="00085029">
          <w:rPr>
            <w:noProof/>
            <w:webHidden/>
          </w:rPr>
          <w:t>9</w:t>
        </w:r>
        <w:r w:rsidR="00B359AC">
          <w:rPr>
            <w:noProof/>
            <w:webHidden/>
          </w:rPr>
          <w:fldChar w:fldCharType="end"/>
        </w:r>
      </w:hyperlink>
    </w:p>
    <w:p w14:paraId="7127B1FC" w14:textId="422E0C3B" w:rsidR="00B359AC" w:rsidRDefault="00000000">
      <w:pPr>
        <w:pStyle w:val="Spistreci1"/>
        <w:rPr>
          <w:rFonts w:eastAsiaTheme="minorEastAsia"/>
          <w:noProof/>
          <w:lang w:eastAsia="pl-PL"/>
        </w:rPr>
      </w:pPr>
      <w:hyperlink w:anchor="_Toc129596940" w:history="1">
        <w:r w:rsidR="00B359AC" w:rsidRPr="00854153">
          <w:rPr>
            <w:rStyle w:val="Hipercze"/>
            <w:noProof/>
          </w:rPr>
          <w:t>5.</w:t>
        </w:r>
        <w:r w:rsidR="00B359AC">
          <w:rPr>
            <w:rFonts w:eastAsiaTheme="minorEastAsia"/>
            <w:noProof/>
            <w:lang w:eastAsia="pl-PL"/>
          </w:rPr>
          <w:tab/>
        </w:r>
        <w:r w:rsidR="00B359AC" w:rsidRPr="00854153">
          <w:rPr>
            <w:rStyle w:val="Hipercze"/>
            <w:noProof/>
          </w:rPr>
          <w:t>Uzasadnienie wyboru przyjętego dokumentu w odniesieniu do rozpatrywanych rozwiązań alternatywnych</w:t>
        </w:r>
        <w:r w:rsidR="00B359AC">
          <w:rPr>
            <w:noProof/>
            <w:webHidden/>
          </w:rPr>
          <w:tab/>
        </w:r>
        <w:r w:rsidR="00B359AC">
          <w:rPr>
            <w:noProof/>
            <w:webHidden/>
          </w:rPr>
          <w:fldChar w:fldCharType="begin"/>
        </w:r>
        <w:r w:rsidR="00B359AC">
          <w:rPr>
            <w:noProof/>
            <w:webHidden/>
          </w:rPr>
          <w:instrText xml:space="preserve"> PAGEREF _Toc129596940 \h </w:instrText>
        </w:r>
        <w:r w:rsidR="00B359AC">
          <w:rPr>
            <w:noProof/>
            <w:webHidden/>
          </w:rPr>
        </w:r>
        <w:r w:rsidR="00B359AC">
          <w:rPr>
            <w:noProof/>
            <w:webHidden/>
          </w:rPr>
          <w:fldChar w:fldCharType="separate"/>
        </w:r>
        <w:r w:rsidR="00085029">
          <w:rPr>
            <w:noProof/>
            <w:webHidden/>
          </w:rPr>
          <w:t>10</w:t>
        </w:r>
        <w:r w:rsidR="00B359AC">
          <w:rPr>
            <w:noProof/>
            <w:webHidden/>
          </w:rPr>
          <w:fldChar w:fldCharType="end"/>
        </w:r>
      </w:hyperlink>
    </w:p>
    <w:p w14:paraId="1AE40896" w14:textId="1E7F7C3C" w:rsidR="00B359AC" w:rsidRDefault="00000000">
      <w:pPr>
        <w:pStyle w:val="Spistreci1"/>
        <w:rPr>
          <w:rFonts w:eastAsiaTheme="minorEastAsia"/>
          <w:noProof/>
          <w:lang w:eastAsia="pl-PL"/>
        </w:rPr>
      </w:pPr>
      <w:hyperlink w:anchor="_Toc129596941" w:history="1">
        <w:r w:rsidR="00B359AC" w:rsidRPr="00854153">
          <w:rPr>
            <w:rStyle w:val="Hipercze"/>
            <w:noProof/>
          </w:rPr>
          <w:t>6.</w:t>
        </w:r>
        <w:r w:rsidR="00B359AC">
          <w:rPr>
            <w:rFonts w:eastAsiaTheme="minorEastAsia"/>
            <w:noProof/>
            <w:lang w:eastAsia="pl-PL"/>
          </w:rPr>
          <w:tab/>
        </w:r>
        <w:r w:rsidR="00B359AC" w:rsidRPr="00854153">
          <w:rPr>
            <w:rStyle w:val="Hipercze"/>
            <w:noProof/>
          </w:rPr>
          <w:t>Wyniki postępowania dotyczącego transgranicznego oddziaływania na środowisko</w:t>
        </w:r>
        <w:r w:rsidR="00B359AC">
          <w:rPr>
            <w:noProof/>
            <w:webHidden/>
          </w:rPr>
          <w:tab/>
        </w:r>
        <w:r w:rsidR="00B359AC">
          <w:rPr>
            <w:noProof/>
            <w:webHidden/>
          </w:rPr>
          <w:fldChar w:fldCharType="begin"/>
        </w:r>
        <w:r w:rsidR="00B359AC">
          <w:rPr>
            <w:noProof/>
            <w:webHidden/>
          </w:rPr>
          <w:instrText xml:space="preserve"> PAGEREF _Toc129596941 \h </w:instrText>
        </w:r>
        <w:r w:rsidR="00B359AC">
          <w:rPr>
            <w:noProof/>
            <w:webHidden/>
          </w:rPr>
        </w:r>
        <w:r w:rsidR="00B359AC">
          <w:rPr>
            <w:noProof/>
            <w:webHidden/>
          </w:rPr>
          <w:fldChar w:fldCharType="separate"/>
        </w:r>
        <w:r w:rsidR="00085029">
          <w:rPr>
            <w:noProof/>
            <w:webHidden/>
          </w:rPr>
          <w:t>11</w:t>
        </w:r>
        <w:r w:rsidR="00B359AC">
          <w:rPr>
            <w:noProof/>
            <w:webHidden/>
          </w:rPr>
          <w:fldChar w:fldCharType="end"/>
        </w:r>
      </w:hyperlink>
    </w:p>
    <w:p w14:paraId="392A15AB" w14:textId="485D92B9" w:rsidR="00B359AC" w:rsidRDefault="00000000">
      <w:pPr>
        <w:pStyle w:val="Spistreci1"/>
        <w:rPr>
          <w:rFonts w:eastAsiaTheme="minorEastAsia"/>
          <w:noProof/>
          <w:lang w:eastAsia="pl-PL"/>
        </w:rPr>
      </w:pPr>
      <w:hyperlink w:anchor="_Toc129596942" w:history="1">
        <w:r w:rsidR="00B359AC" w:rsidRPr="00854153">
          <w:rPr>
            <w:rStyle w:val="Hipercze"/>
            <w:noProof/>
          </w:rPr>
          <w:t>7.</w:t>
        </w:r>
        <w:r w:rsidR="00B359AC">
          <w:rPr>
            <w:rFonts w:eastAsiaTheme="minorEastAsia"/>
            <w:noProof/>
            <w:lang w:eastAsia="pl-PL"/>
          </w:rPr>
          <w:tab/>
        </w:r>
        <w:r w:rsidR="00B359AC" w:rsidRPr="00854153">
          <w:rPr>
            <w:rStyle w:val="Hipercze"/>
            <w:noProof/>
          </w:rPr>
          <w:t>Propozycje dotyczące metod i częstotliwości przeprowadzania monitoringu skutków realizacji postanowień dokumentu</w:t>
        </w:r>
        <w:r w:rsidR="00B359AC">
          <w:rPr>
            <w:noProof/>
            <w:webHidden/>
          </w:rPr>
          <w:tab/>
        </w:r>
        <w:r w:rsidR="00B359AC">
          <w:rPr>
            <w:noProof/>
            <w:webHidden/>
          </w:rPr>
          <w:fldChar w:fldCharType="begin"/>
        </w:r>
        <w:r w:rsidR="00B359AC">
          <w:rPr>
            <w:noProof/>
            <w:webHidden/>
          </w:rPr>
          <w:instrText xml:space="preserve"> PAGEREF _Toc129596942 \h </w:instrText>
        </w:r>
        <w:r w:rsidR="00B359AC">
          <w:rPr>
            <w:noProof/>
            <w:webHidden/>
          </w:rPr>
        </w:r>
        <w:r w:rsidR="00B359AC">
          <w:rPr>
            <w:noProof/>
            <w:webHidden/>
          </w:rPr>
          <w:fldChar w:fldCharType="separate"/>
        </w:r>
        <w:r w:rsidR="00085029">
          <w:rPr>
            <w:noProof/>
            <w:webHidden/>
          </w:rPr>
          <w:t>11</w:t>
        </w:r>
        <w:r w:rsidR="00B359AC">
          <w:rPr>
            <w:noProof/>
            <w:webHidden/>
          </w:rPr>
          <w:fldChar w:fldCharType="end"/>
        </w:r>
      </w:hyperlink>
    </w:p>
    <w:p w14:paraId="1E8E1D49" w14:textId="07D1A802" w:rsidR="00B359AC" w:rsidRDefault="00000000">
      <w:pPr>
        <w:pStyle w:val="Spistreci1"/>
        <w:rPr>
          <w:rFonts w:eastAsiaTheme="minorEastAsia"/>
          <w:noProof/>
          <w:lang w:eastAsia="pl-PL"/>
        </w:rPr>
      </w:pPr>
      <w:hyperlink w:anchor="_Toc129596943" w:history="1">
        <w:r w:rsidR="00B359AC" w:rsidRPr="00854153">
          <w:rPr>
            <w:rStyle w:val="Hipercze"/>
            <w:noProof/>
          </w:rPr>
          <w:t>ZAŁĄCZNIKI</w:t>
        </w:r>
        <w:r w:rsidR="00B359AC">
          <w:rPr>
            <w:noProof/>
            <w:webHidden/>
          </w:rPr>
          <w:tab/>
        </w:r>
        <w:r w:rsidR="00B359AC">
          <w:rPr>
            <w:noProof/>
            <w:webHidden/>
          </w:rPr>
          <w:fldChar w:fldCharType="begin"/>
        </w:r>
        <w:r w:rsidR="00B359AC">
          <w:rPr>
            <w:noProof/>
            <w:webHidden/>
          </w:rPr>
          <w:instrText xml:space="preserve"> PAGEREF _Toc129596943 \h </w:instrText>
        </w:r>
        <w:r w:rsidR="00B359AC">
          <w:rPr>
            <w:noProof/>
            <w:webHidden/>
          </w:rPr>
        </w:r>
        <w:r w:rsidR="00B359AC">
          <w:rPr>
            <w:noProof/>
            <w:webHidden/>
          </w:rPr>
          <w:fldChar w:fldCharType="separate"/>
        </w:r>
        <w:r w:rsidR="00085029">
          <w:rPr>
            <w:noProof/>
            <w:webHidden/>
          </w:rPr>
          <w:t>13</w:t>
        </w:r>
        <w:r w:rsidR="00B359AC">
          <w:rPr>
            <w:noProof/>
            <w:webHidden/>
          </w:rPr>
          <w:fldChar w:fldCharType="end"/>
        </w:r>
      </w:hyperlink>
    </w:p>
    <w:p w14:paraId="77C6FE15" w14:textId="4D063D08" w:rsidR="00B9602D" w:rsidRPr="005E24C4" w:rsidRDefault="00D55AC8" w:rsidP="00B164FF">
      <w:pPr>
        <w:spacing w:before="960" w:after="0" w:line="240" w:lineRule="auto"/>
        <w:ind w:firstLine="0"/>
        <w:jc w:val="left"/>
        <w:rPr>
          <w:rFonts w:cstheme="minorHAnsi"/>
          <w:b/>
          <w:color w:val="538135" w:themeColor="accent6" w:themeShade="BF"/>
          <w:sz w:val="24"/>
        </w:rPr>
      </w:pPr>
      <w:r w:rsidRPr="002D6778">
        <w:rPr>
          <w:rFonts w:cstheme="minorHAnsi"/>
          <w:sz w:val="18"/>
          <w:szCs w:val="18"/>
        </w:rPr>
        <w:fldChar w:fldCharType="end"/>
      </w:r>
      <w:r w:rsidR="00624CC9" w:rsidRPr="005E24C4">
        <w:rPr>
          <w:rFonts w:cstheme="minorHAnsi"/>
          <w:b/>
          <w:color w:val="538135" w:themeColor="accent6" w:themeShade="BF"/>
          <w:sz w:val="24"/>
        </w:rPr>
        <w:t xml:space="preserve">ZAŁĄCZNIKI </w:t>
      </w:r>
    </w:p>
    <w:p w14:paraId="0F000F25" w14:textId="45E09CDE" w:rsidR="007F01E0" w:rsidRPr="005E24C4" w:rsidRDefault="00624CC9" w:rsidP="000A4451">
      <w:pPr>
        <w:pStyle w:val="Literatura"/>
        <w:rPr>
          <w:sz w:val="22"/>
          <w:szCs w:val="22"/>
          <w:lang w:val="pl-PL"/>
        </w:rPr>
      </w:pPr>
      <w:r w:rsidRPr="005E24C4">
        <w:rPr>
          <w:sz w:val="22"/>
          <w:szCs w:val="22"/>
          <w:lang w:val="pl-PL"/>
        </w:rPr>
        <w:t xml:space="preserve">Załącznik 1. </w:t>
      </w:r>
      <w:r w:rsidR="007F01E0" w:rsidRPr="005E24C4">
        <w:rPr>
          <w:sz w:val="22"/>
          <w:szCs w:val="22"/>
          <w:lang w:val="pl-PL"/>
        </w:rPr>
        <w:t>Pismo</w:t>
      </w:r>
      <w:r w:rsidR="00D55AC8" w:rsidRPr="005E24C4">
        <w:rPr>
          <w:sz w:val="22"/>
          <w:szCs w:val="22"/>
          <w:lang w:val="pl-PL"/>
        </w:rPr>
        <w:t xml:space="preserve"> Generalnego Dyrektora Ochrony Środowiska z dnia 13.12.2021 r. (DOOŚ-TSOOŚ.411.24.2021.ZM)</w:t>
      </w:r>
      <w:r w:rsidR="000A4451" w:rsidRPr="005E24C4">
        <w:rPr>
          <w:sz w:val="22"/>
          <w:szCs w:val="22"/>
          <w:lang w:val="pl-PL"/>
        </w:rPr>
        <w:t xml:space="preserve"> w sprawie uzgodnienia zakresu i stopnia szczegółowości prognozy oddziaływania na środowisko</w:t>
      </w:r>
    </w:p>
    <w:p w14:paraId="5BCF2E6F" w14:textId="32078BC5" w:rsidR="00D55AC8" w:rsidRPr="005E24C4" w:rsidRDefault="000A4451" w:rsidP="000A4451">
      <w:pPr>
        <w:pStyle w:val="Literatura"/>
        <w:rPr>
          <w:sz w:val="22"/>
          <w:szCs w:val="22"/>
          <w:lang w:val="pl-PL"/>
        </w:rPr>
      </w:pPr>
      <w:r w:rsidRPr="005E24C4">
        <w:rPr>
          <w:sz w:val="22"/>
          <w:szCs w:val="22"/>
          <w:lang w:val="pl-PL"/>
        </w:rPr>
        <w:t xml:space="preserve">Załącznik 2. </w:t>
      </w:r>
      <w:r w:rsidR="007F01E0" w:rsidRPr="005E24C4">
        <w:rPr>
          <w:sz w:val="22"/>
          <w:szCs w:val="22"/>
          <w:lang w:val="pl-PL"/>
        </w:rPr>
        <w:t>Pismo</w:t>
      </w:r>
      <w:r w:rsidR="00D55AC8" w:rsidRPr="005E24C4">
        <w:rPr>
          <w:sz w:val="22"/>
          <w:szCs w:val="22"/>
          <w:lang w:val="pl-PL"/>
        </w:rPr>
        <w:t xml:space="preserve"> Głównego Inspektora Sanitarnego z dnia 3.12.2021 r. (HŚ.BW.530.11.2021.KK)</w:t>
      </w:r>
      <w:r w:rsidR="005E24C4">
        <w:rPr>
          <w:sz w:val="22"/>
          <w:szCs w:val="22"/>
          <w:lang w:val="pl-PL"/>
        </w:rPr>
        <w:t xml:space="preserve"> w </w:t>
      </w:r>
      <w:r w:rsidRPr="005E24C4">
        <w:rPr>
          <w:sz w:val="22"/>
          <w:szCs w:val="22"/>
          <w:lang w:val="pl-PL"/>
        </w:rPr>
        <w:t>sprawie uzgodnienia zakresu i stopnia szczegółowości prognozy oddziaływania na środowisko</w:t>
      </w:r>
    </w:p>
    <w:p w14:paraId="12035617" w14:textId="16C62F2F" w:rsidR="005E24C4" w:rsidRDefault="00AB1BEE" w:rsidP="005E24C4">
      <w:pPr>
        <w:pStyle w:val="Literatura"/>
        <w:rPr>
          <w:sz w:val="22"/>
          <w:szCs w:val="22"/>
          <w:lang w:val="pl-PL"/>
        </w:rPr>
      </w:pPr>
      <w:r w:rsidRPr="005E24C4">
        <w:rPr>
          <w:sz w:val="22"/>
          <w:szCs w:val="22"/>
          <w:lang w:val="pl-PL"/>
        </w:rPr>
        <w:t xml:space="preserve">Załącznik 3. </w:t>
      </w:r>
      <w:r w:rsidR="007F01E0" w:rsidRPr="005E24C4">
        <w:rPr>
          <w:sz w:val="22"/>
          <w:szCs w:val="22"/>
          <w:lang w:val="pl-PL"/>
        </w:rPr>
        <w:t>Pismo</w:t>
      </w:r>
      <w:r w:rsidR="005E24C4">
        <w:rPr>
          <w:sz w:val="22"/>
          <w:szCs w:val="22"/>
          <w:lang w:val="pl-PL"/>
        </w:rPr>
        <w:t xml:space="preserve"> </w:t>
      </w:r>
      <w:r w:rsidR="005E24C4" w:rsidRPr="005E24C4">
        <w:rPr>
          <w:sz w:val="22"/>
          <w:szCs w:val="22"/>
          <w:lang w:val="pl-PL"/>
        </w:rPr>
        <w:t xml:space="preserve">Generalnego Dyrektora Ochrony Środowiska z dnia 4.08.2022 r. (znak pisma: </w:t>
      </w:r>
      <w:r w:rsidR="005E24C4">
        <w:rPr>
          <w:sz w:val="22"/>
          <w:szCs w:val="22"/>
          <w:lang w:val="pl-PL"/>
        </w:rPr>
        <w:t xml:space="preserve">DOOŚ-TSOOŚ.410.9.2022.ZM) w sprawie opinii </w:t>
      </w:r>
      <w:r w:rsidR="005E24C4" w:rsidRPr="005E24C4">
        <w:rPr>
          <w:sz w:val="22"/>
          <w:szCs w:val="22"/>
          <w:lang w:val="pl-PL"/>
        </w:rPr>
        <w:t xml:space="preserve">KPGO wraz z Prognozą </w:t>
      </w:r>
      <w:r w:rsidR="005E24C4">
        <w:rPr>
          <w:sz w:val="22"/>
          <w:szCs w:val="22"/>
          <w:lang w:val="pl-PL"/>
        </w:rPr>
        <w:t>oddziaływania na środowisko</w:t>
      </w:r>
    </w:p>
    <w:p w14:paraId="250A7AC3" w14:textId="689354F2" w:rsidR="005E24C4" w:rsidRPr="005E24C4" w:rsidRDefault="005E24C4" w:rsidP="005E24C4">
      <w:pPr>
        <w:pStyle w:val="Literatura"/>
        <w:rPr>
          <w:sz w:val="22"/>
          <w:szCs w:val="22"/>
          <w:lang w:val="pl-PL"/>
        </w:rPr>
      </w:pPr>
      <w:r>
        <w:rPr>
          <w:sz w:val="22"/>
          <w:szCs w:val="22"/>
          <w:lang w:val="pl-PL"/>
        </w:rPr>
        <w:t>Załącznik 4. Pismo</w:t>
      </w:r>
      <w:r w:rsidRPr="005E24C4">
        <w:rPr>
          <w:sz w:val="22"/>
          <w:szCs w:val="22"/>
          <w:lang w:val="pl-PL"/>
        </w:rPr>
        <w:t xml:space="preserve"> Głównego Inspektora Sanitarnego z dnia </w:t>
      </w:r>
      <w:r w:rsidR="009E6C98">
        <w:rPr>
          <w:sz w:val="22"/>
          <w:szCs w:val="22"/>
          <w:lang w:val="pl-PL"/>
        </w:rPr>
        <w:t>25 lipca 2022</w:t>
      </w:r>
      <w:r w:rsidRPr="005E24C4">
        <w:rPr>
          <w:sz w:val="22"/>
          <w:szCs w:val="22"/>
          <w:lang w:val="pl-PL"/>
        </w:rPr>
        <w:t xml:space="preserve"> r. (znak pisma: </w:t>
      </w:r>
      <w:r>
        <w:rPr>
          <w:sz w:val="22"/>
          <w:szCs w:val="22"/>
          <w:lang w:val="pl-PL"/>
        </w:rPr>
        <w:t xml:space="preserve">HŚ.HK.530.2.2022.KK) w sprawie opinii </w:t>
      </w:r>
      <w:r w:rsidRPr="005E24C4">
        <w:rPr>
          <w:sz w:val="22"/>
          <w:szCs w:val="22"/>
          <w:lang w:val="pl-PL"/>
        </w:rPr>
        <w:t xml:space="preserve">KPGO wraz z Prognozą </w:t>
      </w:r>
      <w:r>
        <w:rPr>
          <w:sz w:val="22"/>
          <w:szCs w:val="22"/>
          <w:lang w:val="pl-PL"/>
        </w:rPr>
        <w:t>oddziaływania na środowisko</w:t>
      </w:r>
    </w:p>
    <w:p w14:paraId="188BAF5C" w14:textId="756F6D21" w:rsidR="005E24C4" w:rsidRPr="005E24C4" w:rsidRDefault="007F01E0" w:rsidP="005E24C4">
      <w:pPr>
        <w:pStyle w:val="Literatura"/>
        <w:rPr>
          <w:sz w:val="22"/>
          <w:szCs w:val="22"/>
          <w:lang w:val="pl-PL"/>
        </w:rPr>
      </w:pPr>
      <w:r w:rsidRPr="005E24C4">
        <w:rPr>
          <w:sz w:val="22"/>
          <w:szCs w:val="22"/>
          <w:lang w:val="pl-PL"/>
        </w:rPr>
        <w:t xml:space="preserve">Załącznik </w:t>
      </w:r>
      <w:r w:rsidR="005E24C4" w:rsidRPr="005E24C4">
        <w:rPr>
          <w:sz w:val="22"/>
          <w:szCs w:val="22"/>
          <w:lang w:val="pl-PL"/>
        </w:rPr>
        <w:t>5</w:t>
      </w:r>
      <w:r w:rsidRPr="005E24C4">
        <w:rPr>
          <w:sz w:val="22"/>
          <w:szCs w:val="22"/>
          <w:lang w:val="pl-PL"/>
        </w:rPr>
        <w:t xml:space="preserve">. </w:t>
      </w:r>
      <w:r w:rsidR="005E24C4" w:rsidRPr="005E24C4">
        <w:rPr>
          <w:sz w:val="22"/>
          <w:szCs w:val="22"/>
          <w:lang w:val="pl-PL"/>
        </w:rPr>
        <w:t xml:space="preserve">Obwieszczenie o konsultacja społecznych projektu KPGO wraz z Prognozą </w:t>
      </w:r>
      <w:r w:rsidR="005E24C4">
        <w:rPr>
          <w:sz w:val="22"/>
          <w:szCs w:val="22"/>
          <w:lang w:val="pl-PL"/>
        </w:rPr>
        <w:t>oddziaływania na środowisko</w:t>
      </w:r>
    </w:p>
    <w:p w14:paraId="46783186" w14:textId="53829567" w:rsidR="00624CC9" w:rsidRPr="005E24C4" w:rsidRDefault="00D216FB" w:rsidP="005E24C4">
      <w:pPr>
        <w:pStyle w:val="Literatura"/>
        <w:rPr>
          <w:sz w:val="22"/>
          <w:szCs w:val="22"/>
          <w:lang w:val="pl-PL"/>
        </w:rPr>
      </w:pPr>
      <w:r w:rsidRPr="005E24C4">
        <w:rPr>
          <w:sz w:val="22"/>
          <w:szCs w:val="22"/>
          <w:lang w:val="pl-PL"/>
        </w:rPr>
        <w:t xml:space="preserve">Załącznik </w:t>
      </w:r>
      <w:r w:rsidR="005E24C4">
        <w:rPr>
          <w:sz w:val="22"/>
          <w:szCs w:val="22"/>
          <w:lang w:val="pl-PL"/>
        </w:rPr>
        <w:t>6</w:t>
      </w:r>
      <w:r w:rsidRPr="005E24C4">
        <w:rPr>
          <w:sz w:val="22"/>
          <w:szCs w:val="22"/>
          <w:lang w:val="pl-PL"/>
        </w:rPr>
        <w:t xml:space="preserve">. </w:t>
      </w:r>
      <w:r w:rsidR="005E24C4">
        <w:rPr>
          <w:sz w:val="22"/>
          <w:szCs w:val="22"/>
          <w:lang w:val="pl-PL"/>
        </w:rPr>
        <w:t>Z</w:t>
      </w:r>
      <w:r w:rsidR="005E24C4" w:rsidRPr="005E24C4">
        <w:rPr>
          <w:sz w:val="22"/>
          <w:szCs w:val="22"/>
          <w:lang w:val="pl-PL"/>
        </w:rPr>
        <w:t xml:space="preserve">estawienie uwag </w:t>
      </w:r>
      <w:r w:rsidR="005E24C4">
        <w:rPr>
          <w:sz w:val="22"/>
          <w:szCs w:val="22"/>
          <w:lang w:val="pl-PL"/>
        </w:rPr>
        <w:t>zgłoszonych do KPGO wraz z Prognozą oddziaływania na środowisko i </w:t>
      </w:r>
      <w:r w:rsidR="005E24C4" w:rsidRPr="005E24C4">
        <w:rPr>
          <w:sz w:val="22"/>
          <w:szCs w:val="22"/>
          <w:lang w:val="pl-PL"/>
        </w:rPr>
        <w:t xml:space="preserve">sposobu ich uwzględnienia </w:t>
      </w:r>
    </w:p>
    <w:p w14:paraId="2354A490" w14:textId="484FA122" w:rsidR="00B9602D" w:rsidRPr="00B9602D" w:rsidRDefault="00B9602D" w:rsidP="00B9602D">
      <w:pPr>
        <w:spacing w:before="0" w:after="160"/>
        <w:ind w:firstLine="0"/>
        <w:jc w:val="left"/>
      </w:pPr>
      <w:r w:rsidRPr="00B9602D">
        <w:br w:type="page"/>
      </w:r>
    </w:p>
    <w:p w14:paraId="4EBBEF50" w14:textId="77777777" w:rsidR="0093549D" w:rsidRPr="006307E1" w:rsidRDefault="0093549D" w:rsidP="00651B61">
      <w:pPr>
        <w:pStyle w:val="Nagwek1"/>
        <w:ind w:left="714" w:hanging="714"/>
      </w:pPr>
      <w:bookmarkStart w:id="0" w:name="_Toc82424828"/>
      <w:bookmarkStart w:id="1" w:name="_Toc96087061"/>
      <w:bookmarkStart w:id="2" w:name="_Toc129596933"/>
      <w:bookmarkStart w:id="3" w:name="_Toc82424849"/>
      <w:r w:rsidRPr="006307E1">
        <w:lastRenderedPageBreak/>
        <w:t>Wprowadzenie</w:t>
      </w:r>
      <w:bookmarkEnd w:id="0"/>
      <w:bookmarkEnd w:id="1"/>
      <w:bookmarkEnd w:id="2"/>
    </w:p>
    <w:p w14:paraId="1AD8B7FE" w14:textId="569251A9" w:rsidR="0093549D" w:rsidRDefault="00664908" w:rsidP="00664908">
      <w:r>
        <w:t xml:space="preserve">Podsumowanie strategicznej </w:t>
      </w:r>
      <w:r w:rsidR="0093549D" w:rsidRPr="0093549D">
        <w:t xml:space="preserve">oddziaływania na środowisko projektu „Krajowego planu gospodarki odpadami (2028)” </w:t>
      </w:r>
      <w:r>
        <w:t>(zwane dalej Podsumowaniem</w:t>
      </w:r>
      <w:r w:rsidR="00E1547D">
        <w:t xml:space="preserve"> SOOŚ</w:t>
      </w:r>
      <w:r>
        <w:t>) zostało opracowane w ramach</w:t>
      </w:r>
      <w:r w:rsidR="0093549D" w:rsidRPr="0093549D">
        <w:t xml:space="preserve"> projektu </w:t>
      </w:r>
      <w:r w:rsidR="00B66467">
        <w:t xml:space="preserve">pn. </w:t>
      </w:r>
      <w:r w:rsidR="0093549D" w:rsidRPr="0093549D">
        <w:t>„Ekspertyza na potrzeby aktualizacji krajowego planu gospodarki odpadami (2028) – Opracowanie analiz do przygotowania projektów aktualizacji krajowego i wojewódzkich planów gospodarki odpadami” współfinansowanego przez Narodowy Fundusz Ochrony Środowiska i</w:t>
      </w:r>
      <w:r w:rsidR="00767D77">
        <w:t> </w:t>
      </w:r>
      <w:r w:rsidR="0093549D" w:rsidRPr="0093549D">
        <w:t xml:space="preserve">Gospodarki Wodnej w ramach wsparcia Ministra Klimatu i Środowiska. </w:t>
      </w:r>
    </w:p>
    <w:p w14:paraId="636702CD" w14:textId="0BA6CECA" w:rsidR="00664908" w:rsidRDefault="00664908" w:rsidP="00664908">
      <w:r>
        <w:t>Organem opracowującym „</w:t>
      </w:r>
      <w:r w:rsidRPr="0093549D">
        <w:t>Krajow</w:t>
      </w:r>
      <w:r>
        <w:t>y</w:t>
      </w:r>
      <w:r w:rsidRPr="0093549D">
        <w:t xml:space="preserve"> plan gospodarki odpadami 2028</w:t>
      </w:r>
      <w:r w:rsidR="00767D77">
        <w:t>” (zwany dalej KPGO) w </w:t>
      </w:r>
      <w:r>
        <w:t xml:space="preserve">rozumieniu przepisów </w:t>
      </w:r>
      <w:r w:rsidR="00F33293">
        <w:t xml:space="preserve">ustawy </w:t>
      </w:r>
      <w:r>
        <w:t xml:space="preserve">z dnia 3 października 2008 r. o udostępnianiu informacji o środowisku i jego ochronie, udziale społeczeństwa w ochronie środowiska oraz o ocenach oddziaływania na środowisko (tekst jedn. Dz. U. 2021, poz. 247), zwanej dalej </w:t>
      </w:r>
      <w:r w:rsidR="00F2403D">
        <w:t xml:space="preserve">ustawą </w:t>
      </w:r>
      <w:r w:rsidR="00767D77">
        <w:t>OOŚ jest Minister Klimatu i </w:t>
      </w:r>
      <w:r>
        <w:t xml:space="preserve">Środowiska. KPGO jest dokumentem, o którym mowa w art. 46 pkt 2 </w:t>
      </w:r>
      <w:r w:rsidR="00F33293">
        <w:t>u</w:t>
      </w:r>
      <w:r>
        <w:t xml:space="preserve">stawy OOŚ. </w:t>
      </w:r>
    </w:p>
    <w:p w14:paraId="6903F9B2" w14:textId="4E1E13D3" w:rsidR="00664908" w:rsidRDefault="00664908" w:rsidP="00664908">
      <w:r>
        <w:t xml:space="preserve">Zakres </w:t>
      </w:r>
      <w:r w:rsidR="0095040D">
        <w:t>Podsumowania</w:t>
      </w:r>
      <w:r>
        <w:t xml:space="preserve"> obejmuje opis zgłoszonych wniosków do KPGO oraz prognozy oddziaływania na środowisko opracowanej dla tego dokumentu.</w:t>
      </w:r>
    </w:p>
    <w:p w14:paraId="24E2B9FD" w14:textId="35302359" w:rsidR="0093549D" w:rsidRPr="0093549D" w:rsidRDefault="00651B61" w:rsidP="00651B61">
      <w:pPr>
        <w:pStyle w:val="Nagwek1"/>
        <w:ind w:left="714" w:hanging="714"/>
      </w:pPr>
      <w:bookmarkStart w:id="4" w:name="_Toc129596934"/>
      <w:r>
        <w:t>P</w:t>
      </w:r>
      <w:r w:rsidRPr="00651B61">
        <w:t>odstawa prawna i zakres</w:t>
      </w:r>
      <w:r>
        <w:t xml:space="preserve"> Podsumowania</w:t>
      </w:r>
      <w:bookmarkEnd w:id="4"/>
    </w:p>
    <w:p w14:paraId="2905E7AB" w14:textId="1957CAAA" w:rsidR="0093549D" w:rsidRPr="0093549D" w:rsidRDefault="0095040D" w:rsidP="007D03CC">
      <w:pPr>
        <w:spacing w:after="0"/>
      </w:pPr>
      <w:r>
        <w:t xml:space="preserve">Podstawę prawną przeprowadzenia konsultacji społecznych stanowiła </w:t>
      </w:r>
      <w:r w:rsidR="00F2403D">
        <w:t xml:space="preserve">ustawa </w:t>
      </w:r>
      <w:r>
        <w:t xml:space="preserve">z </w:t>
      </w:r>
      <w:r w:rsidR="00767D77">
        <w:t>dnia 3 </w:t>
      </w:r>
      <w:r>
        <w:t>października 2008 r. o udostępnianiu informacji o środowisku i jego ochronie, udziale społeczeństwa w ochronie środowiska oraz o ocenach oddziaływania na środowisko (teks</w:t>
      </w:r>
      <w:r w:rsidR="00E1547D">
        <w:t xml:space="preserve">t jedn. Dz. U. 2021, poz. 247). </w:t>
      </w:r>
      <w:r w:rsidR="0093549D" w:rsidRPr="0093549D">
        <w:t>oraz wydanych na podstawie wymienionej</w:t>
      </w:r>
      <w:r w:rsidR="00B66467">
        <w:t xml:space="preserve"> ustawy</w:t>
      </w:r>
      <w:r w:rsidR="0093549D" w:rsidRPr="0093549D">
        <w:t>:</w:t>
      </w:r>
    </w:p>
    <w:p w14:paraId="78000358" w14:textId="77777777" w:rsidR="0095040D" w:rsidRPr="007D03CC" w:rsidRDefault="0095040D" w:rsidP="0095040D">
      <w:pPr>
        <w:spacing w:after="0"/>
      </w:pPr>
      <w:r w:rsidRPr="007D03CC">
        <w:t>Zgodnie z art. 55 ust. 3 ww. ustawy do przyjętego dokumentu załącza się pisemne podsumowanie zawierające uzasadnienie wyboru przyjętego dokumentu w odniesieniu do rozpatrywanych rozwiązań alternatywnych, a także informację, w jaki sposób zostały wzięte pod uwagę i w jakim zakresie zostały uwzględnione:</w:t>
      </w:r>
    </w:p>
    <w:p w14:paraId="338D3976" w14:textId="77777777" w:rsidR="0095040D" w:rsidRPr="007D03CC" w:rsidRDefault="0095040D" w:rsidP="0095040D">
      <w:pPr>
        <w:pStyle w:val="Wypunktowanie"/>
        <w:ind w:left="351" w:hanging="357"/>
      </w:pPr>
      <w:r w:rsidRPr="007D03CC">
        <w:t>ustalenia zawarte w prognozie oddziaływania na środowisko</w:t>
      </w:r>
      <w:r w:rsidRPr="007D03CC">
        <w:rPr>
          <w:lang w:val="pl-PL"/>
        </w:rPr>
        <w:t>,</w:t>
      </w:r>
    </w:p>
    <w:p w14:paraId="4BE22C53" w14:textId="77777777" w:rsidR="0095040D" w:rsidRPr="007D03CC" w:rsidRDefault="0095040D" w:rsidP="0095040D">
      <w:pPr>
        <w:pStyle w:val="Wypunktowanie"/>
        <w:ind w:left="357"/>
      </w:pPr>
      <w:r w:rsidRPr="007D03CC">
        <w:t>opinie właściwych organów</w:t>
      </w:r>
      <w:r w:rsidRPr="007D03CC">
        <w:rPr>
          <w:lang w:val="pl-PL"/>
        </w:rPr>
        <w:t>,</w:t>
      </w:r>
    </w:p>
    <w:p w14:paraId="3ECB386E" w14:textId="77777777" w:rsidR="0095040D" w:rsidRPr="007D03CC" w:rsidRDefault="0095040D" w:rsidP="0095040D">
      <w:pPr>
        <w:pStyle w:val="Wypunktowanie"/>
        <w:ind w:left="357"/>
      </w:pPr>
      <w:r w:rsidRPr="007D03CC">
        <w:t>zgłoszone uwagi i wnioski</w:t>
      </w:r>
      <w:r w:rsidRPr="007D03CC">
        <w:rPr>
          <w:lang w:val="pl-PL"/>
        </w:rPr>
        <w:t>,</w:t>
      </w:r>
    </w:p>
    <w:p w14:paraId="1540AA5B" w14:textId="77777777" w:rsidR="0095040D" w:rsidRPr="007D03CC" w:rsidRDefault="0095040D" w:rsidP="0095040D">
      <w:pPr>
        <w:pStyle w:val="Wypunktowanie"/>
        <w:ind w:left="357"/>
      </w:pPr>
      <w:r w:rsidRPr="007D03CC">
        <w:t>wyniki postępowania dotyczącego transgranicznego oddziaływania na środowisko, jeżeli zostało przeprowadzone</w:t>
      </w:r>
      <w:r w:rsidRPr="007D03CC">
        <w:rPr>
          <w:lang w:val="pl-PL"/>
        </w:rPr>
        <w:t>,</w:t>
      </w:r>
    </w:p>
    <w:p w14:paraId="6CD42917" w14:textId="77777777" w:rsidR="0095040D" w:rsidRPr="007D03CC" w:rsidRDefault="0095040D" w:rsidP="0095040D">
      <w:pPr>
        <w:pStyle w:val="Wypunktowanie"/>
        <w:ind w:left="357"/>
      </w:pPr>
      <w:r w:rsidRPr="007D03CC">
        <w:t>propozycje dotyczące metod i częstotliwości przeprowadzania monitoringu skutków realizacji postanowień dokumentu.</w:t>
      </w:r>
    </w:p>
    <w:p w14:paraId="223954DD" w14:textId="5806A6D6" w:rsidR="0095040D" w:rsidRDefault="0095040D" w:rsidP="0095040D">
      <w:pPr>
        <w:spacing w:after="0"/>
      </w:pPr>
      <w:r w:rsidRPr="007D03CC">
        <w:t xml:space="preserve">Dodatkowo zgodnie z art. 42 ust. 2 </w:t>
      </w:r>
      <w:r w:rsidR="00F2403D">
        <w:t>u</w:t>
      </w:r>
      <w:r w:rsidR="00F2403D" w:rsidRPr="007D03CC">
        <w:t xml:space="preserve">stawy </w:t>
      </w:r>
      <w:r w:rsidRPr="007D03CC">
        <w:t>OOŚ organ opracowujący projekt dokumentu wymagającego udziału społeczeństwa dołącza do przyjętego dokumentu uzasadnienie zawierające informacje o</w:t>
      </w:r>
      <w:r w:rsidR="007D03CC">
        <w:t xml:space="preserve"> </w:t>
      </w:r>
      <w:r w:rsidRPr="007D03CC">
        <w:t>udziale społeczeństwa w postępowaniu oraz o tym, w jaki sposób zosta</w:t>
      </w:r>
      <w:r w:rsidR="007D03CC">
        <w:t xml:space="preserve">ły wzięte pod uwagę i w </w:t>
      </w:r>
      <w:r w:rsidRPr="007D03CC">
        <w:t>jakim zakresie zostały uwzględnione uwagi i wnioski zgłoszone w związku z udziałem społeczeństwa. Niniejsze podsumowanie zawiera wymienione uzasadnienie.</w:t>
      </w:r>
      <w:r>
        <w:t xml:space="preserve"> </w:t>
      </w:r>
    </w:p>
    <w:p w14:paraId="5077FCA4" w14:textId="2E4F55EC" w:rsidR="0093549D" w:rsidRPr="007D03CC" w:rsidRDefault="0095040D" w:rsidP="0095040D">
      <w:pPr>
        <w:pStyle w:val="Nagwek1"/>
        <w:ind w:left="714" w:hanging="714"/>
      </w:pPr>
      <w:bookmarkStart w:id="5" w:name="_Toc96087063"/>
      <w:bookmarkStart w:id="6" w:name="_Toc82424830"/>
      <w:bookmarkStart w:id="7" w:name="_Toc129596935"/>
      <w:r w:rsidRPr="007D03CC">
        <w:t>Przebieg strategicznej oceny oddziaływania</w:t>
      </w:r>
      <w:bookmarkEnd w:id="5"/>
      <w:bookmarkEnd w:id="6"/>
      <w:bookmarkEnd w:id="7"/>
    </w:p>
    <w:p w14:paraId="1B5152D4" w14:textId="123B39BC" w:rsidR="0095040D" w:rsidRPr="007D03CC" w:rsidRDefault="0095040D" w:rsidP="0095040D">
      <w:pPr>
        <w:spacing w:after="0"/>
      </w:pPr>
      <w:r w:rsidRPr="007D03CC">
        <w:t>Strategiczna ocena oddziaływania na środowisko (SOOŚ) zgodnie z definicją art. 3 pkt 14</w:t>
      </w:r>
      <w:r w:rsidR="007D03CC" w:rsidRPr="007D03CC">
        <w:t xml:space="preserve"> </w:t>
      </w:r>
      <w:r w:rsidR="00F2403D">
        <w:t>u</w:t>
      </w:r>
      <w:r w:rsidR="00F2403D" w:rsidRPr="007D03CC">
        <w:t>stawy OOŚ</w:t>
      </w:r>
      <w:r w:rsidRPr="007D03CC">
        <w:t xml:space="preserve"> rozumiana jako postępowanie w sprawie oceny oddziaływania na środowisko skutków dokumentu strategicznego, obejmowała w szczególności:</w:t>
      </w:r>
    </w:p>
    <w:p w14:paraId="19E34C63" w14:textId="4C4076A7" w:rsidR="0095040D" w:rsidRPr="007D03CC" w:rsidRDefault="0095040D" w:rsidP="00670F0E">
      <w:pPr>
        <w:numPr>
          <w:ilvl w:val="0"/>
          <w:numId w:val="11"/>
        </w:numPr>
        <w:spacing w:before="0" w:after="0" w:line="240" w:lineRule="auto"/>
        <w:ind w:left="357" w:hanging="357"/>
      </w:pPr>
      <w:r w:rsidRPr="007D03CC">
        <w:lastRenderedPageBreak/>
        <w:t>uzgodnienie stopnia szczegółowości informacji zawarty</w:t>
      </w:r>
      <w:r w:rsidR="00767D77">
        <w:t>ch w Prognozie oddziaływania na </w:t>
      </w:r>
      <w:r w:rsidRPr="007D03CC">
        <w:t>środowisko,</w:t>
      </w:r>
    </w:p>
    <w:p w14:paraId="3FF63361" w14:textId="77777777" w:rsidR="0095040D" w:rsidRPr="007D03CC" w:rsidRDefault="0095040D" w:rsidP="00670F0E">
      <w:pPr>
        <w:numPr>
          <w:ilvl w:val="0"/>
          <w:numId w:val="11"/>
        </w:numPr>
        <w:spacing w:before="0" w:after="0" w:line="240" w:lineRule="auto"/>
        <w:ind w:left="357" w:hanging="357"/>
      </w:pPr>
      <w:r w:rsidRPr="007D03CC">
        <w:t>sporządzenie prognozy oddziaływania na środowisko,</w:t>
      </w:r>
    </w:p>
    <w:p w14:paraId="631DD9AB" w14:textId="77777777" w:rsidR="0095040D" w:rsidRPr="007D03CC" w:rsidRDefault="0095040D" w:rsidP="00670F0E">
      <w:pPr>
        <w:numPr>
          <w:ilvl w:val="0"/>
          <w:numId w:val="11"/>
        </w:numPr>
        <w:spacing w:before="0" w:after="0" w:line="240" w:lineRule="auto"/>
        <w:ind w:left="357" w:hanging="357"/>
      </w:pPr>
      <w:r w:rsidRPr="007D03CC">
        <w:t>uzyskanie wymaganych ustawą opinii,</w:t>
      </w:r>
    </w:p>
    <w:p w14:paraId="0B344F43" w14:textId="77777777" w:rsidR="0095040D" w:rsidRPr="007D03CC" w:rsidRDefault="0095040D" w:rsidP="00670F0E">
      <w:pPr>
        <w:numPr>
          <w:ilvl w:val="0"/>
          <w:numId w:val="11"/>
        </w:numPr>
        <w:spacing w:before="0" w:after="0" w:line="240" w:lineRule="auto"/>
        <w:ind w:left="357" w:hanging="357"/>
      </w:pPr>
      <w:r w:rsidRPr="007D03CC">
        <w:t xml:space="preserve">zapewnienie możliwości udziału społeczeństwa w postępowaniu. </w:t>
      </w:r>
    </w:p>
    <w:p w14:paraId="70D18485" w14:textId="150495AF" w:rsidR="0095040D" w:rsidRPr="007D03CC" w:rsidRDefault="0095040D" w:rsidP="0095040D">
      <w:r w:rsidRPr="007D03CC">
        <w:t xml:space="preserve">W poniżej tabeli przedstawiono przebieg strategicznej oceny oddziaływania na środowisko </w:t>
      </w:r>
      <w:r w:rsidR="007D03CC" w:rsidRPr="007D03CC">
        <w:t>KPGO</w:t>
      </w:r>
      <w:r w:rsidRPr="007D03CC">
        <w:t xml:space="preserve">. </w:t>
      </w:r>
    </w:p>
    <w:p w14:paraId="15D6374B" w14:textId="26147B83" w:rsidR="0095040D" w:rsidRPr="007D03CC" w:rsidRDefault="0095040D" w:rsidP="00B164FF">
      <w:pPr>
        <w:pStyle w:val="Tab"/>
        <w:spacing w:before="360"/>
        <w:ind w:left="357" w:hanging="357"/>
      </w:pPr>
      <w:r w:rsidRPr="007D03CC">
        <w:t xml:space="preserve">Przebieg strategicznej oceny oddziaływania na środowisko </w:t>
      </w:r>
      <w:r w:rsidR="007D03CC">
        <w:t>KPGO</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213"/>
        <w:gridCol w:w="6639"/>
      </w:tblGrid>
      <w:tr w:rsidR="0095040D" w:rsidRPr="005E24C4" w14:paraId="4183EF17" w14:textId="77777777" w:rsidTr="00A87D5A">
        <w:trPr>
          <w:tblHeader/>
        </w:trPr>
        <w:tc>
          <w:tcPr>
            <w:tcW w:w="1250" w:type="pct"/>
            <w:shd w:val="clear" w:color="auto" w:fill="D9D9D9" w:themeFill="background1" w:themeFillShade="D9"/>
          </w:tcPr>
          <w:p w14:paraId="5613FCE1" w14:textId="77777777" w:rsidR="0095040D" w:rsidRPr="005E24C4" w:rsidRDefault="0095040D" w:rsidP="00E34DAF">
            <w:pPr>
              <w:spacing w:before="0"/>
              <w:ind w:firstLine="0"/>
              <w:jc w:val="center"/>
              <w:rPr>
                <w:b/>
              </w:rPr>
            </w:pPr>
            <w:r w:rsidRPr="005E24C4">
              <w:rPr>
                <w:b/>
              </w:rPr>
              <w:t xml:space="preserve">Zakres SOOŚ </w:t>
            </w:r>
            <w:r w:rsidRPr="005E24C4">
              <w:rPr>
                <w:b/>
              </w:rPr>
              <w:br/>
              <w:t>według Ustawy OOŚ</w:t>
            </w:r>
          </w:p>
        </w:tc>
        <w:tc>
          <w:tcPr>
            <w:tcW w:w="3750" w:type="pct"/>
            <w:shd w:val="clear" w:color="auto" w:fill="D9D9D9" w:themeFill="background1" w:themeFillShade="D9"/>
            <w:vAlign w:val="center"/>
          </w:tcPr>
          <w:p w14:paraId="57D92C43" w14:textId="77777777" w:rsidR="0095040D" w:rsidRPr="005E24C4" w:rsidRDefault="0095040D" w:rsidP="00E34DAF">
            <w:pPr>
              <w:spacing w:before="0"/>
              <w:ind w:firstLine="0"/>
              <w:jc w:val="center"/>
              <w:rPr>
                <w:b/>
              </w:rPr>
            </w:pPr>
            <w:r w:rsidRPr="005E24C4">
              <w:rPr>
                <w:b/>
              </w:rPr>
              <w:t>Komentarz</w:t>
            </w:r>
          </w:p>
        </w:tc>
      </w:tr>
      <w:tr w:rsidR="0095040D" w:rsidRPr="005E24C4" w14:paraId="3A1F2EE1" w14:textId="77777777" w:rsidTr="00E34DAF">
        <w:tc>
          <w:tcPr>
            <w:tcW w:w="1250" w:type="pct"/>
            <w:shd w:val="clear" w:color="auto" w:fill="FFFFFF" w:themeFill="background1"/>
          </w:tcPr>
          <w:p w14:paraId="7D781CA5" w14:textId="77777777" w:rsidR="0095040D" w:rsidRPr="005E24C4" w:rsidRDefault="0095040D" w:rsidP="00E34DAF">
            <w:pPr>
              <w:spacing w:before="0" w:after="0" w:line="240" w:lineRule="auto"/>
              <w:ind w:firstLine="0"/>
              <w:jc w:val="left"/>
              <w:rPr>
                <w:highlight w:val="yellow"/>
              </w:rPr>
            </w:pPr>
            <w:r w:rsidRPr="005E24C4">
              <w:t>Uzgodnienie stopnia szczegółowości informacji zawartych w prognozie oddziaływania na środowisko</w:t>
            </w:r>
          </w:p>
        </w:tc>
        <w:tc>
          <w:tcPr>
            <w:tcW w:w="3750" w:type="pct"/>
            <w:shd w:val="clear" w:color="auto" w:fill="FFFFFF" w:themeFill="background1"/>
          </w:tcPr>
          <w:p w14:paraId="16380F58" w14:textId="05229A8C" w:rsidR="00A87D5A" w:rsidRPr="005E24C4" w:rsidRDefault="00A87D5A" w:rsidP="00A87D5A">
            <w:pPr>
              <w:spacing w:before="0" w:after="0" w:line="240" w:lineRule="auto"/>
              <w:ind w:firstLine="0"/>
              <w:jc w:val="left"/>
            </w:pPr>
            <w:r w:rsidRPr="005E24C4">
              <w:t xml:space="preserve">Minister Klimatu i Środowiska </w:t>
            </w:r>
            <w:r w:rsidR="0095040D" w:rsidRPr="005E24C4">
              <w:t xml:space="preserve">wystąpił do </w:t>
            </w:r>
            <w:r w:rsidRPr="005E24C4">
              <w:t>Generalnego</w:t>
            </w:r>
            <w:r w:rsidR="0095040D" w:rsidRPr="005E24C4">
              <w:t xml:space="preserve"> Dyrektora Ochrony Środowiska (pismo – znak sprawy: </w:t>
            </w:r>
            <w:r w:rsidRPr="005E24C4">
              <w:t>DGO-SP.450.19.2021.ŁD 1835419.6327470.5079525</w:t>
            </w:r>
            <w:r w:rsidR="0095040D" w:rsidRPr="005E24C4">
              <w:t xml:space="preserve"> z dnia</w:t>
            </w:r>
            <w:r w:rsidRPr="005E24C4">
              <w:t xml:space="preserve"> 16.11</w:t>
            </w:r>
            <w:r w:rsidR="0095040D" w:rsidRPr="005E24C4">
              <w:t xml:space="preserve">.2021 r.) oraz </w:t>
            </w:r>
            <w:r w:rsidRPr="005E24C4">
              <w:t>Głównego Inspektora</w:t>
            </w:r>
            <w:r w:rsidR="00E1547D" w:rsidRPr="005E24C4">
              <w:t xml:space="preserve"> </w:t>
            </w:r>
            <w:r w:rsidRPr="005E24C4">
              <w:t>Sanitarnego</w:t>
            </w:r>
            <w:r w:rsidR="0095040D" w:rsidRPr="005E24C4">
              <w:t xml:space="preserve"> (pismo – znak sprawy: </w:t>
            </w:r>
            <w:r w:rsidRPr="005E24C4">
              <w:t>DGO-SP.450.19.2021.ŁD</w:t>
            </w:r>
          </w:p>
          <w:p w14:paraId="03EFD73D" w14:textId="705CBBDD" w:rsidR="0095040D" w:rsidRPr="005E24C4" w:rsidRDefault="00A87D5A" w:rsidP="00A87D5A">
            <w:pPr>
              <w:spacing w:before="0" w:after="0" w:line="240" w:lineRule="auto"/>
              <w:ind w:firstLine="0"/>
              <w:jc w:val="left"/>
            </w:pPr>
            <w:r w:rsidRPr="005E24C4">
              <w:t xml:space="preserve">1835419.6328139.5079522 </w:t>
            </w:r>
            <w:r w:rsidR="0095040D" w:rsidRPr="005E24C4">
              <w:t>z dnia</w:t>
            </w:r>
            <w:r w:rsidRPr="005E24C4">
              <w:t xml:space="preserve"> 16.11.</w:t>
            </w:r>
            <w:r w:rsidR="0095040D" w:rsidRPr="005E24C4">
              <w:t xml:space="preserve">2021r.) z wnioskiem o ustalenie zakresu i stopnia szczegółowości Prognozy OOŚ. </w:t>
            </w:r>
          </w:p>
          <w:p w14:paraId="2320E4DA" w14:textId="1682A787" w:rsidR="0095040D" w:rsidRPr="005E24C4" w:rsidRDefault="0095040D" w:rsidP="00E34DAF">
            <w:pPr>
              <w:spacing w:before="0" w:after="0" w:line="240" w:lineRule="auto"/>
              <w:ind w:firstLine="0"/>
              <w:jc w:val="left"/>
            </w:pPr>
            <w:r w:rsidRPr="005E24C4">
              <w:t>Ustalenie stopnia szczegółowości informacji zawartych w prognozie oddziaływania na środowisko zostało określone w pismach:</w:t>
            </w:r>
          </w:p>
          <w:p w14:paraId="70CB644E" w14:textId="15A27771" w:rsidR="00A87D5A" w:rsidRPr="005E24C4" w:rsidRDefault="00A87D5A" w:rsidP="00670F0E">
            <w:pPr>
              <w:pStyle w:val="Wypunktowanie"/>
              <w:numPr>
                <w:ilvl w:val="0"/>
                <w:numId w:val="12"/>
              </w:numPr>
              <w:jc w:val="left"/>
            </w:pPr>
            <w:r w:rsidRPr="005E24C4">
              <w:rPr>
                <w:lang w:val="pl-PL"/>
              </w:rPr>
              <w:t xml:space="preserve">uzgodnieniu </w:t>
            </w:r>
            <w:r w:rsidRPr="005E24C4">
              <w:t>Generalnego Dyrekto</w:t>
            </w:r>
            <w:r w:rsidR="00767D77">
              <w:t>ra Ochrony Środowiska z dnia 13</w:t>
            </w:r>
            <w:r w:rsidR="00767D77">
              <w:rPr>
                <w:lang w:val="pl-PL"/>
              </w:rPr>
              <w:t> </w:t>
            </w:r>
            <w:r w:rsidRPr="005E24C4">
              <w:t>grudnia 2021 r. (</w:t>
            </w:r>
            <w:r w:rsidR="006554F2" w:rsidRPr="005E24C4">
              <w:rPr>
                <w:lang w:val="pl-PL"/>
              </w:rPr>
              <w:t xml:space="preserve">znak pisma: </w:t>
            </w:r>
            <w:r w:rsidRPr="005E24C4">
              <w:t>DOOŚ-TSOOŚ.411.24.2021.ZM),</w:t>
            </w:r>
          </w:p>
          <w:p w14:paraId="45D3E8BD" w14:textId="013B9998" w:rsidR="00A87D5A" w:rsidRPr="005E24C4" w:rsidRDefault="00A87D5A" w:rsidP="00670F0E">
            <w:pPr>
              <w:pStyle w:val="Wypunktowanie"/>
              <w:numPr>
                <w:ilvl w:val="0"/>
                <w:numId w:val="12"/>
              </w:numPr>
              <w:jc w:val="left"/>
            </w:pPr>
            <w:r w:rsidRPr="005E24C4">
              <w:t>opini</w:t>
            </w:r>
            <w:r w:rsidRPr="005E24C4">
              <w:rPr>
                <w:lang w:val="pl-PL"/>
              </w:rPr>
              <w:t>i</w:t>
            </w:r>
            <w:r w:rsidRPr="005E24C4">
              <w:t xml:space="preserve"> Głównego Inspektora Sanitarnego z dnia 3 grudnia 2021 r. (</w:t>
            </w:r>
            <w:r w:rsidR="006554F2" w:rsidRPr="005E24C4">
              <w:rPr>
                <w:lang w:val="pl-PL"/>
              </w:rPr>
              <w:t xml:space="preserve">znak pisma: </w:t>
            </w:r>
            <w:r w:rsidRPr="005E24C4">
              <w:t xml:space="preserve">HŚ.BW.530.11.2021.KK), </w:t>
            </w:r>
          </w:p>
          <w:p w14:paraId="6D9483C8" w14:textId="77777777" w:rsidR="00A87D5A" w:rsidRPr="005E24C4" w:rsidRDefault="00A87D5A" w:rsidP="006554F2">
            <w:pPr>
              <w:pStyle w:val="Wypunktowanie"/>
              <w:numPr>
                <w:ilvl w:val="0"/>
                <w:numId w:val="0"/>
              </w:numPr>
              <w:jc w:val="left"/>
            </w:pPr>
            <w:r w:rsidRPr="005E24C4">
              <w:t>określających wymagany zakres i szczegółowość Prognozy.</w:t>
            </w:r>
          </w:p>
          <w:p w14:paraId="684103AA" w14:textId="77777777" w:rsidR="0095040D" w:rsidRPr="005E24C4" w:rsidRDefault="0095040D" w:rsidP="00E34DAF">
            <w:pPr>
              <w:spacing w:before="0" w:after="0" w:line="240" w:lineRule="auto"/>
              <w:ind w:firstLine="0"/>
              <w:jc w:val="left"/>
            </w:pPr>
            <w:r w:rsidRPr="005E24C4">
              <w:t>Pisma zostały załączone do Prognozy oddziaływania na środowisko.</w:t>
            </w:r>
          </w:p>
          <w:p w14:paraId="04E0AB7B" w14:textId="1E291F3A" w:rsidR="006554F2" w:rsidRPr="005E24C4" w:rsidRDefault="006554F2" w:rsidP="006554F2">
            <w:pPr>
              <w:spacing w:before="0" w:after="0" w:line="240" w:lineRule="auto"/>
              <w:ind w:firstLine="0"/>
              <w:jc w:val="left"/>
              <w:rPr>
                <w:highlight w:val="yellow"/>
              </w:rPr>
            </w:pPr>
            <w:r w:rsidRPr="005E24C4">
              <w:t xml:space="preserve">Pisma zostały załączone do niniejszego Podsumowania </w:t>
            </w:r>
            <w:r w:rsidR="000A4451" w:rsidRPr="005E24C4">
              <w:rPr>
                <w:rFonts w:cs="Calibri"/>
              </w:rPr>
              <w:t>odpowiednio Załącznik 1 i Załącznik 2).</w:t>
            </w:r>
          </w:p>
        </w:tc>
      </w:tr>
      <w:tr w:rsidR="0095040D" w:rsidRPr="005E24C4" w14:paraId="5FC017ED" w14:textId="77777777" w:rsidTr="00E34DAF">
        <w:tc>
          <w:tcPr>
            <w:tcW w:w="1250" w:type="pct"/>
            <w:shd w:val="clear" w:color="auto" w:fill="FFFFFF" w:themeFill="background1"/>
          </w:tcPr>
          <w:p w14:paraId="5956331F" w14:textId="77777777" w:rsidR="0095040D" w:rsidRPr="005E24C4" w:rsidRDefault="0095040D" w:rsidP="00E34DAF">
            <w:pPr>
              <w:spacing w:before="0" w:after="0" w:line="240" w:lineRule="auto"/>
              <w:ind w:firstLine="0"/>
              <w:jc w:val="left"/>
            </w:pPr>
            <w:r w:rsidRPr="005E24C4">
              <w:t>Sporządzenie prognozy oddziaływania na środowisko</w:t>
            </w:r>
          </w:p>
        </w:tc>
        <w:tc>
          <w:tcPr>
            <w:tcW w:w="3750" w:type="pct"/>
            <w:shd w:val="clear" w:color="auto" w:fill="FFFFFF" w:themeFill="background1"/>
          </w:tcPr>
          <w:p w14:paraId="5AF40DBE" w14:textId="1B8F97A5" w:rsidR="0095040D" w:rsidRPr="005E24C4" w:rsidRDefault="0095040D" w:rsidP="00A87D5A">
            <w:pPr>
              <w:spacing w:before="0" w:after="0" w:line="240" w:lineRule="auto"/>
              <w:ind w:firstLine="0"/>
              <w:jc w:val="left"/>
            </w:pPr>
            <w:r w:rsidRPr="005E24C4">
              <w:t xml:space="preserve">Prognoza została opracowana zgodnie z </w:t>
            </w:r>
            <w:r w:rsidR="00D84BFA">
              <w:t>u</w:t>
            </w:r>
            <w:r w:rsidR="00D84BFA" w:rsidRPr="005E24C4">
              <w:t xml:space="preserve">stawą </w:t>
            </w:r>
            <w:r w:rsidRPr="005E24C4">
              <w:t xml:space="preserve">OOŚ i uzgodnieniami </w:t>
            </w:r>
            <w:r w:rsidR="00A87D5A" w:rsidRPr="005E24C4">
              <w:t xml:space="preserve">ww. </w:t>
            </w:r>
            <w:r w:rsidRPr="005E24C4">
              <w:t xml:space="preserve">organów, w pełnym zakresie wynikającym z art. 51 oraz art. 52 ust. 1 i 2. Sposób uwzględnienia w </w:t>
            </w:r>
            <w:r w:rsidR="00A87D5A" w:rsidRPr="005E24C4">
              <w:t>KPGO</w:t>
            </w:r>
            <w:r w:rsidRPr="005E24C4">
              <w:t xml:space="preserve"> ustaleń Prognozy OOŚ opisano w rozdz. 4.1.</w:t>
            </w:r>
          </w:p>
        </w:tc>
      </w:tr>
      <w:tr w:rsidR="0095040D" w:rsidRPr="005E24C4" w14:paraId="00B61A29" w14:textId="77777777" w:rsidTr="00E34DAF">
        <w:tc>
          <w:tcPr>
            <w:tcW w:w="1250" w:type="pct"/>
            <w:shd w:val="clear" w:color="auto" w:fill="FFFFFF" w:themeFill="background1"/>
          </w:tcPr>
          <w:p w14:paraId="6762BA22" w14:textId="77777777" w:rsidR="0095040D" w:rsidRPr="005E24C4" w:rsidRDefault="0095040D" w:rsidP="00E34DAF">
            <w:pPr>
              <w:spacing w:before="0" w:after="0" w:line="240" w:lineRule="auto"/>
              <w:ind w:firstLine="0"/>
              <w:jc w:val="left"/>
              <w:rPr>
                <w:highlight w:val="yellow"/>
              </w:rPr>
            </w:pPr>
            <w:r w:rsidRPr="005E24C4">
              <w:t>Uzyskanie wymaganych ustawą opinii</w:t>
            </w:r>
          </w:p>
        </w:tc>
        <w:tc>
          <w:tcPr>
            <w:tcW w:w="3750" w:type="pct"/>
            <w:shd w:val="clear" w:color="auto" w:fill="FFFFFF" w:themeFill="background1"/>
          </w:tcPr>
          <w:p w14:paraId="518B9ECA" w14:textId="63B95ABF" w:rsidR="0095040D" w:rsidRPr="005E24C4" w:rsidRDefault="00E1547D" w:rsidP="00E34DAF">
            <w:pPr>
              <w:spacing w:before="0" w:after="0" w:line="240" w:lineRule="auto"/>
              <w:ind w:firstLine="0"/>
              <w:jc w:val="left"/>
              <w:rPr>
                <w:rFonts w:cs="Calibri"/>
              </w:rPr>
            </w:pPr>
            <w:r w:rsidRPr="005E24C4">
              <w:t>Minister Klimatu i Środowiska wystąpił do Generalnego Dyrektora Ochrony Środowiska (pismo – znak sprawy:</w:t>
            </w:r>
            <w:r w:rsidR="00BC6157" w:rsidRPr="005E24C4">
              <w:t xml:space="preserve"> DGO-PGO.450.1.2022.ŁD z dnia </w:t>
            </w:r>
            <w:r w:rsidR="00DA0F3E">
              <w:t>15.06.2022</w:t>
            </w:r>
            <w:r w:rsidRPr="005E24C4">
              <w:t xml:space="preserve"> r.) oraz Głównego Inspektora Sanitarnego (pismo – znak sprawy: DGO-PGO.450.1.2022.ŁD z dnia </w:t>
            </w:r>
            <w:r w:rsidR="00211CE4">
              <w:t>15.06.2022</w:t>
            </w:r>
            <w:r w:rsidRPr="005E24C4">
              <w:t> r.)</w:t>
            </w:r>
            <w:r w:rsidR="00BC6157" w:rsidRPr="005E24C4">
              <w:t xml:space="preserve"> </w:t>
            </w:r>
            <w:r w:rsidR="0095040D" w:rsidRPr="005E24C4">
              <w:rPr>
                <w:rFonts w:cs="Calibri"/>
              </w:rPr>
              <w:t xml:space="preserve">z wnioskiem o zaopiniowanie </w:t>
            </w:r>
            <w:r w:rsidR="00BC6157" w:rsidRPr="005E24C4">
              <w:rPr>
                <w:rFonts w:cs="Calibri"/>
              </w:rPr>
              <w:t>KPGO</w:t>
            </w:r>
            <w:r w:rsidR="0095040D" w:rsidRPr="005E24C4">
              <w:rPr>
                <w:rFonts w:cs="Calibri"/>
              </w:rPr>
              <w:t xml:space="preserve"> wraz z Prognozą OOŚ. Opinie zostały wyrażone w pismach:</w:t>
            </w:r>
          </w:p>
          <w:p w14:paraId="6262E2BA" w14:textId="7020C7AC" w:rsidR="006554F2" w:rsidRPr="005E24C4" w:rsidRDefault="006554F2" w:rsidP="00670F0E">
            <w:pPr>
              <w:pStyle w:val="Wypunktowanie"/>
              <w:numPr>
                <w:ilvl w:val="0"/>
                <w:numId w:val="13"/>
              </w:numPr>
              <w:jc w:val="left"/>
              <w:rPr>
                <w:lang w:val="pl-PL"/>
              </w:rPr>
            </w:pPr>
            <w:r w:rsidRPr="005E24C4">
              <w:rPr>
                <w:lang w:val="pl-PL"/>
              </w:rPr>
              <w:t>Generalnego Dyrektora Ochrony Środowiska z dnia 4</w:t>
            </w:r>
            <w:r w:rsidR="000B005F">
              <w:rPr>
                <w:lang w:val="pl-PL"/>
              </w:rPr>
              <w:t xml:space="preserve"> sierpnia </w:t>
            </w:r>
            <w:r w:rsidRPr="005E24C4">
              <w:rPr>
                <w:lang w:val="pl-PL"/>
              </w:rPr>
              <w:t>2022 r. (znak pisma: DOOŚ-TSOOŚ.410.9.2022.ZM),</w:t>
            </w:r>
          </w:p>
          <w:p w14:paraId="06A0EF5D" w14:textId="34990852" w:rsidR="006554F2" w:rsidRPr="005E24C4" w:rsidRDefault="006554F2" w:rsidP="00670F0E">
            <w:pPr>
              <w:pStyle w:val="Wypunktowanie"/>
              <w:numPr>
                <w:ilvl w:val="0"/>
                <w:numId w:val="13"/>
              </w:numPr>
              <w:jc w:val="left"/>
              <w:rPr>
                <w:lang w:val="pl-PL"/>
              </w:rPr>
            </w:pPr>
            <w:r w:rsidRPr="005E24C4">
              <w:rPr>
                <w:lang w:val="pl-PL"/>
              </w:rPr>
              <w:t xml:space="preserve">opinii Głównego Inspektora Sanitarnego z dnia </w:t>
            </w:r>
            <w:r w:rsidR="00196FC8">
              <w:rPr>
                <w:lang w:val="pl-PL"/>
              </w:rPr>
              <w:t>25 lipca 2022</w:t>
            </w:r>
            <w:r w:rsidRPr="005E24C4">
              <w:rPr>
                <w:lang w:val="pl-PL"/>
              </w:rPr>
              <w:t xml:space="preserve"> r. (znak pisma: HŚ.HK.530.2.2022.KK), </w:t>
            </w:r>
          </w:p>
          <w:p w14:paraId="4063508A" w14:textId="0B3F6696" w:rsidR="0095040D" w:rsidRPr="005E24C4" w:rsidRDefault="0095040D" w:rsidP="00E34DAF">
            <w:pPr>
              <w:spacing w:before="0" w:after="0" w:line="240" w:lineRule="auto"/>
              <w:ind w:firstLine="0"/>
              <w:jc w:val="left"/>
              <w:rPr>
                <w:rFonts w:cs="Calibri"/>
              </w:rPr>
            </w:pPr>
            <w:r w:rsidRPr="005E24C4">
              <w:rPr>
                <w:rFonts w:cs="Calibri"/>
              </w:rPr>
              <w:t>Pisma zostały załączone do niniejszego Podsumowania (</w:t>
            </w:r>
            <w:r w:rsidR="000A4451" w:rsidRPr="005E24C4">
              <w:rPr>
                <w:rFonts w:cs="Calibri"/>
              </w:rPr>
              <w:t xml:space="preserve">odpowiednio </w:t>
            </w:r>
            <w:r w:rsidR="006554F2" w:rsidRPr="005E24C4">
              <w:rPr>
                <w:rFonts w:cs="Calibri"/>
              </w:rPr>
              <w:t xml:space="preserve">Załącznik </w:t>
            </w:r>
            <w:r w:rsidR="000A4451" w:rsidRPr="005E24C4">
              <w:rPr>
                <w:rFonts w:cs="Calibri"/>
              </w:rPr>
              <w:t>3 i Załącznik 4</w:t>
            </w:r>
            <w:r w:rsidRPr="005E24C4">
              <w:rPr>
                <w:rFonts w:cs="Calibri"/>
              </w:rPr>
              <w:t>).</w:t>
            </w:r>
          </w:p>
          <w:p w14:paraId="3D1599B2" w14:textId="77777777" w:rsidR="0095040D" w:rsidRPr="005E24C4" w:rsidRDefault="0095040D" w:rsidP="00E34DAF">
            <w:pPr>
              <w:spacing w:before="0" w:after="0" w:line="240" w:lineRule="auto"/>
              <w:ind w:firstLine="0"/>
              <w:jc w:val="left"/>
              <w:rPr>
                <w:rFonts w:cs="Calibri"/>
              </w:rPr>
            </w:pPr>
            <w:r w:rsidRPr="005E24C4">
              <w:rPr>
                <w:rFonts w:cs="Calibri"/>
              </w:rPr>
              <w:t xml:space="preserve">Informacje o ww. opiniach przedstawiono w rozdz. 4.2. </w:t>
            </w:r>
          </w:p>
        </w:tc>
      </w:tr>
      <w:tr w:rsidR="0095040D" w:rsidRPr="005E24C4" w14:paraId="05B8BC64" w14:textId="77777777" w:rsidTr="00BB7BA4">
        <w:tc>
          <w:tcPr>
            <w:tcW w:w="1250" w:type="pct"/>
            <w:shd w:val="clear" w:color="auto" w:fill="FFFFFF" w:themeFill="background1"/>
          </w:tcPr>
          <w:p w14:paraId="651637DC" w14:textId="77777777" w:rsidR="0095040D" w:rsidRPr="005E24C4" w:rsidRDefault="0095040D" w:rsidP="00E34DAF">
            <w:pPr>
              <w:spacing w:before="0" w:after="0" w:line="240" w:lineRule="auto"/>
              <w:ind w:firstLine="0"/>
              <w:jc w:val="left"/>
            </w:pPr>
            <w:r w:rsidRPr="005E24C4">
              <w:t>Zapewnienie możliwości udziału społeczeństwa w postępowaniu</w:t>
            </w:r>
          </w:p>
        </w:tc>
        <w:tc>
          <w:tcPr>
            <w:tcW w:w="3750" w:type="pct"/>
            <w:shd w:val="clear" w:color="auto" w:fill="FFFFFF" w:themeFill="background1"/>
          </w:tcPr>
          <w:p w14:paraId="2069F021" w14:textId="4428BA31" w:rsidR="0095040D" w:rsidRPr="005E24C4" w:rsidRDefault="00CB638B" w:rsidP="00E34DAF">
            <w:pPr>
              <w:spacing w:before="0" w:after="0" w:line="240" w:lineRule="auto"/>
              <w:ind w:firstLine="0"/>
              <w:jc w:val="left"/>
            </w:pPr>
            <w:r w:rsidRPr="005E24C4">
              <w:t xml:space="preserve">Ministerstwo Klimatu i Środowiska </w:t>
            </w:r>
            <w:r w:rsidR="0095040D" w:rsidRPr="005E24C4">
              <w:t>podał</w:t>
            </w:r>
            <w:r w:rsidRPr="005E24C4">
              <w:t>o</w:t>
            </w:r>
            <w:r w:rsidR="0095040D" w:rsidRPr="005E24C4">
              <w:t xml:space="preserve"> do publicznej wiadomości informację o konsultacjach społecznych projektu </w:t>
            </w:r>
            <w:r w:rsidR="001E7FBF" w:rsidRPr="005E24C4">
              <w:t>uchwały Rady Ministrów w sprawie Krajowego planu gospodarki odpadami 2028 (KPGO 2028) wraz z Prognozą oddziaływania na środowisko</w:t>
            </w:r>
            <w:r w:rsidR="00BB7BA4" w:rsidRPr="005E24C4">
              <w:t xml:space="preserve"> (ogłoszenie z dnia </w:t>
            </w:r>
            <w:r w:rsidR="00704918">
              <w:t>1.07.</w:t>
            </w:r>
            <w:r w:rsidR="0095040D" w:rsidRPr="005E24C4">
              <w:t>202</w:t>
            </w:r>
            <w:r w:rsidR="00BB7BA4" w:rsidRPr="005E24C4">
              <w:t>2</w:t>
            </w:r>
            <w:r w:rsidR="0095040D" w:rsidRPr="005E24C4">
              <w:t xml:space="preserve"> r.). Uwagi i wnioski były przyjmowane w dniach </w:t>
            </w:r>
            <w:r w:rsidR="00704918">
              <w:t>1.07.</w:t>
            </w:r>
            <w:r w:rsidR="00BB7BA4" w:rsidRPr="005E24C4">
              <w:t>2022 r.  – 22.07.2022</w:t>
            </w:r>
            <w:r w:rsidR="0095040D" w:rsidRPr="005E24C4">
              <w:t xml:space="preserve"> r. </w:t>
            </w:r>
          </w:p>
          <w:p w14:paraId="1B2DF4F0" w14:textId="617C8224" w:rsidR="0095040D" w:rsidRPr="005E24C4" w:rsidRDefault="0095040D" w:rsidP="00E34DAF">
            <w:pPr>
              <w:spacing w:before="0" w:after="0" w:line="240" w:lineRule="auto"/>
              <w:ind w:firstLine="0"/>
              <w:jc w:val="left"/>
            </w:pPr>
            <w:r w:rsidRPr="005E24C4">
              <w:lastRenderedPageBreak/>
              <w:t>Informacje o rozpoczęciu i</w:t>
            </w:r>
            <w:r w:rsidR="00BB7BA4" w:rsidRPr="005E24C4">
              <w:t xml:space="preserve"> trwaniu konsultacji społecznych</w:t>
            </w:r>
            <w:r w:rsidRPr="005E24C4">
              <w:t xml:space="preserve"> publikowane były na</w:t>
            </w:r>
            <w:r w:rsidR="00BB7BA4" w:rsidRPr="005E24C4">
              <w:t xml:space="preserve"> stronie inte</w:t>
            </w:r>
            <w:r w:rsidR="00767D77">
              <w:t>rnetowej Ministerstwa Klimatu i </w:t>
            </w:r>
            <w:r w:rsidR="00BB7BA4" w:rsidRPr="005E24C4">
              <w:t xml:space="preserve">Środowiska: </w:t>
            </w:r>
            <w:hyperlink r:id="rId8" w:history="1">
              <w:r w:rsidR="00767D77" w:rsidRPr="00F752FE">
                <w:rPr>
                  <w:rStyle w:val="Hipercze"/>
                </w:rPr>
                <w:t>https://bip.mos.gov.pl/strategie-plany-programy/krajowy-plan-gospodarki-odpadami/projekt-uchwaly-rady-ministrow-w-sprawie-krajowego-planu-gospodarki-odpadami-2028/</w:t>
              </w:r>
            </w:hyperlink>
            <w:r w:rsidRPr="005E24C4">
              <w:t>.</w:t>
            </w:r>
          </w:p>
          <w:p w14:paraId="338C1571" w14:textId="77777777" w:rsidR="00BB7BA4" w:rsidRPr="005E24C4" w:rsidRDefault="0095040D" w:rsidP="00E34DAF">
            <w:pPr>
              <w:spacing w:before="0" w:after="0" w:line="240" w:lineRule="auto"/>
              <w:ind w:firstLine="0"/>
              <w:jc w:val="left"/>
            </w:pPr>
            <w:r w:rsidRPr="005E24C4">
              <w:t xml:space="preserve">Informacje o tym, w jaki sposób zostały wzięte pod uwagę i w jakim zakresie zostały uwzględnione uwagi i wnioski zgłoszone w związku z udziałem społeczeństwa przedstawiono w rozdz. 4.3. </w:t>
            </w:r>
          </w:p>
          <w:p w14:paraId="4D1A5196" w14:textId="6C1E1CEF" w:rsidR="0095040D" w:rsidRPr="005E24C4" w:rsidRDefault="0095040D" w:rsidP="000A4451">
            <w:pPr>
              <w:spacing w:before="0" w:after="0" w:line="240" w:lineRule="auto"/>
              <w:ind w:firstLine="0"/>
              <w:jc w:val="left"/>
            </w:pPr>
            <w:r w:rsidRPr="005E24C4">
              <w:t>Obwieszczenie o konsultacja</w:t>
            </w:r>
            <w:r w:rsidR="002C45F5">
              <w:t>ch</w:t>
            </w:r>
            <w:r w:rsidRPr="005E24C4">
              <w:t xml:space="preserve"> społecznych projektu </w:t>
            </w:r>
            <w:r w:rsidR="00BB7BA4" w:rsidRPr="005E24C4">
              <w:t>KPGO</w:t>
            </w:r>
            <w:r w:rsidR="00767D77">
              <w:t xml:space="preserve"> wraz z </w:t>
            </w:r>
            <w:r w:rsidRPr="005E24C4">
              <w:t xml:space="preserve">Prognozą </w:t>
            </w:r>
            <w:r w:rsidR="000A4451" w:rsidRPr="005E24C4">
              <w:t>OOŚ przedstawiono w Z</w:t>
            </w:r>
            <w:r w:rsidR="00BB7BA4" w:rsidRPr="005E24C4">
              <w:t xml:space="preserve">ałączniku </w:t>
            </w:r>
            <w:r w:rsidR="000A4451" w:rsidRPr="005E24C4">
              <w:t xml:space="preserve">5, zaś </w:t>
            </w:r>
            <w:r w:rsidR="00767D77">
              <w:t>zestawienie uwag i </w:t>
            </w:r>
            <w:r w:rsidR="000A4451" w:rsidRPr="005E24C4">
              <w:t xml:space="preserve">sposobu ich uwzględnienia w załączniku 6. </w:t>
            </w:r>
          </w:p>
        </w:tc>
      </w:tr>
    </w:tbl>
    <w:p w14:paraId="0F00504C" w14:textId="7EF66083" w:rsidR="0095040D" w:rsidRPr="00BB7BA4" w:rsidRDefault="00667913" w:rsidP="00667913">
      <w:pPr>
        <w:pStyle w:val="Nagwek1"/>
        <w:ind w:left="714" w:hanging="714"/>
      </w:pPr>
      <w:bookmarkStart w:id="8" w:name="_Toc129596936"/>
      <w:r w:rsidRPr="00BB7BA4">
        <w:lastRenderedPageBreak/>
        <w:t>Informacja o sposobie uwzględnienia w KPGO wyników strategicznej oceny oddziaływania na środowisko</w:t>
      </w:r>
      <w:bookmarkEnd w:id="8"/>
    </w:p>
    <w:p w14:paraId="2BEC0FED" w14:textId="0AF9B2CE" w:rsidR="0095040D" w:rsidRPr="00BB7BA4" w:rsidRDefault="00667913" w:rsidP="00667913">
      <w:pPr>
        <w:pStyle w:val="Nagwek2"/>
        <w:numPr>
          <w:ilvl w:val="1"/>
          <w:numId w:val="5"/>
        </w:numPr>
      </w:pPr>
      <w:bookmarkStart w:id="9" w:name="_Toc129596937"/>
      <w:r w:rsidRPr="00BB7BA4">
        <w:t>Ustalenia Prognozy oddziaływania na środowisko</w:t>
      </w:r>
      <w:bookmarkEnd w:id="9"/>
    </w:p>
    <w:bookmarkEnd w:id="3"/>
    <w:p w14:paraId="5B619186" w14:textId="68D08091" w:rsidR="00667913" w:rsidRPr="00737AB5" w:rsidRDefault="00667913" w:rsidP="00667913">
      <w:r w:rsidRPr="00737AB5">
        <w:t>Celem Prognozy oddziaływania na środowisko była ocena wpływu projektowanego dokumentu na osiągniecie celów ochrony środowiska, ocena oddziaływania na poszczególne elementy środowiska oraz wskazanie rozwiązań służących lepszemu wdrożeniu celów środowiskowych lub mających na celu ograniczanie, zapobieganie lub kompensację przyrodniczą negatywnych oddziaływań na środowisko.</w:t>
      </w:r>
    </w:p>
    <w:p w14:paraId="4918AFF9" w14:textId="5E3EB634" w:rsidR="00667913" w:rsidRPr="00737AB5" w:rsidRDefault="00667913" w:rsidP="00667913">
      <w:r w:rsidRPr="00737AB5">
        <w:t>P</w:t>
      </w:r>
      <w:r w:rsidR="00737AB5">
        <w:t>oniżej przedstawiono ustalenia P</w:t>
      </w:r>
      <w:r w:rsidRPr="00737AB5">
        <w:t>rognozy OOŚ:</w:t>
      </w:r>
    </w:p>
    <w:p w14:paraId="5323CBAE" w14:textId="4F2B1DB3" w:rsidR="00667913" w:rsidRPr="00B164FF" w:rsidRDefault="00667913" w:rsidP="00B164FF">
      <w:pPr>
        <w:spacing w:before="240" w:after="0"/>
        <w:ind w:firstLine="0"/>
        <w:rPr>
          <w:b/>
        </w:rPr>
      </w:pPr>
      <w:r w:rsidRPr="00B164FF">
        <w:rPr>
          <w:b/>
        </w:rPr>
        <w:t>1)</w:t>
      </w:r>
      <w:r w:rsidRPr="00B164FF">
        <w:rPr>
          <w:b/>
        </w:rPr>
        <w:tab/>
        <w:t>Ocena wpływu KPGO na osiągnięcie celów ochrony środowiska</w:t>
      </w:r>
    </w:p>
    <w:p w14:paraId="1F49C574" w14:textId="3DE15EB2" w:rsidR="00667913" w:rsidRPr="00667913" w:rsidRDefault="00667913" w:rsidP="00667913">
      <w:pPr>
        <w:rPr>
          <w:highlight w:val="yellow"/>
        </w:rPr>
      </w:pPr>
      <w:r w:rsidRPr="00737AB5">
        <w:t>W Prognozie przeanalizowano</w:t>
      </w:r>
      <w:r w:rsidR="00737AB5" w:rsidRPr="00737AB5">
        <w:t xml:space="preserve"> 7</w:t>
      </w:r>
      <w:r w:rsidRPr="00737AB5">
        <w:t xml:space="preserve"> celów ochrony środowiska. </w:t>
      </w:r>
      <w:r w:rsidR="00737AB5" w:rsidRPr="00737AB5">
        <w:t xml:space="preserve">Oceniono, że żadne z zaplanowanych w KPGO celów i kierunków działań nie pozostaje w sprzeczności ani też nie jest działaniem mogącym nie sprzyjać osiąganiu analizowanych celów. Większość przewidywanych działań będzie wspierać bezpośrednio lub pośrednio realizację celów w dziedzinie środowiska. Dotyczy to w szczególności działań służących przejściu na gospodarkę o obiegu zamkniętym, a zatem pośrednio także celowi łagodzenia zmian klimatu. KPGO, w wielu działaniach skupia się zapobieganiu powstawaniu odpadów, w tym ponownym użyciu produktów oraz zmniejszeniu ilości powstających odpadów, poprawie efektywności selektywnej zbiórki odpadów, w tym na poprawie jakości zbieranych selektywnie odpadów, zwiększeniu recyklingu odpadów ulegających biodegradacji, zwiększaniu świadomości społeczeństwa w zakresie zapobiegania powstawaniu odpadów i prawidłowych sposobów postępowania z odpadami. Większość tych działań pośrednio przyczynia się do osiągania </w:t>
      </w:r>
      <w:r w:rsidR="00737AB5">
        <w:t xml:space="preserve">wymienionych w Prognozie </w:t>
      </w:r>
      <w:r w:rsidR="00737AB5" w:rsidRPr="00737AB5">
        <w:t>celów ochrony środowiska. W przypadku niektórych zapisów KPGO dostrzeżono zagadnienia, które mogą być wzmocnione dzięki czemu przyczynią się do osiągnięcia synergii we wdrażaniu celów środowiskowych.</w:t>
      </w:r>
    </w:p>
    <w:p w14:paraId="6C28B48D" w14:textId="73740873" w:rsidR="00667913" w:rsidRPr="00B164FF" w:rsidRDefault="00667913" w:rsidP="00B164FF">
      <w:pPr>
        <w:spacing w:before="240" w:after="0"/>
        <w:ind w:firstLine="0"/>
        <w:rPr>
          <w:b/>
        </w:rPr>
      </w:pPr>
      <w:r w:rsidRPr="00B164FF">
        <w:rPr>
          <w:b/>
        </w:rPr>
        <w:t>2)</w:t>
      </w:r>
      <w:r w:rsidRPr="00B164FF">
        <w:rPr>
          <w:b/>
        </w:rPr>
        <w:tab/>
      </w:r>
      <w:r w:rsidRPr="00737AB5">
        <w:rPr>
          <w:b/>
        </w:rPr>
        <w:t>Analiza i ocena przewidywanych znaczących oddziaływań KPGO na środowisko</w:t>
      </w:r>
    </w:p>
    <w:p w14:paraId="2CB00004" w14:textId="6E7692B6" w:rsidR="00737AB5" w:rsidRDefault="00737AB5" w:rsidP="00667913">
      <w:pPr>
        <w:spacing w:after="0"/>
        <w:rPr>
          <w:highlight w:val="yellow"/>
        </w:rPr>
      </w:pPr>
      <w:r w:rsidRPr="00737AB5">
        <w:t xml:space="preserve">Zawarte w KPGO działania, realizowane przez administrację centralną mają charakter organizacyjny, służą zapobieganiu powstawaniu odpadów, poprawie sposobów postepowania z odpadami oraz pogłębianiu wiedzy o odpadach i podnoszeniu świadomości społeczeństwa na temat </w:t>
      </w:r>
      <w:r w:rsidRPr="00737AB5">
        <w:lastRenderedPageBreak/>
        <w:t>właściwego gospodarowania odpadami. Instrumenty legislacyjne, finansowe i kontrolne oraz budowanie wiedzy będą pozywanie wpływały na środowisko. Kontynuowanie działań mających na celu porządkowanie gospodarki odpadami będzie oddziaływało na klimat, powietrze atmosferyczne, powierzchnię ziemi i gleby, wody, różnorodność biologiczną oraz wa</w:t>
      </w:r>
      <w:r w:rsidR="00767D77">
        <w:t>runki życia i zdrowie ludzi. Te </w:t>
      </w:r>
      <w:r w:rsidRPr="00737AB5">
        <w:t>oddziaływania poprzez wdrażanie celów wyznaczonych w KPGO oraz istotnych celów ochrony środowiska (wymienionych powyżej), a także poprzez bezpośrednie skutki w środowisku będą miały pozytywny i długotrwały wpływ na środowisko i zdrowie ludzi. Wpływ ten będzie dotyczył całego kraju, a poszczególne działania będą przynosić synergiczne korzyści dla środowiska, w tym dla osiągnięcia naturalności klimatycznej zgodnie z polityką UE i kraju.</w:t>
      </w:r>
    </w:p>
    <w:p w14:paraId="4F6B0904" w14:textId="77777777" w:rsidR="008702EF" w:rsidRDefault="008702EF" w:rsidP="008702EF">
      <w:pPr>
        <w:spacing w:after="0"/>
      </w:pPr>
      <w:r>
        <w:t xml:space="preserve">Bezpośrednie oddziaływania na środowisko będą wynikiem działań, które będą realizowane na szczeblu samorządowym lub przez przedsiębiorców. KPGO stanowi ramy i punkt odniesienia dla przedsięwzięć. Przedsięwzięcia te uwzględnione są także w wojewódzkich planach gospodarki odpadami. Prognozy oddziaływania na środowisko tych dokumentów określiły kategorie oddziaływania, wskazując jednocześnie na potrzebę każdorazowego sprawdzenie zasięgu i skali oddziaływania na etapie oceny oddziaływania przedsięwzięć na środowisko. </w:t>
      </w:r>
    </w:p>
    <w:p w14:paraId="202DE74F" w14:textId="4F3CC7E9" w:rsidR="00737AB5" w:rsidRDefault="008702EF" w:rsidP="008702EF">
      <w:pPr>
        <w:spacing w:after="0"/>
        <w:rPr>
          <w:highlight w:val="yellow"/>
        </w:rPr>
      </w:pPr>
      <w:r>
        <w:t xml:space="preserve">Prognoza OOŚ wskazuje, że większość z wymienionych w KPGO przedsięwzięć charakteryzuje się potencjalnie negatywnym oddziaływaniem na środowisko, w szczególności poprzez emisje zanieczyszczeń do powietrza, gleb oraz wód powierzchniowych i podziemnych. Oddziaływanie to jest jednak trudne do określenia, ponieważ dla niemal wszystkich proponowanych obiektów brak jest szczegółów dotyczących ich lokalizacji, a oddziaływanie będzie zależne od lokalnych warunków środowiskowych (w szczególności tła zanieczyszczeń powietrza), a także warunków orograficznych, hydrologicznych i hydrogeologicznych, siedliskowych czy występowania obszarów przyrodniczo cennych. Ponadto </w:t>
      </w:r>
      <w:r w:rsidR="00821A84">
        <w:t xml:space="preserve">w Prognozie stwierdzono, że </w:t>
      </w:r>
      <w:r>
        <w:t>oddziaływanie to jest zróżnicowane ze względu na stopień zastosowania nowych rozwiązań mających na celu zabezpieczenie środowiska oraz ze względu na prowadzenia prac budowlanych, remontowych i modernizacy</w:t>
      </w:r>
      <w:r w:rsidR="00767D77">
        <w:t>jnych poszczególnych obiektów z </w:t>
      </w:r>
      <w:r>
        <w:t>zachowaniem dbałości o dobrą organizację prac i jak najlepszy stan środowiska.</w:t>
      </w:r>
    </w:p>
    <w:p w14:paraId="1C2A8742" w14:textId="384F6541" w:rsidR="00417494" w:rsidRPr="00417494" w:rsidRDefault="00857523" w:rsidP="00667913">
      <w:pPr>
        <w:spacing w:after="0"/>
      </w:pPr>
      <w:r w:rsidRPr="00417494">
        <w:t xml:space="preserve">Wg Prognozy </w:t>
      </w:r>
      <w:r w:rsidR="00417494" w:rsidRPr="00417494">
        <w:t xml:space="preserve">przedsięwzięcia proponowane w </w:t>
      </w:r>
      <w:r w:rsidRPr="00417494">
        <w:t>KPGO potencjalnie bę</w:t>
      </w:r>
      <w:r w:rsidR="00417494" w:rsidRPr="00417494">
        <w:t xml:space="preserve">dą </w:t>
      </w:r>
      <w:r w:rsidRPr="00417494">
        <w:t>oddziaływać</w:t>
      </w:r>
      <w:r w:rsidR="003D4366">
        <w:t xml:space="preserve"> przede wszystkim</w:t>
      </w:r>
      <w:r w:rsidRPr="00417494">
        <w:t xml:space="preserve"> na</w:t>
      </w:r>
      <w:r w:rsidR="00417494" w:rsidRPr="00417494">
        <w:t>:</w:t>
      </w:r>
    </w:p>
    <w:p w14:paraId="5B419CA4" w14:textId="4DD087F2" w:rsidR="00737AB5" w:rsidRPr="00417494" w:rsidRDefault="00417494" w:rsidP="0026327D">
      <w:pPr>
        <w:pStyle w:val="Akapitzlist"/>
        <w:numPr>
          <w:ilvl w:val="0"/>
          <w:numId w:val="22"/>
        </w:numPr>
        <w:spacing w:before="0" w:after="0"/>
        <w:ind w:left="357" w:hanging="357"/>
      </w:pPr>
      <w:r w:rsidRPr="00417494">
        <w:t>klimat poprzez emisję gazów cieplarnianych, w tym metan, a także przekształcanie klimatu lokalnego (dotyczy to infrastruktury do zbierania i sortowania odpadó</w:t>
      </w:r>
      <w:r w:rsidRPr="003843E6">
        <w:t>w,</w:t>
      </w:r>
      <w:r w:rsidRPr="00417494">
        <w:t xml:space="preserve"> instalacji do przetwarzania odpadów w procesach biologicznych, instalacji do odzysku odpadów, instalacji do recyklingu odpadów, instalacji do przetwarzania odpadów w procesach termicznych i instalacji do składowania odpadów); oddziaływania te są prawdopodobne i będą miały </w:t>
      </w:r>
      <w:r w:rsidR="00767D77">
        <w:t>charakter trwały i lokalny, a w </w:t>
      </w:r>
      <w:r w:rsidRPr="00417494">
        <w:t>przypadku podziemnych składowisk odpadów oraz likwidacji mogilników emisja gazów cieplarnianych będzie miała charakter ponadlokalny;</w:t>
      </w:r>
    </w:p>
    <w:p w14:paraId="2DBCC13F" w14:textId="53FC2D79" w:rsidR="00417494" w:rsidRPr="00417494" w:rsidRDefault="00417494" w:rsidP="008E20F1">
      <w:pPr>
        <w:pStyle w:val="Akapitzlist"/>
        <w:numPr>
          <w:ilvl w:val="0"/>
          <w:numId w:val="22"/>
        </w:numPr>
        <w:spacing w:after="0"/>
      </w:pPr>
      <w:r w:rsidRPr="00417494">
        <w:t>powietrze atmosferyczne poprzez emisje pyłów, gazów i odorów, a także poprze wykorzystanie przestrzeni i zmiany w strukturze zagospodarowania terenów (dotyczy to infrastruktury do zbierania i sortowania odpadów,), instalacji do przetwarzania odpadów w procesach biologicznych, instalacji do odzysku odpadów, instalacji do recyklingu odpadów, instal</w:t>
      </w:r>
      <w:r w:rsidR="00767D77">
        <w:t>acji do przetwarzania odpadów w </w:t>
      </w:r>
      <w:r w:rsidRPr="00417494">
        <w:t>procesach termicznych i instalacji do składowania odpadów;</w:t>
      </w:r>
      <w:r w:rsidR="008E20F1" w:rsidRPr="008E20F1">
        <w:t xml:space="preserve"> </w:t>
      </w:r>
      <w:r w:rsidR="008E20F1">
        <w:t>o</w:t>
      </w:r>
      <w:r w:rsidR="008E20F1" w:rsidRPr="008E20F1">
        <w:t>ddziaływania te (stałe i chwilowe) będą bezpośrednie i miały lokalny zasięg</w:t>
      </w:r>
      <w:r w:rsidR="008E20F1">
        <w:t xml:space="preserve">; </w:t>
      </w:r>
    </w:p>
    <w:p w14:paraId="25398EB5" w14:textId="0EAA827C" w:rsidR="00417494" w:rsidRDefault="008E20F1" w:rsidP="008E20F1">
      <w:pPr>
        <w:pStyle w:val="Akapitzlist"/>
        <w:numPr>
          <w:ilvl w:val="0"/>
          <w:numId w:val="22"/>
        </w:numPr>
        <w:spacing w:after="0"/>
      </w:pPr>
      <w:r w:rsidRPr="008E20F1">
        <w:t>komfort życia ludzi oraz ich zdrowie</w:t>
      </w:r>
      <w:r>
        <w:t xml:space="preserve"> poprzez emisję </w:t>
      </w:r>
      <w:r w:rsidRPr="008E20F1">
        <w:t>zanieczyszczeń do powietrza (w tym odorów)</w:t>
      </w:r>
      <w:r>
        <w:t>;</w:t>
      </w:r>
    </w:p>
    <w:p w14:paraId="3E5C93D5" w14:textId="02478E2A" w:rsidR="008E20F1" w:rsidRDefault="00D727AF" w:rsidP="00AB1B43">
      <w:pPr>
        <w:pStyle w:val="Akapitzlist"/>
        <w:numPr>
          <w:ilvl w:val="0"/>
          <w:numId w:val="22"/>
        </w:numPr>
        <w:spacing w:after="0"/>
      </w:pPr>
      <w:r w:rsidRPr="00D727AF">
        <w:t>rzeźb</w:t>
      </w:r>
      <w:r>
        <w:t>ę</w:t>
      </w:r>
      <w:r w:rsidRPr="00D727AF">
        <w:t xml:space="preserve"> terenu</w:t>
      </w:r>
      <w:r>
        <w:t xml:space="preserve"> i gleby poprzez zmiany rzeźby i </w:t>
      </w:r>
      <w:r w:rsidRPr="00D727AF">
        <w:t>przekształcenia struktury gleb</w:t>
      </w:r>
      <w:r>
        <w:t xml:space="preserve"> </w:t>
      </w:r>
      <w:r w:rsidR="00AB1B43">
        <w:t>(dotyczy to</w:t>
      </w:r>
      <w:r w:rsidR="00767D77">
        <w:t> z </w:t>
      </w:r>
      <w:r w:rsidR="00AB1B43" w:rsidRPr="00367087">
        <w:t>większości przedsięwzięć zaproponowanych w KPGO z wyjątkiem podziemnych składowisk odpadów i likwidacji mogilników)</w:t>
      </w:r>
      <w:r w:rsidR="00AB1B43">
        <w:t>; są to oddziaływania trwałe i</w:t>
      </w:r>
      <w:r w:rsidR="00AB1B43" w:rsidRPr="00AB1B43">
        <w:t xml:space="preserve"> bezpośredni</w:t>
      </w:r>
      <w:r w:rsidR="00AB1B43">
        <w:t xml:space="preserve">e </w:t>
      </w:r>
      <w:r w:rsidR="00AB1B43" w:rsidRPr="00367087">
        <w:t>o charakterze lokalnymi i nieodwracalnym</w:t>
      </w:r>
      <w:r w:rsidR="00AB1B43">
        <w:t>;</w:t>
      </w:r>
    </w:p>
    <w:p w14:paraId="608E22D8" w14:textId="420EBE23" w:rsidR="00AB1B43" w:rsidRDefault="00AB1B43" w:rsidP="00AB1B43">
      <w:pPr>
        <w:pStyle w:val="Akapitzlist"/>
        <w:numPr>
          <w:ilvl w:val="0"/>
          <w:numId w:val="22"/>
        </w:numPr>
        <w:spacing w:after="0"/>
      </w:pPr>
      <w:r>
        <w:lastRenderedPageBreak/>
        <w:t xml:space="preserve">jakość gleb </w:t>
      </w:r>
      <w:r w:rsidRPr="00AB1B43">
        <w:t>poprzez emisje zanieczyszczeń takich, jak metale ciężkie, związki siarki, fluoru, a także zanieczyszczeń fizycznych w postaci pyłów</w:t>
      </w:r>
      <w:r>
        <w:t xml:space="preserve"> (dotyczy wszystkich proponowanych przedsięwzięć);</w:t>
      </w:r>
    </w:p>
    <w:p w14:paraId="4AA12D2A" w14:textId="5C5E50AA" w:rsidR="00AB1B43" w:rsidRDefault="00AB1B43" w:rsidP="00AB1B43">
      <w:pPr>
        <w:pStyle w:val="Akapitzlist"/>
        <w:numPr>
          <w:ilvl w:val="0"/>
          <w:numId w:val="22"/>
        </w:numPr>
        <w:spacing w:after="0"/>
      </w:pPr>
      <w:r w:rsidRPr="00AB1B43">
        <w:t xml:space="preserve">wody powierzchniowe </w:t>
      </w:r>
      <w:r>
        <w:t>poprzez wytwarzanie ścieków i odprowadzanie</w:t>
      </w:r>
      <w:r w:rsidRPr="00AB1B43">
        <w:t xml:space="preserve"> oczyszczonych ścieków do odbiorników</w:t>
      </w:r>
      <w:r>
        <w:t>; o</w:t>
      </w:r>
      <w:r w:rsidRPr="00AB1B43">
        <w:t>ddziaływanie to będzie miało charakter bezpośredni i pośredni oraz lokalny zasięg</w:t>
      </w:r>
      <w:r>
        <w:t>;</w:t>
      </w:r>
    </w:p>
    <w:p w14:paraId="7FEAFE21" w14:textId="4C2A1B8D" w:rsidR="00AB1B43" w:rsidRDefault="00AB1B43" w:rsidP="00AB1B43">
      <w:pPr>
        <w:pStyle w:val="Akapitzlist"/>
        <w:numPr>
          <w:ilvl w:val="0"/>
          <w:numId w:val="22"/>
        </w:numPr>
        <w:spacing w:after="0"/>
      </w:pPr>
      <w:r>
        <w:t xml:space="preserve">wody </w:t>
      </w:r>
      <w:r w:rsidRPr="00AB1B43">
        <w:t>podziemn</w:t>
      </w:r>
      <w:r>
        <w:t>e poprzez</w:t>
      </w:r>
      <w:r w:rsidRPr="00AB1B43">
        <w:t xml:space="preserve"> emis</w:t>
      </w:r>
      <w:r>
        <w:t>ję</w:t>
      </w:r>
      <w:r w:rsidRPr="00AB1B43">
        <w:t xml:space="preserve"> zanieczyszczeń do środowiska gruntowo-wodnego i ich infiltracj</w:t>
      </w:r>
      <w:r>
        <w:t>ę</w:t>
      </w:r>
      <w:r w:rsidRPr="00AB1B43">
        <w:t xml:space="preserve"> do wód gruntowych</w:t>
      </w:r>
      <w:r>
        <w:t>; w</w:t>
      </w:r>
      <w:r w:rsidRPr="00AB1B43">
        <w:t>śród zanieczyszczeń emitowanych do wód podziemnych będą SO4-2, Cl-, NH3-NH4-, OWO, metale ciężkie, substancje ropopochodne, WWA, kwasy tłuszczowe i inne w zależności od składu przetwarzanych lub składowanych odpadów</w:t>
      </w:r>
      <w:r>
        <w:t xml:space="preserve">; </w:t>
      </w:r>
    </w:p>
    <w:p w14:paraId="266CBA8D" w14:textId="22D2CF01" w:rsidR="00AB1B43" w:rsidRDefault="00497BBE" w:rsidP="00497BBE">
      <w:pPr>
        <w:pStyle w:val="Akapitzlist"/>
        <w:numPr>
          <w:ilvl w:val="0"/>
          <w:numId w:val="22"/>
        </w:numPr>
        <w:spacing w:after="0"/>
      </w:pPr>
      <w:r>
        <w:t xml:space="preserve">strukturę zagospodarowania terenów i różnorodność biologiczną poprzez zmiany w tej strukturze i </w:t>
      </w:r>
      <w:r w:rsidRPr="00497BBE">
        <w:t>przez to będą przyczyniały się do utraty siedlisk przyrodniczych i gatunków roślin i zwierząt związanych z terenem, zmiany warunków siedliskowych, fragmentacji siedlisk przyrodniczych</w:t>
      </w:r>
      <w:r>
        <w:t xml:space="preserve">, </w:t>
      </w:r>
      <w:r w:rsidRPr="00367087">
        <w:t>także do pogorszenia integralność obszarów, utraty łączności i ciągłości ekologicznej</w:t>
      </w:r>
      <w:r w:rsidR="002F6749">
        <w:t xml:space="preserve"> (dotyczy to </w:t>
      </w:r>
      <w:r>
        <w:t>nowych przedsięwzięć);</w:t>
      </w:r>
    </w:p>
    <w:p w14:paraId="164C3232" w14:textId="547CDD15" w:rsidR="00497BBE" w:rsidRDefault="00497BBE" w:rsidP="00497BBE">
      <w:pPr>
        <w:pStyle w:val="Akapitzlist"/>
        <w:numPr>
          <w:ilvl w:val="0"/>
          <w:numId w:val="22"/>
        </w:numPr>
        <w:spacing w:after="0"/>
      </w:pPr>
      <w:r>
        <w:t>krajobraz poprzez jego p</w:t>
      </w:r>
      <w:r w:rsidRPr="00497BBE">
        <w:t>rzekształcenie polegające na wybudowaniu ins</w:t>
      </w:r>
      <w:r>
        <w:t>talacji, szczególnie składowisk</w:t>
      </w:r>
      <w:r w:rsidRPr="00497BBE">
        <w:t xml:space="preserve">, </w:t>
      </w:r>
      <w:r>
        <w:t xml:space="preserve">co skutkowało </w:t>
      </w:r>
      <w:r w:rsidRPr="00497BBE">
        <w:t>będzie zmian</w:t>
      </w:r>
      <w:r>
        <w:t>ami</w:t>
      </w:r>
      <w:r w:rsidRPr="00497BBE">
        <w:t xml:space="preserve"> w relacji pomiędzy poszczególnymi składnikami krajobrazu</w:t>
      </w:r>
      <w:r>
        <w:t xml:space="preserve"> oraz </w:t>
      </w:r>
      <w:r w:rsidRPr="00367087">
        <w:t>przekształcenie ekspozycji krajobrazu w postaci wprowadzenia nowej dominanty (wysokościowej lub przestrzennej</w:t>
      </w:r>
      <w:r>
        <w:t>).</w:t>
      </w:r>
    </w:p>
    <w:p w14:paraId="1CA45C76" w14:textId="32E28727" w:rsidR="00B96F54" w:rsidRPr="00497BBE" w:rsidRDefault="00497BBE" w:rsidP="00667913">
      <w:pPr>
        <w:spacing w:after="0"/>
      </w:pPr>
      <w:r>
        <w:t>Prognoza wskazuje, że p</w:t>
      </w:r>
      <w:r w:rsidRPr="00497BBE">
        <w:t>omimo negatywnych oddziaływań poszczególnych przedsięwzięć, realizacja KPGO w ujęciu całościowym przyniesie pozytywne rozwiązania problemów środowiskowych poprzez zmniejszenie ilości składowanych odpadów i odzysk surowców. Zastosowanie środków minimalizujących powinno doprowadzić do sytuacji, w której nie pojawią się oddziaływania znaczące. Szczególnie istotne jest właściwe planowanie obiektów gospodarki odpadami już na etapie wyboru ich lokalizacji, a także unikanie sytuacji, gdy budowane są obiekty, które nie są w pełni eksploatowane.</w:t>
      </w:r>
    </w:p>
    <w:p w14:paraId="3F641E38" w14:textId="00CB5565" w:rsidR="00667913" w:rsidRPr="00497BBE" w:rsidRDefault="00667913" w:rsidP="00B164FF">
      <w:pPr>
        <w:spacing w:before="240" w:after="0"/>
        <w:ind w:firstLine="0"/>
        <w:rPr>
          <w:b/>
        </w:rPr>
      </w:pPr>
      <w:r w:rsidRPr="00497BBE">
        <w:rPr>
          <w:b/>
        </w:rPr>
        <w:t>3)</w:t>
      </w:r>
      <w:r w:rsidRPr="00497BBE">
        <w:rPr>
          <w:b/>
        </w:rPr>
        <w:tab/>
        <w:t xml:space="preserve">Oddziaływanie postanowień KPGO na obszary Natura 2000 </w:t>
      </w:r>
    </w:p>
    <w:p w14:paraId="1B2514C2" w14:textId="413A1885" w:rsidR="006D5E22" w:rsidRDefault="00082371" w:rsidP="006D5E22">
      <w:r>
        <w:t xml:space="preserve">W Prognozie stwierdzono, że </w:t>
      </w:r>
      <w:r w:rsidR="006D5E22" w:rsidRPr="00B83FBF">
        <w:t xml:space="preserve">KPGO służy – głównie pośrednio – ochronie i odbudowie różnorodności biologicznej w obszarach Natura 2000 poprzez działania w zakresie zapobiegania zanieczyszczeniom środowiska, związanym z </w:t>
      </w:r>
      <w:r w:rsidR="00B35440">
        <w:t>nieracjonalną</w:t>
      </w:r>
      <w:r w:rsidR="00B35440" w:rsidRPr="00B83FBF">
        <w:t xml:space="preserve"> </w:t>
      </w:r>
      <w:r w:rsidR="006D5E22" w:rsidRPr="00B83FBF">
        <w:t>gospodarką odpadami. Zapobieganie zanieczyszczeniom oraz ich kontrola przyczynia się do ochrony wód i gleb, ma także znaczenie dla odporności siedlisk przyrodniczych na zmiany klimatu. Zmniejszenie presji odpadów na wody i gleby, ograniczenie przedostawania się zanieczyszczeń do tych elementów środowiska zwiększa potencjał siedlisk do regeneracji w warunkach zmian klimatu. W szczególności dotyczy to siedlisk przyrodniczych zależnych od wód w warunkach suszy, zjawiska, które już obecnie pojawi</w:t>
      </w:r>
      <w:r w:rsidR="002F6749">
        <w:t>a się w Polsce coraz częściej i </w:t>
      </w:r>
      <w:r w:rsidR="006D5E22" w:rsidRPr="00B83FBF">
        <w:t>jest bardziej intensywne. Zjawiska związane z deficytem wody w przyszłości będą pojawiać się coraz częściej.</w:t>
      </w:r>
    </w:p>
    <w:p w14:paraId="3B5DC9F7" w14:textId="73254823" w:rsidR="00EE2CE5" w:rsidRPr="00AD0770" w:rsidRDefault="00EE2CE5" w:rsidP="00EE2CE5">
      <w:r>
        <w:t>Stwierdzono również, że potencjalne negatywne oddziaływanie na przedmioty ochrony w obszarach Natura 2000 zarówno w przypadku budowy, rozbudowy, modernizacji infrastruktury, instalacji do zbierania, przetwarzania, odzysku odpadów czy też składowania odpadów będzie zależne lokalizacji i skali inwestycji oraz od wrażliwości przedmiotów ochrony podlegających odziaływaniu. W przypadku tych przedsięwzięć największe negatywne oddziaływania na obszary Natura 2000 mogą przede wszystkim polegać na zmianach warunków siedliskowych, w tym zmianach stosunków gruntowo-wodnych, emisji hałasu i drgań w środowisku, emisji pyłów i zanieczyszczeń do powietrza i</w:t>
      </w:r>
      <w:r w:rsidR="00B47532">
        <w:t> </w:t>
      </w:r>
      <w:r>
        <w:t xml:space="preserve">wód oraz ich akumulacji w glebach. </w:t>
      </w:r>
      <w:r w:rsidRPr="003B48BE">
        <w:t>Potencjalne negatywne oddziaływanie można zminimalizować – każdorazowo, dla konkretnej inwestycji niezbędne jest upewnienie się na etapie planowania inwestycji, czy przedsięwzięcie nie zagraża przedmiotom ochrony</w:t>
      </w:r>
      <w:r>
        <w:t xml:space="preserve"> obszaru Natura 2000</w:t>
      </w:r>
      <w:r w:rsidRPr="003B48BE">
        <w:t>. Niemniej pierwszorzędnym rozwiązaniem dla uniknięcia konfliktów i</w:t>
      </w:r>
      <w:r w:rsidR="00B17BD6">
        <w:t>nstalacji gospodarki odpadami z </w:t>
      </w:r>
      <w:r w:rsidRPr="003B48BE">
        <w:t xml:space="preserve">przedmiotami ochrony w obszarach Natura 2000 jest rezygnacja </w:t>
      </w:r>
      <w:r w:rsidR="00B17BD6">
        <w:t xml:space="preserve">z lokalizacji tych instalacji </w:t>
      </w:r>
      <w:r w:rsidR="00B17BD6">
        <w:lastRenderedPageBreak/>
        <w:t>w </w:t>
      </w:r>
      <w:r w:rsidRPr="003B48BE">
        <w:t>obszarach Natura 2000, w miejscach gdzie zasięg oddziaływania tych instalacji może objąć przedmioty ochrony.</w:t>
      </w:r>
      <w:r>
        <w:t xml:space="preserve"> W przypadku ryzyka wystąpienia znaczących negatywnych oddziaływań niezbędne jest przeprowadzenie oceny oddziaływania konkretnego przedsięwzięcia z uwzględnieniem możliwości minimalizacji i ograniczenia jego wpływu.</w:t>
      </w:r>
    </w:p>
    <w:p w14:paraId="6EA32CCB" w14:textId="6902D8C8" w:rsidR="00667913" w:rsidRPr="00820990" w:rsidRDefault="00667913" w:rsidP="00B164FF">
      <w:pPr>
        <w:spacing w:before="240" w:after="0"/>
        <w:ind w:firstLine="0"/>
        <w:rPr>
          <w:b/>
        </w:rPr>
      </w:pPr>
      <w:r w:rsidRPr="00820990">
        <w:rPr>
          <w:b/>
        </w:rPr>
        <w:t>4)</w:t>
      </w:r>
      <w:r w:rsidRPr="00820990">
        <w:rPr>
          <w:b/>
        </w:rPr>
        <w:tab/>
        <w:t>Rozwiązania alternatywne do rozwiązań zawartych w KPGO</w:t>
      </w:r>
    </w:p>
    <w:p w14:paraId="684A0616" w14:textId="673BFD60" w:rsidR="000F6FE5" w:rsidRDefault="000F6FE5" w:rsidP="000F6FE5">
      <w:r>
        <w:t>W KPGO przeprowadzono szczegółową diagnozę funkcjonowania gospodarki odpadami w Polsce, oceniono stopień, w jakim osiągnięto cele KPGO do roku 2022, opracowano p</w:t>
      </w:r>
      <w:r w:rsidRPr="00607B35">
        <w:t xml:space="preserve">rognozy </w:t>
      </w:r>
      <w:r>
        <w:t xml:space="preserve">powstawania odpadów </w:t>
      </w:r>
      <w:r w:rsidRPr="00607B35">
        <w:t>uwzględniają</w:t>
      </w:r>
      <w:r>
        <w:t>c</w:t>
      </w:r>
      <w:r w:rsidRPr="00607B35">
        <w:t xml:space="preserve"> zmiany demograficzne i gospodarcze</w:t>
      </w:r>
      <w:r>
        <w:t xml:space="preserve">. Przeprowadzono także analizę wymogów, których źródłem są polityki i prawo UE. W odniesieniu do różnych grup odpadów zidentyfikowano problemy gospodarki odpadami. Diagnoza, zawierająca wymienione kwestii była podstawą ustalenie celów KPGO, kierunków działań i zadań administracji publicznej. wdrożenie KPGO będzie pozytywnie oddziaływało na środowisko, w tym sieć obszarów Natura 2000, w tym ich integralność oraz spójność sieci Natura 2000. Jak wykazano </w:t>
      </w:r>
      <w:r w:rsidR="00C6312F">
        <w:t>w Prognozie OOŚ KPGO jest spójny z </w:t>
      </w:r>
      <w:r>
        <w:t>polityką UE i kraju w zakresie gospodarowania odpadami, a także szerzej w zakresie ochrony środowiska. Jest powiązany z dokumentami wyrażającymi tę polity</w:t>
      </w:r>
      <w:r w:rsidR="00C6312F">
        <w:t>kę na poziomie UE i Polski i </w:t>
      </w:r>
      <w:r>
        <w:t xml:space="preserve">przyczynia się do wzmocnienia pozytywnych oddziaływań tych polityk na środowisko. Jednocześnie, rezygnacja z przyjęcia KPGO (pomijając niezgodność takiej sytuacji z przepisami) oznaczałaby niekorzystane oddziaływania na środowisko, pogorszenie jego stanu, w tym utrudniałaby osiągnięcie neutralności klimatycznej, celu który możliwy jest do osiągnięcia, gdy zwiększona będzie synergia między obiegiem zamkniętym a redukcją emisji gazów cieplarnianych. </w:t>
      </w:r>
    </w:p>
    <w:p w14:paraId="7AD879D1" w14:textId="312844E4" w:rsidR="000F6FE5" w:rsidRDefault="00112CA8" w:rsidP="00DD6F9C">
      <w:pPr>
        <w:spacing w:after="0"/>
      </w:pPr>
      <w:r>
        <w:t xml:space="preserve">W Prognozie stwierdzono, że </w:t>
      </w:r>
      <w:r w:rsidR="000F6FE5">
        <w:t xml:space="preserve">KPGO jest dokumentem strategicznym opracowanym na podstawie rzeczowej diagnozy oraz stanowi jeden z instrumentów wdrażania polityki UE w dziedzinie ochrony środowiska. Wariantowe rozwiązania dokumentu uznano </w:t>
      </w:r>
      <w:r>
        <w:t xml:space="preserve">więc </w:t>
      </w:r>
      <w:r w:rsidR="000F6FE5">
        <w:t>za nieuzasadnione. Mając powyższe na uwadze w Prognozie nie zaproponowano rozwiązań alternatywnych do KPGO, niemniej zaproponowano rozwiązania, które mogą wzmocnić realizację celów ochrony środowiska po</w:t>
      </w:r>
      <w:r w:rsidR="00DD6F9C">
        <w:t>przez wdrażanie tego dokumentu. Są to:</w:t>
      </w:r>
    </w:p>
    <w:p w14:paraId="04FB443F" w14:textId="77777777" w:rsidR="00DD6F9C" w:rsidRPr="008A5152" w:rsidRDefault="00DD6F9C" w:rsidP="00DD6F9C">
      <w:pPr>
        <w:pStyle w:val="Akapitzlist"/>
        <w:numPr>
          <w:ilvl w:val="0"/>
          <w:numId w:val="23"/>
        </w:numPr>
        <w:spacing w:before="0"/>
        <w:ind w:left="357" w:hanging="357"/>
      </w:pPr>
      <w:r w:rsidRPr="008A5152">
        <w:t>wzmocnienie działań mających na celu zapobieganie powstawaniu odpadów baterii i akumulatorów, pojazdów wycofanych z eksploatacji, odpadów wyrobów włókienniczych,</w:t>
      </w:r>
    </w:p>
    <w:p w14:paraId="3675CE66" w14:textId="5E598335" w:rsidR="00DD6F9C" w:rsidRPr="008A5152" w:rsidRDefault="00DD6F9C" w:rsidP="00DD6F9C">
      <w:pPr>
        <w:pStyle w:val="Akapitzlist"/>
        <w:numPr>
          <w:ilvl w:val="0"/>
          <w:numId w:val="23"/>
        </w:numPr>
        <w:spacing w:before="0"/>
        <w:ind w:left="357" w:hanging="357"/>
      </w:pPr>
      <w:r w:rsidRPr="008A5152">
        <w:t>uwzględnienie kwestii trudności w ponownym użyciu i recyklingu w działaniach dotyczących ponownego użycia i recyklingu odpadów zawierających substancj</w:t>
      </w:r>
      <w:r w:rsidR="00B47532" w:rsidRPr="008A5152">
        <w:t>e potencjalnie niebezpieczne, w </w:t>
      </w:r>
      <w:r w:rsidRPr="008A5152">
        <w:t>tym substancje zaliczone do trwałych zanieczyszczeń organicznych (TZO) – takie jak zużyty sprzęt elektryczny i elektroniczny, pojazdy wycofane z eksploatacji,</w:t>
      </w:r>
    </w:p>
    <w:p w14:paraId="607BEAA8" w14:textId="50CE5DDB" w:rsidR="00DD6F9C" w:rsidRPr="008A5152" w:rsidRDefault="00DD6F9C" w:rsidP="00DD6F9C">
      <w:pPr>
        <w:pStyle w:val="Akapitzlist"/>
        <w:numPr>
          <w:ilvl w:val="0"/>
          <w:numId w:val="23"/>
        </w:numPr>
        <w:spacing w:before="0"/>
        <w:ind w:left="357" w:hanging="357"/>
      </w:pPr>
      <w:r w:rsidRPr="008A5152">
        <w:t>wzmocnienie działań mających na celu wykorzystanie biogazu jak</w:t>
      </w:r>
      <w:r w:rsidR="00B47532" w:rsidRPr="008A5152">
        <w:t>o odnawialnego źródła energii w </w:t>
      </w:r>
      <w:r w:rsidRPr="008A5152">
        <w:t>celu minimalizacji emisji tego typu gazów oraz odorów w procesie gospodarki odpadami,</w:t>
      </w:r>
    </w:p>
    <w:p w14:paraId="0CE61370" w14:textId="01B71ED9" w:rsidR="00DD6F9C" w:rsidRPr="008A5152" w:rsidRDefault="00DD6F9C" w:rsidP="00DD6F9C">
      <w:pPr>
        <w:pStyle w:val="Akapitzlist"/>
        <w:numPr>
          <w:ilvl w:val="0"/>
          <w:numId w:val="23"/>
        </w:numPr>
        <w:spacing w:before="0"/>
        <w:ind w:left="357" w:hanging="357"/>
      </w:pPr>
      <w:r w:rsidRPr="008A5152">
        <w:t>uwzględnienie w większym stopniu kwestii gospodarki odpa</w:t>
      </w:r>
      <w:r w:rsidR="00B47532" w:rsidRPr="008A5152">
        <w:t>dami z wyrobów włókienniczych w </w:t>
      </w:r>
      <w:r w:rsidRPr="008A5152">
        <w:t>kontekście planowanej do przyjęcia w 2022 r. „Strategii UE dla sektora włókienniczego”,</w:t>
      </w:r>
    </w:p>
    <w:p w14:paraId="71847272" w14:textId="77777777" w:rsidR="00DD6F9C" w:rsidRPr="008A5152" w:rsidRDefault="00DD6F9C" w:rsidP="00DD6F9C">
      <w:pPr>
        <w:pStyle w:val="Akapitzlist"/>
        <w:numPr>
          <w:ilvl w:val="0"/>
          <w:numId w:val="23"/>
        </w:numPr>
        <w:spacing w:before="0"/>
        <w:ind w:left="357" w:hanging="357"/>
      </w:pPr>
      <w:r w:rsidRPr="008A5152">
        <w:t>uwzględnienie kwestii obowiązkowej zawartości materiałów pochodzących z odzysku (kobaltu, ołowiu, litu, niklu) w nowych bateriach (zgodnie z planowanymi w UE przepisami w sprawie baterii i zużytych baterii</w:t>
      </w:r>
      <w:r w:rsidRPr="008A5152">
        <w:rPr>
          <w:vertAlign w:val="superscript"/>
        </w:rPr>
        <w:footnoteReference w:id="1"/>
      </w:r>
      <w:r w:rsidRPr="008A5152">
        <w:t>),</w:t>
      </w:r>
    </w:p>
    <w:p w14:paraId="0127798D" w14:textId="77777777" w:rsidR="00DD6F9C" w:rsidRPr="008A5152" w:rsidRDefault="00DD6F9C" w:rsidP="00DD6F9C">
      <w:pPr>
        <w:pStyle w:val="Akapitzlist"/>
        <w:numPr>
          <w:ilvl w:val="0"/>
          <w:numId w:val="23"/>
        </w:numPr>
        <w:spacing w:before="0"/>
        <w:ind w:left="357" w:hanging="357"/>
      </w:pPr>
      <w:r w:rsidRPr="008A5152">
        <w:t>uwzględnienie kwestii obowiązkowej zawartości materiałów z recyklingu w przypadku niektórych materiałów komponentów pojazdów i w materiałach budowlanych,</w:t>
      </w:r>
    </w:p>
    <w:p w14:paraId="626ECCB2" w14:textId="77777777" w:rsidR="00DD6F9C" w:rsidRPr="008A5152" w:rsidRDefault="00DD6F9C" w:rsidP="00DD6F9C">
      <w:pPr>
        <w:pStyle w:val="Akapitzlist"/>
        <w:numPr>
          <w:ilvl w:val="0"/>
          <w:numId w:val="23"/>
        </w:numPr>
        <w:spacing w:before="0"/>
        <w:ind w:left="357" w:hanging="357"/>
      </w:pPr>
      <w:r w:rsidRPr="008A5152">
        <w:lastRenderedPageBreak/>
        <w:t xml:space="preserve">wzmocnienie celów dotyczących poziomu odzysku odpadów z budowy i rozbiórki w kontekście planowanej w UE rewizji celów w tym zakresie, </w:t>
      </w:r>
    </w:p>
    <w:p w14:paraId="4FAFA487" w14:textId="393C51B4" w:rsidR="00DD6F9C" w:rsidRPr="008A5152" w:rsidRDefault="00DD6F9C" w:rsidP="00DD6F9C">
      <w:pPr>
        <w:pStyle w:val="Akapitzlist"/>
        <w:numPr>
          <w:ilvl w:val="0"/>
          <w:numId w:val="23"/>
        </w:numPr>
        <w:spacing w:before="0"/>
        <w:ind w:left="357" w:hanging="357"/>
      </w:pPr>
      <w:r w:rsidRPr="008A5152">
        <w:t xml:space="preserve">zaplanowanie działań w zakresie tworzenia nowych kwalifikacji i edukacji na poziomie wyższym w celu zwiększenia roli </w:t>
      </w:r>
      <w:proofErr w:type="spellStart"/>
      <w:r w:rsidRPr="008A5152">
        <w:t>ekoprojektowania</w:t>
      </w:r>
      <w:proofErr w:type="spellEnd"/>
      <w:r w:rsidRPr="008A5152">
        <w:t>, projektowania nowych procesów i wyrobów w taki sposób, aby w jak najmniejszym stopniu oddziaływały na środowisko w fazie produkcji, użytkowania i po zakończeniu użytkowania</w:t>
      </w:r>
      <w:r w:rsidR="00EC21E2">
        <w:t>.</w:t>
      </w:r>
    </w:p>
    <w:p w14:paraId="399A8998" w14:textId="77777777" w:rsidR="00667913" w:rsidRPr="00284B32" w:rsidRDefault="00667913" w:rsidP="00667913">
      <w:pPr>
        <w:pStyle w:val="Nagwek2"/>
        <w:numPr>
          <w:ilvl w:val="1"/>
          <w:numId w:val="5"/>
        </w:numPr>
      </w:pPr>
      <w:bookmarkStart w:id="10" w:name="_Toc86069375"/>
      <w:bookmarkStart w:id="11" w:name="_Toc129596938"/>
      <w:r w:rsidRPr="00E92408">
        <w:t xml:space="preserve">Opinie organów właściwych w strategicznej ocenie oddziaływania na </w:t>
      </w:r>
      <w:r w:rsidRPr="00284B32">
        <w:t>środowisko</w:t>
      </w:r>
      <w:bookmarkEnd w:id="10"/>
      <w:bookmarkEnd w:id="11"/>
    </w:p>
    <w:p w14:paraId="789D586B" w14:textId="2E81C2AA" w:rsidR="00667913" w:rsidRPr="00284B32" w:rsidRDefault="00667913" w:rsidP="00667913">
      <w:r w:rsidRPr="00284B32">
        <w:t xml:space="preserve">Opinie o </w:t>
      </w:r>
      <w:r w:rsidR="00E92408" w:rsidRPr="00284B32">
        <w:t xml:space="preserve">KPGO </w:t>
      </w:r>
      <w:r w:rsidRPr="00284B32">
        <w:t>i Prognozie OO</w:t>
      </w:r>
      <w:r w:rsidR="00E92408" w:rsidRPr="00284B32">
        <w:t xml:space="preserve">Ś wyraziły organy – Generalny </w:t>
      </w:r>
      <w:r w:rsidRPr="00284B32">
        <w:t xml:space="preserve">Dyrektor Ochrony Środowiska oraz </w:t>
      </w:r>
      <w:r w:rsidR="00E92408" w:rsidRPr="00284B32">
        <w:t>Główny</w:t>
      </w:r>
      <w:r w:rsidRPr="00284B32">
        <w:t xml:space="preserve"> Inspektor Sanitarny. </w:t>
      </w:r>
    </w:p>
    <w:p w14:paraId="4755F6A9" w14:textId="48382FC1" w:rsidR="00667913" w:rsidRPr="00284B32" w:rsidRDefault="00284B32" w:rsidP="00284B32">
      <w:r w:rsidRPr="000B4F38">
        <w:t>Generalny</w:t>
      </w:r>
      <w:r w:rsidR="00667913" w:rsidRPr="000B4F38">
        <w:t xml:space="preserve"> Dyrektor Ochrony Środowiska nie zgłosił żadnych uwag zarówno do projektu</w:t>
      </w:r>
      <w:r w:rsidRPr="000B4F38">
        <w:t xml:space="preserve"> KPGO</w:t>
      </w:r>
      <w:r w:rsidR="00667913" w:rsidRPr="000B4F38">
        <w:t>, jak i</w:t>
      </w:r>
      <w:r w:rsidRPr="000B4F38">
        <w:t xml:space="preserve"> do P</w:t>
      </w:r>
      <w:r w:rsidR="00667913" w:rsidRPr="000B4F38">
        <w:t>rognozy oddziaływania na środowisko. Wyraził opinię, że</w:t>
      </w:r>
      <w:r w:rsidRPr="000B4F38">
        <w:t xml:space="preserve"> Prognoza </w:t>
      </w:r>
      <w:r w:rsidR="00667913" w:rsidRPr="000B4F38">
        <w:t>„</w:t>
      </w:r>
      <w:r w:rsidRPr="000B4F38">
        <w:t>zasadniczo zawiera wszystkie niezbędne elementy wymienione w art.</w:t>
      </w:r>
      <w:r w:rsidRPr="00284B32">
        <w:t xml:space="preserve"> 51 i 52 ustawy OOŚ oraz w uzgodnieniu Generalnego Dyrektora Ochrony Środowiska dotyczącym zakresu i stopnia szczegółowości prognozy z dnia 13 grudnia 2021 r., znak: DOOŚ-TSOOŚ.411.24.2021.ZM oraz, że „analizy zawarte w prognozie zostały dostosowane stopniem szczegółowości do stopnia szczegółowości zapisów KPGO”.</w:t>
      </w:r>
    </w:p>
    <w:p w14:paraId="1339C693" w14:textId="528301F9" w:rsidR="000D0E31" w:rsidRDefault="00284B32" w:rsidP="000D0E31">
      <w:r>
        <w:t xml:space="preserve">Główny </w:t>
      </w:r>
      <w:r w:rsidR="00667913" w:rsidRPr="00284B32">
        <w:t xml:space="preserve">Inspektor Sanitarny zaopiniował pozytywnie </w:t>
      </w:r>
      <w:r w:rsidR="000D0E31">
        <w:t>KPGO wraz z Prognozą OOŚ. Podkreślił, że Prognoza „zawiera szereg wskazań mających na celu przeciwdziałanie lub minimalizowanie potencjalnych negatywnych oddziaływań, na poszczególne elementy środowiska, w tym na zdrowie ludzi, z uwzględnieniem aspektów przedstawionych w piśmie Głównego Inspektora Sanitarnego z dnia 3 grudnia 2021 r. znak HŚ.BW.530.11.2021.KK”.</w:t>
      </w:r>
    </w:p>
    <w:p w14:paraId="67EB8CC9" w14:textId="77777777" w:rsidR="00667913" w:rsidRPr="00D523A7" w:rsidRDefault="00667913" w:rsidP="00667913">
      <w:pPr>
        <w:pStyle w:val="Nagwek2"/>
        <w:numPr>
          <w:ilvl w:val="1"/>
          <w:numId w:val="5"/>
        </w:numPr>
      </w:pPr>
      <w:bookmarkStart w:id="12" w:name="_Toc86069376"/>
      <w:bookmarkStart w:id="13" w:name="_Toc129596939"/>
      <w:r w:rsidRPr="00D523A7">
        <w:t>Uwagi i wnioski zgłoszone w związku z udziałem społeczeństwa</w:t>
      </w:r>
      <w:bookmarkEnd w:id="12"/>
      <w:bookmarkEnd w:id="13"/>
    </w:p>
    <w:p w14:paraId="30791CDF" w14:textId="56FACCAE" w:rsidR="00667913" w:rsidRPr="004436C5" w:rsidRDefault="00667913" w:rsidP="004436C5">
      <w:pPr>
        <w:spacing w:after="0"/>
      </w:pPr>
      <w:r w:rsidRPr="004436C5">
        <w:t>Konsultacje społeczne projektu</w:t>
      </w:r>
      <w:r w:rsidR="00FC5F59" w:rsidRPr="004436C5">
        <w:t xml:space="preserve"> Krajowego Planu Gospodarki Odpadami</w:t>
      </w:r>
      <w:r w:rsidRPr="004436C5">
        <w:t xml:space="preserve"> </w:t>
      </w:r>
      <w:r w:rsidR="000B4F38" w:rsidRPr="00BB6910">
        <w:t xml:space="preserve">trwały </w:t>
      </w:r>
      <w:r w:rsidRPr="00BB6910">
        <w:t xml:space="preserve">od </w:t>
      </w:r>
      <w:r w:rsidR="000B4F38" w:rsidRPr="00BB6910">
        <w:t>1</w:t>
      </w:r>
      <w:r w:rsidR="00FC5F59" w:rsidRPr="00BB6910">
        <w:t>.</w:t>
      </w:r>
      <w:r w:rsidR="000B4F38" w:rsidRPr="00BB6910">
        <w:t>07</w:t>
      </w:r>
      <w:r w:rsidR="00FC5F59" w:rsidRPr="00BB6910">
        <w:t>.2022 r. do</w:t>
      </w:r>
      <w:r w:rsidR="00FC5F59" w:rsidRPr="004436C5">
        <w:t xml:space="preserve"> 22.07.2022 r. </w:t>
      </w:r>
      <w:r w:rsidR="004436C5" w:rsidRPr="004436C5">
        <w:t>O</w:t>
      </w:r>
      <w:r w:rsidRPr="004436C5">
        <w:t xml:space="preserve">głoszenie o przystąpieniu do konsultacji społecznych projektu </w:t>
      </w:r>
      <w:r w:rsidR="004436C5" w:rsidRPr="004436C5">
        <w:t>KPGO</w:t>
      </w:r>
      <w:r w:rsidRPr="004436C5">
        <w:t xml:space="preserve"> wraz z Prognozą OOŚ zostało zamieszczone</w:t>
      </w:r>
      <w:r w:rsidR="004436C5" w:rsidRPr="004436C5">
        <w:t xml:space="preserve"> </w:t>
      </w:r>
      <w:r w:rsidRPr="004436C5">
        <w:t xml:space="preserve">na stronie Biuletynu Informacji Publicznej </w:t>
      </w:r>
      <w:r w:rsidR="004436C5" w:rsidRPr="004436C5">
        <w:t>Ministerstwa Klimatu i</w:t>
      </w:r>
      <w:r w:rsidR="00B47532">
        <w:t> </w:t>
      </w:r>
      <w:r w:rsidR="004436C5" w:rsidRPr="004436C5">
        <w:t>Środowiska</w:t>
      </w:r>
      <w:r w:rsidR="004436C5">
        <w:t>:</w:t>
      </w:r>
      <w:r w:rsidR="004436C5" w:rsidRPr="004436C5">
        <w:t xml:space="preserve"> </w:t>
      </w:r>
      <w:hyperlink r:id="rId9" w:history="1">
        <w:r w:rsidR="00B47532" w:rsidRPr="00F752FE">
          <w:rPr>
            <w:rStyle w:val="Hipercze"/>
          </w:rPr>
          <w:t>https://bip.mos.gov.pl/strategie-plany-programy/krajowy-plan-gospodarki-odpadami/ projekt-uchwaly-rady-ministrow-w-sprawie-krajowego-planu-gospodarki-odpadami-2028/</w:t>
        </w:r>
      </w:hyperlink>
      <w:r w:rsidR="004436C5" w:rsidRPr="004436C5">
        <w:t>.</w:t>
      </w:r>
      <w:r w:rsidR="00761007">
        <w:t xml:space="preserve"> Na tej stronie można było również zapoznać się z</w:t>
      </w:r>
      <w:r w:rsidRPr="004436C5">
        <w:t xml:space="preserve"> projektem </w:t>
      </w:r>
      <w:r w:rsidR="004436C5" w:rsidRPr="004436C5">
        <w:t xml:space="preserve">KPGO </w:t>
      </w:r>
      <w:r w:rsidRPr="004436C5">
        <w:t>wraz z Prognozą OOŚ</w:t>
      </w:r>
      <w:r w:rsidR="00761007">
        <w:t>.</w:t>
      </w:r>
      <w:r w:rsidR="004436C5" w:rsidRPr="004436C5">
        <w:t xml:space="preserve"> </w:t>
      </w:r>
    </w:p>
    <w:p w14:paraId="2C9AB026" w14:textId="77777777" w:rsidR="00667913" w:rsidRPr="004436C5" w:rsidRDefault="00667913" w:rsidP="004436C5">
      <w:pPr>
        <w:spacing w:after="0"/>
      </w:pPr>
      <w:r w:rsidRPr="004436C5">
        <w:t>Uwagi można było składać:</w:t>
      </w:r>
    </w:p>
    <w:p w14:paraId="7084D5DB" w14:textId="1FEC8405" w:rsidR="004436C5" w:rsidRPr="004436C5" w:rsidRDefault="004436C5" w:rsidP="004436C5">
      <w:pPr>
        <w:numPr>
          <w:ilvl w:val="0"/>
          <w:numId w:val="20"/>
        </w:numPr>
        <w:spacing w:before="0"/>
        <w:contextualSpacing/>
      </w:pPr>
      <w:r w:rsidRPr="004436C5">
        <w:t>w formie pisemnej, na adres: Ministerstwo Klimatu i Środowiska, ul. Wawelska 52/54, 00-922 Warszawa;</w:t>
      </w:r>
    </w:p>
    <w:p w14:paraId="2196ECC2" w14:textId="24309E24" w:rsidR="004436C5" w:rsidRPr="004436C5" w:rsidRDefault="004436C5" w:rsidP="001D6240">
      <w:pPr>
        <w:numPr>
          <w:ilvl w:val="0"/>
          <w:numId w:val="20"/>
        </w:numPr>
        <w:spacing w:before="0"/>
        <w:contextualSpacing/>
      </w:pPr>
      <w:r w:rsidRPr="004436C5">
        <w:t>ustnie do protokołu w Departamencie Gospodarki Odpadami, ul. Wawelska 52/54, 00-922 Warszawa, w godzinach pracy Departamentu;</w:t>
      </w:r>
    </w:p>
    <w:p w14:paraId="4CEE768E" w14:textId="3446C33E" w:rsidR="004436C5" w:rsidRPr="004436C5" w:rsidRDefault="004436C5" w:rsidP="00AE17E1">
      <w:pPr>
        <w:numPr>
          <w:ilvl w:val="0"/>
          <w:numId w:val="20"/>
        </w:numPr>
        <w:spacing w:before="0"/>
        <w:ind w:left="357" w:hanging="357"/>
      </w:pPr>
      <w:r w:rsidRPr="004436C5">
        <w:t>za pomocą środków komunikacji elektronicznej bez konieczności opatrywania ich bezpiecznym podpisem elektronicznym, na adres poczty elektronicznej: lucja.dec@klimat.gov.pl.</w:t>
      </w:r>
    </w:p>
    <w:p w14:paraId="3DC0F845" w14:textId="5ADA3097" w:rsidR="00D421AD" w:rsidRDefault="00D421AD" w:rsidP="00632C32">
      <w:r w:rsidRPr="00D421AD">
        <w:t>Organem właściwym do rozpatrzenia uwag i wniosków jest Minister Klimatu i Środowiska</w:t>
      </w:r>
      <w:r>
        <w:t xml:space="preserve">. </w:t>
      </w:r>
    </w:p>
    <w:p w14:paraId="60B2CE6F" w14:textId="1BC090FC" w:rsidR="00667913" w:rsidRDefault="00AE17E1" w:rsidP="00632C32">
      <w:r>
        <w:t>W ramach konsultacji społecznych zgłoszono 107 uwag, w ty</w:t>
      </w:r>
      <w:r w:rsidR="00761007">
        <w:t>m 106 uwag do projektu KPGO i 1 </w:t>
      </w:r>
      <w:r>
        <w:t xml:space="preserve">uwagę do Prognozy oddziaływania na środowisko. </w:t>
      </w:r>
      <w:r w:rsidR="005379D5">
        <w:t>Uwzględniono 21 uwag, 18 uwag uwzględniono częściowo, a 68 uwag nie</w:t>
      </w:r>
      <w:r w:rsidR="00D421AD">
        <w:t xml:space="preserve"> </w:t>
      </w:r>
      <w:r w:rsidR="005379D5">
        <w:t>uwzględniono</w:t>
      </w:r>
      <w:r w:rsidR="00D421AD">
        <w:t xml:space="preserve">. W przypadku uwag nieuwzględnionych lub uwzględnionych częściowo uzasadniono stanowisko Ministra Klimatu i Środowiska. </w:t>
      </w:r>
    </w:p>
    <w:p w14:paraId="34C4858E" w14:textId="3872F0BC" w:rsidR="00D421AD" w:rsidRPr="00632C32" w:rsidRDefault="00D421AD" w:rsidP="00632C32">
      <w:r>
        <w:lastRenderedPageBreak/>
        <w:t xml:space="preserve">Zestawienie zgłoszonych uwag wraz ze sposobem ich rozpatrzenia zawiera tabela stanowiąca załącznik </w:t>
      </w:r>
      <w:r w:rsidR="00761007">
        <w:t>6</w:t>
      </w:r>
      <w:r>
        <w:t xml:space="preserve">. </w:t>
      </w:r>
    </w:p>
    <w:p w14:paraId="46A663D9" w14:textId="7A73E2D3" w:rsidR="00667913" w:rsidRPr="00FD18B0" w:rsidRDefault="00667913" w:rsidP="00667913">
      <w:pPr>
        <w:pStyle w:val="Nagwek1"/>
        <w:ind w:left="714" w:hanging="714"/>
      </w:pPr>
      <w:bookmarkStart w:id="14" w:name="_Toc86069377"/>
      <w:bookmarkStart w:id="15" w:name="_Toc129596940"/>
      <w:r w:rsidRPr="00FD18B0">
        <w:t>Uzasadnieni</w:t>
      </w:r>
      <w:r w:rsidR="008670F7">
        <w:t>e wyboru przyjętego dokumentu w </w:t>
      </w:r>
      <w:r w:rsidRPr="00FD18B0">
        <w:t>odniesieniu do rozpatrywanych rozwiązań alternatywnych</w:t>
      </w:r>
      <w:bookmarkEnd w:id="14"/>
      <w:bookmarkEnd w:id="15"/>
    </w:p>
    <w:p w14:paraId="1C4032A2" w14:textId="1B2430A9" w:rsidR="000C73D0" w:rsidRDefault="00F10752" w:rsidP="000C73D0">
      <w:bookmarkStart w:id="16" w:name="_Toc86069378"/>
      <w:r>
        <w:t xml:space="preserve">W Prognozie stwierdzono, że </w:t>
      </w:r>
      <w:r w:rsidR="006965C1" w:rsidRPr="002E3C11">
        <w:t>KPGO powstał w odpowiedzi na jeden z najważniejszych problemów ochrony środowiska, jakim są odpady z działalności człowieka. Cele i kierunki działań określone w KPGO ukierunkowane są na poprawę gospodarowania odpadami, tak aby w jak najmniejszym stopniu powodowały one presję na środowisko i zdrowie ludzi. W KPGO przeprowadzono szczegółową diagnozę funkcjonowania gospodarki odpadami w Polsce, oceniono stopień, w jakim osiągnięto cele KPGO do roku 2022, opracowano prognozy powstawania odpadów uwzględniając zmiany demograficzne i gospodarcze. Przeprowadzono także analizę wymogów</w:t>
      </w:r>
      <w:r w:rsidR="00761007">
        <w:t>, których źródłem są polityki i </w:t>
      </w:r>
      <w:r w:rsidR="006965C1" w:rsidRPr="002E3C11">
        <w:t xml:space="preserve">prawo UE. W odniesieniu do różnych grup odpadów zidentyfikowano problemy gospodarki odpadami. Diagnoza, zawierająca wymienione kwestii była podstawą ustalenie celów KPGO, kierunków działań i zadań administracji publicznej. </w:t>
      </w:r>
    </w:p>
    <w:p w14:paraId="779061AA" w14:textId="12FC2F40" w:rsidR="006965C1" w:rsidRPr="002E3C11" w:rsidRDefault="000C73D0" w:rsidP="000C73D0">
      <w:r>
        <w:t xml:space="preserve">Prognoza wskazuje, że </w:t>
      </w:r>
      <w:r w:rsidR="006965C1" w:rsidRPr="002E3C11">
        <w:t xml:space="preserve">wdrożenie KPGO będzie pozytywnie oddziaływało na środowisko, w tym sieć obszarów Natura 2000, w tym ich integralność oraz spójność sieci Natura 2000. Jak wykazano KPGO jest spójny z polityką UE i kraju w zakresie gospodarowania odpadami, a także szerzej w zakresie ochrony środowiska. Jest powiązany z dokumentami wyrażającymi tę politykę na poziomie UE i Polski i przyczynia się do wzmocnienia pozytywnych oddziaływań tych polityk na środowisko. Jednocześnie, rezygnacja z przyjęcia KPGO (pomijając niezgodność takiej sytuacji z przepisami) oznaczałaby niekorzystane oddziaływania na środowisko, pogorszenie jego stanu, w tym utrudniałaby osiągnięcie neutralności klimatycznej, celu który możliwy jest do osiągnięcia, gdy zwiększona będzie synergia między obiegiem zamkniętym a redukcją emisji gazów cieplarnianych. </w:t>
      </w:r>
    </w:p>
    <w:p w14:paraId="78FF9DA2" w14:textId="36292A8F" w:rsidR="006965C1" w:rsidRPr="002E3C11" w:rsidRDefault="006965C1" w:rsidP="006965C1">
      <w:r w:rsidRPr="002E3C11">
        <w:t>KPGO jest dokumentem strategicznym opracowanym na podstawie rzec</w:t>
      </w:r>
      <w:r w:rsidR="000C73D0">
        <w:t>zowej diagnozy oraz stanowi jed</w:t>
      </w:r>
      <w:r w:rsidRPr="002E3C11">
        <w:t xml:space="preserve">en z instrumentów wdrażania polityki UE w dziedzinie ochrony środowiska. Wariantowe rozwiązania dokumentu nie są uzasadnione. </w:t>
      </w:r>
    </w:p>
    <w:p w14:paraId="014F38D5" w14:textId="77777777" w:rsidR="006965C1" w:rsidRPr="002E3C11" w:rsidRDefault="006965C1" w:rsidP="006965C1">
      <w:r w:rsidRPr="002E3C11">
        <w:t xml:space="preserve">W przypadku niektórych działań o charakterze technicznym, realizowanych w środowisku, dla których KPGO stanowi ramy, mogą wystąpić negatywne oddziaływania związane głównie z etapem budowy przedsięwzięć. Większość z tych oddziaływań może zostać zminimalizowana, dzięki właściwej lokalizacji przedsięwzięć i stosowaniu najlepszych technologii w ochronie środowiska. W tym zakresie możliwe i uzdatnione są różne warianty przedsięwzięć. Będą one, zgodnie z przepisami prawa, uwzględnione w postępowaniach w sprawie oceny oddziaływania przedsięwzięć na środowisko. </w:t>
      </w:r>
    </w:p>
    <w:p w14:paraId="5743E2EC" w14:textId="21AEF942" w:rsidR="006965C1" w:rsidRDefault="000B7679" w:rsidP="006965C1">
      <w:r>
        <w:t>Mając powyższe na uwadze Autorzy Prognozy</w:t>
      </w:r>
      <w:r w:rsidR="006965C1" w:rsidRPr="002E3C11">
        <w:t xml:space="preserve"> nie </w:t>
      </w:r>
      <w:r>
        <w:t>za</w:t>
      </w:r>
      <w:r w:rsidR="006965C1" w:rsidRPr="002E3C11">
        <w:t>propon</w:t>
      </w:r>
      <w:r>
        <w:t>owali</w:t>
      </w:r>
      <w:r w:rsidR="006965C1" w:rsidRPr="002E3C11">
        <w:t xml:space="preserve"> rozwiązań alternatywnych do KPGO, niemniej zaproponowano rozwiązania, które mogą wzmocnić realizację celów ochrony środowiska poprzez ten dok</w:t>
      </w:r>
      <w:r>
        <w:t>ument</w:t>
      </w:r>
      <w:r w:rsidR="005E088C">
        <w:t xml:space="preserve">. </w:t>
      </w:r>
    </w:p>
    <w:p w14:paraId="509D2A33" w14:textId="1A0D41ED" w:rsidR="00B359AC" w:rsidRDefault="00B359AC" w:rsidP="006965C1"/>
    <w:p w14:paraId="09A6F3BF" w14:textId="77777777" w:rsidR="00B359AC" w:rsidRDefault="00B359AC" w:rsidP="006965C1"/>
    <w:p w14:paraId="742EA1EF" w14:textId="77777777" w:rsidR="00667913" w:rsidRPr="006965C1" w:rsidRDefault="00667913" w:rsidP="00667913">
      <w:pPr>
        <w:pStyle w:val="Nagwek1"/>
        <w:ind w:left="714" w:hanging="714"/>
      </w:pPr>
      <w:bookmarkStart w:id="17" w:name="_Toc129596941"/>
      <w:r w:rsidRPr="006965C1">
        <w:lastRenderedPageBreak/>
        <w:t>Wyniki postępowania dotyczącego transgranicznego oddziaływania na środowisko</w:t>
      </w:r>
      <w:bookmarkEnd w:id="16"/>
      <w:bookmarkEnd w:id="17"/>
    </w:p>
    <w:p w14:paraId="1A9D8411" w14:textId="5E4AB6BE" w:rsidR="006965C1" w:rsidRDefault="008670F7" w:rsidP="006965C1">
      <w:bookmarkStart w:id="18" w:name="_Toc86069379"/>
      <w:r>
        <w:t>W Prognozie oddziaływania na środowisko KPGO stwierdzono, że w</w:t>
      </w:r>
      <w:r w:rsidR="006965C1" w:rsidRPr="00990435">
        <w:t xml:space="preserve">drażanie </w:t>
      </w:r>
      <w:r>
        <w:t>tego dokumentu</w:t>
      </w:r>
      <w:r w:rsidR="006965C1" w:rsidRPr="00990435">
        <w:t xml:space="preserve"> wiąże się z oddziaływaniami, które mogą mieć wpływ na inne kraje. W kontekście</w:t>
      </w:r>
      <w:r w:rsidR="006965C1" w:rsidRPr="008D1698">
        <w:t xml:space="preserve"> możliwego transgranicznego oddziaływania KPGO na środowisko istotne jest przede wszystkim wywożenie odpadów za granice Polski. Transgraniczne przemieszczania odpadów jest uregulowane </w:t>
      </w:r>
      <w:r>
        <w:t>zapisami Konwencji Bazylejskiej</w:t>
      </w:r>
      <w:r w:rsidR="006965C1" w:rsidRPr="008D1698">
        <w:t xml:space="preserve">, prawem UE oraz krajowym aktem </w:t>
      </w:r>
      <w:r w:rsidR="006965C1">
        <w:t>i</w:t>
      </w:r>
      <w:r w:rsidR="006965C1" w:rsidRPr="008D1698">
        <w:t xml:space="preserve"> odbywa się na podstawie decyzji administracyjnej wydawanej przez Głównego Inspektora Ochrony Środowiska. Regulacje te mają na celu zminimalizowania ryzyka negatywnych skutków dla zdrowia ludzi i środowiska powodowanych przez odpady niebezpieczne i inne odpady oraz ich transgraniczne przemieszczanie.</w:t>
      </w:r>
      <w:r>
        <w:t xml:space="preserve"> Ryzyko dla środowiska i zdrowia</w:t>
      </w:r>
      <w:r w:rsidR="006965C1" w:rsidRPr="008D1698">
        <w:t xml:space="preserve"> ludzi w krajach, do których wywożone są odpady może wiązać się z nielegalnym przemieszczaniem odpadów. KPGO uwzględnia działania służące monitorowaniu i kontroli strumienia odpadów, tak aby minimalizować możliwości nielegalnego wywożenia odpadów. </w:t>
      </w:r>
      <w:r w:rsidR="006965C1">
        <w:t>Budowa wymaganych zakładów i instalacji do przetwarzania odpadów z założenia powinna wyeliminować konieczność transgranicznego przemieszczania odpadów, a konieczność określenia zakresu i rodzaju oddziaływania tych inwestycji na przygraniczne miejscowości będzie analizowana przy opracowywaniu ocen strategicznych planów gospodarki odpadami dla poszczególnych, przygranicznych województw.</w:t>
      </w:r>
    </w:p>
    <w:p w14:paraId="27E0536C" w14:textId="1D0F25D0" w:rsidR="006965C1" w:rsidRDefault="008670F7" w:rsidP="006965C1">
      <w:r>
        <w:t>W Prognozie OOŚ n</w:t>
      </w:r>
      <w:r w:rsidR="006965C1">
        <w:t>ie stwierdzono znaczących negatywnych transgranicznych oddziaływań na środowisko, które wymagałyby przeprowadzenia postępowania w sprawie transgranicznego oddziaływania na środowisko.</w:t>
      </w:r>
    </w:p>
    <w:p w14:paraId="7EB97AC1" w14:textId="77777777" w:rsidR="00667913" w:rsidRPr="006965C1" w:rsidRDefault="00667913" w:rsidP="00667913">
      <w:pPr>
        <w:pStyle w:val="Nagwek1"/>
        <w:ind w:left="714" w:hanging="714"/>
      </w:pPr>
      <w:bookmarkStart w:id="19" w:name="_Toc129596942"/>
      <w:r w:rsidRPr="006965C1">
        <w:t>Propozycje dotyczące metod i częstotliwości przeprowadzania monitoringu skutków realizacji postanowień dokumentu</w:t>
      </w:r>
      <w:bookmarkEnd w:id="18"/>
      <w:bookmarkEnd w:id="19"/>
    </w:p>
    <w:p w14:paraId="3E2D0768" w14:textId="37BA42C8" w:rsidR="006965C1" w:rsidRDefault="006965C1" w:rsidP="008670F7">
      <w:pPr>
        <w:spacing w:after="0"/>
      </w:pPr>
      <w:r>
        <w:t>W KPGO zaproponowano zasady oraz wskaźniki monitorowania wdrażania dokumentu, które pośrednio odnoszą się także do ochrony środowiska. W kontekście celu „</w:t>
      </w:r>
      <w:r w:rsidR="008670F7">
        <w:t>Przejście na gospodarkę o </w:t>
      </w:r>
      <w:r w:rsidRPr="0093549D">
        <w:t>obiegu zamkniętym</w:t>
      </w:r>
      <w:r>
        <w:t>” korzystne dla oceny postępów z wdraża</w:t>
      </w:r>
      <w:r w:rsidR="00761007">
        <w:t>nia KPGO byłoby uwzględnianie w </w:t>
      </w:r>
      <w:r>
        <w:t>monitoringu wskaźników bezpośrednio odnoszących się do wyznaczonych celów KPGO. Ponadto</w:t>
      </w:r>
      <w:r w:rsidR="00761007">
        <w:t xml:space="preserve"> w </w:t>
      </w:r>
      <w:r>
        <w:t>zakresie gospodarowania odpadami proponuje się uzupełnienie listy wskaźników o wskaźniki:</w:t>
      </w:r>
    </w:p>
    <w:p w14:paraId="6081E364" w14:textId="65DD711A" w:rsidR="006965C1" w:rsidRDefault="006965C1" w:rsidP="008670F7">
      <w:pPr>
        <w:pStyle w:val="Akapitzlist"/>
        <w:numPr>
          <w:ilvl w:val="0"/>
          <w:numId w:val="24"/>
        </w:numPr>
        <w:spacing w:before="0"/>
        <w:ind w:left="357" w:hanging="357"/>
      </w:pPr>
      <w:r w:rsidRPr="0001117D">
        <w:t>ilość wytworzonych odpadów z wyłączeniem odpadów mineralnych</w:t>
      </w:r>
      <w:r>
        <w:t>,</w:t>
      </w:r>
    </w:p>
    <w:p w14:paraId="71FD5F86" w14:textId="77777777" w:rsidR="006965C1" w:rsidRDefault="006965C1" w:rsidP="008670F7">
      <w:pPr>
        <w:pStyle w:val="Akapitzlist"/>
        <w:numPr>
          <w:ilvl w:val="0"/>
          <w:numId w:val="24"/>
        </w:numPr>
        <w:spacing w:before="0"/>
        <w:ind w:left="357" w:hanging="357"/>
      </w:pPr>
      <w:r>
        <w:t xml:space="preserve">liczba kwalifikacji w sektorze gospodarki odpadami. </w:t>
      </w:r>
    </w:p>
    <w:p w14:paraId="20467C9C" w14:textId="654A8511" w:rsidR="006965C1" w:rsidRDefault="006965C1" w:rsidP="006965C1">
      <w:r>
        <w:t xml:space="preserve">Monitoring </w:t>
      </w:r>
      <w:r w:rsidRPr="006307E1">
        <w:t>skutków realizacji KPGO dla środowiska</w:t>
      </w:r>
      <w:r>
        <w:t xml:space="preserve"> powinien </w:t>
      </w:r>
      <w:r w:rsidR="009C51D0">
        <w:t>być prowadzony w oparciu o </w:t>
      </w:r>
      <w:r>
        <w:t>przeds</w:t>
      </w:r>
      <w:r w:rsidR="009C51D0">
        <w:t>tawione niżej wskaźniki (tab. 2</w:t>
      </w:r>
      <w:r>
        <w:t xml:space="preserve">). Proponuje się także, aby monitoring ten był elementem </w:t>
      </w:r>
      <w:r w:rsidRPr="00D51599">
        <w:t>sprawozdań z wykonania K</w:t>
      </w:r>
      <w:r>
        <w:t>PGO</w:t>
      </w:r>
      <w:r w:rsidRPr="00D51599">
        <w:t xml:space="preserve"> 2028</w:t>
      </w:r>
      <w:r>
        <w:t xml:space="preserve"> i był prowadzony co trzy lata. </w:t>
      </w:r>
    </w:p>
    <w:p w14:paraId="3AE5F6FD" w14:textId="77777777" w:rsidR="006965C1" w:rsidRPr="00C8272F" w:rsidRDefault="006965C1" w:rsidP="00B164FF">
      <w:pPr>
        <w:pStyle w:val="Tab"/>
        <w:spacing w:before="360"/>
      </w:pPr>
      <w:r w:rsidRPr="00C8272F">
        <w:t xml:space="preserve">Proponowane wskaźniki monitorowania skutków </w:t>
      </w:r>
      <w:r>
        <w:t xml:space="preserve">KPGO </w:t>
      </w:r>
      <w:r w:rsidRPr="00C8272F">
        <w:t xml:space="preserve">dla środowiska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6"/>
      </w:tblGrid>
      <w:tr w:rsidR="006965C1" w:rsidRPr="004F7F28" w14:paraId="49163EA8" w14:textId="77777777" w:rsidTr="00786E8A">
        <w:tc>
          <w:tcPr>
            <w:tcW w:w="2263" w:type="dxa"/>
            <w:shd w:val="clear" w:color="auto" w:fill="D9D9D9" w:themeFill="background1" w:themeFillShade="D9"/>
            <w:vAlign w:val="center"/>
            <w:hideMark/>
          </w:tcPr>
          <w:p w14:paraId="2341231A" w14:textId="77777777" w:rsidR="006965C1" w:rsidRPr="004F7F28" w:rsidRDefault="006965C1" w:rsidP="00786E8A">
            <w:pPr>
              <w:spacing w:before="0" w:after="0"/>
              <w:ind w:firstLine="0"/>
              <w:jc w:val="center"/>
              <w:rPr>
                <w:b/>
              </w:rPr>
            </w:pPr>
            <w:r w:rsidRPr="004F7F28">
              <w:rPr>
                <w:b/>
              </w:rPr>
              <w:t>Komponent środowiska</w:t>
            </w:r>
          </w:p>
        </w:tc>
        <w:tc>
          <w:tcPr>
            <w:tcW w:w="6946" w:type="dxa"/>
            <w:shd w:val="clear" w:color="auto" w:fill="D9D9D9" w:themeFill="background1" w:themeFillShade="D9"/>
            <w:vAlign w:val="center"/>
            <w:hideMark/>
          </w:tcPr>
          <w:p w14:paraId="14EC5219" w14:textId="77777777" w:rsidR="006965C1" w:rsidRPr="004F7F28" w:rsidRDefault="006965C1" w:rsidP="00786E8A">
            <w:pPr>
              <w:spacing w:before="0" w:after="0"/>
              <w:ind w:firstLine="0"/>
              <w:jc w:val="center"/>
              <w:rPr>
                <w:b/>
              </w:rPr>
            </w:pPr>
            <w:r w:rsidRPr="004F7F28">
              <w:rPr>
                <w:b/>
              </w:rPr>
              <w:t>Wskaźnik</w:t>
            </w:r>
            <w:r w:rsidRPr="004F7F28">
              <w:rPr>
                <w:b/>
              </w:rPr>
              <w:br/>
              <w:t>[jednostka miary]</w:t>
            </w:r>
          </w:p>
        </w:tc>
      </w:tr>
      <w:tr w:rsidR="006965C1" w:rsidRPr="004F7F28" w14:paraId="1D21E826" w14:textId="77777777" w:rsidTr="00786E8A">
        <w:tc>
          <w:tcPr>
            <w:tcW w:w="2263" w:type="dxa"/>
            <w:vAlign w:val="center"/>
          </w:tcPr>
          <w:p w14:paraId="756E87FF" w14:textId="77777777" w:rsidR="006965C1" w:rsidRPr="004F7F28" w:rsidRDefault="006965C1" w:rsidP="00786E8A">
            <w:pPr>
              <w:spacing w:before="0" w:after="0"/>
              <w:ind w:firstLine="0"/>
              <w:jc w:val="left"/>
            </w:pPr>
            <w:r>
              <w:t xml:space="preserve">Klimat </w:t>
            </w:r>
          </w:p>
        </w:tc>
        <w:tc>
          <w:tcPr>
            <w:tcW w:w="6946" w:type="dxa"/>
            <w:vAlign w:val="center"/>
          </w:tcPr>
          <w:p w14:paraId="2C644117" w14:textId="77777777" w:rsidR="006965C1" w:rsidRPr="004F7F28" w:rsidRDefault="006965C1" w:rsidP="00786E8A">
            <w:pPr>
              <w:spacing w:before="0" w:after="0"/>
              <w:ind w:firstLine="0"/>
              <w:jc w:val="left"/>
            </w:pPr>
            <w:r>
              <w:t>Udział emisji gazów cieplarnianych z sektora gospodarki odpadami w całkowitej emisji gazów cieplarnianych [%]</w:t>
            </w:r>
          </w:p>
        </w:tc>
      </w:tr>
      <w:tr w:rsidR="006965C1" w:rsidRPr="004F7F28" w14:paraId="440F76BD" w14:textId="77777777" w:rsidTr="00786E8A">
        <w:tc>
          <w:tcPr>
            <w:tcW w:w="2263" w:type="dxa"/>
            <w:vAlign w:val="center"/>
          </w:tcPr>
          <w:p w14:paraId="38D3B6A6" w14:textId="77777777" w:rsidR="006965C1" w:rsidRPr="004F7F28" w:rsidRDefault="006965C1" w:rsidP="00786E8A">
            <w:pPr>
              <w:spacing w:before="0" w:after="0"/>
              <w:ind w:firstLine="0"/>
              <w:jc w:val="left"/>
            </w:pPr>
            <w:r>
              <w:t>Powierzchnia ziemi, wody, gleby, krajobraz</w:t>
            </w:r>
          </w:p>
        </w:tc>
        <w:tc>
          <w:tcPr>
            <w:tcW w:w="6946" w:type="dxa"/>
            <w:vAlign w:val="center"/>
          </w:tcPr>
          <w:p w14:paraId="2D12C4AA" w14:textId="77777777" w:rsidR="006965C1" w:rsidRPr="0061170A" w:rsidRDefault="006965C1" w:rsidP="00786E8A">
            <w:pPr>
              <w:spacing w:before="0" w:after="0"/>
              <w:ind w:firstLine="0"/>
              <w:jc w:val="left"/>
            </w:pPr>
            <w:r w:rsidRPr="0061170A">
              <w:t>Powierzchnia „dzikich” wysypisk odpadów [km</w:t>
            </w:r>
            <w:r w:rsidRPr="0061170A">
              <w:rPr>
                <w:vertAlign w:val="superscript"/>
              </w:rPr>
              <w:t>2</w:t>
            </w:r>
            <w:r w:rsidRPr="0061170A">
              <w:t>]</w:t>
            </w:r>
            <w:r>
              <w:t xml:space="preserve"> </w:t>
            </w:r>
          </w:p>
        </w:tc>
      </w:tr>
      <w:tr w:rsidR="006965C1" w:rsidRPr="004F7F28" w14:paraId="5572EBF7" w14:textId="77777777" w:rsidTr="00786E8A">
        <w:trPr>
          <w:trHeight w:val="198"/>
        </w:trPr>
        <w:tc>
          <w:tcPr>
            <w:tcW w:w="2263" w:type="dxa"/>
            <w:vAlign w:val="center"/>
          </w:tcPr>
          <w:p w14:paraId="204B075B" w14:textId="77777777" w:rsidR="006965C1" w:rsidRDefault="006965C1" w:rsidP="00786E8A">
            <w:pPr>
              <w:spacing w:before="0" w:after="0"/>
              <w:ind w:firstLine="0"/>
              <w:jc w:val="left"/>
            </w:pPr>
            <w:r w:rsidRPr="004F7F28">
              <w:lastRenderedPageBreak/>
              <w:t>Wod</w:t>
            </w:r>
            <w:r>
              <w:t>y</w:t>
            </w:r>
          </w:p>
        </w:tc>
        <w:tc>
          <w:tcPr>
            <w:tcW w:w="6946" w:type="dxa"/>
            <w:vAlign w:val="center"/>
          </w:tcPr>
          <w:p w14:paraId="7965E79A" w14:textId="77777777" w:rsidR="006965C1" w:rsidRDefault="006965C1" w:rsidP="00786E8A">
            <w:pPr>
              <w:spacing w:before="0" w:after="0"/>
              <w:ind w:firstLine="0"/>
              <w:jc w:val="left"/>
            </w:pPr>
            <w:r w:rsidRPr="004F7F28">
              <w:t xml:space="preserve">Jakość wód w ciekach będących odbiornikami wód z </w:t>
            </w:r>
            <w:r>
              <w:t>instalacji gospodarki odpadami</w:t>
            </w:r>
            <w:r w:rsidRPr="004F7F28">
              <w:t xml:space="preserve"> (wybrane parametry)</w:t>
            </w:r>
          </w:p>
        </w:tc>
      </w:tr>
      <w:tr w:rsidR="006965C1" w:rsidRPr="004F7F28" w14:paraId="0F0A1D54" w14:textId="77777777" w:rsidTr="00786E8A">
        <w:tc>
          <w:tcPr>
            <w:tcW w:w="2263" w:type="dxa"/>
            <w:vAlign w:val="center"/>
          </w:tcPr>
          <w:p w14:paraId="34D347A9" w14:textId="77777777" w:rsidR="006965C1" w:rsidRPr="004F7F28" w:rsidRDefault="006965C1" w:rsidP="00786E8A">
            <w:pPr>
              <w:spacing w:before="0" w:after="0" w:line="240" w:lineRule="auto"/>
              <w:ind w:firstLine="0"/>
              <w:jc w:val="left"/>
              <w:rPr>
                <w:rFonts w:ascii="Arial" w:hAnsi="Arial" w:cs="Arial"/>
              </w:rPr>
            </w:pPr>
            <w:r>
              <w:t xml:space="preserve">Warunki życia ludzi </w:t>
            </w:r>
            <w:r>
              <w:br/>
              <w:t>i zdrowie</w:t>
            </w:r>
          </w:p>
        </w:tc>
        <w:tc>
          <w:tcPr>
            <w:tcW w:w="6946" w:type="dxa"/>
            <w:vAlign w:val="center"/>
          </w:tcPr>
          <w:p w14:paraId="2870EB93" w14:textId="77777777" w:rsidR="006965C1" w:rsidRPr="004F7F28" w:rsidRDefault="006965C1" w:rsidP="00786E8A">
            <w:pPr>
              <w:spacing w:before="0" w:after="0"/>
              <w:ind w:firstLine="0"/>
              <w:jc w:val="left"/>
            </w:pPr>
            <w:r>
              <w:t>Liczba konfliktów społecznych w związku z budową nowych instalacji [szt.]</w:t>
            </w:r>
          </w:p>
        </w:tc>
      </w:tr>
    </w:tbl>
    <w:p w14:paraId="73919580" w14:textId="77777777" w:rsidR="00FF2045" w:rsidRDefault="00FF2045" w:rsidP="009C51D0">
      <w:pPr>
        <w:sectPr w:rsidR="00FF2045" w:rsidSect="00651B61">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560BA10C" w14:textId="0D9969E2" w:rsidR="00FF2045" w:rsidRPr="00FF2045" w:rsidRDefault="00FF2045" w:rsidP="00FF2045">
      <w:pPr>
        <w:pStyle w:val="Nagwek1"/>
        <w:numPr>
          <w:ilvl w:val="0"/>
          <w:numId w:val="0"/>
        </w:numPr>
        <w:spacing w:before="3960" w:after="840"/>
        <w:jc w:val="center"/>
        <w:rPr>
          <w:sz w:val="40"/>
        </w:rPr>
      </w:pPr>
      <w:bookmarkStart w:id="20" w:name="_Toc129596943"/>
      <w:r w:rsidRPr="00FF2045">
        <w:rPr>
          <w:sz w:val="40"/>
        </w:rPr>
        <w:lastRenderedPageBreak/>
        <w:t>ZAŁĄCZNIKI</w:t>
      </w:r>
      <w:bookmarkEnd w:id="20"/>
    </w:p>
    <w:p w14:paraId="19DB9A49" w14:textId="77777777" w:rsidR="00FF2045" w:rsidRPr="005E24C4" w:rsidRDefault="00FF2045" w:rsidP="00FF2045">
      <w:pPr>
        <w:pStyle w:val="Literatura"/>
        <w:rPr>
          <w:sz w:val="22"/>
          <w:szCs w:val="22"/>
          <w:lang w:val="pl-PL"/>
        </w:rPr>
      </w:pPr>
      <w:r w:rsidRPr="005E24C4">
        <w:rPr>
          <w:sz w:val="22"/>
          <w:szCs w:val="22"/>
          <w:lang w:val="pl-PL"/>
        </w:rPr>
        <w:t>Załącznik 1. Pismo Generalnego Dyrektora Ochrony Środowiska z dnia 13.12.2021 r. (DOOŚ-TSOOŚ.411.24.2021.ZM) w sprawie uzgodnienia zakresu i stopnia szczegółowości prognozy oddziaływania na środowisko</w:t>
      </w:r>
    </w:p>
    <w:p w14:paraId="18BA99AB" w14:textId="77777777" w:rsidR="00FF2045" w:rsidRPr="005E24C4" w:rsidRDefault="00FF2045" w:rsidP="00FF2045">
      <w:pPr>
        <w:pStyle w:val="Literatura"/>
        <w:rPr>
          <w:sz w:val="22"/>
          <w:szCs w:val="22"/>
          <w:lang w:val="pl-PL"/>
        </w:rPr>
      </w:pPr>
      <w:r w:rsidRPr="005E24C4">
        <w:rPr>
          <w:sz w:val="22"/>
          <w:szCs w:val="22"/>
          <w:lang w:val="pl-PL"/>
        </w:rPr>
        <w:t>Załącznik 2. Pismo Głównego Inspektora Sanitarnego z dnia 3.12.2021 r. (HŚ.BW.530.11.2021.KK)</w:t>
      </w:r>
      <w:r>
        <w:rPr>
          <w:sz w:val="22"/>
          <w:szCs w:val="22"/>
          <w:lang w:val="pl-PL"/>
        </w:rPr>
        <w:t xml:space="preserve"> w </w:t>
      </w:r>
      <w:r w:rsidRPr="005E24C4">
        <w:rPr>
          <w:sz w:val="22"/>
          <w:szCs w:val="22"/>
          <w:lang w:val="pl-PL"/>
        </w:rPr>
        <w:t>sprawie uzgodnienia zakresu i stopnia szczegółowości prognozy oddziaływania na środowisko</w:t>
      </w:r>
    </w:p>
    <w:p w14:paraId="49A602F9" w14:textId="77777777" w:rsidR="00FF2045" w:rsidRDefault="00FF2045" w:rsidP="00FF2045">
      <w:pPr>
        <w:pStyle w:val="Literatura"/>
        <w:rPr>
          <w:sz w:val="22"/>
          <w:szCs w:val="22"/>
          <w:lang w:val="pl-PL"/>
        </w:rPr>
      </w:pPr>
      <w:r w:rsidRPr="005E24C4">
        <w:rPr>
          <w:sz w:val="22"/>
          <w:szCs w:val="22"/>
          <w:lang w:val="pl-PL"/>
        </w:rPr>
        <w:t>Załącznik 3. Pismo</w:t>
      </w:r>
      <w:r>
        <w:rPr>
          <w:sz w:val="22"/>
          <w:szCs w:val="22"/>
          <w:lang w:val="pl-PL"/>
        </w:rPr>
        <w:t xml:space="preserve"> </w:t>
      </w:r>
      <w:r w:rsidRPr="005E24C4">
        <w:rPr>
          <w:sz w:val="22"/>
          <w:szCs w:val="22"/>
          <w:lang w:val="pl-PL"/>
        </w:rPr>
        <w:t xml:space="preserve">Generalnego Dyrektora Ochrony Środowiska z dnia 4.08.2022 r. (znak pisma: </w:t>
      </w:r>
      <w:r>
        <w:rPr>
          <w:sz w:val="22"/>
          <w:szCs w:val="22"/>
          <w:lang w:val="pl-PL"/>
        </w:rPr>
        <w:t xml:space="preserve">DOOŚ-TSOOŚ.410.9.2022.ZM) w sprawie opinii </w:t>
      </w:r>
      <w:r w:rsidRPr="005E24C4">
        <w:rPr>
          <w:sz w:val="22"/>
          <w:szCs w:val="22"/>
          <w:lang w:val="pl-PL"/>
        </w:rPr>
        <w:t xml:space="preserve">KPGO wraz z Prognozą </w:t>
      </w:r>
      <w:r>
        <w:rPr>
          <w:sz w:val="22"/>
          <w:szCs w:val="22"/>
          <w:lang w:val="pl-PL"/>
        </w:rPr>
        <w:t>oddziaływania na środowisko</w:t>
      </w:r>
    </w:p>
    <w:p w14:paraId="00CCD9BC" w14:textId="735186E3" w:rsidR="00FF2045" w:rsidRPr="005E24C4" w:rsidRDefault="00FF2045" w:rsidP="00FF2045">
      <w:pPr>
        <w:pStyle w:val="Literatura"/>
        <w:rPr>
          <w:sz w:val="22"/>
          <w:szCs w:val="22"/>
          <w:lang w:val="pl-PL"/>
        </w:rPr>
      </w:pPr>
      <w:r>
        <w:rPr>
          <w:sz w:val="22"/>
          <w:szCs w:val="22"/>
          <w:lang w:val="pl-PL"/>
        </w:rPr>
        <w:t>Załącznik 4. Pismo</w:t>
      </w:r>
      <w:r w:rsidRPr="005E24C4">
        <w:rPr>
          <w:sz w:val="22"/>
          <w:szCs w:val="22"/>
          <w:lang w:val="pl-PL"/>
        </w:rPr>
        <w:t xml:space="preserve"> Głównego Inspektora Sanitarnego z dnia </w:t>
      </w:r>
      <w:r w:rsidR="005505C2">
        <w:rPr>
          <w:sz w:val="22"/>
          <w:szCs w:val="22"/>
          <w:lang w:val="pl-PL"/>
        </w:rPr>
        <w:t>25 lipca 2022</w:t>
      </w:r>
      <w:r w:rsidRPr="005E24C4">
        <w:rPr>
          <w:sz w:val="22"/>
          <w:szCs w:val="22"/>
          <w:lang w:val="pl-PL"/>
        </w:rPr>
        <w:t xml:space="preserve"> r. (znak pisma: </w:t>
      </w:r>
      <w:r>
        <w:rPr>
          <w:sz w:val="22"/>
          <w:szCs w:val="22"/>
          <w:lang w:val="pl-PL"/>
        </w:rPr>
        <w:t xml:space="preserve">HŚ.HK.530.2.2022.KK) w sprawie opinii </w:t>
      </w:r>
      <w:r w:rsidRPr="005E24C4">
        <w:rPr>
          <w:sz w:val="22"/>
          <w:szCs w:val="22"/>
          <w:lang w:val="pl-PL"/>
        </w:rPr>
        <w:t xml:space="preserve">KPGO wraz z Prognozą </w:t>
      </w:r>
      <w:r>
        <w:rPr>
          <w:sz w:val="22"/>
          <w:szCs w:val="22"/>
          <w:lang w:val="pl-PL"/>
        </w:rPr>
        <w:t>oddziaływania na środowisko</w:t>
      </w:r>
    </w:p>
    <w:p w14:paraId="4DC9BB84" w14:textId="77777777" w:rsidR="00FF2045" w:rsidRPr="005E24C4" w:rsidRDefault="00FF2045" w:rsidP="00FF2045">
      <w:pPr>
        <w:pStyle w:val="Literatura"/>
        <w:rPr>
          <w:sz w:val="22"/>
          <w:szCs w:val="22"/>
          <w:lang w:val="pl-PL"/>
        </w:rPr>
      </w:pPr>
      <w:r w:rsidRPr="005E24C4">
        <w:rPr>
          <w:sz w:val="22"/>
          <w:szCs w:val="22"/>
          <w:lang w:val="pl-PL"/>
        </w:rPr>
        <w:t xml:space="preserve">Załącznik 5. Obwieszczenie o konsultacja społecznych projektu KPGO wraz z Prognozą </w:t>
      </w:r>
      <w:r>
        <w:rPr>
          <w:sz w:val="22"/>
          <w:szCs w:val="22"/>
          <w:lang w:val="pl-PL"/>
        </w:rPr>
        <w:t>oddziaływania na środowisko</w:t>
      </w:r>
    </w:p>
    <w:p w14:paraId="4F2B95F6" w14:textId="77777777" w:rsidR="00FF2045" w:rsidRPr="005E24C4" w:rsidRDefault="00FF2045" w:rsidP="00FF2045">
      <w:pPr>
        <w:pStyle w:val="Literatura"/>
        <w:rPr>
          <w:sz w:val="22"/>
          <w:szCs w:val="22"/>
          <w:lang w:val="pl-PL"/>
        </w:rPr>
      </w:pPr>
      <w:r w:rsidRPr="005E24C4">
        <w:rPr>
          <w:sz w:val="22"/>
          <w:szCs w:val="22"/>
          <w:lang w:val="pl-PL"/>
        </w:rPr>
        <w:t xml:space="preserve">Załącznik </w:t>
      </w:r>
      <w:r>
        <w:rPr>
          <w:sz w:val="22"/>
          <w:szCs w:val="22"/>
          <w:lang w:val="pl-PL"/>
        </w:rPr>
        <w:t>6</w:t>
      </w:r>
      <w:r w:rsidRPr="005E24C4">
        <w:rPr>
          <w:sz w:val="22"/>
          <w:szCs w:val="22"/>
          <w:lang w:val="pl-PL"/>
        </w:rPr>
        <w:t xml:space="preserve">. </w:t>
      </w:r>
      <w:r>
        <w:rPr>
          <w:sz w:val="22"/>
          <w:szCs w:val="22"/>
          <w:lang w:val="pl-PL"/>
        </w:rPr>
        <w:t>Z</w:t>
      </w:r>
      <w:r w:rsidRPr="005E24C4">
        <w:rPr>
          <w:sz w:val="22"/>
          <w:szCs w:val="22"/>
          <w:lang w:val="pl-PL"/>
        </w:rPr>
        <w:t xml:space="preserve">estawienie uwag </w:t>
      </w:r>
      <w:r>
        <w:rPr>
          <w:sz w:val="22"/>
          <w:szCs w:val="22"/>
          <w:lang w:val="pl-PL"/>
        </w:rPr>
        <w:t>zgłoszonych do KPGO wraz z Prognozą oddziaływania na środowisko i </w:t>
      </w:r>
      <w:r w:rsidRPr="005E24C4">
        <w:rPr>
          <w:sz w:val="22"/>
          <w:szCs w:val="22"/>
          <w:lang w:val="pl-PL"/>
        </w:rPr>
        <w:t xml:space="preserve">sposobu ich uwzględnienia </w:t>
      </w:r>
    </w:p>
    <w:sectPr w:rsidR="00FF2045" w:rsidRPr="005E24C4" w:rsidSect="00651B6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2556" w14:textId="77777777" w:rsidR="001D2BEA" w:rsidRDefault="001D2BEA" w:rsidP="00EB5EE5">
      <w:r>
        <w:separator/>
      </w:r>
    </w:p>
    <w:p w14:paraId="17762BD6" w14:textId="77777777" w:rsidR="001D2BEA" w:rsidRDefault="001D2BEA" w:rsidP="00EB5EE5"/>
  </w:endnote>
  <w:endnote w:type="continuationSeparator" w:id="0">
    <w:p w14:paraId="600ED3A4" w14:textId="77777777" w:rsidR="001D2BEA" w:rsidRDefault="001D2BEA" w:rsidP="00EB5EE5">
      <w:r>
        <w:continuationSeparator/>
      </w:r>
    </w:p>
    <w:p w14:paraId="33DA23EE" w14:textId="77777777" w:rsidR="001D2BEA" w:rsidRDefault="001D2BEA" w:rsidP="00EB5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678121"/>
      <w:docPartObj>
        <w:docPartGallery w:val="Page Numbers (Bottom of Page)"/>
        <w:docPartUnique/>
      </w:docPartObj>
    </w:sdtPr>
    <w:sdtContent>
      <w:p w14:paraId="48CB8F02" w14:textId="56782C95" w:rsidR="00664908" w:rsidRDefault="00664908" w:rsidP="001F310F">
        <w:pPr>
          <w:pStyle w:val="Stopka"/>
          <w:pBdr>
            <w:top w:val="single" w:sz="4" w:space="1" w:color="auto"/>
          </w:pBdr>
          <w:jc w:val="center"/>
        </w:pPr>
        <w:r>
          <w:fldChar w:fldCharType="begin"/>
        </w:r>
        <w:r>
          <w:instrText>PAGE   \* MERGEFORMAT</w:instrText>
        </w:r>
        <w:r>
          <w:fldChar w:fldCharType="separate"/>
        </w:r>
        <w:r w:rsidR="006D2831">
          <w:rPr>
            <w:noProof/>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732F" w14:textId="57E63F22" w:rsidR="009C51D0" w:rsidRDefault="009C51D0" w:rsidP="009C51D0">
    <w:pPr>
      <w:pStyle w:val="Stopka"/>
    </w:pPr>
    <w:r w:rsidRPr="002C51EB">
      <w:rPr>
        <w:noProof/>
        <w:lang w:eastAsia="pl-PL"/>
      </w:rPr>
      <w:drawing>
        <wp:anchor distT="0" distB="0" distL="114300" distR="114300" simplePos="0" relativeHeight="251661312" behindDoc="1" locked="0" layoutInCell="1" allowOverlap="1" wp14:anchorId="3710F1AA" wp14:editId="3F0215A2">
          <wp:simplePos x="0" y="0"/>
          <wp:positionH relativeFrom="page">
            <wp:posOffset>0</wp:posOffset>
          </wp:positionH>
          <wp:positionV relativeFrom="bottomMargin">
            <wp:posOffset>-15826</wp:posOffset>
          </wp:positionV>
          <wp:extent cx="7570800" cy="899669"/>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0800" cy="89966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B4E2" w14:textId="77777777" w:rsidR="001D2BEA" w:rsidRDefault="001D2BEA" w:rsidP="00B0321E">
      <w:pPr>
        <w:ind w:firstLine="0"/>
      </w:pPr>
      <w:r>
        <w:separator/>
      </w:r>
    </w:p>
  </w:footnote>
  <w:footnote w:type="continuationSeparator" w:id="0">
    <w:p w14:paraId="798E6746" w14:textId="77777777" w:rsidR="001D2BEA" w:rsidRDefault="001D2BEA" w:rsidP="00EB5EE5">
      <w:r>
        <w:continuationSeparator/>
      </w:r>
    </w:p>
    <w:p w14:paraId="671CEA81" w14:textId="77777777" w:rsidR="001D2BEA" w:rsidRDefault="001D2BEA" w:rsidP="00EB5EE5"/>
  </w:footnote>
  <w:footnote w:id="1">
    <w:p w14:paraId="7818586B" w14:textId="77777777" w:rsidR="00DD6F9C" w:rsidRPr="00181F1D" w:rsidRDefault="00DD6F9C" w:rsidP="00DD6F9C">
      <w:pPr>
        <w:pStyle w:val="Przypisdolny"/>
        <w:rPr>
          <w:lang w:val="en-GB"/>
        </w:rPr>
      </w:pPr>
      <w:r>
        <w:rPr>
          <w:rStyle w:val="Odwoanieprzypisudolnego"/>
        </w:rPr>
        <w:footnoteRef/>
      </w:r>
      <w:r>
        <w:t xml:space="preserve"> COM(2020) 798 final. Wniosek - Rozporządzenie Parlamentu Europejskiego i Rady w sprawie baterii i zużytych baterii, uchylające dyrektywę 2006/66/WE i zmieniające rozporządzenie (UE) 2019/1020 oraz 2020/0353(COD). </w:t>
      </w:r>
      <w:r w:rsidRPr="00181F1D">
        <w:rPr>
          <w:lang w:val="en-GB"/>
        </w:rPr>
        <w:t>Proposal for a Regulation of the European Parliament and of the Council concerning batteries and waste batteries, repealing Directive 2006/66/EC and amending Regulation (EU) No 2019/1020 – Presidency compromise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B158" w14:textId="4E78C502" w:rsidR="00664908" w:rsidRDefault="009C51D0" w:rsidP="009C51D0">
    <w:pPr>
      <w:pStyle w:val="Nagwek"/>
      <w:pBdr>
        <w:bottom w:val="single" w:sz="4" w:space="1" w:color="auto"/>
      </w:pBdr>
      <w:ind w:firstLine="0"/>
      <w:jc w:val="right"/>
    </w:pPr>
    <w:r>
      <w:rPr>
        <w:i/>
      </w:rPr>
      <w:t>P</w:t>
    </w:r>
    <w:r w:rsidRPr="009C51D0">
      <w:rPr>
        <w:i/>
      </w:rPr>
      <w:t xml:space="preserve">odsumowanie strategicznej oceny oddziaływania na środowisko projektu aktualizacji </w:t>
    </w:r>
    <w:r>
      <w:rPr>
        <w:i/>
      </w:rPr>
      <w:t>KPGO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8509" w14:textId="4B8B1B11" w:rsidR="009C51D0" w:rsidRDefault="009C51D0" w:rsidP="009C51D0">
    <w:pPr>
      <w:pStyle w:val="Nagwek"/>
    </w:pPr>
    <w:r>
      <w:rPr>
        <w:noProof/>
        <w:lang w:eastAsia="pl-PL"/>
      </w:rPr>
      <w:drawing>
        <wp:anchor distT="0" distB="0" distL="114300" distR="114300" simplePos="0" relativeHeight="251659264" behindDoc="1" locked="0" layoutInCell="1" allowOverlap="1" wp14:anchorId="329A3AA3" wp14:editId="5481579E">
          <wp:simplePos x="0" y="0"/>
          <wp:positionH relativeFrom="page">
            <wp:posOffset>7034</wp:posOffset>
          </wp:positionH>
          <wp:positionV relativeFrom="page">
            <wp:posOffset>12700</wp:posOffset>
          </wp:positionV>
          <wp:extent cx="7538135" cy="1250721"/>
          <wp:effectExtent l="0" t="0" r="571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38135" cy="12507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03E12CE"/>
    <w:lvl w:ilvl="0">
      <w:start w:val="1"/>
      <w:numFmt w:val="bullet"/>
      <w:pStyle w:val="Listapunktowana2"/>
      <w:lvlText w:val=""/>
      <w:lvlJc w:val="left"/>
      <w:pPr>
        <w:tabs>
          <w:tab w:val="num" w:pos="926"/>
        </w:tabs>
        <w:ind w:left="926" w:hanging="360"/>
      </w:pPr>
      <w:rPr>
        <w:rFonts w:ascii="Symbol" w:hAnsi="Symbol" w:hint="default"/>
      </w:rPr>
    </w:lvl>
  </w:abstractNum>
  <w:abstractNum w:abstractNumId="1" w15:restartNumberingAfterBreak="0">
    <w:nsid w:val="03FD3623"/>
    <w:multiLevelType w:val="hybridMultilevel"/>
    <w:tmpl w:val="46ACC17E"/>
    <w:lvl w:ilvl="0" w:tplc="01126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BA2718E"/>
    <w:multiLevelType w:val="hybridMultilevel"/>
    <w:tmpl w:val="321A5564"/>
    <w:lvl w:ilvl="0" w:tplc="2AD80B1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84C44A3"/>
    <w:multiLevelType w:val="hybridMultilevel"/>
    <w:tmpl w:val="C5E0CC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95C22A4"/>
    <w:multiLevelType w:val="hybridMultilevel"/>
    <w:tmpl w:val="64E03F50"/>
    <w:lvl w:ilvl="0" w:tplc="2AD80B1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AE73804"/>
    <w:multiLevelType w:val="hybridMultilevel"/>
    <w:tmpl w:val="8484219E"/>
    <w:lvl w:ilvl="0" w:tplc="01126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C5A66D7"/>
    <w:multiLevelType w:val="hybridMultilevel"/>
    <w:tmpl w:val="0F6861D8"/>
    <w:lvl w:ilvl="0" w:tplc="01126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CE063BA"/>
    <w:multiLevelType w:val="hybridMultilevel"/>
    <w:tmpl w:val="3830FACC"/>
    <w:lvl w:ilvl="0" w:tplc="0112674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2706075"/>
    <w:multiLevelType w:val="multilevel"/>
    <w:tmpl w:val="6E9A8432"/>
    <w:styleLink w:val="LFO9"/>
    <w:lvl w:ilvl="0">
      <w:start w:val="1"/>
      <w:numFmt w:val="decimal"/>
      <w:lvlText w:val="Tabela %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2357714F"/>
    <w:multiLevelType w:val="hybridMultilevel"/>
    <w:tmpl w:val="850A6660"/>
    <w:lvl w:ilvl="0" w:tplc="01126748">
      <w:start w:val="1"/>
      <w:numFmt w:val="bullet"/>
      <w:lvlText w:val=""/>
      <w:lvlJc w:val="left"/>
      <w:pPr>
        <w:ind w:left="360" w:hanging="360"/>
      </w:pPr>
      <w:rPr>
        <w:rFonts w:ascii="Symbol" w:hAnsi="Symbol" w:hint="default"/>
      </w:rPr>
    </w:lvl>
    <w:lvl w:ilvl="1" w:tplc="04150019">
      <w:start w:val="1"/>
      <w:numFmt w:val="bullet"/>
      <w:lvlText w:val="o"/>
      <w:lvlJc w:val="left"/>
      <w:pPr>
        <w:ind w:left="-970" w:hanging="360"/>
      </w:pPr>
      <w:rPr>
        <w:rFonts w:ascii="Courier New" w:hAnsi="Courier New" w:cs="Courier New" w:hint="default"/>
      </w:rPr>
    </w:lvl>
    <w:lvl w:ilvl="2" w:tplc="0415001B" w:tentative="1">
      <w:start w:val="1"/>
      <w:numFmt w:val="bullet"/>
      <w:lvlText w:val=""/>
      <w:lvlJc w:val="left"/>
      <w:pPr>
        <w:ind w:left="-250" w:hanging="360"/>
      </w:pPr>
      <w:rPr>
        <w:rFonts w:ascii="Wingdings" w:hAnsi="Wingdings" w:hint="default"/>
      </w:rPr>
    </w:lvl>
    <w:lvl w:ilvl="3" w:tplc="0415000F" w:tentative="1">
      <w:start w:val="1"/>
      <w:numFmt w:val="bullet"/>
      <w:lvlText w:val=""/>
      <w:lvlJc w:val="left"/>
      <w:pPr>
        <w:ind w:left="470" w:hanging="360"/>
      </w:pPr>
      <w:rPr>
        <w:rFonts w:ascii="Symbol" w:hAnsi="Symbol" w:hint="default"/>
      </w:rPr>
    </w:lvl>
    <w:lvl w:ilvl="4" w:tplc="04150019" w:tentative="1">
      <w:start w:val="1"/>
      <w:numFmt w:val="bullet"/>
      <w:lvlText w:val="o"/>
      <w:lvlJc w:val="left"/>
      <w:pPr>
        <w:ind w:left="1190" w:hanging="360"/>
      </w:pPr>
      <w:rPr>
        <w:rFonts w:ascii="Courier New" w:hAnsi="Courier New" w:cs="Courier New" w:hint="default"/>
      </w:rPr>
    </w:lvl>
    <w:lvl w:ilvl="5" w:tplc="0415001B" w:tentative="1">
      <w:start w:val="1"/>
      <w:numFmt w:val="bullet"/>
      <w:lvlText w:val=""/>
      <w:lvlJc w:val="left"/>
      <w:pPr>
        <w:ind w:left="1910" w:hanging="360"/>
      </w:pPr>
      <w:rPr>
        <w:rFonts w:ascii="Wingdings" w:hAnsi="Wingdings" w:hint="default"/>
      </w:rPr>
    </w:lvl>
    <w:lvl w:ilvl="6" w:tplc="0415000F" w:tentative="1">
      <w:start w:val="1"/>
      <w:numFmt w:val="bullet"/>
      <w:lvlText w:val=""/>
      <w:lvlJc w:val="left"/>
      <w:pPr>
        <w:ind w:left="2630" w:hanging="360"/>
      </w:pPr>
      <w:rPr>
        <w:rFonts w:ascii="Symbol" w:hAnsi="Symbol" w:hint="default"/>
      </w:rPr>
    </w:lvl>
    <w:lvl w:ilvl="7" w:tplc="04150019" w:tentative="1">
      <w:start w:val="1"/>
      <w:numFmt w:val="bullet"/>
      <w:lvlText w:val="o"/>
      <w:lvlJc w:val="left"/>
      <w:pPr>
        <w:ind w:left="3350" w:hanging="360"/>
      </w:pPr>
      <w:rPr>
        <w:rFonts w:ascii="Courier New" w:hAnsi="Courier New" w:cs="Courier New" w:hint="default"/>
      </w:rPr>
    </w:lvl>
    <w:lvl w:ilvl="8" w:tplc="0415001B" w:tentative="1">
      <w:start w:val="1"/>
      <w:numFmt w:val="bullet"/>
      <w:lvlText w:val=""/>
      <w:lvlJc w:val="left"/>
      <w:pPr>
        <w:ind w:left="4070" w:hanging="360"/>
      </w:pPr>
      <w:rPr>
        <w:rFonts w:ascii="Wingdings" w:hAnsi="Wingdings" w:hint="default"/>
      </w:rPr>
    </w:lvl>
  </w:abstractNum>
  <w:abstractNum w:abstractNumId="10" w15:restartNumberingAfterBreak="0">
    <w:nsid w:val="3D996600"/>
    <w:multiLevelType w:val="hybridMultilevel"/>
    <w:tmpl w:val="9F168D08"/>
    <w:lvl w:ilvl="0" w:tplc="01126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0C20CAF"/>
    <w:multiLevelType w:val="hybridMultilevel"/>
    <w:tmpl w:val="9A9A9E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5AE6E4E"/>
    <w:multiLevelType w:val="hybridMultilevel"/>
    <w:tmpl w:val="F98ACDA6"/>
    <w:lvl w:ilvl="0" w:tplc="1430D742">
      <w:start w:val="1"/>
      <w:numFmt w:val="bullet"/>
      <w:pStyle w:val="Wypunktowanie"/>
      <w:lvlText w:val=""/>
      <w:lvlJc w:val="left"/>
      <w:pPr>
        <w:ind w:left="985" w:hanging="360"/>
      </w:pPr>
      <w:rPr>
        <w:rFonts w:ascii="Symbol" w:hAnsi="Symbol" w:hint="default"/>
      </w:rPr>
    </w:lvl>
    <w:lvl w:ilvl="1" w:tplc="04150003" w:tentative="1">
      <w:start w:val="1"/>
      <w:numFmt w:val="bullet"/>
      <w:lvlText w:val="o"/>
      <w:lvlJc w:val="left"/>
      <w:pPr>
        <w:ind w:left="-345" w:hanging="360"/>
      </w:pPr>
      <w:rPr>
        <w:rFonts w:ascii="Courier New" w:hAnsi="Courier New" w:cs="Courier New" w:hint="default"/>
      </w:rPr>
    </w:lvl>
    <w:lvl w:ilvl="2" w:tplc="04150005" w:tentative="1">
      <w:start w:val="1"/>
      <w:numFmt w:val="bullet"/>
      <w:lvlText w:val=""/>
      <w:lvlJc w:val="left"/>
      <w:pPr>
        <w:ind w:left="375" w:hanging="360"/>
      </w:pPr>
      <w:rPr>
        <w:rFonts w:ascii="Wingdings" w:hAnsi="Wingdings" w:hint="default"/>
      </w:rPr>
    </w:lvl>
    <w:lvl w:ilvl="3" w:tplc="04150001" w:tentative="1">
      <w:start w:val="1"/>
      <w:numFmt w:val="bullet"/>
      <w:lvlText w:val=""/>
      <w:lvlJc w:val="left"/>
      <w:pPr>
        <w:ind w:left="1095" w:hanging="360"/>
      </w:pPr>
      <w:rPr>
        <w:rFonts w:ascii="Symbol" w:hAnsi="Symbol" w:hint="default"/>
      </w:rPr>
    </w:lvl>
    <w:lvl w:ilvl="4" w:tplc="04150003" w:tentative="1">
      <w:start w:val="1"/>
      <w:numFmt w:val="bullet"/>
      <w:lvlText w:val="o"/>
      <w:lvlJc w:val="left"/>
      <w:pPr>
        <w:ind w:left="1815" w:hanging="360"/>
      </w:pPr>
      <w:rPr>
        <w:rFonts w:ascii="Courier New" w:hAnsi="Courier New" w:cs="Courier New" w:hint="default"/>
      </w:rPr>
    </w:lvl>
    <w:lvl w:ilvl="5" w:tplc="04150005" w:tentative="1">
      <w:start w:val="1"/>
      <w:numFmt w:val="bullet"/>
      <w:lvlText w:val=""/>
      <w:lvlJc w:val="left"/>
      <w:pPr>
        <w:ind w:left="2535" w:hanging="360"/>
      </w:pPr>
      <w:rPr>
        <w:rFonts w:ascii="Wingdings" w:hAnsi="Wingdings" w:hint="default"/>
      </w:rPr>
    </w:lvl>
    <w:lvl w:ilvl="6" w:tplc="04150001" w:tentative="1">
      <w:start w:val="1"/>
      <w:numFmt w:val="bullet"/>
      <w:lvlText w:val=""/>
      <w:lvlJc w:val="left"/>
      <w:pPr>
        <w:ind w:left="3255" w:hanging="360"/>
      </w:pPr>
      <w:rPr>
        <w:rFonts w:ascii="Symbol" w:hAnsi="Symbol" w:hint="default"/>
      </w:rPr>
    </w:lvl>
    <w:lvl w:ilvl="7" w:tplc="04150003" w:tentative="1">
      <w:start w:val="1"/>
      <w:numFmt w:val="bullet"/>
      <w:lvlText w:val="o"/>
      <w:lvlJc w:val="left"/>
      <w:pPr>
        <w:ind w:left="3975" w:hanging="360"/>
      </w:pPr>
      <w:rPr>
        <w:rFonts w:ascii="Courier New" w:hAnsi="Courier New" w:cs="Courier New" w:hint="default"/>
      </w:rPr>
    </w:lvl>
    <w:lvl w:ilvl="8" w:tplc="04150005" w:tentative="1">
      <w:start w:val="1"/>
      <w:numFmt w:val="bullet"/>
      <w:lvlText w:val=""/>
      <w:lvlJc w:val="left"/>
      <w:pPr>
        <w:ind w:left="4695" w:hanging="360"/>
      </w:pPr>
      <w:rPr>
        <w:rFonts w:ascii="Wingdings" w:hAnsi="Wingdings" w:hint="default"/>
      </w:rPr>
    </w:lvl>
  </w:abstractNum>
  <w:abstractNum w:abstractNumId="13" w15:restartNumberingAfterBreak="0">
    <w:nsid w:val="4B2920A2"/>
    <w:multiLevelType w:val="hybridMultilevel"/>
    <w:tmpl w:val="C756A38E"/>
    <w:lvl w:ilvl="0" w:tplc="2F02E8E8">
      <w:start w:val="1"/>
      <w:numFmt w:val="decimal"/>
      <w:pStyle w:val="rysunki"/>
      <w:lvlText w:val="Rys. %1."/>
      <w:lvlJc w:val="left"/>
      <w:pPr>
        <w:ind w:left="6881" w:hanging="360"/>
      </w:pPr>
      <w:rPr>
        <w:rFonts w:ascii="Calibri" w:hAnsi="Calibri" w:hint="default"/>
        <w:b w:val="0"/>
        <w:i w:val="0"/>
        <w:caps w:val="0"/>
        <w:strike w:val="0"/>
        <w:dstrike w:val="0"/>
        <w:vanish w:val="0"/>
        <w:sz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907F2F"/>
    <w:multiLevelType w:val="hybridMultilevel"/>
    <w:tmpl w:val="DFD0EFD4"/>
    <w:lvl w:ilvl="0" w:tplc="01126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4E33588"/>
    <w:multiLevelType w:val="hybridMultilevel"/>
    <w:tmpl w:val="C2DABEEC"/>
    <w:lvl w:ilvl="0" w:tplc="2AD80B1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6A83611F"/>
    <w:multiLevelType w:val="multilevel"/>
    <w:tmpl w:val="4A482BEC"/>
    <w:styleLink w:val="LFO11"/>
    <w:lvl w:ilvl="0">
      <w:start w:val="1"/>
      <w:numFmt w:val="decimal"/>
      <w:lvlText w:val="Tabela %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EF61B44"/>
    <w:multiLevelType w:val="hybridMultilevel"/>
    <w:tmpl w:val="8722A61E"/>
    <w:lvl w:ilvl="0" w:tplc="01126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F915133"/>
    <w:multiLevelType w:val="multilevel"/>
    <w:tmpl w:val="AA74A6B6"/>
    <w:styleLink w:val="WWNum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9" w15:restartNumberingAfterBreak="0">
    <w:nsid w:val="716325CD"/>
    <w:multiLevelType w:val="multilevel"/>
    <w:tmpl w:val="EB302F70"/>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lvlText w:val="%1.%2.%3"/>
      <w:lvlJc w:val="left"/>
      <w:pPr>
        <w:ind w:left="720" w:hanging="720"/>
      </w:pPr>
      <w:rPr>
        <w:rFonts w:asciiTheme="majorHAnsi" w:hAnsiTheme="majorHAnsi" w:cstheme="majorHAnsi" w:hint="default"/>
        <w:color w:val="538135" w:themeColor="accent6" w:themeShade="BF"/>
        <w:sz w:val="24"/>
        <w:szCs w:val="24"/>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0" w15:restartNumberingAfterBreak="0">
    <w:nsid w:val="71814015"/>
    <w:multiLevelType w:val="hybridMultilevel"/>
    <w:tmpl w:val="A86484AA"/>
    <w:lvl w:ilvl="0" w:tplc="EB943CFE">
      <w:start w:val="1"/>
      <w:numFmt w:val="decimal"/>
      <w:pStyle w:val="Tab"/>
      <w:lvlText w:val="Tab. %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000EA6"/>
    <w:multiLevelType w:val="hybridMultilevel"/>
    <w:tmpl w:val="CB34472E"/>
    <w:lvl w:ilvl="0" w:tplc="0C4E724E">
      <w:start w:val="1"/>
      <w:numFmt w:val="decimal"/>
      <w:pStyle w:val="Rysunki0"/>
      <w:lvlText w:val="Rys.%1."/>
      <w:lvlJc w:val="left"/>
      <w:pPr>
        <w:ind w:left="1778" w:hanging="360"/>
      </w:pPr>
      <w:rPr>
        <w:rFonts w:ascii="Calibri" w:hAnsi="Calibri" w:hint="default"/>
        <w:b w:val="0"/>
        <w:i w:val="0"/>
        <w:caps w:val="0"/>
        <w:strike w:val="0"/>
        <w:dstrike w:val="0"/>
        <w:vanish w:val="0"/>
        <w:sz w:val="20"/>
        <w:vertAlign w:val="baseline"/>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 w15:restartNumberingAfterBreak="0">
    <w:nsid w:val="74E9669F"/>
    <w:multiLevelType w:val="hybridMultilevel"/>
    <w:tmpl w:val="42CE64B2"/>
    <w:lvl w:ilvl="0" w:tplc="01126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293556459">
    <w:abstractNumId w:val="13"/>
  </w:num>
  <w:num w:numId="2" w16cid:durableId="1277525269">
    <w:abstractNumId w:val="20"/>
  </w:num>
  <w:num w:numId="3" w16cid:durableId="2068140420">
    <w:abstractNumId w:val="16"/>
  </w:num>
  <w:num w:numId="4" w16cid:durableId="1036078832">
    <w:abstractNumId w:val="19"/>
  </w:num>
  <w:num w:numId="5" w16cid:durableId="1385249335">
    <w:abstractNumId w:val="19"/>
    <w:lvlOverride w:ilvl="0">
      <w:lvl w:ilvl="0">
        <w:start w:val="1"/>
        <w:numFmt w:val="decimal"/>
        <w:pStyle w:val="Nagwek1"/>
        <w:lvlText w:val="%1."/>
        <w:lvlJc w:val="left"/>
        <w:pPr>
          <w:ind w:left="3834" w:hanging="432"/>
        </w:pPr>
        <w:rPr>
          <w:rFonts w:hint="default"/>
        </w:rPr>
      </w:lvl>
    </w:lvlOverride>
    <w:lvlOverride w:ilvl="1">
      <w:lvl w:ilvl="1">
        <w:start w:val="1"/>
        <w:numFmt w:val="decimal"/>
        <w:pStyle w:val="Nagwek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pStyle w:val="Nagwek4"/>
        <w:lvlText w:val="%1.%2.%3.%4"/>
        <w:lvlJc w:val="left"/>
        <w:pPr>
          <w:ind w:left="864" w:hanging="864"/>
        </w:pPr>
        <w:rPr>
          <w:rFonts w:hint="default"/>
        </w:rPr>
      </w:lvl>
    </w:lvlOverride>
    <w:lvlOverride w:ilvl="4">
      <w:lvl w:ilvl="4">
        <w:start w:val="1"/>
        <w:numFmt w:val="decimal"/>
        <w:pStyle w:val="Nagwek5"/>
        <w:lvlText w:val="%1.%2.%3.%4.%5"/>
        <w:lvlJc w:val="left"/>
        <w:pPr>
          <w:ind w:left="1008" w:hanging="1008"/>
        </w:pPr>
        <w:rPr>
          <w:rFonts w:hint="default"/>
        </w:rPr>
      </w:lvl>
    </w:lvlOverride>
    <w:lvlOverride w:ilvl="5">
      <w:lvl w:ilvl="5">
        <w:start w:val="1"/>
        <w:numFmt w:val="decimal"/>
        <w:pStyle w:val="Nagwek6"/>
        <w:lvlText w:val="%1.%2.%3.%4.%5.%6"/>
        <w:lvlJc w:val="left"/>
        <w:pPr>
          <w:ind w:left="1152" w:hanging="1152"/>
        </w:pPr>
        <w:rPr>
          <w:rFonts w:hint="default"/>
        </w:rPr>
      </w:lvl>
    </w:lvlOverride>
    <w:lvlOverride w:ilvl="6">
      <w:lvl w:ilvl="6">
        <w:start w:val="1"/>
        <w:numFmt w:val="decimal"/>
        <w:pStyle w:val="Nagwek7"/>
        <w:lvlText w:val="%1.%2.%3.%4.%5.%6.%7"/>
        <w:lvlJc w:val="left"/>
        <w:pPr>
          <w:ind w:left="1296" w:hanging="1296"/>
        </w:pPr>
        <w:rPr>
          <w:rFonts w:hint="default"/>
        </w:rPr>
      </w:lvl>
    </w:lvlOverride>
    <w:lvlOverride w:ilvl="7">
      <w:lvl w:ilvl="7">
        <w:start w:val="1"/>
        <w:numFmt w:val="decimal"/>
        <w:pStyle w:val="Nagwek8"/>
        <w:lvlText w:val="%1.%2.%3.%4.%5.%6.%7.%8"/>
        <w:lvlJc w:val="left"/>
        <w:pPr>
          <w:ind w:left="1440" w:hanging="1440"/>
        </w:pPr>
        <w:rPr>
          <w:rFonts w:hint="default"/>
        </w:rPr>
      </w:lvl>
    </w:lvlOverride>
    <w:lvlOverride w:ilvl="8">
      <w:lvl w:ilvl="8">
        <w:start w:val="1"/>
        <w:numFmt w:val="decimal"/>
        <w:pStyle w:val="Nagwek9"/>
        <w:lvlText w:val="%1.%2.%3.%4.%5.%6.%7.%8.%9"/>
        <w:lvlJc w:val="left"/>
        <w:pPr>
          <w:ind w:left="1584" w:hanging="1584"/>
        </w:pPr>
        <w:rPr>
          <w:rFonts w:hint="default"/>
        </w:rPr>
      </w:lvl>
    </w:lvlOverride>
  </w:num>
  <w:num w:numId="6" w16cid:durableId="717050389">
    <w:abstractNumId w:val="8"/>
  </w:num>
  <w:num w:numId="7" w16cid:durableId="1598757155">
    <w:abstractNumId w:val="0"/>
  </w:num>
  <w:num w:numId="8" w16cid:durableId="643778304">
    <w:abstractNumId w:val="18"/>
  </w:num>
  <w:num w:numId="9" w16cid:durableId="1627811644">
    <w:abstractNumId w:val="21"/>
  </w:num>
  <w:num w:numId="10" w16cid:durableId="334037721">
    <w:abstractNumId w:val="12"/>
  </w:num>
  <w:num w:numId="11" w16cid:durableId="1280986504">
    <w:abstractNumId w:val="3"/>
  </w:num>
  <w:num w:numId="12" w16cid:durableId="807893196">
    <w:abstractNumId w:val="5"/>
  </w:num>
  <w:num w:numId="13" w16cid:durableId="1114177619">
    <w:abstractNumId w:val="9"/>
  </w:num>
  <w:num w:numId="14" w16cid:durableId="2004358801">
    <w:abstractNumId w:val="1"/>
  </w:num>
  <w:num w:numId="15" w16cid:durableId="1605335379">
    <w:abstractNumId w:val="17"/>
  </w:num>
  <w:num w:numId="16" w16cid:durableId="1355840103">
    <w:abstractNumId w:val="7"/>
  </w:num>
  <w:num w:numId="17" w16cid:durableId="1119491704">
    <w:abstractNumId w:val="15"/>
  </w:num>
  <w:num w:numId="18" w16cid:durableId="1567185853">
    <w:abstractNumId w:val="22"/>
  </w:num>
  <w:num w:numId="19" w16cid:durableId="600842384">
    <w:abstractNumId w:val="14"/>
  </w:num>
  <w:num w:numId="20" w16cid:durableId="1080714944">
    <w:abstractNumId w:val="10"/>
  </w:num>
  <w:num w:numId="21" w16cid:durableId="1927956337">
    <w:abstractNumId w:val="11"/>
  </w:num>
  <w:num w:numId="22" w16cid:durableId="1620718347">
    <w:abstractNumId w:val="6"/>
  </w:num>
  <w:num w:numId="23" w16cid:durableId="1134786415">
    <w:abstractNumId w:val="4"/>
  </w:num>
  <w:num w:numId="24" w16cid:durableId="1760714225">
    <w:abstractNumId w:val="2"/>
  </w:num>
  <w:num w:numId="25" w16cid:durableId="2052270084">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75"/>
    <w:rsid w:val="000008ED"/>
    <w:rsid w:val="00001768"/>
    <w:rsid w:val="00001D1C"/>
    <w:rsid w:val="00002087"/>
    <w:rsid w:val="00002A06"/>
    <w:rsid w:val="00002C1A"/>
    <w:rsid w:val="000038A2"/>
    <w:rsid w:val="00003F04"/>
    <w:rsid w:val="00005604"/>
    <w:rsid w:val="000061C8"/>
    <w:rsid w:val="000100D0"/>
    <w:rsid w:val="0001117D"/>
    <w:rsid w:val="00013320"/>
    <w:rsid w:val="00015C54"/>
    <w:rsid w:val="0002053E"/>
    <w:rsid w:val="00020565"/>
    <w:rsid w:val="00021231"/>
    <w:rsid w:val="00022291"/>
    <w:rsid w:val="00022379"/>
    <w:rsid w:val="00023111"/>
    <w:rsid w:val="000233F1"/>
    <w:rsid w:val="00023D80"/>
    <w:rsid w:val="00024F79"/>
    <w:rsid w:val="00025085"/>
    <w:rsid w:val="00026216"/>
    <w:rsid w:val="000263BF"/>
    <w:rsid w:val="00026FAA"/>
    <w:rsid w:val="00030649"/>
    <w:rsid w:val="00030BD6"/>
    <w:rsid w:val="00032519"/>
    <w:rsid w:val="000331A9"/>
    <w:rsid w:val="000336E6"/>
    <w:rsid w:val="000342B8"/>
    <w:rsid w:val="0003454F"/>
    <w:rsid w:val="00034B0E"/>
    <w:rsid w:val="0003719B"/>
    <w:rsid w:val="00037788"/>
    <w:rsid w:val="0004095B"/>
    <w:rsid w:val="00041501"/>
    <w:rsid w:val="00043FE6"/>
    <w:rsid w:val="000504EF"/>
    <w:rsid w:val="00050628"/>
    <w:rsid w:val="0005085E"/>
    <w:rsid w:val="00050A5E"/>
    <w:rsid w:val="00050E75"/>
    <w:rsid w:val="00052BC7"/>
    <w:rsid w:val="0005471B"/>
    <w:rsid w:val="000555CD"/>
    <w:rsid w:val="0005680A"/>
    <w:rsid w:val="00057521"/>
    <w:rsid w:val="000608B0"/>
    <w:rsid w:val="00060FC7"/>
    <w:rsid w:val="0006119A"/>
    <w:rsid w:val="000613E4"/>
    <w:rsid w:val="000614CA"/>
    <w:rsid w:val="00061871"/>
    <w:rsid w:val="00063FAC"/>
    <w:rsid w:val="00064C73"/>
    <w:rsid w:val="000650A1"/>
    <w:rsid w:val="00065FFF"/>
    <w:rsid w:val="00066A93"/>
    <w:rsid w:val="0007018E"/>
    <w:rsid w:val="00073CD5"/>
    <w:rsid w:val="00074006"/>
    <w:rsid w:val="0007671B"/>
    <w:rsid w:val="00080199"/>
    <w:rsid w:val="00080459"/>
    <w:rsid w:val="000805E6"/>
    <w:rsid w:val="000811E3"/>
    <w:rsid w:val="00081CBC"/>
    <w:rsid w:val="00082371"/>
    <w:rsid w:val="00082B05"/>
    <w:rsid w:val="0008388F"/>
    <w:rsid w:val="0008416F"/>
    <w:rsid w:val="00085029"/>
    <w:rsid w:val="00085671"/>
    <w:rsid w:val="00085AF4"/>
    <w:rsid w:val="00086056"/>
    <w:rsid w:val="0008614F"/>
    <w:rsid w:val="00087445"/>
    <w:rsid w:val="00087580"/>
    <w:rsid w:val="00087F13"/>
    <w:rsid w:val="000929CC"/>
    <w:rsid w:val="000931D4"/>
    <w:rsid w:val="00093D51"/>
    <w:rsid w:val="00094FAE"/>
    <w:rsid w:val="00095438"/>
    <w:rsid w:val="00095548"/>
    <w:rsid w:val="000971BE"/>
    <w:rsid w:val="00097617"/>
    <w:rsid w:val="000976EE"/>
    <w:rsid w:val="00097B65"/>
    <w:rsid w:val="000A1CBD"/>
    <w:rsid w:val="000A3E25"/>
    <w:rsid w:val="000A430E"/>
    <w:rsid w:val="000A4451"/>
    <w:rsid w:val="000A4895"/>
    <w:rsid w:val="000A58DD"/>
    <w:rsid w:val="000A60E0"/>
    <w:rsid w:val="000A6C75"/>
    <w:rsid w:val="000A7CB7"/>
    <w:rsid w:val="000B0018"/>
    <w:rsid w:val="000B005F"/>
    <w:rsid w:val="000B0430"/>
    <w:rsid w:val="000B04B2"/>
    <w:rsid w:val="000B0617"/>
    <w:rsid w:val="000B0663"/>
    <w:rsid w:val="000B10CA"/>
    <w:rsid w:val="000B1E88"/>
    <w:rsid w:val="000B2C37"/>
    <w:rsid w:val="000B381D"/>
    <w:rsid w:val="000B3D7E"/>
    <w:rsid w:val="000B40E8"/>
    <w:rsid w:val="000B4F38"/>
    <w:rsid w:val="000B7679"/>
    <w:rsid w:val="000C0809"/>
    <w:rsid w:val="000C0BB3"/>
    <w:rsid w:val="000C28D7"/>
    <w:rsid w:val="000C3C4E"/>
    <w:rsid w:val="000C4258"/>
    <w:rsid w:val="000C42AC"/>
    <w:rsid w:val="000C53F8"/>
    <w:rsid w:val="000C5E8E"/>
    <w:rsid w:val="000C60B5"/>
    <w:rsid w:val="000C653C"/>
    <w:rsid w:val="000C73D0"/>
    <w:rsid w:val="000C77A6"/>
    <w:rsid w:val="000C7B5C"/>
    <w:rsid w:val="000D0E31"/>
    <w:rsid w:val="000D1AEA"/>
    <w:rsid w:val="000D202E"/>
    <w:rsid w:val="000D282E"/>
    <w:rsid w:val="000D2884"/>
    <w:rsid w:val="000D3093"/>
    <w:rsid w:val="000D30AB"/>
    <w:rsid w:val="000D5DB5"/>
    <w:rsid w:val="000D78A6"/>
    <w:rsid w:val="000E01D8"/>
    <w:rsid w:val="000E0638"/>
    <w:rsid w:val="000E1AAA"/>
    <w:rsid w:val="000E3B53"/>
    <w:rsid w:val="000E48EA"/>
    <w:rsid w:val="000E5667"/>
    <w:rsid w:val="000F025F"/>
    <w:rsid w:val="000F095C"/>
    <w:rsid w:val="000F1985"/>
    <w:rsid w:val="000F2135"/>
    <w:rsid w:val="000F428E"/>
    <w:rsid w:val="000F445B"/>
    <w:rsid w:val="000F4AAA"/>
    <w:rsid w:val="000F5381"/>
    <w:rsid w:val="000F66F4"/>
    <w:rsid w:val="000F6FE5"/>
    <w:rsid w:val="000F765A"/>
    <w:rsid w:val="00100119"/>
    <w:rsid w:val="0010272E"/>
    <w:rsid w:val="001029C5"/>
    <w:rsid w:val="00104095"/>
    <w:rsid w:val="00104222"/>
    <w:rsid w:val="001044CB"/>
    <w:rsid w:val="00105670"/>
    <w:rsid w:val="001058FC"/>
    <w:rsid w:val="00106585"/>
    <w:rsid w:val="001079D1"/>
    <w:rsid w:val="001107B7"/>
    <w:rsid w:val="00112CA8"/>
    <w:rsid w:val="001144E5"/>
    <w:rsid w:val="00115205"/>
    <w:rsid w:val="00115584"/>
    <w:rsid w:val="00115FEC"/>
    <w:rsid w:val="001206DA"/>
    <w:rsid w:val="00120C8B"/>
    <w:rsid w:val="00120D8E"/>
    <w:rsid w:val="00121208"/>
    <w:rsid w:val="001214B0"/>
    <w:rsid w:val="00121B3F"/>
    <w:rsid w:val="001228E2"/>
    <w:rsid w:val="001239DE"/>
    <w:rsid w:val="00125040"/>
    <w:rsid w:val="001259A0"/>
    <w:rsid w:val="00125D4E"/>
    <w:rsid w:val="00125F2D"/>
    <w:rsid w:val="00130D6A"/>
    <w:rsid w:val="00132CC2"/>
    <w:rsid w:val="001337B6"/>
    <w:rsid w:val="00135042"/>
    <w:rsid w:val="00136228"/>
    <w:rsid w:val="001400DB"/>
    <w:rsid w:val="001401C9"/>
    <w:rsid w:val="00140EB7"/>
    <w:rsid w:val="0014190C"/>
    <w:rsid w:val="00142A3D"/>
    <w:rsid w:val="001448DA"/>
    <w:rsid w:val="00145CF0"/>
    <w:rsid w:val="00152B70"/>
    <w:rsid w:val="00153429"/>
    <w:rsid w:val="00155864"/>
    <w:rsid w:val="00156141"/>
    <w:rsid w:val="00156971"/>
    <w:rsid w:val="00161B30"/>
    <w:rsid w:val="0016226B"/>
    <w:rsid w:val="00162324"/>
    <w:rsid w:val="001630A2"/>
    <w:rsid w:val="001634B0"/>
    <w:rsid w:val="001644A3"/>
    <w:rsid w:val="00166688"/>
    <w:rsid w:val="001668E7"/>
    <w:rsid w:val="001672A8"/>
    <w:rsid w:val="00167E29"/>
    <w:rsid w:val="00170661"/>
    <w:rsid w:val="00171386"/>
    <w:rsid w:val="0017178F"/>
    <w:rsid w:val="00171FF4"/>
    <w:rsid w:val="00172EFF"/>
    <w:rsid w:val="00173441"/>
    <w:rsid w:val="00173E7F"/>
    <w:rsid w:val="00174D20"/>
    <w:rsid w:val="001755DA"/>
    <w:rsid w:val="001757B0"/>
    <w:rsid w:val="00175F7B"/>
    <w:rsid w:val="00176B26"/>
    <w:rsid w:val="00177B73"/>
    <w:rsid w:val="001809DE"/>
    <w:rsid w:val="001819E7"/>
    <w:rsid w:val="00181F1D"/>
    <w:rsid w:val="00183BB0"/>
    <w:rsid w:val="00183F08"/>
    <w:rsid w:val="001870B5"/>
    <w:rsid w:val="0018752B"/>
    <w:rsid w:val="00190CC9"/>
    <w:rsid w:val="00192723"/>
    <w:rsid w:val="00194FA3"/>
    <w:rsid w:val="001950DB"/>
    <w:rsid w:val="00195605"/>
    <w:rsid w:val="00195B34"/>
    <w:rsid w:val="00195F61"/>
    <w:rsid w:val="00196FC8"/>
    <w:rsid w:val="00197DC7"/>
    <w:rsid w:val="001A0667"/>
    <w:rsid w:val="001A1DF7"/>
    <w:rsid w:val="001A2BBC"/>
    <w:rsid w:val="001A2CC9"/>
    <w:rsid w:val="001A457F"/>
    <w:rsid w:val="001A49CF"/>
    <w:rsid w:val="001A574E"/>
    <w:rsid w:val="001A63AD"/>
    <w:rsid w:val="001A6627"/>
    <w:rsid w:val="001A6A59"/>
    <w:rsid w:val="001A721F"/>
    <w:rsid w:val="001B146F"/>
    <w:rsid w:val="001B220D"/>
    <w:rsid w:val="001B3941"/>
    <w:rsid w:val="001B5A4B"/>
    <w:rsid w:val="001C08A0"/>
    <w:rsid w:val="001C0FD6"/>
    <w:rsid w:val="001C1B69"/>
    <w:rsid w:val="001C241E"/>
    <w:rsid w:val="001C28F5"/>
    <w:rsid w:val="001C2D59"/>
    <w:rsid w:val="001C435D"/>
    <w:rsid w:val="001C508A"/>
    <w:rsid w:val="001C56FB"/>
    <w:rsid w:val="001C5A73"/>
    <w:rsid w:val="001C648C"/>
    <w:rsid w:val="001C6662"/>
    <w:rsid w:val="001C7FCB"/>
    <w:rsid w:val="001D055E"/>
    <w:rsid w:val="001D1029"/>
    <w:rsid w:val="001D2BEA"/>
    <w:rsid w:val="001D2D92"/>
    <w:rsid w:val="001D3AE6"/>
    <w:rsid w:val="001D4BA1"/>
    <w:rsid w:val="001D5356"/>
    <w:rsid w:val="001D53E6"/>
    <w:rsid w:val="001D5FCD"/>
    <w:rsid w:val="001D630A"/>
    <w:rsid w:val="001D7C6B"/>
    <w:rsid w:val="001E3152"/>
    <w:rsid w:val="001E456F"/>
    <w:rsid w:val="001E481E"/>
    <w:rsid w:val="001E504A"/>
    <w:rsid w:val="001E52AF"/>
    <w:rsid w:val="001E7FBF"/>
    <w:rsid w:val="001F09A3"/>
    <w:rsid w:val="001F10C5"/>
    <w:rsid w:val="001F1692"/>
    <w:rsid w:val="001F21FA"/>
    <w:rsid w:val="001F220F"/>
    <w:rsid w:val="001F2594"/>
    <w:rsid w:val="001F310F"/>
    <w:rsid w:val="001F34FD"/>
    <w:rsid w:val="001F3548"/>
    <w:rsid w:val="001F5A68"/>
    <w:rsid w:val="001F5C5B"/>
    <w:rsid w:val="001F6DA4"/>
    <w:rsid w:val="001F7A73"/>
    <w:rsid w:val="001F7CFA"/>
    <w:rsid w:val="002029E9"/>
    <w:rsid w:val="002033E6"/>
    <w:rsid w:val="002047C9"/>
    <w:rsid w:val="002054C3"/>
    <w:rsid w:val="002066B3"/>
    <w:rsid w:val="002070A4"/>
    <w:rsid w:val="002072DE"/>
    <w:rsid w:val="00207E08"/>
    <w:rsid w:val="00210770"/>
    <w:rsid w:val="00211CE4"/>
    <w:rsid w:val="002133D1"/>
    <w:rsid w:val="00213C21"/>
    <w:rsid w:val="00214288"/>
    <w:rsid w:val="002146B2"/>
    <w:rsid w:val="00214798"/>
    <w:rsid w:val="00215690"/>
    <w:rsid w:val="0021577E"/>
    <w:rsid w:val="00216282"/>
    <w:rsid w:val="002217AB"/>
    <w:rsid w:val="00223841"/>
    <w:rsid w:val="00225260"/>
    <w:rsid w:val="0022606B"/>
    <w:rsid w:val="00226643"/>
    <w:rsid w:val="002305D3"/>
    <w:rsid w:val="002309B4"/>
    <w:rsid w:val="00230FA7"/>
    <w:rsid w:val="002311FA"/>
    <w:rsid w:val="002347B2"/>
    <w:rsid w:val="002351A2"/>
    <w:rsid w:val="00235927"/>
    <w:rsid w:val="002364A6"/>
    <w:rsid w:val="00236565"/>
    <w:rsid w:val="002365EC"/>
    <w:rsid w:val="00237D78"/>
    <w:rsid w:val="002406A1"/>
    <w:rsid w:val="00241FA5"/>
    <w:rsid w:val="00242889"/>
    <w:rsid w:val="00242EE0"/>
    <w:rsid w:val="002456F7"/>
    <w:rsid w:val="0024644A"/>
    <w:rsid w:val="00246A8A"/>
    <w:rsid w:val="0024779C"/>
    <w:rsid w:val="00247EB7"/>
    <w:rsid w:val="002506F4"/>
    <w:rsid w:val="00250C51"/>
    <w:rsid w:val="00253A20"/>
    <w:rsid w:val="0025459A"/>
    <w:rsid w:val="00255A55"/>
    <w:rsid w:val="00256DE4"/>
    <w:rsid w:val="00256F93"/>
    <w:rsid w:val="00260393"/>
    <w:rsid w:val="00262630"/>
    <w:rsid w:val="0026327D"/>
    <w:rsid w:val="00266AF9"/>
    <w:rsid w:val="00271FC4"/>
    <w:rsid w:val="002732A4"/>
    <w:rsid w:val="00273F55"/>
    <w:rsid w:val="0027440F"/>
    <w:rsid w:val="0027446F"/>
    <w:rsid w:val="00276381"/>
    <w:rsid w:val="002764A6"/>
    <w:rsid w:val="00276CC7"/>
    <w:rsid w:val="0027701B"/>
    <w:rsid w:val="002772E1"/>
    <w:rsid w:val="00277760"/>
    <w:rsid w:val="00281447"/>
    <w:rsid w:val="00282FFF"/>
    <w:rsid w:val="00283BF9"/>
    <w:rsid w:val="00284151"/>
    <w:rsid w:val="002842EC"/>
    <w:rsid w:val="00284B32"/>
    <w:rsid w:val="002868ED"/>
    <w:rsid w:val="002872AC"/>
    <w:rsid w:val="00290B80"/>
    <w:rsid w:val="00290F66"/>
    <w:rsid w:val="002917BE"/>
    <w:rsid w:val="00291E50"/>
    <w:rsid w:val="00293E13"/>
    <w:rsid w:val="00297BBF"/>
    <w:rsid w:val="002A034F"/>
    <w:rsid w:val="002A118C"/>
    <w:rsid w:val="002A2605"/>
    <w:rsid w:val="002A47DA"/>
    <w:rsid w:val="002A4C78"/>
    <w:rsid w:val="002A537A"/>
    <w:rsid w:val="002A557E"/>
    <w:rsid w:val="002A5F83"/>
    <w:rsid w:val="002A6ADF"/>
    <w:rsid w:val="002B0790"/>
    <w:rsid w:val="002B2389"/>
    <w:rsid w:val="002B2811"/>
    <w:rsid w:val="002B2AF6"/>
    <w:rsid w:val="002B301D"/>
    <w:rsid w:val="002B3B17"/>
    <w:rsid w:val="002B5B5F"/>
    <w:rsid w:val="002B6380"/>
    <w:rsid w:val="002B63B8"/>
    <w:rsid w:val="002B6736"/>
    <w:rsid w:val="002B73FB"/>
    <w:rsid w:val="002C083A"/>
    <w:rsid w:val="002C2A86"/>
    <w:rsid w:val="002C2D7B"/>
    <w:rsid w:val="002C45F5"/>
    <w:rsid w:val="002C4DA9"/>
    <w:rsid w:val="002C61AE"/>
    <w:rsid w:val="002C6726"/>
    <w:rsid w:val="002D0B53"/>
    <w:rsid w:val="002D0D5C"/>
    <w:rsid w:val="002D1502"/>
    <w:rsid w:val="002D1851"/>
    <w:rsid w:val="002D2B4B"/>
    <w:rsid w:val="002D37E4"/>
    <w:rsid w:val="002D46CE"/>
    <w:rsid w:val="002D5638"/>
    <w:rsid w:val="002D6778"/>
    <w:rsid w:val="002D6B5F"/>
    <w:rsid w:val="002D74F8"/>
    <w:rsid w:val="002E0C10"/>
    <w:rsid w:val="002E10EC"/>
    <w:rsid w:val="002E250A"/>
    <w:rsid w:val="002E3C11"/>
    <w:rsid w:val="002E428A"/>
    <w:rsid w:val="002E549A"/>
    <w:rsid w:val="002E579A"/>
    <w:rsid w:val="002F061C"/>
    <w:rsid w:val="002F11E8"/>
    <w:rsid w:val="002F12E5"/>
    <w:rsid w:val="002F5430"/>
    <w:rsid w:val="002F6749"/>
    <w:rsid w:val="002F7492"/>
    <w:rsid w:val="00300D12"/>
    <w:rsid w:val="0030192E"/>
    <w:rsid w:val="00302571"/>
    <w:rsid w:val="003029F0"/>
    <w:rsid w:val="00302E38"/>
    <w:rsid w:val="003052E4"/>
    <w:rsid w:val="003058B0"/>
    <w:rsid w:val="00306A10"/>
    <w:rsid w:val="00307042"/>
    <w:rsid w:val="00312CAB"/>
    <w:rsid w:val="00313CF5"/>
    <w:rsid w:val="00314300"/>
    <w:rsid w:val="00315112"/>
    <w:rsid w:val="003163EF"/>
    <w:rsid w:val="00317015"/>
    <w:rsid w:val="00317FE7"/>
    <w:rsid w:val="00320111"/>
    <w:rsid w:val="003204E9"/>
    <w:rsid w:val="00321192"/>
    <w:rsid w:val="0032257C"/>
    <w:rsid w:val="00322AE9"/>
    <w:rsid w:val="00322F76"/>
    <w:rsid w:val="00325346"/>
    <w:rsid w:val="003265AE"/>
    <w:rsid w:val="00330A2A"/>
    <w:rsid w:val="003312C6"/>
    <w:rsid w:val="003314B0"/>
    <w:rsid w:val="00332510"/>
    <w:rsid w:val="00332D36"/>
    <w:rsid w:val="00333654"/>
    <w:rsid w:val="00333AD2"/>
    <w:rsid w:val="0033425C"/>
    <w:rsid w:val="003354BA"/>
    <w:rsid w:val="0033589C"/>
    <w:rsid w:val="0033609D"/>
    <w:rsid w:val="003365E7"/>
    <w:rsid w:val="00337AB9"/>
    <w:rsid w:val="00340FC5"/>
    <w:rsid w:val="0034162F"/>
    <w:rsid w:val="0034178F"/>
    <w:rsid w:val="00341C27"/>
    <w:rsid w:val="00342117"/>
    <w:rsid w:val="003440FC"/>
    <w:rsid w:val="00347F2E"/>
    <w:rsid w:val="00350909"/>
    <w:rsid w:val="003514E4"/>
    <w:rsid w:val="00351E48"/>
    <w:rsid w:val="00353377"/>
    <w:rsid w:val="00353D56"/>
    <w:rsid w:val="00354AD1"/>
    <w:rsid w:val="003555A8"/>
    <w:rsid w:val="00357E93"/>
    <w:rsid w:val="003608F5"/>
    <w:rsid w:val="00363C2A"/>
    <w:rsid w:val="00363CA9"/>
    <w:rsid w:val="0036413B"/>
    <w:rsid w:val="003666C8"/>
    <w:rsid w:val="003666D5"/>
    <w:rsid w:val="0036772D"/>
    <w:rsid w:val="0037068D"/>
    <w:rsid w:val="00371095"/>
    <w:rsid w:val="00371639"/>
    <w:rsid w:val="00371F7E"/>
    <w:rsid w:val="00375926"/>
    <w:rsid w:val="0037651B"/>
    <w:rsid w:val="0038011A"/>
    <w:rsid w:val="00381A6C"/>
    <w:rsid w:val="00384058"/>
    <w:rsid w:val="00384281"/>
    <w:rsid w:val="003843E6"/>
    <w:rsid w:val="0038552A"/>
    <w:rsid w:val="003859B9"/>
    <w:rsid w:val="0038666C"/>
    <w:rsid w:val="003871BA"/>
    <w:rsid w:val="00390D05"/>
    <w:rsid w:val="00391794"/>
    <w:rsid w:val="00391AEF"/>
    <w:rsid w:val="003922E8"/>
    <w:rsid w:val="00392526"/>
    <w:rsid w:val="00395BAF"/>
    <w:rsid w:val="003A01FC"/>
    <w:rsid w:val="003A0401"/>
    <w:rsid w:val="003A1224"/>
    <w:rsid w:val="003A3632"/>
    <w:rsid w:val="003A3D71"/>
    <w:rsid w:val="003A5DC8"/>
    <w:rsid w:val="003A71C2"/>
    <w:rsid w:val="003B1969"/>
    <w:rsid w:val="003B1E8F"/>
    <w:rsid w:val="003B4C15"/>
    <w:rsid w:val="003B540E"/>
    <w:rsid w:val="003B55C8"/>
    <w:rsid w:val="003B7E41"/>
    <w:rsid w:val="003C0231"/>
    <w:rsid w:val="003C0C00"/>
    <w:rsid w:val="003C0C4C"/>
    <w:rsid w:val="003C0D57"/>
    <w:rsid w:val="003C233F"/>
    <w:rsid w:val="003C3AA2"/>
    <w:rsid w:val="003C3C7B"/>
    <w:rsid w:val="003C4246"/>
    <w:rsid w:val="003C4491"/>
    <w:rsid w:val="003C5D88"/>
    <w:rsid w:val="003C6FF6"/>
    <w:rsid w:val="003C769A"/>
    <w:rsid w:val="003D0577"/>
    <w:rsid w:val="003D1783"/>
    <w:rsid w:val="003D3BC7"/>
    <w:rsid w:val="003D4366"/>
    <w:rsid w:val="003D79FD"/>
    <w:rsid w:val="003E0934"/>
    <w:rsid w:val="003E19D4"/>
    <w:rsid w:val="003E1EF9"/>
    <w:rsid w:val="003E2C47"/>
    <w:rsid w:val="003E2D2F"/>
    <w:rsid w:val="003E4A5D"/>
    <w:rsid w:val="003E7016"/>
    <w:rsid w:val="003E704B"/>
    <w:rsid w:val="003E724E"/>
    <w:rsid w:val="003F0B80"/>
    <w:rsid w:val="003F101B"/>
    <w:rsid w:val="003F309E"/>
    <w:rsid w:val="003F3968"/>
    <w:rsid w:val="003F479A"/>
    <w:rsid w:val="003F4970"/>
    <w:rsid w:val="003F4A49"/>
    <w:rsid w:val="003F51DA"/>
    <w:rsid w:val="003F5439"/>
    <w:rsid w:val="003F5F89"/>
    <w:rsid w:val="003F70B1"/>
    <w:rsid w:val="004003C2"/>
    <w:rsid w:val="00401B55"/>
    <w:rsid w:val="004033A7"/>
    <w:rsid w:val="004036BB"/>
    <w:rsid w:val="00403D4F"/>
    <w:rsid w:val="00405A61"/>
    <w:rsid w:val="00405A75"/>
    <w:rsid w:val="00406018"/>
    <w:rsid w:val="00406B06"/>
    <w:rsid w:val="00410BDB"/>
    <w:rsid w:val="00411AE7"/>
    <w:rsid w:val="0041241E"/>
    <w:rsid w:val="00412A51"/>
    <w:rsid w:val="00412A98"/>
    <w:rsid w:val="00413C39"/>
    <w:rsid w:val="00414EC2"/>
    <w:rsid w:val="00415387"/>
    <w:rsid w:val="00415E7D"/>
    <w:rsid w:val="004168CE"/>
    <w:rsid w:val="00417494"/>
    <w:rsid w:val="00420FB9"/>
    <w:rsid w:val="00421FEA"/>
    <w:rsid w:val="00422410"/>
    <w:rsid w:val="00423F14"/>
    <w:rsid w:val="0042465A"/>
    <w:rsid w:val="00426E54"/>
    <w:rsid w:val="00431F66"/>
    <w:rsid w:val="004340FE"/>
    <w:rsid w:val="00434394"/>
    <w:rsid w:val="00437525"/>
    <w:rsid w:val="00437BC9"/>
    <w:rsid w:val="004411FD"/>
    <w:rsid w:val="004414C2"/>
    <w:rsid w:val="00442A15"/>
    <w:rsid w:val="00442CE8"/>
    <w:rsid w:val="004435D8"/>
    <w:rsid w:val="004436C5"/>
    <w:rsid w:val="00444269"/>
    <w:rsid w:val="004445F7"/>
    <w:rsid w:val="00444F0A"/>
    <w:rsid w:val="0044576F"/>
    <w:rsid w:val="00446C79"/>
    <w:rsid w:val="004470D6"/>
    <w:rsid w:val="00450C5F"/>
    <w:rsid w:val="00451E4D"/>
    <w:rsid w:val="00453F09"/>
    <w:rsid w:val="00453F10"/>
    <w:rsid w:val="0045400E"/>
    <w:rsid w:val="00454ECD"/>
    <w:rsid w:val="00455444"/>
    <w:rsid w:val="00455962"/>
    <w:rsid w:val="00455B06"/>
    <w:rsid w:val="004565B6"/>
    <w:rsid w:val="0045682B"/>
    <w:rsid w:val="00457278"/>
    <w:rsid w:val="00460734"/>
    <w:rsid w:val="00460EA8"/>
    <w:rsid w:val="00461280"/>
    <w:rsid w:val="0046156E"/>
    <w:rsid w:val="00462102"/>
    <w:rsid w:val="004621B5"/>
    <w:rsid w:val="00470240"/>
    <w:rsid w:val="00470767"/>
    <w:rsid w:val="00470C24"/>
    <w:rsid w:val="00470DFA"/>
    <w:rsid w:val="00472A08"/>
    <w:rsid w:val="00472A0F"/>
    <w:rsid w:val="00473823"/>
    <w:rsid w:val="00474A1C"/>
    <w:rsid w:val="004756A5"/>
    <w:rsid w:val="004763AD"/>
    <w:rsid w:val="00476F62"/>
    <w:rsid w:val="0048074C"/>
    <w:rsid w:val="00480FEC"/>
    <w:rsid w:val="004831D5"/>
    <w:rsid w:val="00483543"/>
    <w:rsid w:val="0048373D"/>
    <w:rsid w:val="00484E10"/>
    <w:rsid w:val="00486C25"/>
    <w:rsid w:val="00486E06"/>
    <w:rsid w:val="00487DBD"/>
    <w:rsid w:val="00493AEC"/>
    <w:rsid w:val="004965F3"/>
    <w:rsid w:val="00496696"/>
    <w:rsid w:val="0049693E"/>
    <w:rsid w:val="00496BA5"/>
    <w:rsid w:val="00497054"/>
    <w:rsid w:val="00497BBE"/>
    <w:rsid w:val="004A086F"/>
    <w:rsid w:val="004A10D7"/>
    <w:rsid w:val="004A1164"/>
    <w:rsid w:val="004A13CC"/>
    <w:rsid w:val="004A1842"/>
    <w:rsid w:val="004A2A35"/>
    <w:rsid w:val="004A34C0"/>
    <w:rsid w:val="004A3937"/>
    <w:rsid w:val="004A4F15"/>
    <w:rsid w:val="004A4F2E"/>
    <w:rsid w:val="004A4FB5"/>
    <w:rsid w:val="004A529C"/>
    <w:rsid w:val="004A60B2"/>
    <w:rsid w:val="004A63A2"/>
    <w:rsid w:val="004B0872"/>
    <w:rsid w:val="004B1B22"/>
    <w:rsid w:val="004B1E36"/>
    <w:rsid w:val="004B21D8"/>
    <w:rsid w:val="004B2D30"/>
    <w:rsid w:val="004B4BD6"/>
    <w:rsid w:val="004B7601"/>
    <w:rsid w:val="004C105E"/>
    <w:rsid w:val="004C1BBB"/>
    <w:rsid w:val="004C386A"/>
    <w:rsid w:val="004C3F1F"/>
    <w:rsid w:val="004C5670"/>
    <w:rsid w:val="004C57FA"/>
    <w:rsid w:val="004C5CDB"/>
    <w:rsid w:val="004C6B57"/>
    <w:rsid w:val="004C71AC"/>
    <w:rsid w:val="004C7E7D"/>
    <w:rsid w:val="004D038A"/>
    <w:rsid w:val="004D19AA"/>
    <w:rsid w:val="004D3047"/>
    <w:rsid w:val="004D381C"/>
    <w:rsid w:val="004D47BB"/>
    <w:rsid w:val="004D5783"/>
    <w:rsid w:val="004D5D7D"/>
    <w:rsid w:val="004D6C31"/>
    <w:rsid w:val="004D760B"/>
    <w:rsid w:val="004D7B6D"/>
    <w:rsid w:val="004E0255"/>
    <w:rsid w:val="004E0E96"/>
    <w:rsid w:val="004E140F"/>
    <w:rsid w:val="004E4CB8"/>
    <w:rsid w:val="004E628C"/>
    <w:rsid w:val="004E7AB9"/>
    <w:rsid w:val="004F0299"/>
    <w:rsid w:val="004F412E"/>
    <w:rsid w:val="004F4937"/>
    <w:rsid w:val="004F57D3"/>
    <w:rsid w:val="004F606C"/>
    <w:rsid w:val="004F6F36"/>
    <w:rsid w:val="004F7465"/>
    <w:rsid w:val="004F7E2F"/>
    <w:rsid w:val="004F7F28"/>
    <w:rsid w:val="00503C37"/>
    <w:rsid w:val="00504138"/>
    <w:rsid w:val="00504202"/>
    <w:rsid w:val="005061B5"/>
    <w:rsid w:val="00506317"/>
    <w:rsid w:val="00506DF8"/>
    <w:rsid w:val="00507655"/>
    <w:rsid w:val="00511084"/>
    <w:rsid w:val="00513FCB"/>
    <w:rsid w:val="005167AE"/>
    <w:rsid w:val="00516960"/>
    <w:rsid w:val="0052005E"/>
    <w:rsid w:val="00520F2E"/>
    <w:rsid w:val="00520F66"/>
    <w:rsid w:val="00521150"/>
    <w:rsid w:val="00523F58"/>
    <w:rsid w:val="0052566F"/>
    <w:rsid w:val="00525B18"/>
    <w:rsid w:val="005262A4"/>
    <w:rsid w:val="00526326"/>
    <w:rsid w:val="0052677F"/>
    <w:rsid w:val="00527FA2"/>
    <w:rsid w:val="0053080B"/>
    <w:rsid w:val="00532A2B"/>
    <w:rsid w:val="00533A9B"/>
    <w:rsid w:val="00535849"/>
    <w:rsid w:val="005363BA"/>
    <w:rsid w:val="00536BE2"/>
    <w:rsid w:val="005379D5"/>
    <w:rsid w:val="00540965"/>
    <w:rsid w:val="0054196C"/>
    <w:rsid w:val="00541DF7"/>
    <w:rsid w:val="00541F87"/>
    <w:rsid w:val="005425E4"/>
    <w:rsid w:val="00543125"/>
    <w:rsid w:val="0054372F"/>
    <w:rsid w:val="00543D7B"/>
    <w:rsid w:val="00543EF5"/>
    <w:rsid w:val="00544C53"/>
    <w:rsid w:val="005456CB"/>
    <w:rsid w:val="00547050"/>
    <w:rsid w:val="00547A81"/>
    <w:rsid w:val="005502CD"/>
    <w:rsid w:val="005505C2"/>
    <w:rsid w:val="00550E28"/>
    <w:rsid w:val="00551213"/>
    <w:rsid w:val="00552734"/>
    <w:rsid w:val="005538A8"/>
    <w:rsid w:val="005544E4"/>
    <w:rsid w:val="005560A3"/>
    <w:rsid w:val="005604BD"/>
    <w:rsid w:val="00561000"/>
    <w:rsid w:val="00561729"/>
    <w:rsid w:val="00562163"/>
    <w:rsid w:val="00563394"/>
    <w:rsid w:val="00564BDE"/>
    <w:rsid w:val="00566A8B"/>
    <w:rsid w:val="005677F4"/>
    <w:rsid w:val="00567A9F"/>
    <w:rsid w:val="00570692"/>
    <w:rsid w:val="00570A28"/>
    <w:rsid w:val="00570A65"/>
    <w:rsid w:val="005717D7"/>
    <w:rsid w:val="005722A8"/>
    <w:rsid w:val="0057294D"/>
    <w:rsid w:val="00572B50"/>
    <w:rsid w:val="005732CF"/>
    <w:rsid w:val="00573F5A"/>
    <w:rsid w:val="00574945"/>
    <w:rsid w:val="005754AF"/>
    <w:rsid w:val="00580A91"/>
    <w:rsid w:val="00584EE8"/>
    <w:rsid w:val="00584FE1"/>
    <w:rsid w:val="00585223"/>
    <w:rsid w:val="00586228"/>
    <w:rsid w:val="0058733E"/>
    <w:rsid w:val="00590232"/>
    <w:rsid w:val="0059084E"/>
    <w:rsid w:val="00590BE9"/>
    <w:rsid w:val="00591BC0"/>
    <w:rsid w:val="00591E3A"/>
    <w:rsid w:val="00592A7C"/>
    <w:rsid w:val="00593C88"/>
    <w:rsid w:val="005945C3"/>
    <w:rsid w:val="005957C5"/>
    <w:rsid w:val="005A14A1"/>
    <w:rsid w:val="005A221F"/>
    <w:rsid w:val="005A2781"/>
    <w:rsid w:val="005A37E0"/>
    <w:rsid w:val="005A3CF8"/>
    <w:rsid w:val="005A588D"/>
    <w:rsid w:val="005A77C2"/>
    <w:rsid w:val="005A79D7"/>
    <w:rsid w:val="005B0636"/>
    <w:rsid w:val="005B0650"/>
    <w:rsid w:val="005B0757"/>
    <w:rsid w:val="005B08FA"/>
    <w:rsid w:val="005B0E0F"/>
    <w:rsid w:val="005B1CD6"/>
    <w:rsid w:val="005B4047"/>
    <w:rsid w:val="005B503E"/>
    <w:rsid w:val="005B74D9"/>
    <w:rsid w:val="005B7F83"/>
    <w:rsid w:val="005C073A"/>
    <w:rsid w:val="005C2425"/>
    <w:rsid w:val="005C2F5F"/>
    <w:rsid w:val="005C30D5"/>
    <w:rsid w:val="005C43F0"/>
    <w:rsid w:val="005C5F47"/>
    <w:rsid w:val="005C6B11"/>
    <w:rsid w:val="005C7DBB"/>
    <w:rsid w:val="005D187B"/>
    <w:rsid w:val="005D285D"/>
    <w:rsid w:val="005D2AC9"/>
    <w:rsid w:val="005D2B55"/>
    <w:rsid w:val="005D70F5"/>
    <w:rsid w:val="005D72A9"/>
    <w:rsid w:val="005D769F"/>
    <w:rsid w:val="005E01AE"/>
    <w:rsid w:val="005E088C"/>
    <w:rsid w:val="005E24C4"/>
    <w:rsid w:val="005E3435"/>
    <w:rsid w:val="005E6573"/>
    <w:rsid w:val="005E6D33"/>
    <w:rsid w:val="005E75D1"/>
    <w:rsid w:val="005E7646"/>
    <w:rsid w:val="005F0573"/>
    <w:rsid w:val="005F1199"/>
    <w:rsid w:val="005F14D5"/>
    <w:rsid w:val="005F1783"/>
    <w:rsid w:val="005F387F"/>
    <w:rsid w:val="005F3FE0"/>
    <w:rsid w:val="005F4062"/>
    <w:rsid w:val="005F62C6"/>
    <w:rsid w:val="005F692C"/>
    <w:rsid w:val="005F6BC4"/>
    <w:rsid w:val="005F7E4E"/>
    <w:rsid w:val="0060292E"/>
    <w:rsid w:val="00605501"/>
    <w:rsid w:val="00605748"/>
    <w:rsid w:val="00605A51"/>
    <w:rsid w:val="006077F4"/>
    <w:rsid w:val="00607AFB"/>
    <w:rsid w:val="00607B35"/>
    <w:rsid w:val="0061012A"/>
    <w:rsid w:val="00610C7A"/>
    <w:rsid w:val="0061170A"/>
    <w:rsid w:val="0061463D"/>
    <w:rsid w:val="006149A5"/>
    <w:rsid w:val="006153B3"/>
    <w:rsid w:val="006164A9"/>
    <w:rsid w:val="00617DC5"/>
    <w:rsid w:val="00617E1A"/>
    <w:rsid w:val="00620702"/>
    <w:rsid w:val="00622F4E"/>
    <w:rsid w:val="00623834"/>
    <w:rsid w:val="00623F54"/>
    <w:rsid w:val="00624CC9"/>
    <w:rsid w:val="00625CD9"/>
    <w:rsid w:val="00626D49"/>
    <w:rsid w:val="00627A9A"/>
    <w:rsid w:val="00627F2C"/>
    <w:rsid w:val="006307E1"/>
    <w:rsid w:val="00630C75"/>
    <w:rsid w:val="006320C7"/>
    <w:rsid w:val="00632C32"/>
    <w:rsid w:val="00633EB8"/>
    <w:rsid w:val="00633F91"/>
    <w:rsid w:val="006357A6"/>
    <w:rsid w:val="00636912"/>
    <w:rsid w:val="00637BC5"/>
    <w:rsid w:val="0064003E"/>
    <w:rsid w:val="006416DE"/>
    <w:rsid w:val="00641762"/>
    <w:rsid w:val="006418BE"/>
    <w:rsid w:val="006425D6"/>
    <w:rsid w:val="00644835"/>
    <w:rsid w:val="00644B87"/>
    <w:rsid w:val="0064514C"/>
    <w:rsid w:val="00645179"/>
    <w:rsid w:val="006466D1"/>
    <w:rsid w:val="00650138"/>
    <w:rsid w:val="006513CE"/>
    <w:rsid w:val="00651B61"/>
    <w:rsid w:val="0065356B"/>
    <w:rsid w:val="006554F2"/>
    <w:rsid w:val="00656669"/>
    <w:rsid w:val="00656A7E"/>
    <w:rsid w:val="00657E0F"/>
    <w:rsid w:val="00660775"/>
    <w:rsid w:val="00662CCA"/>
    <w:rsid w:val="00662F25"/>
    <w:rsid w:val="00663562"/>
    <w:rsid w:val="00664507"/>
    <w:rsid w:val="0066469C"/>
    <w:rsid w:val="006648EA"/>
    <w:rsid w:val="00664908"/>
    <w:rsid w:val="00664986"/>
    <w:rsid w:val="00667913"/>
    <w:rsid w:val="00667EA4"/>
    <w:rsid w:val="00670F0E"/>
    <w:rsid w:val="006716F4"/>
    <w:rsid w:val="006725CD"/>
    <w:rsid w:val="006726DC"/>
    <w:rsid w:val="00672D6B"/>
    <w:rsid w:val="00673C19"/>
    <w:rsid w:val="00674474"/>
    <w:rsid w:val="00676DEA"/>
    <w:rsid w:val="006800C1"/>
    <w:rsid w:val="0068152D"/>
    <w:rsid w:val="0068405F"/>
    <w:rsid w:val="00684F6C"/>
    <w:rsid w:val="006852A9"/>
    <w:rsid w:val="00685889"/>
    <w:rsid w:val="006875A4"/>
    <w:rsid w:val="00690A80"/>
    <w:rsid w:val="00692D3C"/>
    <w:rsid w:val="006965C1"/>
    <w:rsid w:val="00696676"/>
    <w:rsid w:val="00697512"/>
    <w:rsid w:val="006A03FD"/>
    <w:rsid w:val="006A12A2"/>
    <w:rsid w:val="006A1425"/>
    <w:rsid w:val="006A19F3"/>
    <w:rsid w:val="006A1D28"/>
    <w:rsid w:val="006A25BA"/>
    <w:rsid w:val="006A2727"/>
    <w:rsid w:val="006A475A"/>
    <w:rsid w:val="006A6B9D"/>
    <w:rsid w:val="006A70E8"/>
    <w:rsid w:val="006A7872"/>
    <w:rsid w:val="006A7D41"/>
    <w:rsid w:val="006B0AB4"/>
    <w:rsid w:val="006B2BD5"/>
    <w:rsid w:val="006B392F"/>
    <w:rsid w:val="006B6793"/>
    <w:rsid w:val="006B6AD0"/>
    <w:rsid w:val="006B6FE5"/>
    <w:rsid w:val="006C04F6"/>
    <w:rsid w:val="006C083E"/>
    <w:rsid w:val="006C144A"/>
    <w:rsid w:val="006C18F4"/>
    <w:rsid w:val="006C1A64"/>
    <w:rsid w:val="006C4C01"/>
    <w:rsid w:val="006C5E86"/>
    <w:rsid w:val="006C7B16"/>
    <w:rsid w:val="006D00B9"/>
    <w:rsid w:val="006D00C0"/>
    <w:rsid w:val="006D0C21"/>
    <w:rsid w:val="006D1561"/>
    <w:rsid w:val="006D1DD6"/>
    <w:rsid w:val="006D2831"/>
    <w:rsid w:val="006D3BB3"/>
    <w:rsid w:val="006D5A1D"/>
    <w:rsid w:val="006D5E22"/>
    <w:rsid w:val="006D7C14"/>
    <w:rsid w:val="006E08BE"/>
    <w:rsid w:val="006E3F76"/>
    <w:rsid w:val="006E46AD"/>
    <w:rsid w:val="006E6248"/>
    <w:rsid w:val="006E6519"/>
    <w:rsid w:val="006E680E"/>
    <w:rsid w:val="006E73B5"/>
    <w:rsid w:val="006E7EDB"/>
    <w:rsid w:val="006F1B5E"/>
    <w:rsid w:val="006F1F93"/>
    <w:rsid w:val="006F2554"/>
    <w:rsid w:val="006F265C"/>
    <w:rsid w:val="006F2DED"/>
    <w:rsid w:val="006F435D"/>
    <w:rsid w:val="006F53B0"/>
    <w:rsid w:val="006F66B2"/>
    <w:rsid w:val="0070207C"/>
    <w:rsid w:val="00702844"/>
    <w:rsid w:val="00702893"/>
    <w:rsid w:val="007035D2"/>
    <w:rsid w:val="0070364F"/>
    <w:rsid w:val="0070397A"/>
    <w:rsid w:val="00704918"/>
    <w:rsid w:val="00705C70"/>
    <w:rsid w:val="00705F2A"/>
    <w:rsid w:val="007106B9"/>
    <w:rsid w:val="00710A0F"/>
    <w:rsid w:val="007128D5"/>
    <w:rsid w:val="00713B14"/>
    <w:rsid w:val="007175CC"/>
    <w:rsid w:val="00722A2A"/>
    <w:rsid w:val="00723E19"/>
    <w:rsid w:val="00724BF5"/>
    <w:rsid w:val="00725B23"/>
    <w:rsid w:val="007266BC"/>
    <w:rsid w:val="00727705"/>
    <w:rsid w:val="007307AF"/>
    <w:rsid w:val="00730AE0"/>
    <w:rsid w:val="00730C68"/>
    <w:rsid w:val="007311D0"/>
    <w:rsid w:val="007324B6"/>
    <w:rsid w:val="0073461B"/>
    <w:rsid w:val="00735D85"/>
    <w:rsid w:val="007364F0"/>
    <w:rsid w:val="00736578"/>
    <w:rsid w:val="0073741B"/>
    <w:rsid w:val="00737AB5"/>
    <w:rsid w:val="007404B9"/>
    <w:rsid w:val="007407B4"/>
    <w:rsid w:val="00740B7C"/>
    <w:rsid w:val="00741B97"/>
    <w:rsid w:val="00742100"/>
    <w:rsid w:val="007432B0"/>
    <w:rsid w:val="00743389"/>
    <w:rsid w:val="00743EEC"/>
    <w:rsid w:val="00745635"/>
    <w:rsid w:val="00745A3C"/>
    <w:rsid w:val="00746277"/>
    <w:rsid w:val="00746E81"/>
    <w:rsid w:val="007507DF"/>
    <w:rsid w:val="00753BF5"/>
    <w:rsid w:val="00754363"/>
    <w:rsid w:val="007544F4"/>
    <w:rsid w:val="00755F99"/>
    <w:rsid w:val="00756144"/>
    <w:rsid w:val="00757E33"/>
    <w:rsid w:val="0076016B"/>
    <w:rsid w:val="00761007"/>
    <w:rsid w:val="00761E12"/>
    <w:rsid w:val="00762793"/>
    <w:rsid w:val="00762D45"/>
    <w:rsid w:val="00764267"/>
    <w:rsid w:val="00764BD3"/>
    <w:rsid w:val="00764D32"/>
    <w:rsid w:val="00765A82"/>
    <w:rsid w:val="00766AD4"/>
    <w:rsid w:val="007670E4"/>
    <w:rsid w:val="00767D77"/>
    <w:rsid w:val="00770218"/>
    <w:rsid w:val="00770E07"/>
    <w:rsid w:val="00771DFF"/>
    <w:rsid w:val="007724AD"/>
    <w:rsid w:val="00773977"/>
    <w:rsid w:val="007751A8"/>
    <w:rsid w:val="007754DD"/>
    <w:rsid w:val="00776C27"/>
    <w:rsid w:val="0078160A"/>
    <w:rsid w:val="00781FCA"/>
    <w:rsid w:val="00783B8D"/>
    <w:rsid w:val="0078492E"/>
    <w:rsid w:val="007855A8"/>
    <w:rsid w:val="00790AC9"/>
    <w:rsid w:val="00790EAE"/>
    <w:rsid w:val="00790EFC"/>
    <w:rsid w:val="0079278A"/>
    <w:rsid w:val="00794979"/>
    <w:rsid w:val="00794B64"/>
    <w:rsid w:val="007967FD"/>
    <w:rsid w:val="007A04DE"/>
    <w:rsid w:val="007A10E9"/>
    <w:rsid w:val="007A1FE2"/>
    <w:rsid w:val="007A5247"/>
    <w:rsid w:val="007A5AC8"/>
    <w:rsid w:val="007A6318"/>
    <w:rsid w:val="007A6432"/>
    <w:rsid w:val="007A6639"/>
    <w:rsid w:val="007A66AD"/>
    <w:rsid w:val="007A7001"/>
    <w:rsid w:val="007A776C"/>
    <w:rsid w:val="007B0543"/>
    <w:rsid w:val="007B0927"/>
    <w:rsid w:val="007B2DDC"/>
    <w:rsid w:val="007B4894"/>
    <w:rsid w:val="007B48B8"/>
    <w:rsid w:val="007B4B5A"/>
    <w:rsid w:val="007B4B9E"/>
    <w:rsid w:val="007B56BF"/>
    <w:rsid w:val="007B5B98"/>
    <w:rsid w:val="007B5CA5"/>
    <w:rsid w:val="007B6C35"/>
    <w:rsid w:val="007C0BAD"/>
    <w:rsid w:val="007C17E5"/>
    <w:rsid w:val="007C336C"/>
    <w:rsid w:val="007C3F38"/>
    <w:rsid w:val="007C58F6"/>
    <w:rsid w:val="007C7FAA"/>
    <w:rsid w:val="007D03CC"/>
    <w:rsid w:val="007D0C42"/>
    <w:rsid w:val="007D17A4"/>
    <w:rsid w:val="007D1F32"/>
    <w:rsid w:val="007D2886"/>
    <w:rsid w:val="007D2E93"/>
    <w:rsid w:val="007D3355"/>
    <w:rsid w:val="007D3543"/>
    <w:rsid w:val="007D56F5"/>
    <w:rsid w:val="007D58D8"/>
    <w:rsid w:val="007D6F5F"/>
    <w:rsid w:val="007E08A5"/>
    <w:rsid w:val="007E0D26"/>
    <w:rsid w:val="007E35C0"/>
    <w:rsid w:val="007E5E58"/>
    <w:rsid w:val="007E6333"/>
    <w:rsid w:val="007E6986"/>
    <w:rsid w:val="007E7D9A"/>
    <w:rsid w:val="007F01E0"/>
    <w:rsid w:val="007F0634"/>
    <w:rsid w:val="007F10C0"/>
    <w:rsid w:val="007F129B"/>
    <w:rsid w:val="007F29A3"/>
    <w:rsid w:val="007F3057"/>
    <w:rsid w:val="007F548F"/>
    <w:rsid w:val="007F574B"/>
    <w:rsid w:val="007F5B71"/>
    <w:rsid w:val="007F6262"/>
    <w:rsid w:val="0080026B"/>
    <w:rsid w:val="0080097F"/>
    <w:rsid w:val="00800B11"/>
    <w:rsid w:val="00801ED7"/>
    <w:rsid w:val="00803B3A"/>
    <w:rsid w:val="00803F49"/>
    <w:rsid w:val="008054FF"/>
    <w:rsid w:val="008070CC"/>
    <w:rsid w:val="00807BE8"/>
    <w:rsid w:val="0081000F"/>
    <w:rsid w:val="008105AF"/>
    <w:rsid w:val="008108D2"/>
    <w:rsid w:val="00810FF2"/>
    <w:rsid w:val="0081100A"/>
    <w:rsid w:val="00811D7F"/>
    <w:rsid w:val="00813A52"/>
    <w:rsid w:val="00813B6C"/>
    <w:rsid w:val="00816F8B"/>
    <w:rsid w:val="00817580"/>
    <w:rsid w:val="00817AC5"/>
    <w:rsid w:val="00817CA7"/>
    <w:rsid w:val="0082008F"/>
    <w:rsid w:val="00820990"/>
    <w:rsid w:val="00820A95"/>
    <w:rsid w:val="00821580"/>
    <w:rsid w:val="008218D0"/>
    <w:rsid w:val="00821938"/>
    <w:rsid w:val="00821A84"/>
    <w:rsid w:val="00823CE3"/>
    <w:rsid w:val="008308F1"/>
    <w:rsid w:val="0083202E"/>
    <w:rsid w:val="00832095"/>
    <w:rsid w:val="00832F94"/>
    <w:rsid w:val="00833A80"/>
    <w:rsid w:val="008341EC"/>
    <w:rsid w:val="00834851"/>
    <w:rsid w:val="00837162"/>
    <w:rsid w:val="00837708"/>
    <w:rsid w:val="0083771D"/>
    <w:rsid w:val="0083793A"/>
    <w:rsid w:val="00840030"/>
    <w:rsid w:val="008401E9"/>
    <w:rsid w:val="00840B48"/>
    <w:rsid w:val="00840F90"/>
    <w:rsid w:val="008410A4"/>
    <w:rsid w:val="008416AA"/>
    <w:rsid w:val="00842DAC"/>
    <w:rsid w:val="00842EDA"/>
    <w:rsid w:val="00844453"/>
    <w:rsid w:val="00846004"/>
    <w:rsid w:val="0084604D"/>
    <w:rsid w:val="00850D70"/>
    <w:rsid w:val="008517A4"/>
    <w:rsid w:val="008538E8"/>
    <w:rsid w:val="00854353"/>
    <w:rsid w:val="0085468F"/>
    <w:rsid w:val="00854AEA"/>
    <w:rsid w:val="00855338"/>
    <w:rsid w:val="00855A8A"/>
    <w:rsid w:val="00855EE1"/>
    <w:rsid w:val="0085607B"/>
    <w:rsid w:val="00857523"/>
    <w:rsid w:val="00860423"/>
    <w:rsid w:val="00861320"/>
    <w:rsid w:val="0086203E"/>
    <w:rsid w:val="00863147"/>
    <w:rsid w:val="00865361"/>
    <w:rsid w:val="008661BD"/>
    <w:rsid w:val="008670F7"/>
    <w:rsid w:val="008702EF"/>
    <w:rsid w:val="00871B75"/>
    <w:rsid w:val="00872308"/>
    <w:rsid w:val="0087487A"/>
    <w:rsid w:val="00874EE7"/>
    <w:rsid w:val="00874F3E"/>
    <w:rsid w:val="008760E1"/>
    <w:rsid w:val="00876723"/>
    <w:rsid w:val="00876A95"/>
    <w:rsid w:val="00880430"/>
    <w:rsid w:val="0088226A"/>
    <w:rsid w:val="00882DFC"/>
    <w:rsid w:val="008832F6"/>
    <w:rsid w:val="00885785"/>
    <w:rsid w:val="00886C5E"/>
    <w:rsid w:val="00887B96"/>
    <w:rsid w:val="00890E04"/>
    <w:rsid w:val="008915E1"/>
    <w:rsid w:val="00891AE7"/>
    <w:rsid w:val="008932D4"/>
    <w:rsid w:val="00893533"/>
    <w:rsid w:val="008946C0"/>
    <w:rsid w:val="0089504B"/>
    <w:rsid w:val="00896F99"/>
    <w:rsid w:val="0089720D"/>
    <w:rsid w:val="008A0326"/>
    <w:rsid w:val="008A034C"/>
    <w:rsid w:val="008A0847"/>
    <w:rsid w:val="008A3F3D"/>
    <w:rsid w:val="008A449A"/>
    <w:rsid w:val="008A5152"/>
    <w:rsid w:val="008A61F4"/>
    <w:rsid w:val="008A754D"/>
    <w:rsid w:val="008B0C11"/>
    <w:rsid w:val="008B1E76"/>
    <w:rsid w:val="008B2ACB"/>
    <w:rsid w:val="008B3BAF"/>
    <w:rsid w:val="008B6231"/>
    <w:rsid w:val="008B6508"/>
    <w:rsid w:val="008B67D3"/>
    <w:rsid w:val="008C13A7"/>
    <w:rsid w:val="008C2AF6"/>
    <w:rsid w:val="008C2CF7"/>
    <w:rsid w:val="008C2E38"/>
    <w:rsid w:val="008C4B52"/>
    <w:rsid w:val="008C6084"/>
    <w:rsid w:val="008C669B"/>
    <w:rsid w:val="008C67EC"/>
    <w:rsid w:val="008C745F"/>
    <w:rsid w:val="008D1B6C"/>
    <w:rsid w:val="008D265B"/>
    <w:rsid w:val="008D3E6E"/>
    <w:rsid w:val="008D5A89"/>
    <w:rsid w:val="008D5B97"/>
    <w:rsid w:val="008D78E8"/>
    <w:rsid w:val="008E1281"/>
    <w:rsid w:val="008E1601"/>
    <w:rsid w:val="008E20F1"/>
    <w:rsid w:val="008E20F6"/>
    <w:rsid w:val="008E20F7"/>
    <w:rsid w:val="008E3A43"/>
    <w:rsid w:val="008E50F8"/>
    <w:rsid w:val="008E6160"/>
    <w:rsid w:val="008F1389"/>
    <w:rsid w:val="008F15CF"/>
    <w:rsid w:val="008F1B6F"/>
    <w:rsid w:val="008F259F"/>
    <w:rsid w:val="008F2A10"/>
    <w:rsid w:val="008F2CDE"/>
    <w:rsid w:val="008F354D"/>
    <w:rsid w:val="008F3B70"/>
    <w:rsid w:val="008F4959"/>
    <w:rsid w:val="008F4C92"/>
    <w:rsid w:val="008F702C"/>
    <w:rsid w:val="008F7B2E"/>
    <w:rsid w:val="0090039B"/>
    <w:rsid w:val="009006F2"/>
    <w:rsid w:val="00900ACC"/>
    <w:rsid w:val="00900FD2"/>
    <w:rsid w:val="009038BD"/>
    <w:rsid w:val="00905A22"/>
    <w:rsid w:val="00905EE1"/>
    <w:rsid w:val="00907414"/>
    <w:rsid w:val="009075E6"/>
    <w:rsid w:val="00907CEF"/>
    <w:rsid w:val="009112A6"/>
    <w:rsid w:val="0091360E"/>
    <w:rsid w:val="009156D9"/>
    <w:rsid w:val="00916E93"/>
    <w:rsid w:val="00921963"/>
    <w:rsid w:val="009222EB"/>
    <w:rsid w:val="0092472A"/>
    <w:rsid w:val="00925ED1"/>
    <w:rsid w:val="00925F98"/>
    <w:rsid w:val="00927FCA"/>
    <w:rsid w:val="00930A6D"/>
    <w:rsid w:val="009310A1"/>
    <w:rsid w:val="009316A3"/>
    <w:rsid w:val="009319B8"/>
    <w:rsid w:val="00931A9E"/>
    <w:rsid w:val="00932468"/>
    <w:rsid w:val="00932561"/>
    <w:rsid w:val="00932DF8"/>
    <w:rsid w:val="00932E96"/>
    <w:rsid w:val="00933AF3"/>
    <w:rsid w:val="00933D6E"/>
    <w:rsid w:val="009340FB"/>
    <w:rsid w:val="009344F1"/>
    <w:rsid w:val="0093549D"/>
    <w:rsid w:val="00935B81"/>
    <w:rsid w:val="00937822"/>
    <w:rsid w:val="00937970"/>
    <w:rsid w:val="00943995"/>
    <w:rsid w:val="00943A36"/>
    <w:rsid w:val="009440A0"/>
    <w:rsid w:val="00950142"/>
    <w:rsid w:val="0095040D"/>
    <w:rsid w:val="00950C7F"/>
    <w:rsid w:val="009552D9"/>
    <w:rsid w:val="00955F0E"/>
    <w:rsid w:val="009560A7"/>
    <w:rsid w:val="00957DFA"/>
    <w:rsid w:val="00961254"/>
    <w:rsid w:val="0096137A"/>
    <w:rsid w:val="00961A37"/>
    <w:rsid w:val="00962B20"/>
    <w:rsid w:val="00962C0D"/>
    <w:rsid w:val="00963B31"/>
    <w:rsid w:val="00966D09"/>
    <w:rsid w:val="009673F7"/>
    <w:rsid w:val="00970207"/>
    <w:rsid w:val="009709DC"/>
    <w:rsid w:val="00970DC8"/>
    <w:rsid w:val="00971BEA"/>
    <w:rsid w:val="00975712"/>
    <w:rsid w:val="00976B79"/>
    <w:rsid w:val="009821DB"/>
    <w:rsid w:val="00982BA1"/>
    <w:rsid w:val="009835FD"/>
    <w:rsid w:val="009836C7"/>
    <w:rsid w:val="00983722"/>
    <w:rsid w:val="009874B6"/>
    <w:rsid w:val="00991161"/>
    <w:rsid w:val="009914A4"/>
    <w:rsid w:val="00991534"/>
    <w:rsid w:val="0099230E"/>
    <w:rsid w:val="00992823"/>
    <w:rsid w:val="009928A9"/>
    <w:rsid w:val="00992C0E"/>
    <w:rsid w:val="00993063"/>
    <w:rsid w:val="009960DB"/>
    <w:rsid w:val="00996109"/>
    <w:rsid w:val="00996B0A"/>
    <w:rsid w:val="009A17BC"/>
    <w:rsid w:val="009A1A68"/>
    <w:rsid w:val="009A2F6E"/>
    <w:rsid w:val="009A3057"/>
    <w:rsid w:val="009A4431"/>
    <w:rsid w:val="009A4F81"/>
    <w:rsid w:val="009A6BE1"/>
    <w:rsid w:val="009A6F51"/>
    <w:rsid w:val="009B0BA6"/>
    <w:rsid w:val="009B12F5"/>
    <w:rsid w:val="009B3EA6"/>
    <w:rsid w:val="009C0391"/>
    <w:rsid w:val="009C06C7"/>
    <w:rsid w:val="009C099C"/>
    <w:rsid w:val="009C4B54"/>
    <w:rsid w:val="009C51D0"/>
    <w:rsid w:val="009C5C4A"/>
    <w:rsid w:val="009C785F"/>
    <w:rsid w:val="009C7A32"/>
    <w:rsid w:val="009D0B3A"/>
    <w:rsid w:val="009D1638"/>
    <w:rsid w:val="009D19FA"/>
    <w:rsid w:val="009D1CB1"/>
    <w:rsid w:val="009D2808"/>
    <w:rsid w:val="009D40B3"/>
    <w:rsid w:val="009D45F1"/>
    <w:rsid w:val="009D5412"/>
    <w:rsid w:val="009D5D0D"/>
    <w:rsid w:val="009D6576"/>
    <w:rsid w:val="009D72CC"/>
    <w:rsid w:val="009D72D9"/>
    <w:rsid w:val="009D7EB0"/>
    <w:rsid w:val="009E0659"/>
    <w:rsid w:val="009E13D4"/>
    <w:rsid w:val="009E2E24"/>
    <w:rsid w:val="009E3BDA"/>
    <w:rsid w:val="009E3F43"/>
    <w:rsid w:val="009E5BEE"/>
    <w:rsid w:val="009E6525"/>
    <w:rsid w:val="009E679C"/>
    <w:rsid w:val="009E6916"/>
    <w:rsid w:val="009E6990"/>
    <w:rsid w:val="009E6C98"/>
    <w:rsid w:val="009E7939"/>
    <w:rsid w:val="009F1DD7"/>
    <w:rsid w:val="009F50DD"/>
    <w:rsid w:val="009F53AF"/>
    <w:rsid w:val="009F57F7"/>
    <w:rsid w:val="009F5E7D"/>
    <w:rsid w:val="009F6048"/>
    <w:rsid w:val="009F707B"/>
    <w:rsid w:val="009F7F9A"/>
    <w:rsid w:val="00A00E68"/>
    <w:rsid w:val="00A01595"/>
    <w:rsid w:val="00A01D79"/>
    <w:rsid w:val="00A01F12"/>
    <w:rsid w:val="00A0204C"/>
    <w:rsid w:val="00A02566"/>
    <w:rsid w:val="00A035FB"/>
    <w:rsid w:val="00A04351"/>
    <w:rsid w:val="00A044AD"/>
    <w:rsid w:val="00A04E8B"/>
    <w:rsid w:val="00A05249"/>
    <w:rsid w:val="00A057F3"/>
    <w:rsid w:val="00A05C0E"/>
    <w:rsid w:val="00A06F27"/>
    <w:rsid w:val="00A1245F"/>
    <w:rsid w:val="00A124A7"/>
    <w:rsid w:val="00A132ED"/>
    <w:rsid w:val="00A13E68"/>
    <w:rsid w:val="00A14ACB"/>
    <w:rsid w:val="00A1559F"/>
    <w:rsid w:val="00A24689"/>
    <w:rsid w:val="00A24806"/>
    <w:rsid w:val="00A254D4"/>
    <w:rsid w:val="00A25FF4"/>
    <w:rsid w:val="00A26E34"/>
    <w:rsid w:val="00A32D4F"/>
    <w:rsid w:val="00A32FBA"/>
    <w:rsid w:val="00A351F5"/>
    <w:rsid w:val="00A35530"/>
    <w:rsid w:val="00A35B07"/>
    <w:rsid w:val="00A36412"/>
    <w:rsid w:val="00A36859"/>
    <w:rsid w:val="00A374A6"/>
    <w:rsid w:val="00A4267F"/>
    <w:rsid w:val="00A42710"/>
    <w:rsid w:val="00A42AD1"/>
    <w:rsid w:val="00A42F01"/>
    <w:rsid w:val="00A434C8"/>
    <w:rsid w:val="00A43F9D"/>
    <w:rsid w:val="00A43FC1"/>
    <w:rsid w:val="00A446AC"/>
    <w:rsid w:val="00A446EF"/>
    <w:rsid w:val="00A449B3"/>
    <w:rsid w:val="00A451F4"/>
    <w:rsid w:val="00A473D3"/>
    <w:rsid w:val="00A47430"/>
    <w:rsid w:val="00A514C9"/>
    <w:rsid w:val="00A51B63"/>
    <w:rsid w:val="00A52720"/>
    <w:rsid w:val="00A52CD9"/>
    <w:rsid w:val="00A53992"/>
    <w:rsid w:val="00A54846"/>
    <w:rsid w:val="00A55B80"/>
    <w:rsid w:val="00A55F52"/>
    <w:rsid w:val="00A563EC"/>
    <w:rsid w:val="00A56D98"/>
    <w:rsid w:val="00A61169"/>
    <w:rsid w:val="00A61724"/>
    <w:rsid w:val="00A618DB"/>
    <w:rsid w:val="00A61CF2"/>
    <w:rsid w:val="00A634FC"/>
    <w:rsid w:val="00A66269"/>
    <w:rsid w:val="00A66917"/>
    <w:rsid w:val="00A67F25"/>
    <w:rsid w:val="00A724B9"/>
    <w:rsid w:val="00A7428C"/>
    <w:rsid w:val="00A74AF8"/>
    <w:rsid w:val="00A7617C"/>
    <w:rsid w:val="00A76889"/>
    <w:rsid w:val="00A81D27"/>
    <w:rsid w:val="00A82048"/>
    <w:rsid w:val="00A82459"/>
    <w:rsid w:val="00A8291D"/>
    <w:rsid w:val="00A82D21"/>
    <w:rsid w:val="00A831E5"/>
    <w:rsid w:val="00A85967"/>
    <w:rsid w:val="00A85ABB"/>
    <w:rsid w:val="00A863D1"/>
    <w:rsid w:val="00A87D5A"/>
    <w:rsid w:val="00A908AA"/>
    <w:rsid w:val="00A9131E"/>
    <w:rsid w:val="00A922EC"/>
    <w:rsid w:val="00A93CAC"/>
    <w:rsid w:val="00A94B7C"/>
    <w:rsid w:val="00A94F2C"/>
    <w:rsid w:val="00A95013"/>
    <w:rsid w:val="00A9547C"/>
    <w:rsid w:val="00A962CE"/>
    <w:rsid w:val="00AA0525"/>
    <w:rsid w:val="00AA0B60"/>
    <w:rsid w:val="00AA261B"/>
    <w:rsid w:val="00AA3459"/>
    <w:rsid w:val="00AA4A60"/>
    <w:rsid w:val="00AA4D11"/>
    <w:rsid w:val="00AA52F1"/>
    <w:rsid w:val="00AA5656"/>
    <w:rsid w:val="00AA602F"/>
    <w:rsid w:val="00AA73AF"/>
    <w:rsid w:val="00AA7F80"/>
    <w:rsid w:val="00AB00BC"/>
    <w:rsid w:val="00AB0468"/>
    <w:rsid w:val="00AB1B43"/>
    <w:rsid w:val="00AB1BEE"/>
    <w:rsid w:val="00AB338B"/>
    <w:rsid w:val="00AB4B36"/>
    <w:rsid w:val="00AB542F"/>
    <w:rsid w:val="00AB5572"/>
    <w:rsid w:val="00AB561F"/>
    <w:rsid w:val="00AC30B0"/>
    <w:rsid w:val="00AC3B54"/>
    <w:rsid w:val="00AC3F74"/>
    <w:rsid w:val="00AC42EB"/>
    <w:rsid w:val="00AC56FB"/>
    <w:rsid w:val="00AC635A"/>
    <w:rsid w:val="00AC66F7"/>
    <w:rsid w:val="00AC67A3"/>
    <w:rsid w:val="00AC6F13"/>
    <w:rsid w:val="00AD05AA"/>
    <w:rsid w:val="00AD4AA2"/>
    <w:rsid w:val="00AD4F25"/>
    <w:rsid w:val="00AD7153"/>
    <w:rsid w:val="00AE147B"/>
    <w:rsid w:val="00AE17E1"/>
    <w:rsid w:val="00AE1A0E"/>
    <w:rsid w:val="00AE2106"/>
    <w:rsid w:val="00AE2527"/>
    <w:rsid w:val="00AE268F"/>
    <w:rsid w:val="00AE3261"/>
    <w:rsid w:val="00AE3A10"/>
    <w:rsid w:val="00AE41CE"/>
    <w:rsid w:val="00AE661C"/>
    <w:rsid w:val="00AE68FD"/>
    <w:rsid w:val="00AE7CAF"/>
    <w:rsid w:val="00AE7F0C"/>
    <w:rsid w:val="00AF011E"/>
    <w:rsid w:val="00AF162C"/>
    <w:rsid w:val="00AF3386"/>
    <w:rsid w:val="00AF3D4D"/>
    <w:rsid w:val="00AF43EC"/>
    <w:rsid w:val="00AF4992"/>
    <w:rsid w:val="00AF4F50"/>
    <w:rsid w:val="00AF5FA4"/>
    <w:rsid w:val="00AF6704"/>
    <w:rsid w:val="00AF6EF5"/>
    <w:rsid w:val="00B000D1"/>
    <w:rsid w:val="00B00DCD"/>
    <w:rsid w:val="00B0321E"/>
    <w:rsid w:val="00B04060"/>
    <w:rsid w:val="00B0628E"/>
    <w:rsid w:val="00B07B5A"/>
    <w:rsid w:val="00B10232"/>
    <w:rsid w:val="00B1285D"/>
    <w:rsid w:val="00B1377C"/>
    <w:rsid w:val="00B1445B"/>
    <w:rsid w:val="00B15BB5"/>
    <w:rsid w:val="00B1618F"/>
    <w:rsid w:val="00B164FF"/>
    <w:rsid w:val="00B173DA"/>
    <w:rsid w:val="00B17BD6"/>
    <w:rsid w:val="00B20BA4"/>
    <w:rsid w:val="00B22D23"/>
    <w:rsid w:val="00B2577A"/>
    <w:rsid w:val="00B277C2"/>
    <w:rsid w:val="00B27D63"/>
    <w:rsid w:val="00B32D0D"/>
    <w:rsid w:val="00B34F72"/>
    <w:rsid w:val="00B35440"/>
    <w:rsid w:val="00B359AC"/>
    <w:rsid w:val="00B370C9"/>
    <w:rsid w:val="00B410B4"/>
    <w:rsid w:val="00B41C8A"/>
    <w:rsid w:val="00B43EFF"/>
    <w:rsid w:val="00B44282"/>
    <w:rsid w:val="00B45CE3"/>
    <w:rsid w:val="00B4613B"/>
    <w:rsid w:val="00B461AE"/>
    <w:rsid w:val="00B47463"/>
    <w:rsid w:val="00B47532"/>
    <w:rsid w:val="00B51AD0"/>
    <w:rsid w:val="00B53324"/>
    <w:rsid w:val="00B541C7"/>
    <w:rsid w:val="00B541FC"/>
    <w:rsid w:val="00B54F75"/>
    <w:rsid w:val="00B5576C"/>
    <w:rsid w:val="00B5742E"/>
    <w:rsid w:val="00B57CAF"/>
    <w:rsid w:val="00B611C8"/>
    <w:rsid w:val="00B6122E"/>
    <w:rsid w:val="00B63109"/>
    <w:rsid w:val="00B634C4"/>
    <w:rsid w:val="00B63E8C"/>
    <w:rsid w:val="00B643AD"/>
    <w:rsid w:val="00B66467"/>
    <w:rsid w:val="00B7168B"/>
    <w:rsid w:val="00B71C9E"/>
    <w:rsid w:val="00B71F31"/>
    <w:rsid w:val="00B737ED"/>
    <w:rsid w:val="00B73864"/>
    <w:rsid w:val="00B74B83"/>
    <w:rsid w:val="00B76BFB"/>
    <w:rsid w:val="00B8009A"/>
    <w:rsid w:val="00B81014"/>
    <w:rsid w:val="00B8164A"/>
    <w:rsid w:val="00B821C6"/>
    <w:rsid w:val="00B86C84"/>
    <w:rsid w:val="00B87132"/>
    <w:rsid w:val="00B87A45"/>
    <w:rsid w:val="00B90390"/>
    <w:rsid w:val="00B90589"/>
    <w:rsid w:val="00B90685"/>
    <w:rsid w:val="00B910D7"/>
    <w:rsid w:val="00B91A2C"/>
    <w:rsid w:val="00B930CB"/>
    <w:rsid w:val="00B94F01"/>
    <w:rsid w:val="00B95EC6"/>
    <w:rsid w:val="00B9602D"/>
    <w:rsid w:val="00B96167"/>
    <w:rsid w:val="00B96C14"/>
    <w:rsid w:val="00B96F54"/>
    <w:rsid w:val="00B979A0"/>
    <w:rsid w:val="00B97DB1"/>
    <w:rsid w:val="00BA1502"/>
    <w:rsid w:val="00BA4680"/>
    <w:rsid w:val="00BA4A2B"/>
    <w:rsid w:val="00BA64C3"/>
    <w:rsid w:val="00BA77F2"/>
    <w:rsid w:val="00BB02BA"/>
    <w:rsid w:val="00BB0C01"/>
    <w:rsid w:val="00BB0D20"/>
    <w:rsid w:val="00BB0E14"/>
    <w:rsid w:val="00BB35FD"/>
    <w:rsid w:val="00BB5335"/>
    <w:rsid w:val="00BB5E14"/>
    <w:rsid w:val="00BB6100"/>
    <w:rsid w:val="00BB6910"/>
    <w:rsid w:val="00BB6DFA"/>
    <w:rsid w:val="00BB778A"/>
    <w:rsid w:val="00BB7968"/>
    <w:rsid w:val="00BB7BA4"/>
    <w:rsid w:val="00BC00A8"/>
    <w:rsid w:val="00BC14CB"/>
    <w:rsid w:val="00BC3C14"/>
    <w:rsid w:val="00BC3C49"/>
    <w:rsid w:val="00BC55D4"/>
    <w:rsid w:val="00BC574D"/>
    <w:rsid w:val="00BC5A8F"/>
    <w:rsid w:val="00BC5DA4"/>
    <w:rsid w:val="00BC6157"/>
    <w:rsid w:val="00BC6426"/>
    <w:rsid w:val="00BC7632"/>
    <w:rsid w:val="00BD1C42"/>
    <w:rsid w:val="00BD427C"/>
    <w:rsid w:val="00BD4B6E"/>
    <w:rsid w:val="00BD54AE"/>
    <w:rsid w:val="00BD632F"/>
    <w:rsid w:val="00BD77B5"/>
    <w:rsid w:val="00BE0F3E"/>
    <w:rsid w:val="00BE1B26"/>
    <w:rsid w:val="00BE1DE4"/>
    <w:rsid w:val="00BE3A03"/>
    <w:rsid w:val="00BE52FA"/>
    <w:rsid w:val="00BE5685"/>
    <w:rsid w:val="00BE68E2"/>
    <w:rsid w:val="00BE6ABA"/>
    <w:rsid w:val="00BE7051"/>
    <w:rsid w:val="00BE71DA"/>
    <w:rsid w:val="00BE73FB"/>
    <w:rsid w:val="00BF04FD"/>
    <w:rsid w:val="00BF0AC2"/>
    <w:rsid w:val="00BF22C1"/>
    <w:rsid w:val="00BF2AB9"/>
    <w:rsid w:val="00BF512C"/>
    <w:rsid w:val="00BF65EF"/>
    <w:rsid w:val="00BF7373"/>
    <w:rsid w:val="00BF7659"/>
    <w:rsid w:val="00C014E2"/>
    <w:rsid w:val="00C0170B"/>
    <w:rsid w:val="00C0327F"/>
    <w:rsid w:val="00C03A84"/>
    <w:rsid w:val="00C04550"/>
    <w:rsid w:val="00C063B1"/>
    <w:rsid w:val="00C0648A"/>
    <w:rsid w:val="00C10A4B"/>
    <w:rsid w:val="00C11147"/>
    <w:rsid w:val="00C16ABB"/>
    <w:rsid w:val="00C172B7"/>
    <w:rsid w:val="00C201D8"/>
    <w:rsid w:val="00C213CF"/>
    <w:rsid w:val="00C228D0"/>
    <w:rsid w:val="00C249A5"/>
    <w:rsid w:val="00C24E0D"/>
    <w:rsid w:val="00C2525B"/>
    <w:rsid w:val="00C25712"/>
    <w:rsid w:val="00C264E6"/>
    <w:rsid w:val="00C26ED1"/>
    <w:rsid w:val="00C30095"/>
    <w:rsid w:val="00C30285"/>
    <w:rsid w:val="00C32266"/>
    <w:rsid w:val="00C35784"/>
    <w:rsid w:val="00C35943"/>
    <w:rsid w:val="00C35AE7"/>
    <w:rsid w:val="00C36103"/>
    <w:rsid w:val="00C37E91"/>
    <w:rsid w:val="00C402D8"/>
    <w:rsid w:val="00C44048"/>
    <w:rsid w:val="00C44775"/>
    <w:rsid w:val="00C449DD"/>
    <w:rsid w:val="00C45DDC"/>
    <w:rsid w:val="00C47309"/>
    <w:rsid w:val="00C52F1B"/>
    <w:rsid w:val="00C53F03"/>
    <w:rsid w:val="00C5425F"/>
    <w:rsid w:val="00C544BE"/>
    <w:rsid w:val="00C56742"/>
    <w:rsid w:val="00C57C49"/>
    <w:rsid w:val="00C57EB4"/>
    <w:rsid w:val="00C602E0"/>
    <w:rsid w:val="00C60BB7"/>
    <w:rsid w:val="00C61E56"/>
    <w:rsid w:val="00C62B53"/>
    <w:rsid w:val="00C6312F"/>
    <w:rsid w:val="00C63D1D"/>
    <w:rsid w:val="00C64144"/>
    <w:rsid w:val="00C64746"/>
    <w:rsid w:val="00C64E8F"/>
    <w:rsid w:val="00C6625B"/>
    <w:rsid w:val="00C6650F"/>
    <w:rsid w:val="00C66885"/>
    <w:rsid w:val="00C66CA0"/>
    <w:rsid w:val="00C67427"/>
    <w:rsid w:val="00C70DCD"/>
    <w:rsid w:val="00C70EE5"/>
    <w:rsid w:val="00C71124"/>
    <w:rsid w:val="00C719F7"/>
    <w:rsid w:val="00C73047"/>
    <w:rsid w:val="00C73193"/>
    <w:rsid w:val="00C74CB2"/>
    <w:rsid w:val="00C75AA6"/>
    <w:rsid w:val="00C77646"/>
    <w:rsid w:val="00C80C30"/>
    <w:rsid w:val="00C81208"/>
    <w:rsid w:val="00C8272F"/>
    <w:rsid w:val="00C8387F"/>
    <w:rsid w:val="00C84C70"/>
    <w:rsid w:val="00C852F0"/>
    <w:rsid w:val="00C8535B"/>
    <w:rsid w:val="00C8573B"/>
    <w:rsid w:val="00C85BEA"/>
    <w:rsid w:val="00C86C87"/>
    <w:rsid w:val="00C87A46"/>
    <w:rsid w:val="00C87C9F"/>
    <w:rsid w:val="00C90764"/>
    <w:rsid w:val="00C91BE9"/>
    <w:rsid w:val="00C92BBB"/>
    <w:rsid w:val="00C94127"/>
    <w:rsid w:val="00C96619"/>
    <w:rsid w:val="00CA0162"/>
    <w:rsid w:val="00CA0959"/>
    <w:rsid w:val="00CA0E18"/>
    <w:rsid w:val="00CA0F5C"/>
    <w:rsid w:val="00CA161B"/>
    <w:rsid w:val="00CA23C5"/>
    <w:rsid w:val="00CA2DC6"/>
    <w:rsid w:val="00CA35D6"/>
    <w:rsid w:val="00CA3849"/>
    <w:rsid w:val="00CA70AC"/>
    <w:rsid w:val="00CB02BB"/>
    <w:rsid w:val="00CB0A60"/>
    <w:rsid w:val="00CB4927"/>
    <w:rsid w:val="00CB4E50"/>
    <w:rsid w:val="00CB638B"/>
    <w:rsid w:val="00CB6972"/>
    <w:rsid w:val="00CC155E"/>
    <w:rsid w:val="00CC3403"/>
    <w:rsid w:val="00CC3BCB"/>
    <w:rsid w:val="00CC3BD6"/>
    <w:rsid w:val="00CC3FB5"/>
    <w:rsid w:val="00CC4B57"/>
    <w:rsid w:val="00CC51A8"/>
    <w:rsid w:val="00CC539C"/>
    <w:rsid w:val="00CC6DE7"/>
    <w:rsid w:val="00CD0CE5"/>
    <w:rsid w:val="00CD1BC1"/>
    <w:rsid w:val="00CD2CE1"/>
    <w:rsid w:val="00CD2E28"/>
    <w:rsid w:val="00CD48B1"/>
    <w:rsid w:val="00CD69A7"/>
    <w:rsid w:val="00CD75CD"/>
    <w:rsid w:val="00CE05C1"/>
    <w:rsid w:val="00CE0A93"/>
    <w:rsid w:val="00CE2FA6"/>
    <w:rsid w:val="00CE31F9"/>
    <w:rsid w:val="00CE360C"/>
    <w:rsid w:val="00CE68C5"/>
    <w:rsid w:val="00CE6B70"/>
    <w:rsid w:val="00CF064D"/>
    <w:rsid w:val="00CF0695"/>
    <w:rsid w:val="00CF08DA"/>
    <w:rsid w:val="00CF0E80"/>
    <w:rsid w:val="00CF1552"/>
    <w:rsid w:val="00CF3327"/>
    <w:rsid w:val="00CF3977"/>
    <w:rsid w:val="00CF47EC"/>
    <w:rsid w:val="00CF525C"/>
    <w:rsid w:val="00CF5FD5"/>
    <w:rsid w:val="00D0042F"/>
    <w:rsid w:val="00D00C9D"/>
    <w:rsid w:val="00D017FA"/>
    <w:rsid w:val="00D01A16"/>
    <w:rsid w:val="00D01A70"/>
    <w:rsid w:val="00D02C88"/>
    <w:rsid w:val="00D04585"/>
    <w:rsid w:val="00D050BC"/>
    <w:rsid w:val="00D06996"/>
    <w:rsid w:val="00D07105"/>
    <w:rsid w:val="00D11D1B"/>
    <w:rsid w:val="00D13781"/>
    <w:rsid w:val="00D14899"/>
    <w:rsid w:val="00D14A9D"/>
    <w:rsid w:val="00D155CF"/>
    <w:rsid w:val="00D15DAD"/>
    <w:rsid w:val="00D170E0"/>
    <w:rsid w:val="00D17DAC"/>
    <w:rsid w:val="00D17FE1"/>
    <w:rsid w:val="00D216FB"/>
    <w:rsid w:val="00D21819"/>
    <w:rsid w:val="00D23039"/>
    <w:rsid w:val="00D23430"/>
    <w:rsid w:val="00D23A7D"/>
    <w:rsid w:val="00D25693"/>
    <w:rsid w:val="00D25CA1"/>
    <w:rsid w:val="00D27266"/>
    <w:rsid w:val="00D315EE"/>
    <w:rsid w:val="00D32CAC"/>
    <w:rsid w:val="00D33145"/>
    <w:rsid w:val="00D331E9"/>
    <w:rsid w:val="00D33933"/>
    <w:rsid w:val="00D33AB2"/>
    <w:rsid w:val="00D3440E"/>
    <w:rsid w:val="00D35089"/>
    <w:rsid w:val="00D35802"/>
    <w:rsid w:val="00D35822"/>
    <w:rsid w:val="00D36FCF"/>
    <w:rsid w:val="00D37A5C"/>
    <w:rsid w:val="00D418F5"/>
    <w:rsid w:val="00D41948"/>
    <w:rsid w:val="00D421AD"/>
    <w:rsid w:val="00D4370C"/>
    <w:rsid w:val="00D43E19"/>
    <w:rsid w:val="00D44493"/>
    <w:rsid w:val="00D4493A"/>
    <w:rsid w:val="00D449A0"/>
    <w:rsid w:val="00D45969"/>
    <w:rsid w:val="00D46DBC"/>
    <w:rsid w:val="00D47651"/>
    <w:rsid w:val="00D50179"/>
    <w:rsid w:val="00D51599"/>
    <w:rsid w:val="00D522D5"/>
    <w:rsid w:val="00D523A7"/>
    <w:rsid w:val="00D529F1"/>
    <w:rsid w:val="00D52DA1"/>
    <w:rsid w:val="00D53B13"/>
    <w:rsid w:val="00D53B6C"/>
    <w:rsid w:val="00D54976"/>
    <w:rsid w:val="00D54BC9"/>
    <w:rsid w:val="00D55AC8"/>
    <w:rsid w:val="00D55F49"/>
    <w:rsid w:val="00D5764D"/>
    <w:rsid w:val="00D6033F"/>
    <w:rsid w:val="00D61BA9"/>
    <w:rsid w:val="00D62919"/>
    <w:rsid w:val="00D650B5"/>
    <w:rsid w:val="00D658D4"/>
    <w:rsid w:val="00D667FA"/>
    <w:rsid w:val="00D669B4"/>
    <w:rsid w:val="00D6726D"/>
    <w:rsid w:val="00D67436"/>
    <w:rsid w:val="00D6792F"/>
    <w:rsid w:val="00D7088B"/>
    <w:rsid w:val="00D725BB"/>
    <w:rsid w:val="00D727AF"/>
    <w:rsid w:val="00D748D7"/>
    <w:rsid w:val="00D74A75"/>
    <w:rsid w:val="00D75EA6"/>
    <w:rsid w:val="00D763DF"/>
    <w:rsid w:val="00D77EEA"/>
    <w:rsid w:val="00D80C62"/>
    <w:rsid w:val="00D82E52"/>
    <w:rsid w:val="00D847ED"/>
    <w:rsid w:val="00D847F9"/>
    <w:rsid w:val="00D84BFA"/>
    <w:rsid w:val="00D851A8"/>
    <w:rsid w:val="00D852B2"/>
    <w:rsid w:val="00D85984"/>
    <w:rsid w:val="00D85F0F"/>
    <w:rsid w:val="00D872AD"/>
    <w:rsid w:val="00D87566"/>
    <w:rsid w:val="00D87D2F"/>
    <w:rsid w:val="00D919A8"/>
    <w:rsid w:val="00D91B66"/>
    <w:rsid w:val="00D9399E"/>
    <w:rsid w:val="00D9608B"/>
    <w:rsid w:val="00D970CA"/>
    <w:rsid w:val="00D9777D"/>
    <w:rsid w:val="00DA0F3E"/>
    <w:rsid w:val="00DA0F55"/>
    <w:rsid w:val="00DA0FFC"/>
    <w:rsid w:val="00DA2C8D"/>
    <w:rsid w:val="00DA3194"/>
    <w:rsid w:val="00DA4525"/>
    <w:rsid w:val="00DA5A06"/>
    <w:rsid w:val="00DA62A6"/>
    <w:rsid w:val="00DA686A"/>
    <w:rsid w:val="00DA737E"/>
    <w:rsid w:val="00DB0B95"/>
    <w:rsid w:val="00DB5891"/>
    <w:rsid w:val="00DB598E"/>
    <w:rsid w:val="00DB6F92"/>
    <w:rsid w:val="00DC063E"/>
    <w:rsid w:val="00DC0DAA"/>
    <w:rsid w:val="00DC28AE"/>
    <w:rsid w:val="00DC35B1"/>
    <w:rsid w:val="00DC3FAE"/>
    <w:rsid w:val="00DC5B28"/>
    <w:rsid w:val="00DC6281"/>
    <w:rsid w:val="00DC6546"/>
    <w:rsid w:val="00DC6ACA"/>
    <w:rsid w:val="00DC6DAD"/>
    <w:rsid w:val="00DD04A1"/>
    <w:rsid w:val="00DD0C20"/>
    <w:rsid w:val="00DD630F"/>
    <w:rsid w:val="00DD6F9C"/>
    <w:rsid w:val="00DE0C27"/>
    <w:rsid w:val="00DE0D11"/>
    <w:rsid w:val="00DE11FE"/>
    <w:rsid w:val="00DE339A"/>
    <w:rsid w:val="00DE3784"/>
    <w:rsid w:val="00DE4323"/>
    <w:rsid w:val="00DE4E86"/>
    <w:rsid w:val="00DE52D8"/>
    <w:rsid w:val="00DE559E"/>
    <w:rsid w:val="00DE577C"/>
    <w:rsid w:val="00DE78FE"/>
    <w:rsid w:val="00DF1102"/>
    <w:rsid w:val="00DF127C"/>
    <w:rsid w:val="00DF37B6"/>
    <w:rsid w:val="00DF3AAF"/>
    <w:rsid w:val="00DF3D0C"/>
    <w:rsid w:val="00DF3E82"/>
    <w:rsid w:val="00DF4613"/>
    <w:rsid w:val="00DF5151"/>
    <w:rsid w:val="00E002A9"/>
    <w:rsid w:val="00E008AD"/>
    <w:rsid w:val="00E01986"/>
    <w:rsid w:val="00E01AC0"/>
    <w:rsid w:val="00E028FE"/>
    <w:rsid w:val="00E0312A"/>
    <w:rsid w:val="00E03FB9"/>
    <w:rsid w:val="00E06D42"/>
    <w:rsid w:val="00E073DD"/>
    <w:rsid w:val="00E0788D"/>
    <w:rsid w:val="00E07CAE"/>
    <w:rsid w:val="00E07D08"/>
    <w:rsid w:val="00E10593"/>
    <w:rsid w:val="00E1161F"/>
    <w:rsid w:val="00E11803"/>
    <w:rsid w:val="00E11C8F"/>
    <w:rsid w:val="00E11EC3"/>
    <w:rsid w:val="00E13052"/>
    <w:rsid w:val="00E1394F"/>
    <w:rsid w:val="00E1416D"/>
    <w:rsid w:val="00E1547D"/>
    <w:rsid w:val="00E179CE"/>
    <w:rsid w:val="00E17BB5"/>
    <w:rsid w:val="00E22522"/>
    <w:rsid w:val="00E2294E"/>
    <w:rsid w:val="00E24076"/>
    <w:rsid w:val="00E25411"/>
    <w:rsid w:val="00E25FB5"/>
    <w:rsid w:val="00E27C00"/>
    <w:rsid w:val="00E27EFB"/>
    <w:rsid w:val="00E304EE"/>
    <w:rsid w:val="00E309ED"/>
    <w:rsid w:val="00E30F73"/>
    <w:rsid w:val="00E32152"/>
    <w:rsid w:val="00E34247"/>
    <w:rsid w:val="00E34464"/>
    <w:rsid w:val="00E35FB2"/>
    <w:rsid w:val="00E37BF3"/>
    <w:rsid w:val="00E37DBE"/>
    <w:rsid w:val="00E401DA"/>
    <w:rsid w:val="00E40BEC"/>
    <w:rsid w:val="00E4139C"/>
    <w:rsid w:val="00E427AC"/>
    <w:rsid w:val="00E42DF2"/>
    <w:rsid w:val="00E43753"/>
    <w:rsid w:val="00E442D1"/>
    <w:rsid w:val="00E44432"/>
    <w:rsid w:val="00E46868"/>
    <w:rsid w:val="00E46B31"/>
    <w:rsid w:val="00E47EDB"/>
    <w:rsid w:val="00E51240"/>
    <w:rsid w:val="00E5127B"/>
    <w:rsid w:val="00E5148A"/>
    <w:rsid w:val="00E51ACD"/>
    <w:rsid w:val="00E51DD6"/>
    <w:rsid w:val="00E521CD"/>
    <w:rsid w:val="00E527E4"/>
    <w:rsid w:val="00E53B5B"/>
    <w:rsid w:val="00E540AF"/>
    <w:rsid w:val="00E54195"/>
    <w:rsid w:val="00E5449B"/>
    <w:rsid w:val="00E555D2"/>
    <w:rsid w:val="00E63F03"/>
    <w:rsid w:val="00E6496A"/>
    <w:rsid w:val="00E65481"/>
    <w:rsid w:val="00E663F3"/>
    <w:rsid w:val="00E66FED"/>
    <w:rsid w:val="00E677C1"/>
    <w:rsid w:val="00E678B2"/>
    <w:rsid w:val="00E678B3"/>
    <w:rsid w:val="00E67DDB"/>
    <w:rsid w:val="00E704E3"/>
    <w:rsid w:val="00E72CA6"/>
    <w:rsid w:val="00E73BD8"/>
    <w:rsid w:val="00E75377"/>
    <w:rsid w:val="00E75ED7"/>
    <w:rsid w:val="00E80D80"/>
    <w:rsid w:val="00E8175C"/>
    <w:rsid w:val="00E824D8"/>
    <w:rsid w:val="00E86CF2"/>
    <w:rsid w:val="00E87B82"/>
    <w:rsid w:val="00E90745"/>
    <w:rsid w:val="00E90FD3"/>
    <w:rsid w:val="00E91869"/>
    <w:rsid w:val="00E91B72"/>
    <w:rsid w:val="00E92408"/>
    <w:rsid w:val="00E92777"/>
    <w:rsid w:val="00E93884"/>
    <w:rsid w:val="00E946E9"/>
    <w:rsid w:val="00EA1014"/>
    <w:rsid w:val="00EA2CF9"/>
    <w:rsid w:val="00EA2F16"/>
    <w:rsid w:val="00EA4693"/>
    <w:rsid w:val="00EA50A7"/>
    <w:rsid w:val="00EA5DB7"/>
    <w:rsid w:val="00EA661F"/>
    <w:rsid w:val="00EA674D"/>
    <w:rsid w:val="00EB0EB9"/>
    <w:rsid w:val="00EB31D7"/>
    <w:rsid w:val="00EB54EF"/>
    <w:rsid w:val="00EB5AA8"/>
    <w:rsid w:val="00EB5EE5"/>
    <w:rsid w:val="00EB650D"/>
    <w:rsid w:val="00EB78F8"/>
    <w:rsid w:val="00EB7C70"/>
    <w:rsid w:val="00EC0F16"/>
    <w:rsid w:val="00EC21E2"/>
    <w:rsid w:val="00EC26BD"/>
    <w:rsid w:val="00EC31E5"/>
    <w:rsid w:val="00EC4B61"/>
    <w:rsid w:val="00EC5267"/>
    <w:rsid w:val="00EC6031"/>
    <w:rsid w:val="00EC6668"/>
    <w:rsid w:val="00EC668D"/>
    <w:rsid w:val="00EC6B34"/>
    <w:rsid w:val="00EC775E"/>
    <w:rsid w:val="00ED023C"/>
    <w:rsid w:val="00ED030F"/>
    <w:rsid w:val="00ED05D2"/>
    <w:rsid w:val="00ED0670"/>
    <w:rsid w:val="00ED1994"/>
    <w:rsid w:val="00ED2F69"/>
    <w:rsid w:val="00ED5214"/>
    <w:rsid w:val="00ED597B"/>
    <w:rsid w:val="00ED5DAA"/>
    <w:rsid w:val="00ED6FDF"/>
    <w:rsid w:val="00EE2268"/>
    <w:rsid w:val="00EE2496"/>
    <w:rsid w:val="00EE2CE5"/>
    <w:rsid w:val="00EE2E6C"/>
    <w:rsid w:val="00EE3BC9"/>
    <w:rsid w:val="00EE5029"/>
    <w:rsid w:val="00EE53D9"/>
    <w:rsid w:val="00EE7521"/>
    <w:rsid w:val="00EF0C17"/>
    <w:rsid w:val="00EF1230"/>
    <w:rsid w:val="00EF1E26"/>
    <w:rsid w:val="00EF20D9"/>
    <w:rsid w:val="00EF3262"/>
    <w:rsid w:val="00EF55F9"/>
    <w:rsid w:val="00EF7312"/>
    <w:rsid w:val="00F00C65"/>
    <w:rsid w:val="00F01AD3"/>
    <w:rsid w:val="00F02867"/>
    <w:rsid w:val="00F03195"/>
    <w:rsid w:val="00F03DE3"/>
    <w:rsid w:val="00F0516F"/>
    <w:rsid w:val="00F05BA4"/>
    <w:rsid w:val="00F06E16"/>
    <w:rsid w:val="00F07429"/>
    <w:rsid w:val="00F07896"/>
    <w:rsid w:val="00F1030D"/>
    <w:rsid w:val="00F10752"/>
    <w:rsid w:val="00F11339"/>
    <w:rsid w:val="00F11F32"/>
    <w:rsid w:val="00F17349"/>
    <w:rsid w:val="00F20D76"/>
    <w:rsid w:val="00F226AC"/>
    <w:rsid w:val="00F2403D"/>
    <w:rsid w:val="00F2577D"/>
    <w:rsid w:val="00F259EA"/>
    <w:rsid w:val="00F264D9"/>
    <w:rsid w:val="00F3030B"/>
    <w:rsid w:val="00F303E2"/>
    <w:rsid w:val="00F31BD2"/>
    <w:rsid w:val="00F324C8"/>
    <w:rsid w:val="00F33293"/>
    <w:rsid w:val="00F33551"/>
    <w:rsid w:val="00F33583"/>
    <w:rsid w:val="00F33B66"/>
    <w:rsid w:val="00F340F5"/>
    <w:rsid w:val="00F341AC"/>
    <w:rsid w:val="00F347DA"/>
    <w:rsid w:val="00F34DBF"/>
    <w:rsid w:val="00F3687D"/>
    <w:rsid w:val="00F36BED"/>
    <w:rsid w:val="00F40A17"/>
    <w:rsid w:val="00F40B5B"/>
    <w:rsid w:val="00F412D6"/>
    <w:rsid w:val="00F42AD6"/>
    <w:rsid w:val="00F4310A"/>
    <w:rsid w:val="00F4331D"/>
    <w:rsid w:val="00F43B56"/>
    <w:rsid w:val="00F43C76"/>
    <w:rsid w:val="00F43CEE"/>
    <w:rsid w:val="00F44D07"/>
    <w:rsid w:val="00F44E42"/>
    <w:rsid w:val="00F454D8"/>
    <w:rsid w:val="00F45632"/>
    <w:rsid w:val="00F456B1"/>
    <w:rsid w:val="00F477D9"/>
    <w:rsid w:val="00F502B2"/>
    <w:rsid w:val="00F50E03"/>
    <w:rsid w:val="00F515AC"/>
    <w:rsid w:val="00F53158"/>
    <w:rsid w:val="00F53186"/>
    <w:rsid w:val="00F53906"/>
    <w:rsid w:val="00F53F76"/>
    <w:rsid w:val="00F54F02"/>
    <w:rsid w:val="00F55850"/>
    <w:rsid w:val="00F56B97"/>
    <w:rsid w:val="00F6054B"/>
    <w:rsid w:val="00F6089B"/>
    <w:rsid w:val="00F60D68"/>
    <w:rsid w:val="00F626A5"/>
    <w:rsid w:val="00F6307D"/>
    <w:rsid w:val="00F63D64"/>
    <w:rsid w:val="00F650B8"/>
    <w:rsid w:val="00F65A24"/>
    <w:rsid w:val="00F6728F"/>
    <w:rsid w:val="00F72222"/>
    <w:rsid w:val="00F72C19"/>
    <w:rsid w:val="00F73213"/>
    <w:rsid w:val="00F746FB"/>
    <w:rsid w:val="00F75C3F"/>
    <w:rsid w:val="00F75CCE"/>
    <w:rsid w:val="00F75FC8"/>
    <w:rsid w:val="00F77BFC"/>
    <w:rsid w:val="00F80282"/>
    <w:rsid w:val="00F8099A"/>
    <w:rsid w:val="00F80B0D"/>
    <w:rsid w:val="00F83835"/>
    <w:rsid w:val="00F84182"/>
    <w:rsid w:val="00F841AE"/>
    <w:rsid w:val="00F8486A"/>
    <w:rsid w:val="00F84E58"/>
    <w:rsid w:val="00F86252"/>
    <w:rsid w:val="00F86910"/>
    <w:rsid w:val="00F90149"/>
    <w:rsid w:val="00F903F7"/>
    <w:rsid w:val="00F92343"/>
    <w:rsid w:val="00F924F9"/>
    <w:rsid w:val="00F93FD8"/>
    <w:rsid w:val="00F941FA"/>
    <w:rsid w:val="00F94CED"/>
    <w:rsid w:val="00F9583A"/>
    <w:rsid w:val="00F96609"/>
    <w:rsid w:val="00F96C5F"/>
    <w:rsid w:val="00F96DF6"/>
    <w:rsid w:val="00F97D6C"/>
    <w:rsid w:val="00F97F11"/>
    <w:rsid w:val="00FA0218"/>
    <w:rsid w:val="00FA036F"/>
    <w:rsid w:val="00FA09ED"/>
    <w:rsid w:val="00FA178B"/>
    <w:rsid w:val="00FA19C8"/>
    <w:rsid w:val="00FA28CB"/>
    <w:rsid w:val="00FA36EA"/>
    <w:rsid w:val="00FA3BC3"/>
    <w:rsid w:val="00FA43AE"/>
    <w:rsid w:val="00FB2519"/>
    <w:rsid w:val="00FB271E"/>
    <w:rsid w:val="00FB2A44"/>
    <w:rsid w:val="00FB2F27"/>
    <w:rsid w:val="00FB4D71"/>
    <w:rsid w:val="00FB6F49"/>
    <w:rsid w:val="00FC0D50"/>
    <w:rsid w:val="00FC3104"/>
    <w:rsid w:val="00FC4F45"/>
    <w:rsid w:val="00FC5733"/>
    <w:rsid w:val="00FC5F59"/>
    <w:rsid w:val="00FC6544"/>
    <w:rsid w:val="00FC6E91"/>
    <w:rsid w:val="00FD0EE7"/>
    <w:rsid w:val="00FD123E"/>
    <w:rsid w:val="00FD18B0"/>
    <w:rsid w:val="00FD23A6"/>
    <w:rsid w:val="00FD2E77"/>
    <w:rsid w:val="00FD45A6"/>
    <w:rsid w:val="00FD50E5"/>
    <w:rsid w:val="00FD60F8"/>
    <w:rsid w:val="00FD6D22"/>
    <w:rsid w:val="00FD7CBA"/>
    <w:rsid w:val="00FD7D0E"/>
    <w:rsid w:val="00FE0C96"/>
    <w:rsid w:val="00FE33B0"/>
    <w:rsid w:val="00FE457C"/>
    <w:rsid w:val="00FE4E36"/>
    <w:rsid w:val="00FE5ADE"/>
    <w:rsid w:val="00FE666F"/>
    <w:rsid w:val="00FE6FF2"/>
    <w:rsid w:val="00FE787B"/>
    <w:rsid w:val="00FF0454"/>
    <w:rsid w:val="00FF0BEC"/>
    <w:rsid w:val="00FF176B"/>
    <w:rsid w:val="00FF2045"/>
    <w:rsid w:val="00FF382E"/>
    <w:rsid w:val="00FF64B4"/>
    <w:rsid w:val="00FF6868"/>
    <w:rsid w:val="00FF6A9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F5598"/>
  <w15:docId w15:val="{5E0B4908-9938-4A66-9ADA-01985583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CDB"/>
    <w:pPr>
      <w:spacing w:before="120" w:after="120"/>
      <w:ind w:firstLine="357"/>
      <w:jc w:val="both"/>
    </w:pPr>
  </w:style>
  <w:style w:type="paragraph" w:styleId="Nagwek1">
    <w:name w:val="heading 1"/>
    <w:basedOn w:val="Normalny"/>
    <w:next w:val="Normalny"/>
    <w:link w:val="Nagwek1Znak"/>
    <w:uiPriority w:val="9"/>
    <w:qFormat/>
    <w:rsid w:val="006307E1"/>
    <w:pPr>
      <w:numPr>
        <w:numId w:val="5"/>
      </w:numPr>
      <w:spacing w:before="600" w:line="240" w:lineRule="auto"/>
      <w:jc w:val="left"/>
      <w:outlineLvl w:val="0"/>
    </w:pPr>
    <w:rPr>
      <w:rFonts w:asciiTheme="majorHAnsi" w:eastAsiaTheme="majorEastAsia" w:hAnsiTheme="majorHAnsi" w:cstheme="majorBidi"/>
      <w:b/>
      <w:color w:val="538135" w:themeColor="accent6" w:themeShade="BF"/>
      <w:sz w:val="36"/>
      <w:szCs w:val="36"/>
    </w:rPr>
  </w:style>
  <w:style w:type="paragraph" w:styleId="Nagwek2">
    <w:name w:val="heading 2"/>
    <w:basedOn w:val="Normalny"/>
    <w:next w:val="Normalny"/>
    <w:link w:val="Nagwek2Znak"/>
    <w:uiPriority w:val="9"/>
    <w:unhideWhenUsed/>
    <w:qFormat/>
    <w:rsid w:val="006307E1"/>
    <w:pPr>
      <w:numPr>
        <w:ilvl w:val="1"/>
        <w:numId w:val="4"/>
      </w:numPr>
      <w:spacing w:before="480"/>
      <w:jc w:val="left"/>
      <w:outlineLvl w:val="1"/>
    </w:pPr>
    <w:rPr>
      <w:rFonts w:asciiTheme="majorHAnsi" w:eastAsiaTheme="majorEastAsia" w:hAnsiTheme="majorHAnsi" w:cstheme="majorBidi"/>
      <w:b/>
      <w:color w:val="538135" w:themeColor="accent6" w:themeShade="BF"/>
      <w:sz w:val="28"/>
      <w:szCs w:val="28"/>
    </w:rPr>
  </w:style>
  <w:style w:type="paragraph" w:styleId="Nagwek3">
    <w:name w:val="heading 3"/>
    <w:basedOn w:val="Normalny"/>
    <w:next w:val="Normalny"/>
    <w:link w:val="Nagwek3Znak"/>
    <w:uiPriority w:val="9"/>
    <w:unhideWhenUsed/>
    <w:qFormat/>
    <w:rsid w:val="00921963"/>
    <w:pPr>
      <w:spacing w:before="360"/>
      <w:ind w:left="720" w:hanging="720"/>
      <w:outlineLvl w:val="2"/>
    </w:pPr>
    <w:rPr>
      <w:rFonts w:asciiTheme="majorHAnsi" w:eastAsiaTheme="majorEastAsia" w:hAnsiTheme="majorHAnsi" w:cstheme="majorBidi"/>
      <w:b/>
      <w:color w:val="538135" w:themeColor="accent6" w:themeShade="BF"/>
      <w:sz w:val="24"/>
      <w:szCs w:val="24"/>
    </w:rPr>
  </w:style>
  <w:style w:type="paragraph" w:styleId="Nagwek4">
    <w:name w:val="heading 4"/>
    <w:basedOn w:val="Normalny"/>
    <w:next w:val="Normalny"/>
    <w:link w:val="Nagwek4Znak"/>
    <w:uiPriority w:val="9"/>
    <w:semiHidden/>
    <w:unhideWhenUsed/>
    <w:qFormat/>
    <w:rsid w:val="005B1CD6"/>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5B1CD6"/>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5B1CD6"/>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5B1CD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5B1CD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1CD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07E1"/>
    <w:rPr>
      <w:rFonts w:asciiTheme="majorHAnsi" w:eastAsiaTheme="majorEastAsia" w:hAnsiTheme="majorHAnsi" w:cstheme="majorBidi"/>
      <w:b/>
      <w:color w:val="538135" w:themeColor="accent6" w:themeShade="BF"/>
      <w:sz w:val="36"/>
      <w:szCs w:val="36"/>
    </w:rPr>
  </w:style>
  <w:style w:type="character" w:customStyle="1" w:styleId="Nagwek2Znak">
    <w:name w:val="Nagłówek 2 Znak"/>
    <w:basedOn w:val="Domylnaczcionkaakapitu"/>
    <w:link w:val="Nagwek2"/>
    <w:uiPriority w:val="9"/>
    <w:rsid w:val="006307E1"/>
    <w:rPr>
      <w:rFonts w:asciiTheme="majorHAnsi" w:eastAsiaTheme="majorEastAsia" w:hAnsiTheme="majorHAnsi" w:cstheme="majorBidi"/>
      <w:b/>
      <w:color w:val="538135" w:themeColor="accent6" w:themeShade="BF"/>
      <w:sz w:val="28"/>
      <w:szCs w:val="28"/>
    </w:rPr>
  </w:style>
  <w:style w:type="character" w:customStyle="1" w:styleId="Nagwek3Znak">
    <w:name w:val="Nagłówek 3 Znak"/>
    <w:basedOn w:val="Domylnaczcionkaakapitu"/>
    <w:link w:val="Nagwek3"/>
    <w:uiPriority w:val="9"/>
    <w:rsid w:val="00921963"/>
    <w:rPr>
      <w:rFonts w:asciiTheme="majorHAnsi" w:eastAsiaTheme="majorEastAsia" w:hAnsiTheme="majorHAnsi" w:cstheme="majorBidi"/>
      <w:b/>
      <w:color w:val="538135" w:themeColor="accent6" w:themeShade="BF"/>
      <w:sz w:val="24"/>
      <w:szCs w:val="24"/>
    </w:rPr>
  </w:style>
  <w:style w:type="character" w:customStyle="1" w:styleId="Nagwek4Znak">
    <w:name w:val="Nagłówek 4 Znak"/>
    <w:basedOn w:val="Domylnaczcionkaakapitu"/>
    <w:link w:val="Nagwek4"/>
    <w:uiPriority w:val="9"/>
    <w:semiHidden/>
    <w:rsid w:val="005B1CD6"/>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5B1CD6"/>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5B1CD6"/>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5B1CD6"/>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5B1CD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1CD6"/>
    <w:rPr>
      <w:rFonts w:asciiTheme="majorHAnsi" w:eastAsiaTheme="majorEastAsia" w:hAnsiTheme="majorHAnsi" w:cstheme="majorBidi"/>
      <w:i/>
      <w:iCs/>
      <w:color w:val="272727" w:themeColor="text1" w:themeTint="D8"/>
      <w:sz w:val="21"/>
      <w:szCs w:val="21"/>
    </w:rPr>
  </w:style>
  <w:style w:type="paragraph" w:customStyle="1" w:styleId="rysunki">
    <w:name w:val="rysunki"/>
    <w:basedOn w:val="Normalny"/>
    <w:link w:val="rysunkiZnak"/>
    <w:qFormat/>
    <w:rsid w:val="004F57D3"/>
    <w:pPr>
      <w:keepNext/>
      <w:numPr>
        <w:numId w:val="1"/>
      </w:numPr>
      <w:spacing w:after="0" w:line="240" w:lineRule="auto"/>
      <w:ind w:left="357" w:hanging="357"/>
      <w:jc w:val="center"/>
    </w:pPr>
    <w:rPr>
      <w:rFonts w:ascii="Calibri" w:hAnsi="Calibri"/>
    </w:rPr>
  </w:style>
  <w:style w:type="paragraph" w:customStyle="1" w:styleId="Tabele">
    <w:name w:val="Tabele"/>
    <w:basedOn w:val="Tab"/>
    <w:link w:val="TabeleZnak"/>
    <w:rsid w:val="00E27C00"/>
    <w:rPr>
      <w:rFonts w:ascii="Calibri" w:hAnsi="Calibri"/>
    </w:rPr>
  </w:style>
  <w:style w:type="character" w:customStyle="1" w:styleId="rysunkiZnak">
    <w:name w:val="rysunki Znak"/>
    <w:basedOn w:val="Domylnaczcionkaakapitu"/>
    <w:link w:val="rysunki"/>
    <w:rsid w:val="004F57D3"/>
    <w:rPr>
      <w:rFonts w:ascii="Calibri" w:hAnsi="Calibri"/>
    </w:rPr>
  </w:style>
  <w:style w:type="paragraph" w:customStyle="1" w:styleId="Tab">
    <w:name w:val="Tab"/>
    <w:basedOn w:val="Normalny"/>
    <w:link w:val="TabZnak"/>
    <w:qFormat/>
    <w:rsid w:val="001C0FD6"/>
    <w:pPr>
      <w:numPr>
        <w:numId w:val="2"/>
      </w:numPr>
      <w:spacing w:before="240" w:after="0"/>
      <w:jc w:val="center"/>
    </w:pPr>
  </w:style>
  <w:style w:type="character" w:customStyle="1" w:styleId="TabeleZnak">
    <w:name w:val="Tabele Znak"/>
    <w:basedOn w:val="Domylnaczcionkaakapitu"/>
    <w:link w:val="Tabele"/>
    <w:rsid w:val="00E27C00"/>
    <w:rPr>
      <w:rFonts w:ascii="Calibri" w:hAnsi="Calibri"/>
    </w:rPr>
  </w:style>
  <w:style w:type="table" w:styleId="Tabela-Siatka">
    <w:name w:val="Table Grid"/>
    <w:basedOn w:val="Standardowy"/>
    <w:uiPriority w:val="39"/>
    <w:rsid w:val="00D0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570A65"/>
    <w:rPr>
      <w:b/>
      <w:bCs/>
    </w:rPr>
  </w:style>
  <w:style w:type="paragraph" w:customStyle="1" w:styleId="Zawartotabeli">
    <w:name w:val="Zawartość tabeli"/>
    <w:basedOn w:val="Tabele"/>
    <w:link w:val="ZawartotabeliZnak"/>
    <w:qFormat/>
    <w:rsid w:val="00EB5EE5"/>
    <w:pPr>
      <w:numPr>
        <w:numId w:val="0"/>
      </w:numPr>
      <w:spacing w:before="0" w:line="240" w:lineRule="auto"/>
    </w:pPr>
  </w:style>
  <w:style w:type="character" w:customStyle="1" w:styleId="ZawartotabeliZnak">
    <w:name w:val="Zawartość tabeli Znak"/>
    <w:basedOn w:val="TabeleZnak"/>
    <w:link w:val="Zawartotabeli"/>
    <w:rsid w:val="00EB5EE5"/>
    <w:rPr>
      <w:rFonts w:ascii="Calibri" w:hAnsi="Calibri"/>
    </w:rPr>
  </w:style>
  <w:style w:type="paragraph" w:customStyle="1" w:styleId="Literatura">
    <w:name w:val="Literatura"/>
    <w:basedOn w:val="Normalny"/>
    <w:link w:val="LiteraturaZnak"/>
    <w:qFormat/>
    <w:rsid w:val="00F86252"/>
    <w:pPr>
      <w:spacing w:after="0" w:line="240" w:lineRule="auto"/>
      <w:ind w:left="720" w:hanging="720"/>
      <w:jc w:val="left"/>
    </w:pPr>
    <w:rPr>
      <w:rFonts w:cstheme="minorHAnsi"/>
      <w:sz w:val="20"/>
      <w:szCs w:val="20"/>
      <w:lang w:val="en-GB"/>
    </w:rPr>
  </w:style>
  <w:style w:type="paragraph" w:styleId="Nagwek">
    <w:name w:val="header"/>
    <w:basedOn w:val="Normalny"/>
    <w:link w:val="NagwekZnak"/>
    <w:uiPriority w:val="99"/>
    <w:unhideWhenUsed/>
    <w:rsid w:val="00DC6D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6DAD"/>
  </w:style>
  <w:style w:type="paragraph" w:styleId="Stopka">
    <w:name w:val="footer"/>
    <w:basedOn w:val="Normalny"/>
    <w:link w:val="StopkaZnak"/>
    <w:uiPriority w:val="99"/>
    <w:unhideWhenUsed/>
    <w:rsid w:val="00DC6D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6DAD"/>
  </w:style>
  <w:style w:type="paragraph" w:styleId="Tytu">
    <w:name w:val="Title"/>
    <w:basedOn w:val="Normalny"/>
    <w:next w:val="Normalny"/>
    <w:link w:val="TytuZnak"/>
    <w:uiPriority w:val="10"/>
    <w:qFormat/>
    <w:rsid w:val="007E7D9A"/>
    <w:pPr>
      <w:spacing w:before="0" w:after="0" w:line="240" w:lineRule="auto"/>
      <w:contextualSpacing/>
      <w:jc w:val="center"/>
    </w:pPr>
    <w:rPr>
      <w:rFonts w:eastAsiaTheme="majorEastAsia" w:cstheme="minorHAnsi"/>
      <w:b/>
      <w:color w:val="2F5496" w:themeColor="accent1" w:themeShade="BF"/>
      <w:spacing w:val="-10"/>
      <w:kern w:val="28"/>
      <w:sz w:val="60"/>
      <w:szCs w:val="60"/>
    </w:rPr>
  </w:style>
  <w:style w:type="character" w:customStyle="1" w:styleId="TytuZnak">
    <w:name w:val="Tytuł Znak"/>
    <w:basedOn w:val="Domylnaczcionkaakapitu"/>
    <w:link w:val="Tytu"/>
    <w:uiPriority w:val="10"/>
    <w:rsid w:val="007E7D9A"/>
    <w:rPr>
      <w:rFonts w:eastAsiaTheme="majorEastAsia" w:cstheme="minorHAnsi"/>
      <w:b/>
      <w:color w:val="2F5496" w:themeColor="accent1" w:themeShade="BF"/>
      <w:spacing w:val="-10"/>
      <w:kern w:val="28"/>
      <w:sz w:val="60"/>
      <w:szCs w:val="60"/>
    </w:rPr>
  </w:style>
  <w:style w:type="paragraph" w:styleId="Akapitzlist">
    <w:name w:val="List Paragraph"/>
    <w:aliases w:val="L1,Numerowanie,Akapit z listą5,List Paragraph,maz_wyliczenie,opis dzialania,K-P_odwolanie,A_wyliczenie,Akapit z listą 1,Table of contents numbered,Akapit główny,Lista Beata,Resume Title,Citation List,Ha,List Paragraph1,Body,Listes,2"/>
    <w:basedOn w:val="Normalny"/>
    <w:link w:val="AkapitzlistZnak"/>
    <w:uiPriority w:val="34"/>
    <w:qFormat/>
    <w:rsid w:val="00D6033F"/>
    <w:pPr>
      <w:ind w:left="720"/>
      <w:contextualSpacing/>
    </w:pPr>
  </w:style>
  <w:style w:type="paragraph" w:customStyle="1" w:styleId="Podpisytabele">
    <w:name w:val="Podpisy_tabele"/>
    <w:link w:val="PodpisytabeleZnak"/>
    <w:uiPriority w:val="99"/>
    <w:qFormat/>
    <w:rsid w:val="00A035FB"/>
    <w:pPr>
      <w:jc w:val="both"/>
    </w:pPr>
    <w:rPr>
      <w:rFonts w:ascii="Arial" w:eastAsia="Times New Roman" w:hAnsi="Arial" w:cs="Times New Roman"/>
      <w:iCs/>
      <w:color w:val="2E74B5"/>
      <w:sz w:val="20"/>
      <w:szCs w:val="18"/>
      <w:lang w:eastAsia="pl-PL"/>
    </w:rPr>
  </w:style>
  <w:style w:type="character" w:customStyle="1" w:styleId="PodpisytabeleZnak">
    <w:name w:val="Podpisy_tabele Znak"/>
    <w:link w:val="Podpisytabele"/>
    <w:uiPriority w:val="99"/>
    <w:rsid w:val="00A035FB"/>
    <w:rPr>
      <w:rFonts w:ascii="Arial" w:eastAsia="Times New Roman" w:hAnsi="Arial" w:cs="Times New Roman"/>
      <w:iCs/>
      <w:color w:val="2E74B5"/>
      <w:sz w:val="20"/>
      <w:szCs w:val="18"/>
      <w:lang w:eastAsia="pl-PL"/>
    </w:rPr>
  </w:style>
  <w:style w:type="character" w:customStyle="1" w:styleId="tretekstChar">
    <w:name w:val="treść tekst Char"/>
    <w:basedOn w:val="Domylnaczcionkaakapitu"/>
    <w:link w:val="tretekst"/>
    <w:locked/>
    <w:rsid w:val="004A2A35"/>
    <w:rPr>
      <w:rFonts w:ascii="Arial" w:hAnsi="Arial" w:cs="Arial"/>
      <w:sz w:val="20"/>
      <w:szCs w:val="24"/>
    </w:rPr>
  </w:style>
  <w:style w:type="paragraph" w:customStyle="1" w:styleId="tretekst">
    <w:name w:val="treść tekst"/>
    <w:basedOn w:val="Normalny"/>
    <w:link w:val="tretekstChar"/>
    <w:qFormat/>
    <w:rsid w:val="004A2A35"/>
    <w:pPr>
      <w:spacing w:line="276" w:lineRule="auto"/>
      <w:ind w:firstLine="0"/>
    </w:pPr>
    <w:rPr>
      <w:rFonts w:ascii="Arial" w:hAnsi="Arial" w:cs="Arial"/>
      <w:sz w:val="20"/>
      <w:szCs w:val="24"/>
    </w:rPr>
  </w:style>
  <w:style w:type="table" w:customStyle="1" w:styleId="Siatkatabelijasna1">
    <w:name w:val="Siatka tabeli — jasna1"/>
    <w:basedOn w:val="Standardowy"/>
    <w:uiPriority w:val="40"/>
    <w:rsid w:val="005A58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dolnego">
    <w:name w:val="footnote text"/>
    <w:aliases w:val="Footnote,Podrozdzia3,Footnote text,Reference,Fußnote,Footnote Text Char Char,Footnote Text Char Char Char Char,Footnote Text1,Footnote Text Char Char Char,Fu§notentext Char,Fu§notentext Char1 Char1,Fu§notentext Char Char Char Char"/>
    <w:basedOn w:val="Normalny"/>
    <w:link w:val="TekstprzypisudolnegoZnak"/>
    <w:uiPriority w:val="99"/>
    <w:unhideWhenUsed/>
    <w:qFormat/>
    <w:rsid w:val="00B0321E"/>
    <w:pPr>
      <w:spacing w:before="0" w:after="0" w:line="240" w:lineRule="auto"/>
    </w:pPr>
    <w:rPr>
      <w:sz w:val="20"/>
      <w:szCs w:val="20"/>
    </w:rPr>
  </w:style>
  <w:style w:type="character" w:customStyle="1" w:styleId="TekstprzypisudolnegoZnak">
    <w:name w:val="Tekst przypisu dolnego Znak"/>
    <w:aliases w:val="Footnote Znak,Podrozdzia3 Znak,Footnote text Znak,Reference Znak,Fußnote Znak,Footnote Text Char Char Znak,Footnote Text Char Char Char Char Znak,Footnote Text1 Znak,Footnote Text Char Char Char Znak,Fu§notentext Char Znak"/>
    <w:basedOn w:val="Domylnaczcionkaakapitu"/>
    <w:link w:val="Tekstprzypisudolnego"/>
    <w:uiPriority w:val="99"/>
    <w:qFormat/>
    <w:rsid w:val="00B0321E"/>
    <w:rPr>
      <w:sz w:val="20"/>
      <w:szCs w:val="20"/>
    </w:rPr>
  </w:style>
  <w:style w:type="character" w:styleId="Odwoanieprzypisudolnego">
    <w:name w:val="footnote reference"/>
    <w:aliases w:val="Footnote Reference Superscript,BVI fnr, BVI fnr,Footnote symbol,Footnote reference number,note TESI,Appel note de bas de p,Nota,SUPERS,Footnote number,EN Footnote Reference,-E Fußnotenzeichen,number Char Char,number,Ref,styl"/>
    <w:basedOn w:val="Domylnaczcionkaakapitu"/>
    <w:link w:val="SUPERSCharCharCharCharCharCharCharChar"/>
    <w:uiPriority w:val="99"/>
    <w:unhideWhenUsed/>
    <w:qFormat/>
    <w:rsid w:val="00B0321E"/>
    <w:rPr>
      <w:vertAlign w:val="superscript"/>
    </w:rPr>
  </w:style>
  <w:style w:type="character" w:styleId="Hipercze">
    <w:name w:val="Hyperlink"/>
    <w:basedOn w:val="Domylnaczcionkaakapitu"/>
    <w:uiPriority w:val="99"/>
    <w:unhideWhenUsed/>
    <w:rsid w:val="00A26E34"/>
    <w:rPr>
      <w:color w:val="0563C1" w:themeColor="hyperlink"/>
      <w:u w:val="single"/>
    </w:rPr>
  </w:style>
  <w:style w:type="character" w:customStyle="1" w:styleId="TabZnak">
    <w:name w:val="Tab Znak"/>
    <w:link w:val="Tab"/>
    <w:locked/>
    <w:rsid w:val="001C0FD6"/>
  </w:style>
  <w:style w:type="numbering" w:customStyle="1" w:styleId="LFO11">
    <w:name w:val="LFO11"/>
    <w:rsid w:val="004B1B22"/>
    <w:pPr>
      <w:numPr>
        <w:numId w:val="3"/>
      </w:numPr>
    </w:pPr>
  </w:style>
  <w:style w:type="paragraph" w:customStyle="1" w:styleId="xmsonormal">
    <w:name w:val="x_msonormal"/>
    <w:basedOn w:val="Normalny"/>
    <w:rsid w:val="004B1B22"/>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customStyle="1" w:styleId="Default">
    <w:name w:val="Default"/>
    <w:rsid w:val="00961A37"/>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nhideWhenUsed/>
    <w:rsid w:val="003F5439"/>
    <w:rPr>
      <w:sz w:val="16"/>
      <w:szCs w:val="16"/>
    </w:rPr>
  </w:style>
  <w:style w:type="paragraph" w:styleId="Tekstkomentarza">
    <w:name w:val="annotation text"/>
    <w:basedOn w:val="Normalny"/>
    <w:link w:val="TekstkomentarzaZnak"/>
    <w:unhideWhenUsed/>
    <w:rsid w:val="003F5439"/>
    <w:pPr>
      <w:spacing w:line="240" w:lineRule="auto"/>
    </w:pPr>
    <w:rPr>
      <w:sz w:val="20"/>
      <w:szCs w:val="20"/>
    </w:rPr>
  </w:style>
  <w:style w:type="character" w:customStyle="1" w:styleId="TekstkomentarzaZnak">
    <w:name w:val="Tekst komentarza Znak"/>
    <w:basedOn w:val="Domylnaczcionkaakapitu"/>
    <w:link w:val="Tekstkomentarza"/>
    <w:rsid w:val="003F5439"/>
    <w:rPr>
      <w:sz w:val="20"/>
      <w:szCs w:val="20"/>
    </w:rPr>
  </w:style>
  <w:style w:type="paragraph" w:styleId="Tematkomentarza">
    <w:name w:val="annotation subject"/>
    <w:basedOn w:val="Tekstkomentarza"/>
    <w:next w:val="Tekstkomentarza"/>
    <w:link w:val="TematkomentarzaZnak"/>
    <w:uiPriority w:val="99"/>
    <w:semiHidden/>
    <w:unhideWhenUsed/>
    <w:rsid w:val="003F5439"/>
    <w:rPr>
      <w:b/>
      <w:bCs/>
    </w:rPr>
  </w:style>
  <w:style w:type="character" w:customStyle="1" w:styleId="TematkomentarzaZnak">
    <w:name w:val="Temat komentarza Znak"/>
    <w:basedOn w:val="TekstkomentarzaZnak"/>
    <w:link w:val="Tematkomentarza"/>
    <w:uiPriority w:val="99"/>
    <w:semiHidden/>
    <w:rsid w:val="003F5439"/>
    <w:rPr>
      <w:b/>
      <w:bCs/>
      <w:sz w:val="20"/>
      <w:szCs w:val="20"/>
    </w:rPr>
  </w:style>
  <w:style w:type="paragraph" w:styleId="Tekstdymka">
    <w:name w:val="Balloon Text"/>
    <w:basedOn w:val="Normalny"/>
    <w:link w:val="TekstdymkaZnak"/>
    <w:uiPriority w:val="99"/>
    <w:semiHidden/>
    <w:unhideWhenUsed/>
    <w:rsid w:val="00E6496A"/>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496A"/>
    <w:rPr>
      <w:rFonts w:ascii="Segoe UI" w:hAnsi="Segoe UI" w:cs="Segoe UI"/>
      <w:sz w:val="18"/>
      <w:szCs w:val="18"/>
    </w:rPr>
  </w:style>
  <w:style w:type="paragraph" w:styleId="Nagwekspisutreci">
    <w:name w:val="TOC Heading"/>
    <w:basedOn w:val="Nagwek1"/>
    <w:next w:val="Normalny"/>
    <w:uiPriority w:val="39"/>
    <w:unhideWhenUsed/>
    <w:qFormat/>
    <w:rsid w:val="00FE0C96"/>
    <w:pPr>
      <w:keepNext/>
      <w:keepLines/>
      <w:numPr>
        <w:numId w:val="0"/>
      </w:numPr>
      <w:spacing w:after="0"/>
      <w:outlineLvl w:val="9"/>
    </w:pPr>
    <w:rPr>
      <w:b w:val="0"/>
      <w:sz w:val="32"/>
      <w:szCs w:val="32"/>
      <w:lang w:eastAsia="pl-PL"/>
    </w:rPr>
  </w:style>
  <w:style w:type="paragraph" w:styleId="Spistreci1">
    <w:name w:val="toc 1"/>
    <w:basedOn w:val="Normalny"/>
    <w:next w:val="Normalny"/>
    <w:autoRedefine/>
    <w:uiPriority w:val="39"/>
    <w:unhideWhenUsed/>
    <w:rsid w:val="007F01E0"/>
    <w:pPr>
      <w:tabs>
        <w:tab w:val="left" w:pos="880"/>
        <w:tab w:val="right" w:leader="dot" w:pos="9062"/>
      </w:tabs>
      <w:spacing w:after="0"/>
      <w:ind w:left="357" w:hanging="357"/>
    </w:pPr>
  </w:style>
  <w:style w:type="paragraph" w:styleId="Spistreci2">
    <w:name w:val="toc 2"/>
    <w:basedOn w:val="Normalny"/>
    <w:next w:val="Normalny"/>
    <w:autoRedefine/>
    <w:uiPriority w:val="39"/>
    <w:unhideWhenUsed/>
    <w:rsid w:val="00F06E16"/>
    <w:pPr>
      <w:tabs>
        <w:tab w:val="left" w:pos="1100"/>
        <w:tab w:val="right" w:leader="dot" w:pos="9062"/>
      </w:tabs>
      <w:spacing w:before="0" w:after="0" w:line="240" w:lineRule="auto"/>
      <w:ind w:left="221"/>
    </w:pPr>
  </w:style>
  <w:style w:type="paragraph" w:styleId="Spistreci3">
    <w:name w:val="toc 3"/>
    <w:basedOn w:val="Normalny"/>
    <w:next w:val="Normalny"/>
    <w:autoRedefine/>
    <w:uiPriority w:val="39"/>
    <w:unhideWhenUsed/>
    <w:rsid w:val="00FE0C96"/>
    <w:pPr>
      <w:spacing w:after="100"/>
      <w:ind w:left="440"/>
    </w:pPr>
  </w:style>
  <w:style w:type="character" w:customStyle="1" w:styleId="meta-citation-journal-name">
    <w:name w:val="meta-citation-journal-name"/>
    <w:basedOn w:val="Domylnaczcionkaakapitu"/>
    <w:rsid w:val="004763AD"/>
  </w:style>
  <w:style w:type="character" w:customStyle="1" w:styleId="meta-citation">
    <w:name w:val="meta-citation"/>
    <w:basedOn w:val="Domylnaczcionkaakapitu"/>
    <w:rsid w:val="004763AD"/>
  </w:style>
  <w:style w:type="character" w:customStyle="1" w:styleId="meta-authors--limited">
    <w:name w:val="meta-authors--limited"/>
    <w:basedOn w:val="Domylnaczcionkaakapitu"/>
    <w:rsid w:val="004763AD"/>
  </w:style>
  <w:style w:type="character" w:styleId="UyteHipercze">
    <w:name w:val="FollowedHyperlink"/>
    <w:basedOn w:val="Domylnaczcionkaakapitu"/>
    <w:uiPriority w:val="99"/>
    <w:semiHidden/>
    <w:unhideWhenUsed/>
    <w:rsid w:val="00C66CA0"/>
    <w:rPr>
      <w:color w:val="954F72" w:themeColor="followedHyperlink"/>
      <w:u w:val="single"/>
    </w:rPr>
  </w:style>
  <w:style w:type="numbering" w:customStyle="1" w:styleId="Bezlisty1">
    <w:name w:val="Bez listy1"/>
    <w:next w:val="Bezlisty"/>
    <w:uiPriority w:val="99"/>
    <w:semiHidden/>
    <w:unhideWhenUsed/>
    <w:rsid w:val="004B7601"/>
  </w:style>
  <w:style w:type="paragraph" w:customStyle="1" w:styleId="msonormal0">
    <w:name w:val="msonormal"/>
    <w:basedOn w:val="Normalny"/>
    <w:rsid w:val="004B7601"/>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unhideWhenUsed/>
    <w:rsid w:val="00AF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zypisdolny">
    <w:name w:val="Przypis dolny"/>
    <w:basedOn w:val="Tekstprzypisudolnego"/>
    <w:link w:val="PrzypisdolnyZnak"/>
    <w:qFormat/>
    <w:rsid w:val="00525B18"/>
    <w:pPr>
      <w:ind w:firstLine="0"/>
    </w:pPr>
    <w:rPr>
      <w:rFonts w:ascii="Calibri" w:eastAsia="MS Mincho" w:hAnsi="Calibri" w:cs="Times New Roman"/>
      <w:sz w:val="18"/>
      <w:szCs w:val="18"/>
      <w:lang w:val="x-none" w:eastAsia="x-none"/>
    </w:rPr>
  </w:style>
  <w:style w:type="character" w:customStyle="1" w:styleId="PrzypisdolnyZnak">
    <w:name w:val="Przypis dolny Znak"/>
    <w:link w:val="Przypisdolny"/>
    <w:rsid w:val="00525B18"/>
    <w:rPr>
      <w:rFonts w:ascii="Calibri" w:eastAsia="MS Mincho" w:hAnsi="Calibri" w:cs="Times New Roman"/>
      <w:sz w:val="18"/>
      <w:szCs w:val="18"/>
      <w:lang w:val="x-none" w:eastAsia="x-none"/>
    </w:rPr>
  </w:style>
  <w:style w:type="numbering" w:customStyle="1" w:styleId="LFO9">
    <w:name w:val="LFO9"/>
    <w:basedOn w:val="Bezlisty"/>
    <w:rsid w:val="00525B18"/>
    <w:pPr>
      <w:numPr>
        <w:numId w:val="6"/>
      </w:numPr>
    </w:pPr>
  </w:style>
  <w:style w:type="paragraph" w:styleId="Listapunktowana2">
    <w:name w:val="List Bullet 2"/>
    <w:basedOn w:val="Normalny"/>
    <w:rsid w:val="00525B18"/>
    <w:pPr>
      <w:numPr>
        <w:numId w:val="7"/>
      </w:numPr>
      <w:spacing w:after="0" w:line="240" w:lineRule="auto"/>
    </w:pPr>
    <w:rPr>
      <w:rFonts w:ascii="Calibri" w:eastAsia="Calibri" w:hAnsi="Calibri" w:cs="Times New Roman"/>
    </w:rPr>
  </w:style>
  <w:style w:type="paragraph" w:styleId="Tekstpodstawowy">
    <w:name w:val="Body Text"/>
    <w:basedOn w:val="Normalny"/>
    <w:link w:val="TekstpodstawowyZnak"/>
    <w:rsid w:val="00525B18"/>
    <w:pPr>
      <w:spacing w:line="240" w:lineRule="auto"/>
      <w:ind w:firstLine="0"/>
    </w:pPr>
    <w:rPr>
      <w:rFonts w:ascii="Calibri" w:eastAsia="Calibri" w:hAnsi="Calibri" w:cs="Times New Roman"/>
    </w:rPr>
  </w:style>
  <w:style w:type="character" w:customStyle="1" w:styleId="TekstpodstawowyZnak">
    <w:name w:val="Tekst podstawowy Znak"/>
    <w:basedOn w:val="Domylnaczcionkaakapitu"/>
    <w:link w:val="Tekstpodstawowy"/>
    <w:rsid w:val="00525B18"/>
    <w:rPr>
      <w:rFonts w:ascii="Calibri" w:eastAsia="Calibri" w:hAnsi="Calibri" w:cs="Times New Roman"/>
    </w:rPr>
  </w:style>
  <w:style w:type="paragraph" w:styleId="NormalnyWeb">
    <w:name w:val="Normal (Web)"/>
    <w:basedOn w:val="Normalny"/>
    <w:uiPriority w:val="99"/>
    <w:semiHidden/>
    <w:unhideWhenUsed/>
    <w:rsid w:val="00963B31"/>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9B12F5"/>
    <w:rPr>
      <w:color w:val="605E5C"/>
      <w:shd w:val="clear" w:color="auto" w:fill="E1DFDD"/>
    </w:rPr>
  </w:style>
  <w:style w:type="table" w:customStyle="1" w:styleId="Tabela-Siatka2">
    <w:name w:val="Tabela - Siatka2"/>
    <w:basedOn w:val="Standardowy"/>
    <w:next w:val="Tabela-Siatka"/>
    <w:uiPriority w:val="39"/>
    <w:rsid w:val="00B9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5 Znak,List Paragraph Znak,maz_wyliczenie Znak,opis dzialania Znak,K-P_odwolanie Znak,A_wyliczenie Znak,Akapit z listą 1 Znak,Table of contents numbered Znak,Akapit główny Znak,Lista Beata Znak"/>
    <w:basedOn w:val="Domylnaczcionkaakapitu"/>
    <w:link w:val="Akapitzlist"/>
    <w:uiPriority w:val="34"/>
    <w:qFormat/>
    <w:locked/>
    <w:rsid w:val="00B9602D"/>
  </w:style>
  <w:style w:type="table" w:customStyle="1" w:styleId="Tabela-Siatka3">
    <w:name w:val="Tabela - Siatka3"/>
    <w:basedOn w:val="Standardowy"/>
    <w:next w:val="Tabela-Siatka"/>
    <w:uiPriority w:val="39"/>
    <w:rsid w:val="00B86C84"/>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A47430"/>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B6C35"/>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24644A"/>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27638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C907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1C1B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D00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70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2C67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8538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2B0790"/>
    <w:pPr>
      <w:suppressAutoHyphens/>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8935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4E0255"/>
    <w:pPr>
      <w:suppressAutoHyphens/>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A35530"/>
    <w:pPr>
      <w:suppressAutoHyphens/>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39"/>
    <w:rsid w:val="003C44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39"/>
    <w:rsid w:val="003C44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AB55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3A36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39"/>
    <w:rsid w:val="00BF51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E229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
    <w:name w:val="h1"/>
    <w:basedOn w:val="Domylnaczcionkaakapitu"/>
    <w:rsid w:val="0007018E"/>
  </w:style>
  <w:style w:type="table" w:customStyle="1" w:styleId="Tabela-Siatka24">
    <w:name w:val="Tabela - Siatka24"/>
    <w:basedOn w:val="Standardowy"/>
    <w:next w:val="Tabela-Siatka"/>
    <w:uiPriority w:val="39"/>
    <w:rsid w:val="00E2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E82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59"/>
    <w:rsid w:val="00A82459"/>
    <w:pPr>
      <w:spacing w:after="0" w:line="240" w:lineRule="auto"/>
    </w:pPr>
    <w:rPr>
      <w:rFonts w:ascii="Calibri" w:eastAsia="Calibri" w:hAnsi="Calibri" w:cs="DejaVu San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2D15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59"/>
    <w:rsid w:val="00CF3977"/>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basedOn w:val="Domylnaczcionkaakapitu"/>
    <w:rsid w:val="004E0E96"/>
  </w:style>
  <w:style w:type="paragraph" w:customStyle="1" w:styleId="Srdtytuy">
    <w:name w:val="Sródtytuły"/>
    <w:basedOn w:val="Normalny"/>
    <w:link w:val="SrdtytuyZnak"/>
    <w:qFormat/>
    <w:rsid w:val="00EA1014"/>
    <w:pPr>
      <w:spacing w:after="0" w:line="276" w:lineRule="auto"/>
      <w:ind w:firstLine="0"/>
    </w:pPr>
    <w:rPr>
      <w:rFonts w:ascii="Arial" w:eastAsia="Calibri" w:hAnsi="Arial" w:cs="Arial"/>
      <w:b/>
      <w:color w:val="83BF5F"/>
      <w:sz w:val="24"/>
      <w:szCs w:val="24"/>
      <w:lang w:val="x-none" w:eastAsia="pl-PL"/>
    </w:rPr>
  </w:style>
  <w:style w:type="character" w:customStyle="1" w:styleId="SrdtytuyZnak">
    <w:name w:val="Sródtytuły Znak"/>
    <w:link w:val="Srdtytuy"/>
    <w:rsid w:val="00EA1014"/>
    <w:rPr>
      <w:rFonts w:ascii="Arial" w:eastAsia="Calibri" w:hAnsi="Arial" w:cs="Arial"/>
      <w:b/>
      <w:color w:val="83BF5F"/>
      <w:sz w:val="24"/>
      <w:szCs w:val="24"/>
      <w:lang w:val="x-none" w:eastAsia="pl-PL"/>
    </w:rPr>
  </w:style>
  <w:style w:type="paragraph" w:customStyle="1" w:styleId="rdl">
    <w:name w:val="źródló"/>
    <w:basedOn w:val="Normalny"/>
    <w:link w:val="rdlZnak"/>
    <w:qFormat/>
    <w:rsid w:val="00ED05D2"/>
    <w:pPr>
      <w:spacing w:before="0" w:after="0"/>
      <w:jc w:val="right"/>
    </w:pPr>
    <w:rPr>
      <w:i/>
      <w:sz w:val="20"/>
      <w:szCs w:val="20"/>
    </w:rPr>
  </w:style>
  <w:style w:type="paragraph" w:customStyle="1" w:styleId="Standard">
    <w:name w:val="Standard"/>
    <w:rsid w:val="00EB0EB9"/>
    <w:pPr>
      <w:suppressAutoHyphens/>
      <w:autoSpaceDN w:val="0"/>
      <w:spacing w:after="200" w:line="276" w:lineRule="auto"/>
    </w:pPr>
    <w:rPr>
      <w:rFonts w:ascii="Calibri" w:eastAsia="Lucida Sans Unicode" w:hAnsi="Calibri" w:cs="Tahoma"/>
      <w:kern w:val="3"/>
    </w:rPr>
  </w:style>
  <w:style w:type="character" w:customStyle="1" w:styleId="rdlZnak">
    <w:name w:val="źródló Znak"/>
    <w:basedOn w:val="Domylnaczcionkaakapitu"/>
    <w:link w:val="rdl"/>
    <w:rsid w:val="00ED05D2"/>
    <w:rPr>
      <w:i/>
      <w:sz w:val="20"/>
      <w:szCs w:val="20"/>
    </w:rPr>
  </w:style>
  <w:style w:type="numbering" w:customStyle="1" w:styleId="WWNum1">
    <w:name w:val="WWNum1"/>
    <w:rsid w:val="00EB0EB9"/>
    <w:pPr>
      <w:numPr>
        <w:numId w:val="8"/>
      </w:numPr>
    </w:pPr>
  </w:style>
  <w:style w:type="table" w:customStyle="1" w:styleId="Tabela-Siatka29">
    <w:name w:val="Tabela - Siatka29"/>
    <w:basedOn w:val="Standardowy"/>
    <w:next w:val="Tabela-Siatka"/>
    <w:uiPriority w:val="39"/>
    <w:rsid w:val="00B57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B561F"/>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B561F"/>
    <w:rPr>
      <w:sz w:val="20"/>
      <w:szCs w:val="20"/>
    </w:rPr>
  </w:style>
  <w:style w:type="character" w:styleId="Odwoanieprzypisukocowego">
    <w:name w:val="endnote reference"/>
    <w:basedOn w:val="Domylnaczcionkaakapitu"/>
    <w:uiPriority w:val="99"/>
    <w:semiHidden/>
    <w:unhideWhenUsed/>
    <w:rsid w:val="00AB561F"/>
    <w:rPr>
      <w:vertAlign w:val="superscript"/>
    </w:rPr>
  </w:style>
  <w:style w:type="character" w:customStyle="1" w:styleId="StrongEmphasis">
    <w:name w:val="Strong Emphasis"/>
    <w:rsid w:val="001A2CC9"/>
    <w:rPr>
      <w:b/>
      <w:bCs/>
    </w:rPr>
  </w:style>
  <w:style w:type="character" w:customStyle="1" w:styleId="y2iqfc">
    <w:name w:val="y2iqfc"/>
    <w:basedOn w:val="Domylnaczcionkaakapitu"/>
    <w:rsid w:val="00C66885"/>
  </w:style>
  <w:style w:type="paragraph" w:customStyle="1" w:styleId="Rysunki0">
    <w:name w:val="Rysunki"/>
    <w:basedOn w:val="Normalny"/>
    <w:link w:val="RysunkiZnak0"/>
    <w:qFormat/>
    <w:rsid w:val="00C66885"/>
    <w:pPr>
      <w:keepNext/>
      <w:numPr>
        <w:numId w:val="9"/>
      </w:numPr>
      <w:spacing w:before="0" w:after="0" w:line="240" w:lineRule="auto"/>
      <w:ind w:left="6314"/>
      <w:jc w:val="center"/>
    </w:pPr>
    <w:rPr>
      <w:rFonts w:cstheme="minorHAnsi"/>
      <w:sz w:val="20"/>
      <w:szCs w:val="20"/>
    </w:rPr>
  </w:style>
  <w:style w:type="character" w:customStyle="1" w:styleId="RysunkiZnak0">
    <w:name w:val="Rysunki Znak"/>
    <w:basedOn w:val="Domylnaczcionkaakapitu"/>
    <w:link w:val="Rysunki0"/>
    <w:rsid w:val="00C66885"/>
    <w:rPr>
      <w:rFonts w:cstheme="minorHAnsi"/>
      <w:sz w:val="20"/>
      <w:szCs w:val="20"/>
    </w:rPr>
  </w:style>
  <w:style w:type="paragraph" w:customStyle="1" w:styleId="Dotabeli">
    <w:name w:val="Do tabeli"/>
    <w:basedOn w:val="Normalny"/>
    <w:link w:val="DotabeliZnak"/>
    <w:qFormat/>
    <w:rsid w:val="00C66885"/>
    <w:pPr>
      <w:spacing w:before="0" w:after="0" w:line="240" w:lineRule="auto"/>
      <w:ind w:firstLine="0"/>
      <w:jc w:val="center"/>
    </w:pPr>
    <w:rPr>
      <w:rFonts w:ascii="Times New Roman" w:eastAsia="Times New Roman" w:hAnsi="Times New Roman" w:cs="Times New Roman"/>
      <w:color w:val="000000"/>
      <w:sz w:val="20"/>
      <w:szCs w:val="20"/>
      <w:lang w:val="en-US" w:eastAsia="pl-PL" w:bidi="en-US"/>
    </w:rPr>
  </w:style>
  <w:style w:type="character" w:customStyle="1" w:styleId="DotabeliZnak">
    <w:name w:val="Do tabeli Znak"/>
    <w:basedOn w:val="Domylnaczcionkaakapitu"/>
    <w:link w:val="Dotabeli"/>
    <w:rsid w:val="00C66885"/>
    <w:rPr>
      <w:rFonts w:ascii="Times New Roman" w:eastAsia="Times New Roman" w:hAnsi="Times New Roman" w:cs="Times New Roman"/>
      <w:color w:val="000000"/>
      <w:sz w:val="20"/>
      <w:szCs w:val="20"/>
      <w:lang w:val="en-US" w:eastAsia="pl-PL" w:bidi="en-US"/>
    </w:rPr>
  </w:style>
  <w:style w:type="paragraph" w:customStyle="1" w:styleId="Podpistabeli">
    <w:name w:val="Podpis tabeli"/>
    <w:basedOn w:val="Normalny"/>
    <w:link w:val="PodpistabeliZnak"/>
    <w:qFormat/>
    <w:rsid w:val="00C66885"/>
    <w:pPr>
      <w:spacing w:before="80" w:after="0" w:line="240" w:lineRule="auto"/>
      <w:ind w:firstLine="0"/>
    </w:pPr>
    <w:rPr>
      <w:rFonts w:ascii="Times New Roman" w:hAnsi="Times New Roman"/>
    </w:rPr>
  </w:style>
  <w:style w:type="character" w:customStyle="1" w:styleId="PodpistabeliZnak">
    <w:name w:val="Podpis tabeli Znak"/>
    <w:basedOn w:val="Domylnaczcionkaakapitu"/>
    <w:link w:val="Podpistabeli"/>
    <w:rsid w:val="00C66885"/>
    <w:rPr>
      <w:rFonts w:ascii="Times New Roman" w:hAnsi="Times New Roman"/>
    </w:rPr>
  </w:style>
  <w:style w:type="character" w:customStyle="1" w:styleId="LiteraturaZnak">
    <w:name w:val="Literatura Znak"/>
    <w:basedOn w:val="Domylnaczcionkaakapitu"/>
    <w:link w:val="Literatura"/>
    <w:rsid w:val="00F86252"/>
    <w:rPr>
      <w:rFonts w:cstheme="minorHAnsi"/>
      <w:sz w:val="20"/>
      <w:szCs w:val="20"/>
      <w:lang w:val="en-GB"/>
    </w:rPr>
  </w:style>
  <w:style w:type="character" w:customStyle="1" w:styleId="markedcontent">
    <w:name w:val="markedcontent"/>
    <w:basedOn w:val="Domylnaczcionkaakapitu"/>
    <w:rsid w:val="00A9131E"/>
  </w:style>
  <w:style w:type="paragraph" w:customStyle="1" w:styleId="rdo">
    <w:name w:val="Źródło"/>
    <w:basedOn w:val="Normalny"/>
    <w:link w:val="rdoZnak"/>
    <w:qFormat/>
    <w:rsid w:val="00D85F0F"/>
    <w:pPr>
      <w:spacing w:before="0" w:after="0" w:line="240" w:lineRule="auto"/>
      <w:ind w:firstLine="0"/>
      <w:jc w:val="right"/>
    </w:pPr>
    <w:rPr>
      <w:rFonts w:cstheme="minorHAnsi"/>
      <w:i/>
      <w:sz w:val="18"/>
      <w:szCs w:val="18"/>
    </w:rPr>
  </w:style>
  <w:style w:type="character" w:customStyle="1" w:styleId="rdoZnak">
    <w:name w:val="Źródło Znak"/>
    <w:basedOn w:val="Domylnaczcionkaakapitu"/>
    <w:link w:val="rdo"/>
    <w:rsid w:val="00D85F0F"/>
    <w:rPr>
      <w:rFonts w:cstheme="minorHAnsi"/>
      <w:i/>
      <w:sz w:val="18"/>
      <w:szCs w:val="18"/>
    </w:rPr>
  </w:style>
  <w:style w:type="character" w:styleId="Uwydatnienie">
    <w:name w:val="Emphasis"/>
    <w:basedOn w:val="Domylnaczcionkaakapitu"/>
    <w:uiPriority w:val="20"/>
    <w:qFormat/>
    <w:rsid w:val="00F43C76"/>
    <w:rPr>
      <w:i/>
      <w:iCs/>
    </w:rPr>
  </w:style>
  <w:style w:type="paragraph" w:styleId="Legenda">
    <w:name w:val="caption"/>
    <w:basedOn w:val="Normalny"/>
    <w:next w:val="Normalny"/>
    <w:link w:val="LegendaZnak"/>
    <w:uiPriority w:val="35"/>
    <w:unhideWhenUsed/>
    <w:qFormat/>
    <w:rsid w:val="00F11339"/>
    <w:pPr>
      <w:spacing w:before="0" w:after="200" w:line="240" w:lineRule="auto"/>
      <w:ind w:firstLine="0"/>
      <w:jc w:val="center"/>
    </w:pPr>
    <w:rPr>
      <w:sz w:val="18"/>
      <w:szCs w:val="18"/>
    </w:rPr>
  </w:style>
  <w:style w:type="paragraph" w:customStyle="1" w:styleId="Tabela">
    <w:name w:val="Tabela"/>
    <w:basedOn w:val="Normalny"/>
    <w:link w:val="TabelaZnak"/>
    <w:qFormat/>
    <w:rsid w:val="00F11339"/>
    <w:pPr>
      <w:spacing w:before="0" w:after="0" w:line="240" w:lineRule="auto"/>
      <w:ind w:firstLine="0"/>
      <w:jc w:val="center"/>
    </w:pPr>
    <w:rPr>
      <w:rFonts w:cstheme="minorHAnsi"/>
      <w:sz w:val="18"/>
      <w:szCs w:val="18"/>
    </w:rPr>
  </w:style>
  <w:style w:type="character" w:customStyle="1" w:styleId="LegendaZnak">
    <w:name w:val="Legenda Znak"/>
    <w:basedOn w:val="Domylnaczcionkaakapitu"/>
    <w:link w:val="Legenda"/>
    <w:uiPriority w:val="35"/>
    <w:rsid w:val="00F11339"/>
    <w:rPr>
      <w:sz w:val="18"/>
      <w:szCs w:val="18"/>
    </w:rPr>
  </w:style>
  <w:style w:type="character" w:customStyle="1" w:styleId="TabelaZnak">
    <w:name w:val="Tabela Znak"/>
    <w:basedOn w:val="LegendaZnak"/>
    <w:link w:val="Tabela"/>
    <w:rsid w:val="00F11339"/>
    <w:rPr>
      <w:rFonts w:cstheme="minorHAnsi"/>
      <w:sz w:val="18"/>
      <w:szCs w:val="18"/>
    </w:rPr>
  </w:style>
  <w:style w:type="character" w:customStyle="1" w:styleId="highlight">
    <w:name w:val="highlight"/>
    <w:basedOn w:val="Domylnaczcionkaakapitu"/>
    <w:rsid w:val="000B0430"/>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ny"/>
    <w:link w:val="Odwoanieprzypisudolnego"/>
    <w:uiPriority w:val="99"/>
    <w:rsid w:val="00181F1D"/>
    <w:pPr>
      <w:spacing w:before="0" w:after="160" w:line="240" w:lineRule="exact"/>
      <w:ind w:firstLine="0"/>
    </w:pPr>
    <w:rPr>
      <w:vertAlign w:val="superscript"/>
    </w:rPr>
  </w:style>
  <w:style w:type="table" w:customStyle="1" w:styleId="Tabela-Siatka291">
    <w:name w:val="Tabela - Siatka291"/>
    <w:basedOn w:val="Standardowy"/>
    <w:next w:val="Tabela-Siatka"/>
    <w:uiPriority w:val="39"/>
    <w:rsid w:val="00D7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05085E"/>
    <w:rPr>
      <w:color w:val="605E5C"/>
      <w:shd w:val="clear" w:color="auto" w:fill="E1DFDD"/>
    </w:rPr>
  </w:style>
  <w:style w:type="paragraph" w:styleId="Poprawka">
    <w:name w:val="Revision"/>
    <w:hidden/>
    <w:uiPriority w:val="99"/>
    <w:semiHidden/>
    <w:rsid w:val="00F03DE3"/>
    <w:pPr>
      <w:spacing w:after="0" w:line="240" w:lineRule="auto"/>
    </w:pPr>
  </w:style>
  <w:style w:type="paragraph" w:customStyle="1" w:styleId="Wypunktowanie">
    <w:name w:val="Wypunktowanie"/>
    <w:basedOn w:val="Akapitzlist"/>
    <w:link w:val="WypunktowanieZnak"/>
    <w:uiPriority w:val="34"/>
    <w:qFormat/>
    <w:rsid w:val="0095040D"/>
    <w:pPr>
      <w:numPr>
        <w:numId w:val="10"/>
      </w:numPr>
      <w:spacing w:before="0" w:after="0" w:line="240" w:lineRule="auto"/>
      <w:contextualSpacing w:val="0"/>
    </w:pPr>
    <w:rPr>
      <w:rFonts w:ascii="Calibri" w:eastAsia="Calibri" w:hAnsi="Calibri" w:cs="Times New Roman"/>
      <w:color w:val="00000A"/>
      <w:lang w:val="x-none" w:eastAsia="x-none"/>
    </w:rPr>
  </w:style>
  <w:style w:type="character" w:customStyle="1" w:styleId="WypunktowanieZnak">
    <w:name w:val="Wypunktowanie Znak"/>
    <w:link w:val="Wypunktowanie"/>
    <w:uiPriority w:val="34"/>
    <w:rsid w:val="0095040D"/>
    <w:rPr>
      <w:rFonts w:ascii="Calibri" w:eastAsia="Calibri" w:hAnsi="Calibri" w:cs="Times New Roman"/>
      <w:color w:val="00000A"/>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6721">
      <w:bodyDiv w:val="1"/>
      <w:marLeft w:val="0"/>
      <w:marRight w:val="0"/>
      <w:marTop w:val="0"/>
      <w:marBottom w:val="0"/>
      <w:divBdr>
        <w:top w:val="none" w:sz="0" w:space="0" w:color="auto"/>
        <w:left w:val="none" w:sz="0" w:space="0" w:color="auto"/>
        <w:bottom w:val="none" w:sz="0" w:space="0" w:color="auto"/>
        <w:right w:val="none" w:sz="0" w:space="0" w:color="auto"/>
      </w:divBdr>
    </w:div>
    <w:div w:id="116722326">
      <w:bodyDiv w:val="1"/>
      <w:marLeft w:val="0"/>
      <w:marRight w:val="0"/>
      <w:marTop w:val="0"/>
      <w:marBottom w:val="0"/>
      <w:divBdr>
        <w:top w:val="none" w:sz="0" w:space="0" w:color="auto"/>
        <w:left w:val="none" w:sz="0" w:space="0" w:color="auto"/>
        <w:bottom w:val="none" w:sz="0" w:space="0" w:color="auto"/>
        <w:right w:val="none" w:sz="0" w:space="0" w:color="auto"/>
      </w:divBdr>
    </w:div>
    <w:div w:id="190605488">
      <w:bodyDiv w:val="1"/>
      <w:marLeft w:val="0"/>
      <w:marRight w:val="0"/>
      <w:marTop w:val="0"/>
      <w:marBottom w:val="0"/>
      <w:divBdr>
        <w:top w:val="none" w:sz="0" w:space="0" w:color="auto"/>
        <w:left w:val="none" w:sz="0" w:space="0" w:color="auto"/>
        <w:bottom w:val="none" w:sz="0" w:space="0" w:color="auto"/>
        <w:right w:val="none" w:sz="0" w:space="0" w:color="auto"/>
      </w:divBdr>
    </w:div>
    <w:div w:id="197085605">
      <w:bodyDiv w:val="1"/>
      <w:marLeft w:val="0"/>
      <w:marRight w:val="0"/>
      <w:marTop w:val="0"/>
      <w:marBottom w:val="0"/>
      <w:divBdr>
        <w:top w:val="none" w:sz="0" w:space="0" w:color="auto"/>
        <w:left w:val="none" w:sz="0" w:space="0" w:color="auto"/>
        <w:bottom w:val="none" w:sz="0" w:space="0" w:color="auto"/>
        <w:right w:val="none" w:sz="0" w:space="0" w:color="auto"/>
      </w:divBdr>
    </w:div>
    <w:div w:id="216937196">
      <w:bodyDiv w:val="1"/>
      <w:marLeft w:val="0"/>
      <w:marRight w:val="0"/>
      <w:marTop w:val="0"/>
      <w:marBottom w:val="0"/>
      <w:divBdr>
        <w:top w:val="none" w:sz="0" w:space="0" w:color="auto"/>
        <w:left w:val="none" w:sz="0" w:space="0" w:color="auto"/>
        <w:bottom w:val="none" w:sz="0" w:space="0" w:color="auto"/>
        <w:right w:val="none" w:sz="0" w:space="0" w:color="auto"/>
      </w:divBdr>
      <w:divsChild>
        <w:div w:id="753941481">
          <w:marLeft w:val="547"/>
          <w:marRight w:val="0"/>
          <w:marTop w:val="0"/>
          <w:marBottom w:val="0"/>
          <w:divBdr>
            <w:top w:val="none" w:sz="0" w:space="0" w:color="auto"/>
            <w:left w:val="none" w:sz="0" w:space="0" w:color="auto"/>
            <w:bottom w:val="none" w:sz="0" w:space="0" w:color="auto"/>
            <w:right w:val="none" w:sz="0" w:space="0" w:color="auto"/>
          </w:divBdr>
        </w:div>
        <w:div w:id="208230704">
          <w:marLeft w:val="547"/>
          <w:marRight w:val="0"/>
          <w:marTop w:val="0"/>
          <w:marBottom w:val="0"/>
          <w:divBdr>
            <w:top w:val="none" w:sz="0" w:space="0" w:color="auto"/>
            <w:left w:val="none" w:sz="0" w:space="0" w:color="auto"/>
            <w:bottom w:val="none" w:sz="0" w:space="0" w:color="auto"/>
            <w:right w:val="none" w:sz="0" w:space="0" w:color="auto"/>
          </w:divBdr>
        </w:div>
        <w:div w:id="647593101">
          <w:marLeft w:val="547"/>
          <w:marRight w:val="0"/>
          <w:marTop w:val="0"/>
          <w:marBottom w:val="0"/>
          <w:divBdr>
            <w:top w:val="none" w:sz="0" w:space="0" w:color="auto"/>
            <w:left w:val="none" w:sz="0" w:space="0" w:color="auto"/>
            <w:bottom w:val="none" w:sz="0" w:space="0" w:color="auto"/>
            <w:right w:val="none" w:sz="0" w:space="0" w:color="auto"/>
          </w:divBdr>
        </w:div>
        <w:div w:id="123155132">
          <w:marLeft w:val="547"/>
          <w:marRight w:val="0"/>
          <w:marTop w:val="0"/>
          <w:marBottom w:val="0"/>
          <w:divBdr>
            <w:top w:val="none" w:sz="0" w:space="0" w:color="auto"/>
            <w:left w:val="none" w:sz="0" w:space="0" w:color="auto"/>
            <w:bottom w:val="none" w:sz="0" w:space="0" w:color="auto"/>
            <w:right w:val="none" w:sz="0" w:space="0" w:color="auto"/>
          </w:divBdr>
        </w:div>
        <w:div w:id="526450960">
          <w:marLeft w:val="547"/>
          <w:marRight w:val="0"/>
          <w:marTop w:val="0"/>
          <w:marBottom w:val="0"/>
          <w:divBdr>
            <w:top w:val="none" w:sz="0" w:space="0" w:color="auto"/>
            <w:left w:val="none" w:sz="0" w:space="0" w:color="auto"/>
            <w:bottom w:val="none" w:sz="0" w:space="0" w:color="auto"/>
            <w:right w:val="none" w:sz="0" w:space="0" w:color="auto"/>
          </w:divBdr>
        </w:div>
        <w:div w:id="1608732012">
          <w:marLeft w:val="547"/>
          <w:marRight w:val="0"/>
          <w:marTop w:val="0"/>
          <w:marBottom w:val="0"/>
          <w:divBdr>
            <w:top w:val="none" w:sz="0" w:space="0" w:color="auto"/>
            <w:left w:val="none" w:sz="0" w:space="0" w:color="auto"/>
            <w:bottom w:val="none" w:sz="0" w:space="0" w:color="auto"/>
            <w:right w:val="none" w:sz="0" w:space="0" w:color="auto"/>
          </w:divBdr>
        </w:div>
        <w:div w:id="1531913253">
          <w:marLeft w:val="547"/>
          <w:marRight w:val="0"/>
          <w:marTop w:val="0"/>
          <w:marBottom w:val="0"/>
          <w:divBdr>
            <w:top w:val="none" w:sz="0" w:space="0" w:color="auto"/>
            <w:left w:val="none" w:sz="0" w:space="0" w:color="auto"/>
            <w:bottom w:val="none" w:sz="0" w:space="0" w:color="auto"/>
            <w:right w:val="none" w:sz="0" w:space="0" w:color="auto"/>
          </w:divBdr>
        </w:div>
        <w:div w:id="991446580">
          <w:marLeft w:val="547"/>
          <w:marRight w:val="0"/>
          <w:marTop w:val="0"/>
          <w:marBottom w:val="0"/>
          <w:divBdr>
            <w:top w:val="none" w:sz="0" w:space="0" w:color="auto"/>
            <w:left w:val="none" w:sz="0" w:space="0" w:color="auto"/>
            <w:bottom w:val="none" w:sz="0" w:space="0" w:color="auto"/>
            <w:right w:val="none" w:sz="0" w:space="0" w:color="auto"/>
          </w:divBdr>
        </w:div>
        <w:div w:id="1952007883">
          <w:marLeft w:val="547"/>
          <w:marRight w:val="0"/>
          <w:marTop w:val="0"/>
          <w:marBottom w:val="0"/>
          <w:divBdr>
            <w:top w:val="none" w:sz="0" w:space="0" w:color="auto"/>
            <w:left w:val="none" w:sz="0" w:space="0" w:color="auto"/>
            <w:bottom w:val="none" w:sz="0" w:space="0" w:color="auto"/>
            <w:right w:val="none" w:sz="0" w:space="0" w:color="auto"/>
          </w:divBdr>
        </w:div>
        <w:div w:id="547373163">
          <w:marLeft w:val="547"/>
          <w:marRight w:val="0"/>
          <w:marTop w:val="0"/>
          <w:marBottom w:val="0"/>
          <w:divBdr>
            <w:top w:val="none" w:sz="0" w:space="0" w:color="auto"/>
            <w:left w:val="none" w:sz="0" w:space="0" w:color="auto"/>
            <w:bottom w:val="none" w:sz="0" w:space="0" w:color="auto"/>
            <w:right w:val="none" w:sz="0" w:space="0" w:color="auto"/>
          </w:divBdr>
        </w:div>
        <w:div w:id="1211188138">
          <w:marLeft w:val="547"/>
          <w:marRight w:val="0"/>
          <w:marTop w:val="0"/>
          <w:marBottom w:val="0"/>
          <w:divBdr>
            <w:top w:val="none" w:sz="0" w:space="0" w:color="auto"/>
            <w:left w:val="none" w:sz="0" w:space="0" w:color="auto"/>
            <w:bottom w:val="none" w:sz="0" w:space="0" w:color="auto"/>
            <w:right w:val="none" w:sz="0" w:space="0" w:color="auto"/>
          </w:divBdr>
        </w:div>
        <w:div w:id="318583391">
          <w:marLeft w:val="547"/>
          <w:marRight w:val="0"/>
          <w:marTop w:val="0"/>
          <w:marBottom w:val="0"/>
          <w:divBdr>
            <w:top w:val="none" w:sz="0" w:space="0" w:color="auto"/>
            <w:left w:val="none" w:sz="0" w:space="0" w:color="auto"/>
            <w:bottom w:val="none" w:sz="0" w:space="0" w:color="auto"/>
            <w:right w:val="none" w:sz="0" w:space="0" w:color="auto"/>
          </w:divBdr>
        </w:div>
      </w:divsChild>
    </w:div>
    <w:div w:id="359862783">
      <w:bodyDiv w:val="1"/>
      <w:marLeft w:val="0"/>
      <w:marRight w:val="0"/>
      <w:marTop w:val="0"/>
      <w:marBottom w:val="0"/>
      <w:divBdr>
        <w:top w:val="none" w:sz="0" w:space="0" w:color="auto"/>
        <w:left w:val="none" w:sz="0" w:space="0" w:color="auto"/>
        <w:bottom w:val="none" w:sz="0" w:space="0" w:color="auto"/>
        <w:right w:val="none" w:sz="0" w:space="0" w:color="auto"/>
      </w:divBdr>
    </w:div>
    <w:div w:id="414134003">
      <w:bodyDiv w:val="1"/>
      <w:marLeft w:val="0"/>
      <w:marRight w:val="0"/>
      <w:marTop w:val="0"/>
      <w:marBottom w:val="0"/>
      <w:divBdr>
        <w:top w:val="none" w:sz="0" w:space="0" w:color="auto"/>
        <w:left w:val="none" w:sz="0" w:space="0" w:color="auto"/>
        <w:bottom w:val="none" w:sz="0" w:space="0" w:color="auto"/>
        <w:right w:val="none" w:sz="0" w:space="0" w:color="auto"/>
      </w:divBdr>
    </w:div>
    <w:div w:id="438111178">
      <w:bodyDiv w:val="1"/>
      <w:marLeft w:val="0"/>
      <w:marRight w:val="0"/>
      <w:marTop w:val="0"/>
      <w:marBottom w:val="0"/>
      <w:divBdr>
        <w:top w:val="none" w:sz="0" w:space="0" w:color="auto"/>
        <w:left w:val="none" w:sz="0" w:space="0" w:color="auto"/>
        <w:bottom w:val="none" w:sz="0" w:space="0" w:color="auto"/>
        <w:right w:val="none" w:sz="0" w:space="0" w:color="auto"/>
      </w:divBdr>
    </w:div>
    <w:div w:id="639530870">
      <w:bodyDiv w:val="1"/>
      <w:marLeft w:val="0"/>
      <w:marRight w:val="0"/>
      <w:marTop w:val="0"/>
      <w:marBottom w:val="0"/>
      <w:divBdr>
        <w:top w:val="none" w:sz="0" w:space="0" w:color="auto"/>
        <w:left w:val="none" w:sz="0" w:space="0" w:color="auto"/>
        <w:bottom w:val="none" w:sz="0" w:space="0" w:color="auto"/>
        <w:right w:val="none" w:sz="0" w:space="0" w:color="auto"/>
      </w:divBdr>
    </w:div>
    <w:div w:id="651182573">
      <w:bodyDiv w:val="1"/>
      <w:marLeft w:val="0"/>
      <w:marRight w:val="0"/>
      <w:marTop w:val="0"/>
      <w:marBottom w:val="0"/>
      <w:divBdr>
        <w:top w:val="none" w:sz="0" w:space="0" w:color="auto"/>
        <w:left w:val="none" w:sz="0" w:space="0" w:color="auto"/>
        <w:bottom w:val="none" w:sz="0" w:space="0" w:color="auto"/>
        <w:right w:val="none" w:sz="0" w:space="0" w:color="auto"/>
      </w:divBdr>
    </w:div>
    <w:div w:id="654531187">
      <w:bodyDiv w:val="1"/>
      <w:marLeft w:val="0"/>
      <w:marRight w:val="0"/>
      <w:marTop w:val="0"/>
      <w:marBottom w:val="0"/>
      <w:divBdr>
        <w:top w:val="none" w:sz="0" w:space="0" w:color="auto"/>
        <w:left w:val="none" w:sz="0" w:space="0" w:color="auto"/>
        <w:bottom w:val="none" w:sz="0" w:space="0" w:color="auto"/>
        <w:right w:val="none" w:sz="0" w:space="0" w:color="auto"/>
      </w:divBdr>
    </w:div>
    <w:div w:id="716321278">
      <w:bodyDiv w:val="1"/>
      <w:marLeft w:val="0"/>
      <w:marRight w:val="0"/>
      <w:marTop w:val="0"/>
      <w:marBottom w:val="0"/>
      <w:divBdr>
        <w:top w:val="none" w:sz="0" w:space="0" w:color="auto"/>
        <w:left w:val="none" w:sz="0" w:space="0" w:color="auto"/>
        <w:bottom w:val="none" w:sz="0" w:space="0" w:color="auto"/>
        <w:right w:val="none" w:sz="0" w:space="0" w:color="auto"/>
      </w:divBdr>
    </w:div>
    <w:div w:id="724185910">
      <w:bodyDiv w:val="1"/>
      <w:marLeft w:val="0"/>
      <w:marRight w:val="0"/>
      <w:marTop w:val="0"/>
      <w:marBottom w:val="0"/>
      <w:divBdr>
        <w:top w:val="none" w:sz="0" w:space="0" w:color="auto"/>
        <w:left w:val="none" w:sz="0" w:space="0" w:color="auto"/>
        <w:bottom w:val="none" w:sz="0" w:space="0" w:color="auto"/>
        <w:right w:val="none" w:sz="0" w:space="0" w:color="auto"/>
      </w:divBdr>
    </w:div>
    <w:div w:id="725032372">
      <w:bodyDiv w:val="1"/>
      <w:marLeft w:val="0"/>
      <w:marRight w:val="0"/>
      <w:marTop w:val="0"/>
      <w:marBottom w:val="0"/>
      <w:divBdr>
        <w:top w:val="none" w:sz="0" w:space="0" w:color="auto"/>
        <w:left w:val="none" w:sz="0" w:space="0" w:color="auto"/>
        <w:bottom w:val="none" w:sz="0" w:space="0" w:color="auto"/>
        <w:right w:val="none" w:sz="0" w:space="0" w:color="auto"/>
      </w:divBdr>
    </w:div>
    <w:div w:id="769591536">
      <w:bodyDiv w:val="1"/>
      <w:marLeft w:val="0"/>
      <w:marRight w:val="0"/>
      <w:marTop w:val="0"/>
      <w:marBottom w:val="0"/>
      <w:divBdr>
        <w:top w:val="none" w:sz="0" w:space="0" w:color="auto"/>
        <w:left w:val="none" w:sz="0" w:space="0" w:color="auto"/>
        <w:bottom w:val="none" w:sz="0" w:space="0" w:color="auto"/>
        <w:right w:val="none" w:sz="0" w:space="0" w:color="auto"/>
      </w:divBdr>
    </w:div>
    <w:div w:id="773669713">
      <w:bodyDiv w:val="1"/>
      <w:marLeft w:val="0"/>
      <w:marRight w:val="0"/>
      <w:marTop w:val="0"/>
      <w:marBottom w:val="0"/>
      <w:divBdr>
        <w:top w:val="none" w:sz="0" w:space="0" w:color="auto"/>
        <w:left w:val="none" w:sz="0" w:space="0" w:color="auto"/>
        <w:bottom w:val="none" w:sz="0" w:space="0" w:color="auto"/>
        <w:right w:val="none" w:sz="0" w:space="0" w:color="auto"/>
      </w:divBdr>
    </w:div>
    <w:div w:id="833379776">
      <w:bodyDiv w:val="1"/>
      <w:marLeft w:val="0"/>
      <w:marRight w:val="0"/>
      <w:marTop w:val="0"/>
      <w:marBottom w:val="0"/>
      <w:divBdr>
        <w:top w:val="none" w:sz="0" w:space="0" w:color="auto"/>
        <w:left w:val="none" w:sz="0" w:space="0" w:color="auto"/>
        <w:bottom w:val="none" w:sz="0" w:space="0" w:color="auto"/>
        <w:right w:val="none" w:sz="0" w:space="0" w:color="auto"/>
      </w:divBdr>
    </w:div>
    <w:div w:id="839589978">
      <w:bodyDiv w:val="1"/>
      <w:marLeft w:val="0"/>
      <w:marRight w:val="0"/>
      <w:marTop w:val="0"/>
      <w:marBottom w:val="0"/>
      <w:divBdr>
        <w:top w:val="none" w:sz="0" w:space="0" w:color="auto"/>
        <w:left w:val="none" w:sz="0" w:space="0" w:color="auto"/>
        <w:bottom w:val="none" w:sz="0" w:space="0" w:color="auto"/>
        <w:right w:val="none" w:sz="0" w:space="0" w:color="auto"/>
      </w:divBdr>
    </w:div>
    <w:div w:id="860431408">
      <w:bodyDiv w:val="1"/>
      <w:marLeft w:val="0"/>
      <w:marRight w:val="0"/>
      <w:marTop w:val="0"/>
      <w:marBottom w:val="0"/>
      <w:divBdr>
        <w:top w:val="none" w:sz="0" w:space="0" w:color="auto"/>
        <w:left w:val="none" w:sz="0" w:space="0" w:color="auto"/>
        <w:bottom w:val="none" w:sz="0" w:space="0" w:color="auto"/>
        <w:right w:val="none" w:sz="0" w:space="0" w:color="auto"/>
      </w:divBdr>
    </w:div>
    <w:div w:id="904487340">
      <w:bodyDiv w:val="1"/>
      <w:marLeft w:val="0"/>
      <w:marRight w:val="0"/>
      <w:marTop w:val="0"/>
      <w:marBottom w:val="0"/>
      <w:divBdr>
        <w:top w:val="none" w:sz="0" w:space="0" w:color="auto"/>
        <w:left w:val="none" w:sz="0" w:space="0" w:color="auto"/>
        <w:bottom w:val="none" w:sz="0" w:space="0" w:color="auto"/>
        <w:right w:val="none" w:sz="0" w:space="0" w:color="auto"/>
      </w:divBdr>
    </w:div>
    <w:div w:id="992217457">
      <w:bodyDiv w:val="1"/>
      <w:marLeft w:val="0"/>
      <w:marRight w:val="0"/>
      <w:marTop w:val="0"/>
      <w:marBottom w:val="0"/>
      <w:divBdr>
        <w:top w:val="none" w:sz="0" w:space="0" w:color="auto"/>
        <w:left w:val="none" w:sz="0" w:space="0" w:color="auto"/>
        <w:bottom w:val="none" w:sz="0" w:space="0" w:color="auto"/>
        <w:right w:val="none" w:sz="0" w:space="0" w:color="auto"/>
      </w:divBdr>
    </w:div>
    <w:div w:id="993995438">
      <w:bodyDiv w:val="1"/>
      <w:marLeft w:val="0"/>
      <w:marRight w:val="0"/>
      <w:marTop w:val="0"/>
      <w:marBottom w:val="0"/>
      <w:divBdr>
        <w:top w:val="none" w:sz="0" w:space="0" w:color="auto"/>
        <w:left w:val="none" w:sz="0" w:space="0" w:color="auto"/>
        <w:bottom w:val="none" w:sz="0" w:space="0" w:color="auto"/>
        <w:right w:val="none" w:sz="0" w:space="0" w:color="auto"/>
      </w:divBdr>
    </w:div>
    <w:div w:id="1093553746">
      <w:bodyDiv w:val="1"/>
      <w:marLeft w:val="0"/>
      <w:marRight w:val="0"/>
      <w:marTop w:val="0"/>
      <w:marBottom w:val="0"/>
      <w:divBdr>
        <w:top w:val="none" w:sz="0" w:space="0" w:color="auto"/>
        <w:left w:val="none" w:sz="0" w:space="0" w:color="auto"/>
        <w:bottom w:val="none" w:sz="0" w:space="0" w:color="auto"/>
        <w:right w:val="none" w:sz="0" w:space="0" w:color="auto"/>
      </w:divBdr>
    </w:div>
    <w:div w:id="1122070760">
      <w:bodyDiv w:val="1"/>
      <w:marLeft w:val="0"/>
      <w:marRight w:val="0"/>
      <w:marTop w:val="0"/>
      <w:marBottom w:val="0"/>
      <w:divBdr>
        <w:top w:val="none" w:sz="0" w:space="0" w:color="auto"/>
        <w:left w:val="none" w:sz="0" w:space="0" w:color="auto"/>
        <w:bottom w:val="none" w:sz="0" w:space="0" w:color="auto"/>
        <w:right w:val="none" w:sz="0" w:space="0" w:color="auto"/>
      </w:divBdr>
    </w:div>
    <w:div w:id="1142775066">
      <w:bodyDiv w:val="1"/>
      <w:marLeft w:val="0"/>
      <w:marRight w:val="0"/>
      <w:marTop w:val="0"/>
      <w:marBottom w:val="0"/>
      <w:divBdr>
        <w:top w:val="none" w:sz="0" w:space="0" w:color="auto"/>
        <w:left w:val="none" w:sz="0" w:space="0" w:color="auto"/>
        <w:bottom w:val="none" w:sz="0" w:space="0" w:color="auto"/>
        <w:right w:val="none" w:sz="0" w:space="0" w:color="auto"/>
      </w:divBdr>
    </w:div>
    <w:div w:id="1291326028">
      <w:bodyDiv w:val="1"/>
      <w:marLeft w:val="0"/>
      <w:marRight w:val="0"/>
      <w:marTop w:val="0"/>
      <w:marBottom w:val="0"/>
      <w:divBdr>
        <w:top w:val="none" w:sz="0" w:space="0" w:color="auto"/>
        <w:left w:val="none" w:sz="0" w:space="0" w:color="auto"/>
        <w:bottom w:val="none" w:sz="0" w:space="0" w:color="auto"/>
        <w:right w:val="none" w:sz="0" w:space="0" w:color="auto"/>
      </w:divBdr>
      <w:divsChild>
        <w:div w:id="338822293">
          <w:marLeft w:val="0"/>
          <w:marRight w:val="0"/>
          <w:marTop w:val="0"/>
          <w:marBottom w:val="0"/>
          <w:divBdr>
            <w:top w:val="none" w:sz="0" w:space="0" w:color="auto"/>
            <w:left w:val="none" w:sz="0" w:space="0" w:color="auto"/>
            <w:bottom w:val="none" w:sz="0" w:space="0" w:color="auto"/>
            <w:right w:val="none" w:sz="0" w:space="0" w:color="auto"/>
          </w:divBdr>
          <w:divsChild>
            <w:div w:id="1903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2659">
      <w:bodyDiv w:val="1"/>
      <w:marLeft w:val="0"/>
      <w:marRight w:val="0"/>
      <w:marTop w:val="0"/>
      <w:marBottom w:val="0"/>
      <w:divBdr>
        <w:top w:val="none" w:sz="0" w:space="0" w:color="auto"/>
        <w:left w:val="none" w:sz="0" w:space="0" w:color="auto"/>
        <w:bottom w:val="none" w:sz="0" w:space="0" w:color="auto"/>
        <w:right w:val="none" w:sz="0" w:space="0" w:color="auto"/>
      </w:divBdr>
    </w:div>
    <w:div w:id="1332562375">
      <w:bodyDiv w:val="1"/>
      <w:marLeft w:val="0"/>
      <w:marRight w:val="0"/>
      <w:marTop w:val="0"/>
      <w:marBottom w:val="0"/>
      <w:divBdr>
        <w:top w:val="none" w:sz="0" w:space="0" w:color="auto"/>
        <w:left w:val="none" w:sz="0" w:space="0" w:color="auto"/>
        <w:bottom w:val="none" w:sz="0" w:space="0" w:color="auto"/>
        <w:right w:val="none" w:sz="0" w:space="0" w:color="auto"/>
      </w:divBdr>
    </w:div>
    <w:div w:id="1420786792">
      <w:bodyDiv w:val="1"/>
      <w:marLeft w:val="0"/>
      <w:marRight w:val="0"/>
      <w:marTop w:val="0"/>
      <w:marBottom w:val="0"/>
      <w:divBdr>
        <w:top w:val="none" w:sz="0" w:space="0" w:color="auto"/>
        <w:left w:val="none" w:sz="0" w:space="0" w:color="auto"/>
        <w:bottom w:val="none" w:sz="0" w:space="0" w:color="auto"/>
        <w:right w:val="none" w:sz="0" w:space="0" w:color="auto"/>
      </w:divBdr>
    </w:div>
    <w:div w:id="1496996456">
      <w:bodyDiv w:val="1"/>
      <w:marLeft w:val="0"/>
      <w:marRight w:val="0"/>
      <w:marTop w:val="0"/>
      <w:marBottom w:val="0"/>
      <w:divBdr>
        <w:top w:val="none" w:sz="0" w:space="0" w:color="auto"/>
        <w:left w:val="none" w:sz="0" w:space="0" w:color="auto"/>
        <w:bottom w:val="none" w:sz="0" w:space="0" w:color="auto"/>
        <w:right w:val="none" w:sz="0" w:space="0" w:color="auto"/>
      </w:divBdr>
    </w:div>
    <w:div w:id="1668316301">
      <w:bodyDiv w:val="1"/>
      <w:marLeft w:val="0"/>
      <w:marRight w:val="0"/>
      <w:marTop w:val="0"/>
      <w:marBottom w:val="0"/>
      <w:divBdr>
        <w:top w:val="none" w:sz="0" w:space="0" w:color="auto"/>
        <w:left w:val="none" w:sz="0" w:space="0" w:color="auto"/>
        <w:bottom w:val="none" w:sz="0" w:space="0" w:color="auto"/>
        <w:right w:val="none" w:sz="0" w:space="0" w:color="auto"/>
      </w:divBdr>
    </w:div>
    <w:div w:id="1675381218">
      <w:bodyDiv w:val="1"/>
      <w:marLeft w:val="0"/>
      <w:marRight w:val="0"/>
      <w:marTop w:val="0"/>
      <w:marBottom w:val="0"/>
      <w:divBdr>
        <w:top w:val="none" w:sz="0" w:space="0" w:color="auto"/>
        <w:left w:val="none" w:sz="0" w:space="0" w:color="auto"/>
        <w:bottom w:val="none" w:sz="0" w:space="0" w:color="auto"/>
        <w:right w:val="none" w:sz="0" w:space="0" w:color="auto"/>
      </w:divBdr>
    </w:div>
    <w:div w:id="1678118767">
      <w:bodyDiv w:val="1"/>
      <w:marLeft w:val="0"/>
      <w:marRight w:val="0"/>
      <w:marTop w:val="0"/>
      <w:marBottom w:val="0"/>
      <w:divBdr>
        <w:top w:val="none" w:sz="0" w:space="0" w:color="auto"/>
        <w:left w:val="none" w:sz="0" w:space="0" w:color="auto"/>
        <w:bottom w:val="none" w:sz="0" w:space="0" w:color="auto"/>
        <w:right w:val="none" w:sz="0" w:space="0" w:color="auto"/>
      </w:divBdr>
    </w:div>
    <w:div w:id="1682464964">
      <w:bodyDiv w:val="1"/>
      <w:marLeft w:val="0"/>
      <w:marRight w:val="0"/>
      <w:marTop w:val="0"/>
      <w:marBottom w:val="0"/>
      <w:divBdr>
        <w:top w:val="none" w:sz="0" w:space="0" w:color="auto"/>
        <w:left w:val="none" w:sz="0" w:space="0" w:color="auto"/>
        <w:bottom w:val="none" w:sz="0" w:space="0" w:color="auto"/>
        <w:right w:val="none" w:sz="0" w:space="0" w:color="auto"/>
      </w:divBdr>
    </w:div>
    <w:div w:id="1718243018">
      <w:bodyDiv w:val="1"/>
      <w:marLeft w:val="0"/>
      <w:marRight w:val="0"/>
      <w:marTop w:val="0"/>
      <w:marBottom w:val="0"/>
      <w:divBdr>
        <w:top w:val="none" w:sz="0" w:space="0" w:color="auto"/>
        <w:left w:val="none" w:sz="0" w:space="0" w:color="auto"/>
        <w:bottom w:val="none" w:sz="0" w:space="0" w:color="auto"/>
        <w:right w:val="none" w:sz="0" w:space="0" w:color="auto"/>
      </w:divBdr>
    </w:div>
    <w:div w:id="1743479214">
      <w:bodyDiv w:val="1"/>
      <w:marLeft w:val="0"/>
      <w:marRight w:val="0"/>
      <w:marTop w:val="0"/>
      <w:marBottom w:val="0"/>
      <w:divBdr>
        <w:top w:val="none" w:sz="0" w:space="0" w:color="auto"/>
        <w:left w:val="none" w:sz="0" w:space="0" w:color="auto"/>
        <w:bottom w:val="none" w:sz="0" w:space="0" w:color="auto"/>
        <w:right w:val="none" w:sz="0" w:space="0" w:color="auto"/>
      </w:divBdr>
    </w:div>
    <w:div w:id="1754930366">
      <w:bodyDiv w:val="1"/>
      <w:marLeft w:val="0"/>
      <w:marRight w:val="0"/>
      <w:marTop w:val="0"/>
      <w:marBottom w:val="0"/>
      <w:divBdr>
        <w:top w:val="none" w:sz="0" w:space="0" w:color="auto"/>
        <w:left w:val="none" w:sz="0" w:space="0" w:color="auto"/>
        <w:bottom w:val="none" w:sz="0" w:space="0" w:color="auto"/>
        <w:right w:val="none" w:sz="0" w:space="0" w:color="auto"/>
      </w:divBdr>
    </w:div>
    <w:div w:id="1793592898">
      <w:bodyDiv w:val="1"/>
      <w:marLeft w:val="0"/>
      <w:marRight w:val="0"/>
      <w:marTop w:val="0"/>
      <w:marBottom w:val="0"/>
      <w:divBdr>
        <w:top w:val="none" w:sz="0" w:space="0" w:color="auto"/>
        <w:left w:val="none" w:sz="0" w:space="0" w:color="auto"/>
        <w:bottom w:val="none" w:sz="0" w:space="0" w:color="auto"/>
        <w:right w:val="none" w:sz="0" w:space="0" w:color="auto"/>
      </w:divBdr>
    </w:div>
    <w:div w:id="1799448211">
      <w:bodyDiv w:val="1"/>
      <w:marLeft w:val="0"/>
      <w:marRight w:val="0"/>
      <w:marTop w:val="0"/>
      <w:marBottom w:val="0"/>
      <w:divBdr>
        <w:top w:val="none" w:sz="0" w:space="0" w:color="auto"/>
        <w:left w:val="none" w:sz="0" w:space="0" w:color="auto"/>
        <w:bottom w:val="none" w:sz="0" w:space="0" w:color="auto"/>
        <w:right w:val="none" w:sz="0" w:space="0" w:color="auto"/>
      </w:divBdr>
    </w:div>
    <w:div w:id="1811895380">
      <w:bodyDiv w:val="1"/>
      <w:marLeft w:val="0"/>
      <w:marRight w:val="0"/>
      <w:marTop w:val="0"/>
      <w:marBottom w:val="0"/>
      <w:divBdr>
        <w:top w:val="none" w:sz="0" w:space="0" w:color="auto"/>
        <w:left w:val="none" w:sz="0" w:space="0" w:color="auto"/>
        <w:bottom w:val="none" w:sz="0" w:space="0" w:color="auto"/>
        <w:right w:val="none" w:sz="0" w:space="0" w:color="auto"/>
      </w:divBdr>
    </w:div>
    <w:div w:id="1948076182">
      <w:bodyDiv w:val="1"/>
      <w:marLeft w:val="0"/>
      <w:marRight w:val="0"/>
      <w:marTop w:val="0"/>
      <w:marBottom w:val="0"/>
      <w:divBdr>
        <w:top w:val="none" w:sz="0" w:space="0" w:color="auto"/>
        <w:left w:val="none" w:sz="0" w:space="0" w:color="auto"/>
        <w:bottom w:val="none" w:sz="0" w:space="0" w:color="auto"/>
        <w:right w:val="none" w:sz="0" w:space="0" w:color="auto"/>
      </w:divBdr>
    </w:div>
    <w:div w:id="2018262338">
      <w:bodyDiv w:val="1"/>
      <w:marLeft w:val="0"/>
      <w:marRight w:val="0"/>
      <w:marTop w:val="0"/>
      <w:marBottom w:val="0"/>
      <w:divBdr>
        <w:top w:val="none" w:sz="0" w:space="0" w:color="auto"/>
        <w:left w:val="none" w:sz="0" w:space="0" w:color="auto"/>
        <w:bottom w:val="none" w:sz="0" w:space="0" w:color="auto"/>
        <w:right w:val="none" w:sz="0" w:space="0" w:color="auto"/>
      </w:divBdr>
    </w:div>
    <w:div w:id="2072850370">
      <w:bodyDiv w:val="1"/>
      <w:marLeft w:val="0"/>
      <w:marRight w:val="0"/>
      <w:marTop w:val="0"/>
      <w:marBottom w:val="0"/>
      <w:divBdr>
        <w:top w:val="none" w:sz="0" w:space="0" w:color="auto"/>
        <w:left w:val="none" w:sz="0" w:space="0" w:color="auto"/>
        <w:bottom w:val="none" w:sz="0" w:space="0" w:color="auto"/>
        <w:right w:val="none" w:sz="0" w:space="0" w:color="auto"/>
      </w:divBdr>
    </w:div>
    <w:div w:id="2112429475">
      <w:bodyDiv w:val="1"/>
      <w:marLeft w:val="0"/>
      <w:marRight w:val="0"/>
      <w:marTop w:val="0"/>
      <w:marBottom w:val="0"/>
      <w:divBdr>
        <w:top w:val="none" w:sz="0" w:space="0" w:color="auto"/>
        <w:left w:val="none" w:sz="0" w:space="0" w:color="auto"/>
        <w:bottom w:val="none" w:sz="0" w:space="0" w:color="auto"/>
        <w:right w:val="none" w:sz="0" w:space="0" w:color="auto"/>
      </w:divBdr>
    </w:div>
    <w:div w:id="21237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mos.gov.pl/strategie-plany-programy/krajowy-plan-gospodarki-odpadami/projekt-uchwaly-rady-ministrow-w-sprawie-krajowego-planu-gospodarki-odpadami-202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p.mos.gov.pl/strategie-plany-programy/krajowy-plan-gospodarki-odpadami/%20projekt-uchwaly-rady-ministrow-w-sprawie-krajowego-planu-gospodarki-odpadami-2028/"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A6673-B0BA-4717-A050-409F627B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4722</Words>
  <Characters>28337</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Hajto Małgorzata</dc:creator>
  <cp:lastModifiedBy>DEC Łucja</cp:lastModifiedBy>
  <cp:revision>2</cp:revision>
  <cp:lastPrinted>2023-01-18T06:55:00Z</cp:lastPrinted>
  <dcterms:created xsi:type="dcterms:W3CDTF">2023-06-16T14:09:00Z</dcterms:created>
  <dcterms:modified xsi:type="dcterms:W3CDTF">2023-06-16T14:09:00Z</dcterms:modified>
</cp:coreProperties>
</file>