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</w:p>
          <w:p w:rsidR="00A06425" w:rsidRPr="00A06425" w:rsidRDefault="00053A2E" w:rsidP="00053A2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</w:t>
            </w:r>
            <w:r w:rsidRPr="00053A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rojekt ustawy o zmianie ustawy o systemach homologacji pojazdów oraz ich wyposażenia oraz niektórych innych ustaw (UC95)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Default="00053A2E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  <w:p w:rsidR="00CA2294" w:rsidRDefault="00CA229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  <w:p w:rsidR="00CA2294" w:rsidRDefault="00CA229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KGP</w:t>
            </w:r>
          </w:p>
          <w:p w:rsidR="00CA2294" w:rsidRDefault="00CA229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  <w:p w:rsidR="00CA2294" w:rsidRPr="00A05DDA" w:rsidRDefault="00CA229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KGSG</w:t>
            </w:r>
          </w:p>
        </w:tc>
        <w:tc>
          <w:tcPr>
            <w:tcW w:w="1843" w:type="dxa"/>
            <w:shd w:val="clear" w:color="auto" w:fill="auto"/>
          </w:tcPr>
          <w:p w:rsidR="00053A2E" w:rsidRPr="00A05DDA" w:rsidRDefault="00053A2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Art. 2 w pkt 4 lit. b</w:t>
            </w:r>
          </w:p>
          <w:p w:rsidR="00A06425" w:rsidRPr="00A05DDA" w:rsidRDefault="00A06425" w:rsidP="00053A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A06425" w:rsidRDefault="00A54CA1" w:rsidP="006E73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W proponowanym brzmieniu art. 71 ust. 5b ustawy – Prawo o ruchu drogowym brakuje podnoszonego przez MSWiA na każdym etapie prac legislacyjnych, wyraźnego wskazania, że przekazywane przez Straż Graniczną informacje o dniu wjazdu pojazdu na terytorium Rzeczypospolitej Polskiej, o dniu wyjazdu pojazdu z terytorium Rzeczypospolitej Polskiej dotyczą wyłącznie przekroczeń granicy państwowej stanowiącej granicę zewnętrzną w rozumieniu przepisów rozporządzenia Parlamentu Europejskiego i Rady (UE) 2016/399 z dnia 9 marca 2016 r. w sprawie unijnego kodeksu zasad regulujących przepływ osób przez granicę. Wielokrotnie podkreślano, że Straż Graniczna może przekazywać przedmiotowe dane wyłącznie w przypadku przekroczenia przez pojazd granicy zewnętrznej Unii Europejskiej</w:t>
            </w:r>
            <w:r w:rsidR="007F0802" w:rsidRPr="00A05D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B0460A" w:rsidRPr="00A05DDA" w:rsidRDefault="00B0460A" w:rsidP="006E73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812" w:type="dxa"/>
            <w:shd w:val="clear" w:color="auto" w:fill="auto"/>
          </w:tcPr>
          <w:p w:rsidR="009C2562" w:rsidRPr="00A05DDA" w:rsidRDefault="00794667" w:rsidP="007946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Art. 71 ust. </w:t>
            </w:r>
            <w:r w:rsidR="009C2562" w:rsidRPr="00A05DDA">
              <w:rPr>
                <w:rFonts w:asciiTheme="minorHAnsi" w:hAnsiTheme="minorHAnsi" w:cstheme="minorHAnsi"/>
                <w:sz w:val="22"/>
                <w:szCs w:val="22"/>
              </w:rPr>
              <w:t>5b:</w:t>
            </w: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794667" w:rsidRPr="00A05DDA" w:rsidRDefault="00D44DCC" w:rsidP="007946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794667" w:rsidRPr="00A05DDA">
              <w:rPr>
                <w:rFonts w:asciiTheme="minorHAnsi" w:hAnsiTheme="minorHAnsi" w:cstheme="minorHAnsi"/>
                <w:sz w:val="22"/>
                <w:szCs w:val="22"/>
              </w:rPr>
              <w:t>Pojazd zarejestrowany na terytorium państwa niebędącego państwem członkowskim dopuszcza się do ruchu w okresie roku od dnia wjazdu na terytorium Rzeczypospolitej Polskiej, jeżeli właściciel lub posiadacz pojazdu nie posiada miejsca stałego zamieszkania na terytorium Rzeczypospolitej Polskiej. Informacje o:</w:t>
            </w:r>
          </w:p>
          <w:p w:rsidR="00794667" w:rsidRPr="00A05DDA" w:rsidRDefault="00794667" w:rsidP="007946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1) dniu wjazdu pojazdu na terytorium Rzeczypospolitej Polskiej lub o dniu wyjazdu pojazdu z terytorium Rzeczypospolitej Polskiej przez granicę państwową stanowiącą granicę zewnętrzną w rozumieniu rozporządzenia Parlamentu Europejskiego i Rady (UE) 2016/399 z dnia 9 marca 2016 r. w sprawie unijnego kodeksu zasad regulujących przepływ osób przez granice (kodeks graniczny </w:t>
            </w:r>
            <w:proofErr w:type="spellStart"/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Schengen</w:t>
            </w:r>
            <w:proofErr w:type="spellEnd"/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:rsidR="00794667" w:rsidRPr="00A05DDA" w:rsidRDefault="00794667" w:rsidP="007946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2) kraju rejestracji pojazdu,</w:t>
            </w:r>
          </w:p>
          <w:p w:rsidR="00794667" w:rsidRPr="00A05DDA" w:rsidRDefault="00794667" w:rsidP="007946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3) numerze rejestracyjnym pojazdu,</w:t>
            </w:r>
          </w:p>
          <w:p w:rsidR="00794667" w:rsidRPr="00A05DDA" w:rsidRDefault="00794667" w:rsidP="007946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4) danych (osobowych) kierującego pojazdem oraz czy jest on właścicielem pojazdu ujętym w dokumencie stwierdzającym dokonanie jego rejestracji</w:t>
            </w:r>
          </w:p>
          <w:p w:rsidR="00A06425" w:rsidRPr="00A05DDA" w:rsidRDefault="00794667" w:rsidP="00CA22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– są udostępniane przez Straż Graniczną Policji </w:t>
            </w:r>
            <w:r w:rsidR="00CA229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 Służbie Celno-Skarbowej w drodze teletransmisji, po spełnieniu określonych warunków</w:t>
            </w:r>
            <w:r w:rsidR="00286D10" w:rsidRPr="00A05D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44DCC" w:rsidRPr="00A05DDA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6425" w:rsidRPr="00A05DDA" w:rsidRDefault="00286D10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A05DDA" w:rsidRDefault="005673F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Art. 2 w pkt 21 lit. a</w:t>
            </w:r>
          </w:p>
        </w:tc>
        <w:tc>
          <w:tcPr>
            <w:tcW w:w="4678" w:type="dxa"/>
            <w:shd w:val="clear" w:color="auto" w:fill="auto"/>
          </w:tcPr>
          <w:p w:rsidR="00A06425" w:rsidRPr="00A05DDA" w:rsidRDefault="002574B7" w:rsidP="006E73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W a</w:t>
            </w:r>
            <w:r w:rsidR="007F0802" w:rsidRPr="00A05DDA">
              <w:rPr>
                <w:rFonts w:asciiTheme="minorHAnsi" w:hAnsiTheme="minorHAnsi" w:cstheme="minorHAnsi"/>
                <w:sz w:val="22"/>
                <w:szCs w:val="22"/>
              </w:rPr>
              <w:t>rt. 2 w pkt 21 lit. a</w:t>
            </w: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 wprowadza się nowe brzmienie art. 129b ust. 2. Jednak należy zauważyć, że w ustawie Prawo o ruchu drogowym w art. 129b ust. 2 nie ma pkt 9. </w:t>
            </w:r>
          </w:p>
        </w:tc>
        <w:tc>
          <w:tcPr>
            <w:tcW w:w="5812" w:type="dxa"/>
            <w:shd w:val="clear" w:color="auto" w:fill="auto"/>
          </w:tcPr>
          <w:p w:rsidR="00A06425" w:rsidRPr="00A05DDA" w:rsidRDefault="000C2C94" w:rsidP="000C2C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Mając na względzie treść przepisu, wydaje się, że zaproponowana zmiana brzmienia tego przepisu powinna dotyczyć art. 129 ust. 2 pkt 9.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06425" w:rsidRDefault="00286D10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  <w:p w:rsidR="00A224B6" w:rsidRDefault="00A224B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  <w:p w:rsidR="00A224B6" w:rsidRPr="00A05DDA" w:rsidRDefault="00A224B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KGP</w:t>
            </w:r>
          </w:p>
        </w:tc>
        <w:tc>
          <w:tcPr>
            <w:tcW w:w="1843" w:type="dxa"/>
            <w:shd w:val="clear" w:color="auto" w:fill="auto"/>
          </w:tcPr>
          <w:p w:rsidR="00A06425" w:rsidRPr="00A05DDA" w:rsidRDefault="008E776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Art. 2 w pkt 22</w:t>
            </w:r>
          </w:p>
        </w:tc>
        <w:tc>
          <w:tcPr>
            <w:tcW w:w="4678" w:type="dxa"/>
            <w:shd w:val="clear" w:color="auto" w:fill="auto"/>
          </w:tcPr>
          <w:p w:rsidR="00A06425" w:rsidRPr="00A05DDA" w:rsidRDefault="008E7765" w:rsidP="006E73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W celu poprawy czytelności przepisu proponuje się </w:t>
            </w:r>
            <w:r w:rsidR="00A01F59" w:rsidRPr="00A05DDA">
              <w:rPr>
                <w:rFonts w:asciiTheme="minorHAnsi" w:hAnsiTheme="minorHAnsi" w:cstheme="minorHAnsi"/>
                <w:sz w:val="22"/>
                <w:szCs w:val="22"/>
              </w:rPr>
              <w:t>zmianę brzmienia</w:t>
            </w: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 dodawanego art. 129da.</w:t>
            </w:r>
          </w:p>
        </w:tc>
        <w:tc>
          <w:tcPr>
            <w:tcW w:w="5812" w:type="dxa"/>
            <w:shd w:val="clear" w:color="auto" w:fill="auto"/>
          </w:tcPr>
          <w:p w:rsidR="00AE2550" w:rsidRPr="00A05DDA" w:rsidRDefault="00AE2550" w:rsidP="008E77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Art. 129da: </w:t>
            </w:r>
          </w:p>
          <w:p w:rsidR="008E7765" w:rsidRPr="00A05DDA" w:rsidRDefault="00AE2550" w:rsidP="008E77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„1.</w:t>
            </w:r>
            <w:r w:rsidR="008E7765"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 W wykonywaniu kontroli ruchu drogowego przez funkcjonariusza Policji, inspektora Inspekcji Transportu Drogowego lub funkcjonariusza Służby Celno-Skarbowej może </w:t>
            </w:r>
            <w:r w:rsidR="008E7765" w:rsidRPr="00A05D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uczestniczyć upoważniony przez Dyrektora Transportowego Dozoru Technicznego pracownik Transportowego Dozoru Technicznego.</w:t>
            </w:r>
          </w:p>
          <w:p w:rsidR="00A06425" w:rsidRPr="00A05DDA" w:rsidRDefault="008E7765" w:rsidP="008E77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2. Pracownik, o którym mowa w ust. 1, jest uprawniony do kontroli dokumentów związanych z ładunkiem oraz kontroli fizycznej tego ładunku, przewożonego na drogach publicznych, w zakresie przestrzegania zgodności z aktami prawnymi, dla których Dyrektor Transportowego Dozoru Technicznego jest organem nadzoru rynku, zgodnie z art. 3 ust. 3 ustawy z dnia 14 kwietnia 2023 r. o systemach homologacji pojazdów oraz ich wyposażenia.</w:t>
            </w:r>
            <w:r w:rsidR="0023386C" w:rsidRPr="00A05DDA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5DDA" w:rsidRPr="00A06425" w:rsidTr="00A06425">
        <w:tc>
          <w:tcPr>
            <w:tcW w:w="562" w:type="dxa"/>
            <w:shd w:val="clear" w:color="auto" w:fill="auto"/>
          </w:tcPr>
          <w:p w:rsidR="00A05DDA" w:rsidRPr="00A06425" w:rsidRDefault="006E7395" w:rsidP="001E6D9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05DDA" w:rsidRPr="00A05DDA" w:rsidRDefault="00A05DDA" w:rsidP="001E6D9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5DDA" w:rsidRPr="00A05DDA" w:rsidRDefault="00A05DDA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4678" w:type="dxa"/>
            <w:shd w:val="clear" w:color="auto" w:fill="auto"/>
          </w:tcPr>
          <w:p w:rsidR="00A05DDA" w:rsidRPr="00A05DDA" w:rsidRDefault="00A05DDA" w:rsidP="00A05D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zgodnie z OSR do projektu przedmiotowa regulacja nie będzie oddziaływać na limity wydatków w częściach budżetowych, dla których dysponentem jest Minister Spraw Wewnętrznych i Administracji. W związku z MSWiA przyjmuje, iż zadania jednostek resortu </w:t>
            </w:r>
            <w:proofErr w:type="spellStart"/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swia</w:t>
            </w:r>
            <w:proofErr w:type="spellEnd"/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wynikające z projektowanej ustawy zostaną sfinansowane w ramach obecnych budżetów tych jednostek. </w:t>
            </w:r>
          </w:p>
          <w:p w:rsidR="00A05DDA" w:rsidRPr="00A05DDA" w:rsidRDefault="00A05DDA" w:rsidP="00A05D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Niemniej wskazać należy, iż w OSR do projektu w wierszu „Źródła finansowania” wskazuje się jedynie oddziaływanie na Straż Graniczną, natomiast w wierszu „Dodatkowe informacje, w tym…” opisuje się poza oddziaływaniem na Straż Graniczną także odziaływanie na Policję. W związku z tym wiersz „Źródła finansowania” należałoby uzupełnić o informacje w ww. zakresie dotyczącym Policji. </w:t>
            </w:r>
          </w:p>
          <w:p w:rsidR="00A05DDA" w:rsidRPr="00A05DDA" w:rsidRDefault="00A05DDA" w:rsidP="00A05D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Jednocześnie z informacji zawartych w OSR dotyczących Policji wynika, iż może zajść potrzeba dostosowania systemu Policji do systemu Zintegrowanego Archiwum Odpraw i </w:t>
            </w:r>
            <w:proofErr w:type="spellStart"/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Legitymowań</w:t>
            </w:r>
            <w:proofErr w:type="spellEnd"/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ZAOiL</w:t>
            </w:r>
            <w:proofErr w:type="spellEnd"/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), co będzie rodzić określone skutki finansowe. Zgodnie natomiast z rekomendacjami dotyczącymi właściwego wypełnienia OSR przekazanymi przez KPRM za pismem z dnia 8 czerwca 2026 r. znak: DORA.WK.0650.2.2026 należałoby jak się wydaje 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w OSR wskazaną kwestię opisać zgodnie z pkt III tabeli ww. rekomendacji określającej sposób wypełnienia pkt 6 OSR dla różnych scenariuszy wydatkowych. </w:t>
            </w:r>
          </w:p>
          <w:p w:rsidR="00A05DDA" w:rsidRPr="00A05DDA" w:rsidRDefault="00A05DDA" w:rsidP="00A05D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Jednocześnie należałoby zweryfikować, czy podobnego opisu nie należałoby zrobić także w stosunku do Straży Granicznej, gdyż obecne informacje w pkt 6 OSR dotyczące tej formacji są lakoniczne.</w:t>
            </w:r>
          </w:p>
        </w:tc>
        <w:tc>
          <w:tcPr>
            <w:tcW w:w="5812" w:type="dxa"/>
            <w:shd w:val="clear" w:color="auto" w:fill="auto"/>
          </w:tcPr>
          <w:p w:rsidR="00A05DDA" w:rsidRPr="00A05DDA" w:rsidRDefault="00A05DDA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5DDA" w:rsidRPr="00A06425" w:rsidRDefault="00A05DDA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6D9B" w:rsidRPr="00A06425" w:rsidTr="00A06425">
        <w:tc>
          <w:tcPr>
            <w:tcW w:w="562" w:type="dxa"/>
            <w:shd w:val="clear" w:color="auto" w:fill="auto"/>
          </w:tcPr>
          <w:p w:rsidR="001E6D9B" w:rsidRPr="00A06425" w:rsidRDefault="006E7395" w:rsidP="001E6D9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E6D9B" w:rsidRPr="00A05DDA" w:rsidRDefault="001E6D9B" w:rsidP="001E6D9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05DDA">
              <w:rPr>
                <w:rFonts w:asciiTheme="minorHAnsi" w:hAnsiTheme="minorHAnsi" w:cstheme="minorHAnsi"/>
                <w:b/>
                <w:sz w:val="22"/>
                <w:szCs w:val="22"/>
              </w:rPr>
              <w:t>UdSC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E6D9B" w:rsidRPr="00A05DDA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Art. 12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(przepis przejściowy)</w:t>
            </w:r>
          </w:p>
        </w:tc>
        <w:tc>
          <w:tcPr>
            <w:tcW w:w="4678" w:type="dxa"/>
            <w:shd w:val="clear" w:color="auto" w:fill="auto"/>
          </w:tcPr>
          <w:p w:rsidR="001E6D9B" w:rsidRPr="00A05DDA" w:rsidRDefault="001E6D9B" w:rsidP="001E6D9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opinii Szefa Urzędu do Spraw Cudzoziemców należy podtrzymać uwagę zgłoszoną do art. 12 projektowanej ustawy (przepis przejściowy) w zakresie 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  <w:t xml:space="preserve">uzupełnienia ww. przepisu o odniesienie do wniosku o udzielenie zezwolenia na pobyt rezydenta długoterminowego Unii Europejskiej 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  <w:t xml:space="preserve"> 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jak uczyniono w dodawanym ust. 1c w art. 73aa ustawy o systemach homologacji pojazdów oraz ich wyposażenia, 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  <w:t>jak również o odniesienie do udzielenia tego zezwolenia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Dodatkowo, zwraca się uwagę, że zgodnie z terminologią przyjętą w ustawie z dnia 12 grudnia 2013 r. o cudzoziemcach (Dz. U. z 2025 r. poz. 1079, z </w:t>
            </w:r>
            <w:proofErr w:type="spellStart"/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późn</w:t>
            </w:r>
            <w:proofErr w:type="spellEnd"/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zm.) zezwolenie na pobyt czasowy, pobyt stały lub pobyt rezydenta długoterminowego UE „jest udzielane”. A zatem należy 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  <w:t>przeredagować treść art. 12 w taki sposób, by określenie „który uzyskał” zastąpić określeniem „któremu udzielono zezwolenia …”.</w:t>
            </w:r>
          </w:p>
          <w:p w:rsidR="001E6D9B" w:rsidRPr="00A05DDA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1E6D9B" w:rsidRPr="00A05DDA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1E6D9B" w:rsidRPr="00A06425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6D9B" w:rsidRPr="00A06425" w:rsidTr="00A06425">
        <w:tc>
          <w:tcPr>
            <w:tcW w:w="562" w:type="dxa"/>
            <w:shd w:val="clear" w:color="auto" w:fill="auto"/>
          </w:tcPr>
          <w:p w:rsidR="001E6D9B" w:rsidRPr="00A06425" w:rsidRDefault="006E7395" w:rsidP="001E6D9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E6D9B" w:rsidRPr="00A05DDA" w:rsidRDefault="001E6D9B" w:rsidP="001E6D9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05DDA">
              <w:rPr>
                <w:rFonts w:asciiTheme="minorHAnsi" w:hAnsiTheme="minorHAnsi" w:cstheme="minorHAnsi"/>
                <w:b/>
                <w:sz w:val="22"/>
                <w:szCs w:val="22"/>
              </w:rPr>
              <w:t>UdSC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E6D9B" w:rsidRPr="00A05DDA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 xml:space="preserve">Uwaga </w:t>
            </w:r>
          </w:p>
          <w:p w:rsidR="001E6D9B" w:rsidRPr="00A05DDA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sz w:val="22"/>
                <w:szCs w:val="22"/>
              </w:rPr>
              <w:t>o charakterze ogólnym</w:t>
            </w:r>
          </w:p>
          <w:p w:rsidR="001E6D9B" w:rsidRPr="00A05DDA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1E6D9B" w:rsidRPr="00A05DDA" w:rsidRDefault="001E6D9B" w:rsidP="001E6D9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opinii Szefa Urzędu do Spraw Cudzoziemców należy wskazać, iż zaproponowane w projekcie ustawy rozwiązanie wprowadzane za pośrednictwem projektowanego art. 73aa ust. 1c może generować potrzebę uzyskania dostępu do danych zgromadzonych w krajowym zbiorze rejestrów, ewidencji i wykazu w sprawach cudzoziemców prowadzonym w systemie teleinformatycznym przez Szefa Urzędu do Spraw Cudzoziemców także innym podmiotom niż </w:t>
            </w: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aktualnie przewiduje ustawa o cudzoziemcach i ewentualnie konieczność prowadzenia dalszych prac rozwojowych nad tym systemem. </w:t>
            </w:r>
          </w:p>
          <w:p w:rsidR="001E6D9B" w:rsidRPr="00A05DDA" w:rsidRDefault="001E6D9B" w:rsidP="001E6D9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05D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Powyższa kwestia wymaga dalszej analizy, w celu umożliwienia realizacji uregulowań ww. art. 73aa ust. 1c.</w:t>
            </w:r>
          </w:p>
          <w:p w:rsidR="001E6D9B" w:rsidRPr="00A05DDA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1E6D9B" w:rsidRPr="00A05DDA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1E6D9B" w:rsidRPr="00A06425" w:rsidRDefault="001E6D9B" w:rsidP="001E6D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53A2E"/>
    <w:rsid w:val="000C2C94"/>
    <w:rsid w:val="00140BE8"/>
    <w:rsid w:val="0019648E"/>
    <w:rsid w:val="001E66F3"/>
    <w:rsid w:val="001E6D9B"/>
    <w:rsid w:val="0023386C"/>
    <w:rsid w:val="0025681C"/>
    <w:rsid w:val="002574B7"/>
    <w:rsid w:val="002715B2"/>
    <w:rsid w:val="00286D10"/>
    <w:rsid w:val="002D61F8"/>
    <w:rsid w:val="003124D1"/>
    <w:rsid w:val="003B4105"/>
    <w:rsid w:val="004D086F"/>
    <w:rsid w:val="0055474D"/>
    <w:rsid w:val="005673F3"/>
    <w:rsid w:val="005F2245"/>
    <w:rsid w:val="005F6527"/>
    <w:rsid w:val="006705EC"/>
    <w:rsid w:val="006C07C5"/>
    <w:rsid w:val="006C4334"/>
    <w:rsid w:val="006E16E9"/>
    <w:rsid w:val="006E7395"/>
    <w:rsid w:val="00734CEC"/>
    <w:rsid w:val="00794667"/>
    <w:rsid w:val="007F0802"/>
    <w:rsid w:val="00807385"/>
    <w:rsid w:val="008E7765"/>
    <w:rsid w:val="00944932"/>
    <w:rsid w:val="009C2562"/>
    <w:rsid w:val="009E5FDB"/>
    <w:rsid w:val="00A01F59"/>
    <w:rsid w:val="00A05DDA"/>
    <w:rsid w:val="00A06425"/>
    <w:rsid w:val="00A102E0"/>
    <w:rsid w:val="00A224B6"/>
    <w:rsid w:val="00A54CA1"/>
    <w:rsid w:val="00AC7796"/>
    <w:rsid w:val="00AE2550"/>
    <w:rsid w:val="00B0460A"/>
    <w:rsid w:val="00B871B6"/>
    <w:rsid w:val="00C06423"/>
    <w:rsid w:val="00C64B1B"/>
    <w:rsid w:val="00CA2294"/>
    <w:rsid w:val="00CD5EB0"/>
    <w:rsid w:val="00D44DCC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739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915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Kołtunowicz Anna</cp:lastModifiedBy>
  <cp:revision>9</cp:revision>
  <cp:lastPrinted>2026-07-14T06:11:00Z</cp:lastPrinted>
  <dcterms:created xsi:type="dcterms:W3CDTF">2026-07-13T06:33:00Z</dcterms:created>
  <dcterms:modified xsi:type="dcterms:W3CDTF">2026-07-14T06:48:00Z</dcterms:modified>
</cp:coreProperties>
</file>