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9D" w:rsidRPr="007E3B9D" w:rsidRDefault="000E2DFE" w:rsidP="007E3B9D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7E3B9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7E3B9D" w:rsidRPr="007E3B9D" w:rsidRDefault="000E2DF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7E3B9D" w:rsidRPr="007E3B9D" w:rsidRDefault="000E2DFE" w:rsidP="007E3B9D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E3B9D" w:rsidRPr="007E3B9D" w:rsidRDefault="000E2DF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E3B9D" w:rsidRPr="007E3B9D" w:rsidRDefault="000E2DF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E3B9D" w:rsidRPr="007E3B9D" w:rsidRDefault="000E2DF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E3B9D" w:rsidRPr="007E3B9D" w:rsidRDefault="000E2DFE" w:rsidP="007E3B9D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Warszawa, </w:t>
      </w:r>
      <w:bookmarkStart w:id="0" w:name="ezdDataPodpisu"/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18 października 2021 r.</w:t>
      </w:r>
      <w:bookmarkEnd w:id="0"/>
    </w:p>
    <w:p w:rsidR="007E3B9D" w:rsidRPr="007E3B9D" w:rsidRDefault="000E2DF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WNP-I.4131.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.2021.ML</w:t>
      </w:r>
    </w:p>
    <w:bookmarkEnd w:id="1"/>
    <w:p w:rsidR="007E3B9D" w:rsidRPr="007E3B9D" w:rsidRDefault="000E2DFE" w:rsidP="00554C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04C2E" w:rsidRDefault="000E2DFE" w:rsidP="00554C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Miejska </w:t>
      </w:r>
    </w:p>
    <w:p w:rsidR="00E04C2E" w:rsidRDefault="000E2DFE" w:rsidP="00554C1D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Nowym Dworze Mazowieckim</w:t>
      </w:r>
    </w:p>
    <w:p w:rsidR="00554C1D" w:rsidRPr="00564BF4" w:rsidRDefault="000E2DFE" w:rsidP="00554C1D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Zakroczymska 30</w:t>
      </w:r>
    </w:p>
    <w:p w:rsidR="00554C1D" w:rsidRPr="00564BF4" w:rsidRDefault="000E2DFE" w:rsidP="00554C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05-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100</w:t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Nowy Dwór Mazowiecki</w:t>
      </w:r>
    </w:p>
    <w:p w:rsidR="007E3B9D" w:rsidRPr="007E3B9D" w:rsidRDefault="000E2DFE" w:rsidP="007E3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7E3B9D" w:rsidRPr="007E3B9D" w:rsidRDefault="000E2DF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91 ust. 1, w związku z art. 86 ustawy z dnia 8 marca 1990 r. 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samorządzie gminnym (Dz. U. z 2021 r. poz. 1372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E3B9D" w:rsidRPr="007E3B9D" w:rsidRDefault="000E2DF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stwierdzam </w:t>
      </w: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nieważność</w:t>
      </w:r>
    </w:p>
    <w:p w:rsidR="007E3B9D" w:rsidRPr="007E3B9D" w:rsidRDefault="000E2DFE" w:rsidP="007E3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5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8517908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bookmarkStart w:id="3" w:name="_Hlk85093842"/>
      <w:bookmarkStart w:id="4" w:name="_Hlk8509416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XXV/3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/2021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16 września 2021 r. </w:t>
      </w:r>
      <w:bookmarkStart w:id="5" w:name="_Hlk85093864"/>
      <w:r w:rsidRPr="00840F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</w:t>
      </w:r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ustalenia zasad ponoszenia odpłatności za pobyt w ośrodku wsparcia „Klub Senior +”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realizowanego w ramach Programu Wieloletniego Senior + na lata 2021-2025 działającego w struktu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rze Ośrodka Pomocy Społecznej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Nowym Dworze Mazowieckim.</w:t>
      </w:r>
    </w:p>
    <w:bookmarkEnd w:id="2"/>
    <w:p w:rsidR="004D673F" w:rsidRDefault="000E2DFE" w:rsidP="007E3B9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6FCD" w:rsidRDefault="000E2DFE" w:rsidP="004D673F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7C12DA" w:rsidRPr="007E3B9D" w:rsidRDefault="000E2DFE" w:rsidP="004D673F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7157" w:rsidRPr="007E3B9D" w:rsidRDefault="000E2DFE" w:rsidP="00F571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sesji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 września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w Nowym Dworze Mazowieckim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podjęła uchwałę</w:t>
      </w:r>
      <w:bookmarkStart w:id="6" w:name="_Hlk85099611"/>
      <w:r w:rsidRPr="00F57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XXV/339/2021 </w:t>
      </w:r>
      <w:r w:rsidRPr="00840F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ustalenia zasad ponoszenia odpłatności za pobyt w ośrodku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wsparcia „Klub Senior +”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realizowanego w ramach Programu Wieloletniego Senior + na lata 2021-2025 działającego w strukturze Ośrodka Pomocy Społecznej w Nowym Dworze Mazowieckim.</w:t>
      </w:r>
    </w:p>
    <w:bookmarkEnd w:id="6"/>
    <w:p w:rsidR="00221097" w:rsidRPr="00A730A8" w:rsidRDefault="000E2DFE" w:rsidP="00A730A8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>Jako podstawę prawną uchwały wskazano w niej art.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18 ust. 2 pkt 15, art. 40 us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t. 1 i art.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41  ust. 1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ustawy o samorządzie gminnym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oraz </w:t>
      </w:r>
      <w:bookmarkStart w:id="7" w:name="_Hlk85187494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>art. 97 ust. 5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bookmarkEnd w:id="7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>ustawy z dnia 1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2 marca 2004 r. o pomocy społecznej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(Dz.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U. z 202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1876, z późn. zm.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, zwaną dalej: </w:t>
      </w:r>
      <w:r w:rsidRPr="00E31414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„uops”</w:t>
      </w:r>
      <w:r w:rsidRPr="00E31414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</w:p>
    <w:p w:rsidR="001024FD" w:rsidRDefault="000E2DFE" w:rsidP="00FB2D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97 ust. 5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powiatu lub rada gminy w drodze uchwały ustala,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zadań własnych, szczegółowe zasady ponoszenia odpłatności za pobyt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ośrodkach wsparcia i mieszkaniach chronionych.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Ośrodkiem wsparcia, stosownie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zaś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art. 51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i 3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FC28AB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C2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C2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8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pomocy społecznej</w:t>
      </w:r>
      <w:r w:rsidRPr="00FC2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dziennego 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</w:t>
      </w:r>
      <w:r w:rsidRPr="00FC2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prowadzone miejsca całodobowe okresowego pobytu.</w:t>
      </w:r>
    </w:p>
    <w:p w:rsidR="00B92A0F" w:rsidRDefault="000E2DFE" w:rsidP="00B92A0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Przedmiotową uchwałą Rada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Miejska ustaliła szczegółowe zasady ponoszenia odpłatności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br/>
        <w:t>za pobyt uczestników w ośrodku wsparcia „K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lub Senior+” (Klub Seniora).</w:t>
      </w:r>
    </w:p>
    <w:p w:rsidR="00FB2D00" w:rsidRDefault="000E2DFE" w:rsidP="00B92A0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§ 2 ust. 5 uchwały Rada Miejska przyjęła: </w:t>
      </w:r>
      <w:r w:rsidRPr="004502AE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 xml:space="preserve">„W szczególnie uzasadnionych przypadkach osoba zainteresowana może być, na jej wniosek lub na wniosek pracownika socjalnego, zwolniona 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br/>
      </w:r>
      <w:r w:rsidRPr="004502AE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 xml:space="preserve">w całości lub w części z obowiązku ponoszenia </w:t>
      </w:r>
      <w:r w:rsidRPr="004502AE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odpłatności na czas określony.”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 xml:space="preserve"> </w:t>
      </w:r>
    </w:p>
    <w:p w:rsidR="00712AC0" w:rsidRPr="00FB2D00" w:rsidRDefault="000E2DFE" w:rsidP="00FB2D00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stanowi zasady ponoszenia odpłatności,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ustanawia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 lub częściowe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zwolnienie z ponoszenia opłaty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ocenie organu nadzoru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§ 2 ust. 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mieści się w dyspozycji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97 ust. 5 uops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a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 konsekwencji czego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istotnie go narusza.</w:t>
      </w:r>
    </w:p>
    <w:p w:rsidR="000B53DE" w:rsidRDefault="000E2DFE" w:rsidP="00712AC0">
      <w:pPr>
        <w:pStyle w:val="NormalnyWeb"/>
        <w:spacing w:after="0" w:line="360" w:lineRule="auto"/>
        <w:ind w:firstLine="708"/>
        <w:jc w:val="both"/>
        <w:rPr>
          <w:shd w:val="clear" w:color="auto" w:fill="FFFFFF"/>
        </w:rPr>
      </w:pPr>
      <w:r>
        <w:rPr>
          <w:rFonts w:eastAsia="Times New Roman"/>
          <w:lang w:eastAsia="pl-PL"/>
        </w:rPr>
        <w:t xml:space="preserve">Art. 97 ust. 1 zdanie drugie ustawy </w:t>
      </w:r>
      <w:r>
        <w:rPr>
          <w:rFonts w:eastAsia="Times New Roman"/>
          <w:lang w:eastAsia="pl-PL"/>
        </w:rPr>
        <w:t>uops</w:t>
      </w:r>
      <w:r>
        <w:rPr>
          <w:rFonts w:eastAsia="Times New Roman"/>
          <w:lang w:eastAsia="pl-PL"/>
        </w:rPr>
        <w:t xml:space="preserve"> stanowi, że: </w:t>
      </w:r>
      <w:r>
        <w:rPr>
          <w:rFonts w:eastAsia="Times New Roman"/>
          <w:i/>
          <w:lang w:eastAsia="pl-PL"/>
        </w:rPr>
        <w:t>,,Osoby nie ponoszą opłat, jeżeli dochód osoby samotnie gospodarującej lub dochód na osobę w rodzinie nie pr</w:t>
      </w:r>
      <w:r>
        <w:rPr>
          <w:rFonts w:eastAsia="Times New Roman"/>
          <w:i/>
          <w:lang w:eastAsia="pl-PL"/>
        </w:rPr>
        <w:t>zekracza kryterium dochodowego”</w:t>
      </w:r>
      <w:r>
        <w:rPr>
          <w:rFonts w:eastAsia="Times New Roman"/>
          <w:lang w:eastAsia="pl-PL"/>
        </w:rPr>
        <w:t xml:space="preserve">. </w:t>
      </w:r>
      <w:r w:rsidRPr="00D21359">
        <w:rPr>
          <w:rFonts w:eastAsia="Times New Roman"/>
          <w:lang w:eastAsia="pl-PL"/>
        </w:rPr>
        <w:t>W cytowanym przepisie ustawodawca przewidział</w:t>
      </w:r>
      <w:r>
        <w:rPr>
          <w:rFonts w:eastAsia="Times New Roman"/>
          <w:lang w:eastAsia="pl-PL"/>
        </w:rPr>
        <w:t xml:space="preserve"> zatem</w:t>
      </w:r>
      <w:r w:rsidRPr="00D21359">
        <w:rPr>
          <w:rFonts w:eastAsia="Times New Roman"/>
          <w:lang w:eastAsia="pl-PL"/>
        </w:rPr>
        <w:t xml:space="preserve"> zwolnienie z opłat za pobyt </w:t>
      </w:r>
      <w:r>
        <w:rPr>
          <w:rFonts w:eastAsia="Times New Roman"/>
          <w:lang w:eastAsia="pl-PL"/>
        </w:rPr>
        <w:br/>
      </w:r>
      <w:r w:rsidRPr="00D21359">
        <w:rPr>
          <w:rFonts w:eastAsia="Times New Roman"/>
          <w:lang w:eastAsia="pl-PL"/>
        </w:rPr>
        <w:t xml:space="preserve">w </w:t>
      </w:r>
      <w:r w:rsidRPr="00D21359">
        <w:rPr>
          <w:rFonts w:eastAsia="Times New Roman"/>
          <w:lang w:eastAsia="pl-PL"/>
        </w:rPr>
        <w:t xml:space="preserve">ośrodkach wsparcia. </w:t>
      </w:r>
      <w:r>
        <w:rPr>
          <w:shd w:val="clear" w:color="auto" w:fill="FFFFFF"/>
        </w:rPr>
        <w:t xml:space="preserve">Regulacja wynikająca </w:t>
      </w:r>
      <w:r w:rsidRPr="00D21359">
        <w:rPr>
          <w:shd w:val="clear" w:color="auto" w:fill="FFFFFF"/>
        </w:rPr>
        <w:t>z</w:t>
      </w:r>
      <w:r w:rsidRPr="00D21359">
        <w:rPr>
          <w:shd w:val="clear" w:color="auto" w:fill="FFFFFF"/>
        </w:rPr>
        <w:t xml:space="preserve"> </w:t>
      </w:r>
      <w:hyperlink r:id="rId8" w:anchor="/document/16798871?unitId=art(97)&amp;cm=DOCUMENT" w:history="1">
        <w:r w:rsidRPr="00D21359">
          <w:rPr>
            <w:rStyle w:val="Hipercze"/>
            <w:color w:val="auto"/>
            <w:u w:val="none"/>
            <w:shd w:val="clear" w:color="auto" w:fill="FFFFFF"/>
          </w:rPr>
          <w:t>art. 97</w:t>
        </w:r>
      </w:hyperlink>
      <w:r>
        <w:rPr>
          <w:shd w:val="clear" w:color="auto" w:fill="FFFFFF"/>
        </w:rPr>
        <w:t xml:space="preserve"> u</w:t>
      </w:r>
      <w:r>
        <w:rPr>
          <w:shd w:val="clear" w:color="auto" w:fill="FFFFFF"/>
        </w:rPr>
        <w:t>ops</w:t>
      </w:r>
      <w:r>
        <w:rPr>
          <w:shd w:val="clear" w:color="auto" w:fill="FFFFFF"/>
        </w:rPr>
        <w:t>, określa  obligatoryjne zwolnienie z opłat</w:t>
      </w:r>
      <w:r>
        <w:rPr>
          <w:shd w:val="clear" w:color="auto" w:fill="FFFFFF"/>
        </w:rPr>
        <w:t>, które jest</w:t>
      </w:r>
      <w:r>
        <w:rPr>
          <w:shd w:val="clear" w:color="auto" w:fill="FFFFFF"/>
        </w:rPr>
        <w:t xml:space="preserve"> zależne od spełnienia kryterium dochodowego i odnosi się do osoby samotnie gospodarującej lub osoby w rodzinie kierowanej do placówki, których dochody są niższe lub równe kwotom określonym w </w:t>
      </w:r>
      <w:hyperlink r:id="rId9" w:anchor="/document/16798871?unitId=art(8)ust(1)&amp;cm=DOCUMENT" w:history="1">
        <w:r w:rsidRPr="00D21359">
          <w:rPr>
            <w:rStyle w:val="Hipercze"/>
            <w:color w:val="auto"/>
            <w:u w:val="none"/>
            <w:shd w:val="clear" w:color="auto" w:fill="FFFFFF"/>
          </w:rPr>
          <w:t>art. 8 ust. 1</w:t>
        </w:r>
      </w:hyperlink>
      <w:r w:rsidRPr="00D21359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>
        <w:rPr>
          <w:shd w:val="clear" w:color="auto" w:fill="FFFFFF"/>
        </w:rPr>
        <w:t>ops</w:t>
      </w:r>
      <w:r>
        <w:rPr>
          <w:shd w:val="clear" w:color="auto" w:fill="FFFFFF"/>
        </w:rPr>
        <w:t xml:space="preserve">. </w:t>
      </w:r>
    </w:p>
    <w:p w:rsidR="00712AC0" w:rsidRDefault="000E2DFE" w:rsidP="00712AC0">
      <w:pPr>
        <w:pStyle w:val="NormalnyWeb"/>
        <w:spacing w:after="0" w:line="360" w:lineRule="auto"/>
        <w:ind w:firstLine="708"/>
        <w:jc w:val="both"/>
        <w:rPr>
          <w:rFonts w:eastAsia="Times New Roman"/>
          <w:lang w:eastAsia="pl-PL"/>
        </w:rPr>
      </w:pPr>
      <w:r>
        <w:rPr>
          <w:shd w:val="clear" w:color="auto" w:fill="FFFFFF"/>
        </w:rPr>
        <w:t>Z</w:t>
      </w:r>
      <w:r>
        <w:rPr>
          <w:shd w:val="clear" w:color="auto" w:fill="FFFFFF"/>
        </w:rPr>
        <w:t>daniem organu nadzoru</w:t>
      </w:r>
      <w:r>
        <w:rPr>
          <w:shd w:val="clear" w:color="auto" w:fill="FFFFFF"/>
        </w:rPr>
        <w:t>,</w:t>
      </w:r>
      <w:r>
        <w:rPr>
          <w:shd w:val="clear" w:color="auto" w:fill="FFFFFF"/>
        </w:rPr>
        <w:t xml:space="preserve"> rada gminy</w:t>
      </w:r>
      <w:r>
        <w:rPr>
          <w:shd w:val="clear" w:color="auto" w:fill="FFFFFF"/>
        </w:rPr>
        <w:t xml:space="preserve"> nie posiada żadnej kompetencji do wprowadzenia zwolnienia bądź obniżenia opłat pobieranych za pobyt w </w:t>
      </w:r>
      <w:r>
        <w:rPr>
          <w:shd w:val="clear" w:color="auto" w:fill="FFFFFF"/>
        </w:rPr>
        <w:t>ośrodk</w:t>
      </w:r>
      <w:r>
        <w:rPr>
          <w:shd w:val="clear" w:color="auto" w:fill="FFFFFF"/>
        </w:rPr>
        <w:t>ach</w:t>
      </w:r>
      <w:r>
        <w:rPr>
          <w:shd w:val="clear" w:color="auto" w:fill="FFFFFF"/>
        </w:rPr>
        <w:t xml:space="preserve"> ws</w:t>
      </w:r>
      <w:r>
        <w:rPr>
          <w:shd w:val="clear" w:color="auto" w:fill="FFFFFF"/>
        </w:rPr>
        <w:t>parcia</w:t>
      </w:r>
      <w:r>
        <w:rPr>
          <w:shd w:val="clear" w:color="auto" w:fill="FFFFFF"/>
        </w:rPr>
        <w:t xml:space="preserve">. </w:t>
      </w:r>
      <w:r>
        <w:rPr>
          <w:i/>
          <w:shd w:val="clear" w:color="auto" w:fill="FFFFFF"/>
        </w:rPr>
        <w:t>,,</w:t>
      </w:r>
      <w:r>
        <w:rPr>
          <w:rFonts w:eastAsia="Times New Roman"/>
          <w:i/>
          <w:lang w:eastAsia="pl-PL"/>
        </w:rPr>
        <w:t xml:space="preserve">W doktrynie </w:t>
      </w:r>
      <w:r>
        <w:rPr>
          <w:rFonts w:eastAsia="Times New Roman"/>
          <w:i/>
          <w:lang w:eastAsia="pl-PL"/>
        </w:rPr>
        <w:br/>
      </w:r>
      <w:r>
        <w:rPr>
          <w:rFonts w:eastAsia="Times New Roman"/>
          <w:i/>
          <w:lang w:eastAsia="pl-PL"/>
        </w:rPr>
        <w:t xml:space="preserve">i orzecznictwie przyjmuje się, że normy kompetencyjne - w tym przypadku </w:t>
      </w:r>
      <w:hyperlink r:id="rId10" w:anchor="/document/17087802?unitId=art(97)ust(5)&amp;cm=DOCUMENT" w:history="1">
        <w:r w:rsidRPr="00D21359">
          <w:rPr>
            <w:rStyle w:val="Hipercze"/>
            <w:rFonts w:eastAsia="Times New Roman"/>
            <w:i/>
            <w:color w:val="auto"/>
            <w:u w:val="none"/>
            <w:lang w:eastAsia="pl-PL"/>
          </w:rPr>
          <w:t>art. 97 ust. 5</w:t>
        </w:r>
      </w:hyperlink>
      <w:r>
        <w:rPr>
          <w:rFonts w:eastAsia="Times New Roman"/>
          <w:i/>
          <w:lang w:eastAsia="pl-PL"/>
        </w:rPr>
        <w:t xml:space="preserve"> ustawy - powinny być interpretowane w sposób ścisły; przyjmuje się zakaz domniemania kompetencji. Stąd nie należy dokonywać wykładni rozszerzającej przepisów kompetencyjnych</w:t>
      </w:r>
      <w:r w:rsidRPr="00D21359">
        <w:rPr>
          <w:rFonts w:eastAsia="Times New Roman"/>
          <w:i/>
          <w:lang w:eastAsia="pl-PL"/>
        </w:rPr>
        <w:t>. Organ wykonujący kompetencję prawodawczą zawartą w upoważnieniu ustawowym jest o</w:t>
      </w:r>
      <w:r w:rsidRPr="00D21359">
        <w:rPr>
          <w:rFonts w:eastAsia="Times New Roman"/>
          <w:i/>
          <w:lang w:eastAsia="pl-PL"/>
        </w:rPr>
        <w:t xml:space="preserve">bowiązany działać </w:t>
      </w:r>
      <w:r>
        <w:rPr>
          <w:rFonts w:eastAsia="Times New Roman"/>
          <w:i/>
          <w:lang w:eastAsia="pl-PL"/>
        </w:rPr>
        <w:br/>
      </w:r>
      <w:r w:rsidRPr="00D21359">
        <w:rPr>
          <w:rFonts w:eastAsia="Times New Roman"/>
          <w:i/>
          <w:lang w:eastAsia="pl-PL"/>
        </w:rPr>
        <w:t xml:space="preserve">w granicach upoważnienia. Według Sądu organ ustalając treść § 6 dokonał wykładni rozszerzającej omawianego przepisu. </w:t>
      </w:r>
      <w:hyperlink r:id="rId11" w:anchor="/document/17087802?unitId=art(97)ust(5)&amp;cm=DOCUMENT" w:history="1">
        <w:r w:rsidRPr="00D21359">
          <w:rPr>
            <w:rStyle w:val="Hipercze"/>
            <w:rFonts w:eastAsia="Times New Roman"/>
            <w:i/>
            <w:color w:val="auto"/>
            <w:u w:val="none"/>
            <w:lang w:eastAsia="pl-PL"/>
          </w:rPr>
          <w:t>Art. 97 ust. 5</w:t>
        </w:r>
      </w:hyperlink>
      <w:r w:rsidRPr="00D21359">
        <w:rPr>
          <w:rFonts w:eastAsia="Times New Roman"/>
          <w:i/>
          <w:lang w:eastAsia="pl-PL"/>
        </w:rPr>
        <w:t xml:space="preserve"> zobowiązuje </w:t>
      </w:r>
      <w:r w:rsidRPr="00D21359">
        <w:rPr>
          <w:rFonts w:eastAsia="Times New Roman"/>
          <w:i/>
          <w:lang w:eastAsia="pl-PL"/>
        </w:rPr>
        <w:t xml:space="preserve">radę gminy do ustalenia ,,szczegółowych zasad ponoszenia odpłatności”, nie daje zatem uprawnień do ustalenia przypadków, które uzasadniają z jej </w:t>
      </w:r>
      <w:r w:rsidRPr="00D21359">
        <w:rPr>
          <w:rFonts w:eastAsia="Times New Roman"/>
          <w:i/>
          <w:iCs/>
          <w:lang w:eastAsia="pl-PL"/>
        </w:rPr>
        <w:t>zwolnienia</w:t>
      </w:r>
      <w:r w:rsidRPr="00D21359">
        <w:rPr>
          <w:rFonts w:eastAsia="Times New Roman"/>
          <w:i/>
          <w:lang w:eastAsia="pl-PL"/>
        </w:rPr>
        <w:t>, jak to uczynił organ”</w:t>
      </w:r>
      <w:r w:rsidRPr="00D21359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(wyrok WSA we Wrocławiu z dnia 20 marca 2020 r. sygn. akt IV SA/Wr 34/20).</w:t>
      </w:r>
    </w:p>
    <w:p w:rsidR="00712AC0" w:rsidRDefault="000E2DFE" w:rsidP="00712AC0">
      <w:pPr>
        <w:pStyle w:val="NormalnyWeb"/>
        <w:spacing w:after="0" w:line="360" w:lineRule="auto"/>
        <w:ind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</w:t>
      </w:r>
      <w:r>
        <w:rPr>
          <w:rFonts w:eastAsia="Times New Roman"/>
          <w:lang w:eastAsia="pl-PL"/>
        </w:rPr>
        <w:t xml:space="preserve">leży podkreślić, że uchwała będąca przedmiotem rozstrzygnięcia nadzorczego stanowi akt prawa miejscowego. </w:t>
      </w:r>
      <w:r>
        <w:rPr>
          <w:rFonts w:eastAsia="Calibri"/>
          <w:color w:val="000000"/>
          <w:lang w:eastAsia="pl-PL" w:bidi="pl-PL"/>
        </w:rPr>
        <w:t>W świetle art. 94 Konstytucji RP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organy samorządu terytorialnego wydają akty prawa miejscowego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obowiązujące na obszarze działania tych organów, na p</w:t>
      </w:r>
      <w:r>
        <w:rPr>
          <w:rFonts w:eastAsia="Calibri"/>
          <w:color w:val="000000"/>
          <w:lang w:eastAsia="pl-PL" w:bidi="pl-PL"/>
        </w:rPr>
        <w:t xml:space="preserve">odstawie i w granicach </w:t>
      </w:r>
      <w:r>
        <w:rPr>
          <w:rFonts w:eastAsia="Calibri"/>
          <w:color w:val="000000"/>
          <w:lang w:eastAsia="pl-PL" w:bidi="pl-PL"/>
        </w:rPr>
        <w:lastRenderedPageBreak/>
        <w:t>upoważnień zawartych w ustawie. Oznacza to, że do wydania aktu prawa miejscowego wymagane jest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zawarte w ustawie odrębne upoważnienie konkretnego organu do uregulowania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w określonej formie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danego zakresu spraw. Jednocześnie konsty</w:t>
      </w:r>
      <w:r>
        <w:rPr>
          <w:rFonts w:eastAsia="Calibri"/>
          <w:color w:val="000000"/>
          <w:lang w:eastAsia="pl-PL" w:bidi="pl-PL"/>
        </w:rPr>
        <w:t>tucyjna zasada praworządności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wyrażona w art. 7 Konstytucji RP wymaga, żeby materia regulowana wydanym aktem normatywnym wynikała </w:t>
      </w:r>
      <w:r>
        <w:rPr>
          <w:rFonts w:eastAsia="Calibri"/>
          <w:color w:val="000000"/>
          <w:lang w:eastAsia="pl-PL" w:bidi="pl-PL"/>
        </w:rPr>
        <w:br/>
        <w:t>z upoważnienia ustawowego i mieściła się w granicach prawa. Każde unormowanie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wykraczające poza udzielone upoważnienie</w:t>
      </w:r>
      <w:r>
        <w:rPr>
          <w:rFonts w:eastAsia="Calibri"/>
          <w:color w:val="000000"/>
          <w:lang w:eastAsia="pl-PL" w:bidi="pl-PL"/>
        </w:rPr>
        <w:t>,</w:t>
      </w:r>
      <w:r>
        <w:rPr>
          <w:rFonts w:eastAsia="Calibri"/>
          <w:color w:val="000000"/>
          <w:lang w:eastAsia="pl-PL" w:bidi="pl-PL"/>
        </w:rPr>
        <w:t xml:space="preserve"> jes</w:t>
      </w:r>
      <w:r>
        <w:rPr>
          <w:rFonts w:eastAsia="Calibri"/>
          <w:color w:val="000000"/>
          <w:lang w:eastAsia="pl-PL" w:bidi="pl-PL"/>
        </w:rPr>
        <w:t xml:space="preserve">t naruszeniem normy upoważniającej i zarazem naruszeniem konstytucyjnych warunków legalności aktu prawa miejscowego wydanego na podstawie upoważnienia ustawowego (wyrok NSA z dnia 14 grudnia 2011 r. sygn. akt II OSK 2058/11). </w:t>
      </w:r>
    </w:p>
    <w:p w:rsidR="007E3B9D" w:rsidRPr="007E3B9D" w:rsidRDefault="000E2DFE" w:rsidP="00871853">
      <w:pPr>
        <w:widowControl w:val="0"/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Uwzględniając</w:t>
      </w:r>
      <w:r w:rsidRPr="007E3B9D">
        <w:rPr>
          <w:rFonts w:ascii="Times New Roman" w:eastAsia="MS Mincho" w:hAnsi="Times New Roman" w:cs="Times New Roman"/>
          <w:sz w:val="24"/>
          <w:szCs w:val="24"/>
        </w:rPr>
        <w:t xml:space="preserve"> powyższe, stwie</w:t>
      </w:r>
      <w:r w:rsidRPr="007E3B9D">
        <w:rPr>
          <w:rFonts w:ascii="Times New Roman" w:eastAsia="MS Mincho" w:hAnsi="Times New Roman" w:cs="Times New Roman"/>
          <w:sz w:val="24"/>
          <w:szCs w:val="24"/>
        </w:rPr>
        <w:t xml:space="preserve">rdzenie nieważności uchwały Rady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Miejskiej w Nowym Dworze Mazowieckim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XXV/3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/2021</w:t>
      </w:r>
      <w:r w:rsidRPr="007E3B9D">
        <w:rPr>
          <w:rFonts w:ascii="Times New Roman" w:eastAsia="MS Mincho" w:hAnsi="Times New Roman" w:cs="Times New Roman"/>
          <w:sz w:val="24"/>
          <w:szCs w:val="24"/>
        </w:rPr>
        <w:t xml:space="preserve">, w zakresie określonym w </w:t>
      </w:r>
      <w:r w:rsidRPr="007E3B9D">
        <w:rPr>
          <w:rFonts w:ascii="Times New Roman" w:eastAsia="MS Mincho" w:hAnsi="Times New Roman" w:cs="Times New Roman"/>
          <w:i/>
          <w:sz w:val="24"/>
          <w:szCs w:val="24"/>
        </w:rPr>
        <w:t xml:space="preserve">petitum </w:t>
      </w:r>
      <w:r w:rsidRPr="007E3B9D">
        <w:rPr>
          <w:rFonts w:ascii="Times New Roman" w:eastAsia="MS Mincho" w:hAnsi="Times New Roman" w:cs="Times New Roman"/>
          <w:sz w:val="24"/>
          <w:szCs w:val="24"/>
        </w:rPr>
        <w:t>rozstrzygnięcia nadzorczego, jest uzasadnione.</w:t>
      </w:r>
    </w:p>
    <w:p w:rsidR="007E3B9D" w:rsidRPr="007E3B9D" w:rsidRDefault="000E2DF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jego doręczenia, wnoszona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br/>
        <w:t>za pośrednictwem organu, który skarżone orzeczenie wydał.</w:t>
      </w:r>
    </w:p>
    <w:p w:rsidR="007E3B9D" w:rsidRDefault="000E2DF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Informuję, że rozstrzygnięcie nadzorcze wstrzymuje wykonanie uchwały, w części objętej rozstrzygnięciem, </w:t>
      </w:r>
      <w:r w:rsidRPr="007E3B9D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z mocy prawa, </w:t>
      </w:r>
      <w:r w:rsidRPr="007E3B9D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 dniem jego doręczenia.</w:t>
      </w:r>
    </w:p>
    <w:p w:rsidR="009A4640" w:rsidRDefault="000E2DF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:rsidR="009A4640" w:rsidRDefault="000E2DF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:rsidR="009A4640" w:rsidRPr="007E3B9D" w:rsidRDefault="000E2DFE" w:rsidP="007E3B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8" w:name="ezdPracownikNazwa"/>
      <w:r w:rsidRPr="007E3B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Konstanty Radziwiłł</w:t>
      </w:r>
      <w:bookmarkEnd w:id="8"/>
    </w:p>
    <w:p w:rsidR="007E3B9D" w:rsidRPr="007E3B9D" w:rsidRDefault="000E2DFE" w:rsidP="007E3B9D">
      <w:pPr>
        <w:spacing w:after="0" w:line="36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9" w:name="ezdPracownikStanowisko"/>
      <w:r w:rsidRPr="007E3B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Wojewoda Mazowiecki</w:t>
      </w:r>
      <w:bookmarkEnd w:id="9"/>
    </w:p>
    <w:p w:rsidR="007E3B9D" w:rsidRPr="007E3B9D" w:rsidRDefault="000E2DFE" w:rsidP="007E3B9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36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7E3B9D" w:rsidRPr="007E3B9D" w:rsidRDefault="000E2DFE" w:rsidP="007E3B9D">
      <w:pPr>
        <w:spacing w:after="0" w:line="36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weryfikowanym ważnym </w:t>
      </w: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kwalifikowanym certyfikatem/</w:t>
      </w:r>
    </w:p>
    <w:p w:rsidR="007E3B9D" w:rsidRPr="007E3B9D" w:rsidRDefault="000E2DFE" w:rsidP="007E3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E2DF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3D9" w:rsidRDefault="000E2DFE" w:rsidP="009A4640"/>
    <w:sectPr w:rsidR="006643D9" w:rsidSect="001D4E87">
      <w:footerReference w:type="default" r:id="rId12"/>
      <w:footerReference w:type="first" r:id="rId13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DFE" w:rsidRDefault="000E2DFE">
      <w:pPr>
        <w:spacing w:after="0" w:line="240" w:lineRule="auto"/>
      </w:pPr>
      <w:r>
        <w:separator/>
      </w:r>
    </w:p>
  </w:endnote>
  <w:endnote w:type="continuationSeparator" w:id="0">
    <w:p w:rsidR="000E2DFE" w:rsidRDefault="000E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058928"/>
      <w:docPartObj>
        <w:docPartGallery w:val="Page Numbers (Bottom of Page)"/>
        <w:docPartUnique/>
      </w:docPartObj>
    </w:sdtPr>
    <w:sdtEndPr/>
    <w:sdtContent>
      <w:p w:rsidR="00A46F82" w:rsidRDefault="000E2D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D4E87" w:rsidRPr="004A1390" w:rsidRDefault="000E2DFE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754336"/>
      <w:docPartObj>
        <w:docPartGallery w:val="Page Numbers (Bottom of Page)"/>
        <w:docPartUnique/>
      </w:docPartObj>
    </w:sdtPr>
    <w:sdtEndPr/>
    <w:sdtContent>
      <w:p w:rsidR="009C3462" w:rsidRDefault="000E2D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3462" w:rsidRDefault="000E2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DFE" w:rsidRDefault="000E2DFE">
      <w:pPr>
        <w:spacing w:after="0" w:line="240" w:lineRule="auto"/>
      </w:pPr>
      <w:r>
        <w:separator/>
      </w:r>
    </w:p>
  </w:footnote>
  <w:footnote w:type="continuationSeparator" w:id="0">
    <w:p w:rsidR="000E2DFE" w:rsidRDefault="000E2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53"/>
    <w:rsid w:val="000E2DFE"/>
    <w:rsid w:val="0028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355B-4D24-4C41-9041-BE3489BC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E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B9D"/>
  </w:style>
  <w:style w:type="paragraph" w:styleId="Tekstdymka">
    <w:name w:val="Balloon Text"/>
    <w:basedOn w:val="Normalny"/>
    <w:link w:val="TekstdymkaZnak"/>
    <w:uiPriority w:val="99"/>
    <w:semiHidden/>
    <w:unhideWhenUsed/>
    <w:rsid w:val="0059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A1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B5B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2AC0"/>
    <w:pPr>
      <w:spacing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4B47-B735-46F3-AB6A-814F45FF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cp:lastPrinted>2021-10-14T12:16:00Z</cp:lastPrinted>
  <dcterms:created xsi:type="dcterms:W3CDTF">2021-10-20T07:21:00Z</dcterms:created>
  <dcterms:modified xsi:type="dcterms:W3CDTF">2021-10-20T07:21:00Z</dcterms:modified>
</cp:coreProperties>
</file>