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ind w:left="0" w:right="0" w:firstLine="0"/>
        <w:jc w:val="right"/>
      </w:pPr>
      <w:r>
        <w:rPr>
          <w:rStyle w:val="CharStyle3"/>
        </w:rPr>
        <w:t>Białystok, dnia 05 sierpnia 2025 r.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rStyle w:val="CharStyle8"/>
          <w:b/>
          <w:bCs/>
        </w:rPr>
        <w:t>Petycja do Ministra Klimatu i Środowiska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59" w:lineRule="auto"/>
        <w:ind w:left="0" w:right="0" w:firstLine="0"/>
        <w:jc w:val="left"/>
      </w:pPr>
      <w:r>
        <w:rPr>
          <w:rStyle w:val="CharStyle8"/>
        </w:rPr>
        <w:t>Na podstawie art. 2 ustawy z dnia 11 lipca 2014 r. o petycjach (Dz. U. z 2018 r. poz. 870) składam petycję dotyczącą: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8"/>
        </w:rPr>
        <w:t>Zwracam się z prośbą o podjęcie działań legislacyjnych pozwalających producentom energii z OZE na składanie do operatora systemu elektroenergetycznego: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rStyle w:val="CharStyle8"/>
        </w:rPr>
        <w:t>wniosków o wydanie gwarancji pochodzenia energii,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280" w:line="240" w:lineRule="auto"/>
        <w:ind w:left="0" w:right="0" w:firstLine="380"/>
        <w:jc w:val="left"/>
      </w:pPr>
      <w:r>
        <w:rPr>
          <w:rStyle w:val="CharStyle8"/>
        </w:rPr>
        <w:t>wniosków o wydanie świadectw pochodzenia energii (zielonych certyfikatów)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8"/>
        </w:rPr>
        <w:t>za pośrednictwem elektronicznych środków komunikacji, takich jak skrzynki e-doręczeń operatorów systemów dystrybucyjnych (OSD), z równoczesnym uznaniem daty wpływu tak przesłanego dokumentu za datę formalnego złożenia wniosku.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8"/>
        </w:rPr>
        <w:t>Obecny proces wymagający fizycznego składania dokumentów do OSD jest czasochłonny i kosztowny dla wytwórców. Wprowadzenie możliwości składania wniosków drogą elektroniczną przyniosłoby następujące korzyści: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0" w:line="262" w:lineRule="auto"/>
        <w:ind w:left="0" w:right="0" w:firstLine="380"/>
        <w:jc w:val="left"/>
      </w:pPr>
      <w:r>
        <w:rPr>
          <w:rStyle w:val="CharStyle8"/>
        </w:rPr>
        <w:t>Oszczędność czasu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60" w:right="0" w:hanging="360"/>
        <w:jc w:val="left"/>
      </w:pPr>
      <w:r>
        <w:rPr>
          <w:rStyle w:val="CharStyle8"/>
          <w:rFonts w:ascii="Courier New" w:eastAsia="Courier New" w:hAnsi="Courier New" w:cs="Courier New"/>
          <w:sz w:val="20"/>
          <w:szCs w:val="20"/>
        </w:rPr>
        <w:t xml:space="preserve">o </w:t>
      </w:r>
      <w:r>
        <w:rPr>
          <w:rStyle w:val="CharStyle8"/>
        </w:rPr>
        <w:t>Wysyłka tradycyjną pocztą lub kurierem wydłuża czas oczekiwania nawet o kilka dni roboczych.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60" w:right="0" w:hanging="360"/>
        <w:jc w:val="left"/>
      </w:pPr>
      <w:r>
        <w:rPr>
          <w:rStyle w:val="CharStyle8"/>
          <w:rFonts w:ascii="Courier New" w:eastAsia="Courier New" w:hAnsi="Courier New" w:cs="Courier New"/>
          <w:sz w:val="20"/>
          <w:szCs w:val="20"/>
        </w:rPr>
        <w:t xml:space="preserve">o </w:t>
      </w:r>
      <w:r>
        <w:rPr>
          <w:rStyle w:val="CharStyle8"/>
        </w:rPr>
        <w:t>Elektroniczne doręczenie natychmiast potwierdzi wpływ dokumentów, eliminując opóźnienia i ryzyko zagubienia przesyłki.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0" w:line="262" w:lineRule="auto"/>
        <w:ind w:left="0" w:right="0" w:firstLine="380"/>
        <w:jc w:val="left"/>
      </w:pPr>
      <w:r>
        <w:rPr>
          <w:rStyle w:val="CharStyle8"/>
        </w:rPr>
        <w:t>Redukcja kosztów dla wytwórców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60" w:right="0" w:hanging="360"/>
        <w:jc w:val="left"/>
      </w:pPr>
      <w:r>
        <w:rPr>
          <w:rStyle w:val="CharStyle8"/>
          <w:rFonts w:ascii="Courier New" w:eastAsia="Courier New" w:hAnsi="Courier New" w:cs="Courier New"/>
          <w:sz w:val="20"/>
          <w:szCs w:val="20"/>
        </w:rPr>
        <w:t xml:space="preserve">o </w:t>
      </w:r>
      <w:r>
        <w:rPr>
          <w:rStyle w:val="CharStyle8"/>
        </w:rPr>
        <w:t>Koszty druku, kopert, znaczków i usług kurierskich obciążają zwłaszcza małych i średnich producentów.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60" w:right="0" w:hanging="360"/>
        <w:jc w:val="left"/>
      </w:pPr>
      <w:r>
        <w:rPr>
          <w:rStyle w:val="CharStyle8"/>
          <w:rFonts w:ascii="Courier New" w:eastAsia="Courier New" w:hAnsi="Courier New" w:cs="Courier New"/>
          <w:sz w:val="20"/>
          <w:szCs w:val="20"/>
        </w:rPr>
        <w:t xml:space="preserve">o </w:t>
      </w:r>
      <w:r>
        <w:rPr>
          <w:rStyle w:val="CharStyle8"/>
        </w:rPr>
        <w:t>Model e-doręczeń operatorów sieci dystrybucyjnych pozwoli na znaczące obniżenie wydatków administracyjnych.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rStyle w:val="CharStyle8"/>
        </w:rPr>
        <w:t>Wspieranie cyfryzacji usług publicznych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60" w:right="0" w:hanging="360"/>
        <w:jc w:val="left"/>
      </w:pPr>
      <w:r>
        <w:rPr>
          <w:rStyle w:val="CharStyle8"/>
          <w:rFonts w:ascii="Courier New" w:eastAsia="Courier New" w:hAnsi="Courier New" w:cs="Courier New"/>
          <w:sz w:val="20"/>
          <w:szCs w:val="20"/>
        </w:rPr>
        <w:t xml:space="preserve">o </w:t>
      </w:r>
      <w:r>
        <w:rPr>
          <w:rStyle w:val="CharStyle8"/>
        </w:rPr>
        <w:t>Polska Rada Ministrów w Strategii „Polska 4.0” oraz dokumentach Programu e-Administracja wskazuje na konieczność digitalizacji usług publicznych, redukcji obiegu papieru i zwiększenia wygody obywateli oraz przedsiębiorców.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60" w:right="0" w:hanging="360"/>
        <w:jc w:val="left"/>
      </w:pPr>
      <w:r>
        <w:rPr>
          <w:rStyle w:val="CharStyle8"/>
          <w:rFonts w:ascii="Courier New" w:eastAsia="Courier New" w:hAnsi="Courier New" w:cs="Courier New"/>
          <w:sz w:val="20"/>
          <w:szCs w:val="20"/>
        </w:rPr>
        <w:t xml:space="preserve">o </w:t>
      </w:r>
      <w:r>
        <w:rPr>
          <w:rStyle w:val="CharStyle8"/>
        </w:rPr>
        <w:t xml:space="preserve">Poczta Polska oferuje usługę e-Doręczeń jako prawnie równoważny z listem poleconym kanał komunikacji [bezpieczny, z potwierdzeniem doręczenia] </w:t>
      </w:r>
      <w:r>
        <w:rPr>
          <w:rStyle w:val="CharStyle8"/>
          <w:color w:val="0000FF"/>
          <w:u w:val="single"/>
        </w:rPr>
        <w:t>e- Doreczenia Poczta Polska</w:t>
      </w:r>
      <w:r>
        <w:rPr>
          <w:rStyle w:val="CharStyle8"/>
        </w:rPr>
        <w:t>. Wykorzystanie skrzynki e doręczeń do przyjmowania wniosków o gwarancje pochodzenia wpisuje się w założenia dążenia do pełnej elektronizacji usług cyfrowych.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280" w:line="240" w:lineRule="auto"/>
        <w:ind w:left="740" w:right="0" w:hanging="360"/>
        <w:jc w:val="left"/>
      </w:pPr>
      <w:r>
        <w:rPr>
          <w:rStyle w:val="CharStyle8"/>
        </w:rPr>
        <w:t>Ustawa o odnawialnych źródłach energii przewiduje, że wniosek o wydanie świadectwa pochodzenia należy złożyć do operatora systemu elektroenergetycznego w terminie 45 dni od zakończenia okresu wytwarzania energii. W obowiązującym stanie prawnym decyduje data wpływu wniosku do operatora, nie zaś data nadania przesyłki.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8"/>
        </w:rPr>
        <w:t>W związku z powyższym, uprzejmie prosimy o rozważenie wprowadzenia zmian w przepisach lub wydanie wytycznych, które umożliwiłyby i promowały składanie wniosków o gwarancje pochodzenia i zielone certyfikaty drogą elektroniczną. Tego rodzaju modernizacja nie tylko usprawniłaby proces aplikacyjny, ale również wzmocniłaby pozycję Polski jako lidera w dziedzinie odnawialnych źródeł energii.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8"/>
          <w:color w:val="243F60"/>
        </w:rPr>
        <w:t>Propozycja rozwiązania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6" w:val="left"/>
        </w:tabs>
        <w:bidi w:val="0"/>
        <w:spacing w:before="0" w:after="0" w:line="240" w:lineRule="auto"/>
        <w:ind w:left="740" w:right="0" w:hanging="360"/>
        <w:jc w:val="left"/>
      </w:pPr>
      <w:r>
        <w:rPr>
          <w:rStyle w:val="CharStyle8"/>
          <w:b/>
          <w:bCs/>
        </w:rPr>
        <w:t xml:space="preserve">Zmiana rozporządzenia </w:t>
      </w:r>
      <w:r>
        <w:rPr>
          <w:rStyle w:val="CharStyle8"/>
        </w:rPr>
        <w:t>– umożliwienie składania wniosków w formie elektronicznej poprzez ustalenie, że wniosek złożony za pośrednictwem skrzynki e- Doręczeń operatora systemu dystrybucyjnego spełnia wymogi art. 13 ust. 1 pkt. 2 ustawy Prawo energetyczne.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6" w:val="left"/>
        </w:tabs>
        <w:bidi w:val="0"/>
        <w:spacing w:before="0" w:after="0" w:line="240" w:lineRule="auto"/>
        <w:ind w:left="740" w:right="0" w:hanging="360"/>
        <w:jc w:val="left"/>
      </w:pPr>
      <w:r>
        <w:rPr>
          <w:rStyle w:val="CharStyle8"/>
          <w:b/>
          <w:bCs/>
        </w:rPr>
        <w:t xml:space="preserve">Aktualizacja instrukcji </w:t>
      </w:r>
      <w:r>
        <w:rPr>
          <w:rStyle w:val="CharStyle8"/>
        </w:rPr>
        <w:t>– opublikowanie na stronach Ministerstwa oraz spółek energetycznych klarownej instrukcji oraz wzoru wniosku elektronicznego.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6" w:val="left"/>
        </w:tabs>
        <w:bidi w:val="0"/>
        <w:spacing w:before="0" w:after="820" w:line="240" w:lineRule="auto"/>
        <w:ind w:left="740" w:right="0" w:hanging="360"/>
        <w:jc w:val="left"/>
      </w:pPr>
      <w:r>
        <w:rPr>
          <w:rStyle w:val="CharStyle8"/>
          <w:b/>
          <w:bCs/>
        </w:rPr>
        <w:t xml:space="preserve">Integracja systemów </w:t>
      </w:r>
      <w:r>
        <w:rPr>
          <w:rStyle w:val="CharStyle8"/>
        </w:rPr>
        <w:t>– zapewnienie, by system operatora systemu dystrybucyjnego automatycznie przekazywał wnioski do właściwej jednostki wewnątrz operatora systemu dystrybucyjnego oraz do Urzędu Regulacji Energetyki w zakresie publikacji gwarancji i certyfikatów w rejestrze.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8"/>
        </w:rPr>
        <w:t>Przeniesienie administracji z papieru do sieci znacząco zmniejszy zużycie makulatury oraz pozwoli zmniejszyć wydatki na administrację publiczną. Gdyby wykorzystać potencjał eadministracji, Polska mogłaby zaoszczędzić 1,2 mld zł rocznie (por. Przeciw wykluczeniu cyfrowemu - Studium strategiczne nt. stymulowania wzrostu gospodarczego na poziomie lokalnym i wojewódzkim poprzez inwestycje w ICT oraz podnoszenie kompetencji cyfrowych mieszkańców województwa mazowieckiego -</w:t>
      </w:r>
      <w:r>
        <w:fldChar w:fldCharType="begin"/>
      </w:r>
      <w:r>
        <w:rPr/>
        <w:instrText> HYPERLINK "https://www.mwi.pl/materialy/pobierz/23" </w:instrText>
      </w:r>
      <w:r>
        <w:fldChar w:fldCharType="separate"/>
      </w:r>
      <w:r>
        <w:rPr>
          <w:rStyle w:val="CharStyle8"/>
        </w:rPr>
        <w:t xml:space="preserve"> https://www.mwi.pl/materialy/pobierz/23</w:t>
      </w:r>
      <w:r>
        <w:fldChar w:fldCharType="end"/>
      </w:r>
      <w:r>
        <w:rPr>
          <w:rStyle w:val="CharStyle8"/>
        </w:rPr>
        <w:t xml:space="preserve"> ) Petenci oszczędzają również czas, który musieliby poświęcić na dojazdy i oczekiwanie w kolejkach, a urzędy są w stanie sprawniej obsługiwać zlecenia i wnioski. Rozwój e-administracji przełoży się na szybszy rozwój gospodarczy kraju dzięki stworzeniu odpowiednich warunków do wykorzystania potencjału technologii cyfrowych; poprawę relacji państwa z obywatelem dzięki wdrożeniu personalizowanego i wielokanałowego kontaktu z urzędem; zapewnienie łatwego i szerokiego dostępu do informacji publicznej, dostępu do informacji sektora publicznego do ponownego wykorzystywania oraz możliwości wykorzystania zasobów informacyjnych państwa w działalności gospodarczej i społecznej; podniesienie efektywności funkcjonowania administracji publicznej dzięki skuteczniejszemu zarządzaniu informatyzacją państwa oraz usprawnieniu współpracy instytucji publicznych, a także zapewnieniu uczestnictwa partnerów biznesowych i społecznych w tym procesie; podniesienie efektywności funkcjonowania administracji publicznej.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76" w:lineRule="auto"/>
        <w:ind w:left="0" w:right="0" w:firstLine="0"/>
        <w:jc w:val="left"/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2151" w:right="1391" w:bottom="1810" w:left="1380" w:header="0" w:footer="1382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8"/>
        </w:rPr>
        <w:t>Oświadczam, że wyrażam zgodę na ujawnienie na stronie internetowej podmiotu rozpatrującego petycje lub urzędu go obsługującego danych osobowych podmiotu wnoszącego petycję/podmiotu trzeciego, w którego interesie wnoszona jest petycja</w:t>
      </w: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677" w:right="720" w:bottom="11763" w:left="971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1526" w:h="302" w:wrap="none" w:vAnchor="text" w:hAnchor="page" w:x="899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Z poważaniem,</w:t>
      </w:r>
    </w:p>
    <w:p>
      <w:pPr>
        <w:widowControl w:val="0"/>
        <w:spacing w:after="30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77" w:right="720" w:bottom="11763" w:left="971" w:header="0" w:footer="11335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" w:after="1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177" w:right="0" w:bottom="2177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5097145</wp:posOffset>
                </wp:positionH>
                <wp:positionV relativeFrom="paragraph">
                  <wp:posOffset>12700</wp:posOffset>
                </wp:positionV>
                <wp:extent cx="838200" cy="84137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8200" cy="841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01.35000000000002pt;margin-top:1.pt;width:66.pt;height:66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197" w:lineRule="auto"/>
        <w:ind w:left="0" w:right="0" w:firstLine="0"/>
        <w:jc w:val="left"/>
      </w:pPr>
      <w:r>
        <w:rPr>
          <w:rStyle w:val="CharStyle15"/>
        </w:rPr>
        <w:t>Signed by / Podpisano przez: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</w:rPr>
        <w:t>ROBERT CYMBALAK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02" w:lineRule="auto"/>
        <w:ind w:left="0" w:right="0" w:firstLine="0"/>
        <w:jc w:val="left"/>
      </w:pPr>
      <w:r>
        <w:rPr>
          <w:rStyle w:val="CharStyle15"/>
        </w:rPr>
        <w:t>Datę/Data: 2025- 08-05 15:38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177" w:right="1185" w:bottom="2177" w:left="899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3579495</wp:posOffset>
              </wp:positionH>
              <wp:positionV relativeFrom="page">
                <wp:posOffset>481965</wp:posOffset>
              </wp:positionV>
              <wp:extent cx="1374775" cy="37782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74775" cy="3778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Sąd Rejonowy w Białymstoku,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XII Wydział Gospodarczy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Kapitał zakładowy 5 000 PLN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1.85000000000002pt;margin-top:37.950000000000003pt;width:108.25pt;height:29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Calibri" w:eastAsia="Calibri" w:hAnsi="Calibri" w:cs="Calibri"/>
                        <w:sz w:val="18"/>
                        <w:szCs w:val="18"/>
                      </w:rPr>
                      <w:t>Sąd Rejonowy w Białymstoku,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Calibri" w:eastAsia="Calibri" w:hAnsi="Calibri" w:cs="Calibri"/>
                        <w:sz w:val="18"/>
                        <w:szCs w:val="18"/>
                      </w:rPr>
                      <w:t>XII Wydział Gospodarczy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Calibri" w:eastAsia="Calibri" w:hAnsi="Calibri" w:cs="Calibri"/>
                        <w:sz w:val="18"/>
                        <w:szCs w:val="18"/>
                      </w:rPr>
                      <w:t>Kapitał zakładowy 5 000 PLN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5106670</wp:posOffset>
              </wp:positionH>
              <wp:positionV relativeFrom="page">
                <wp:posOffset>481965</wp:posOffset>
              </wp:positionV>
              <wp:extent cx="1984375" cy="37782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84375" cy="3778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Tel. 502 729 966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Email: sunsetoze@gmail.com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E-doręczenia AE: PL-67201-82790-JJRGJ-27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02.10000000000002pt;margin-top:37.950000000000003pt;width:156.25pt;height:29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Calibri" w:eastAsia="Calibri" w:hAnsi="Calibri" w:cs="Calibri"/>
                        <w:sz w:val="18"/>
                        <w:szCs w:val="18"/>
                      </w:rPr>
                      <w:t>Tel. 502 729 966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Calibri" w:eastAsia="Calibri" w:hAnsi="Calibri" w:cs="Calibri"/>
                        <w:sz w:val="18"/>
                        <w:szCs w:val="18"/>
                      </w:rPr>
                      <w:t>Email: sunsetoze@gmail.com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Calibri" w:eastAsia="Calibri" w:hAnsi="Calibri" w:cs="Calibri"/>
                        <w:sz w:val="18"/>
                        <w:szCs w:val="18"/>
                      </w:rPr>
                      <w:t>E-doręczenia AE: PL-67201-82790-JJRGJ-27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607695</wp:posOffset>
              </wp:positionH>
              <wp:positionV relativeFrom="page">
                <wp:posOffset>485140</wp:posOffset>
              </wp:positionV>
              <wp:extent cx="935990" cy="51181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35990" cy="511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SUNSET PV sp. z o.o.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ul. Józefa Konrada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Korzeniowskiego 3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15-519 Białystok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.850000000000001pt;margin-top:38.200000000000003pt;width:73.700000000000003pt;height:40.3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Calibri" w:eastAsia="Calibri" w:hAnsi="Calibri" w:cs="Calibri"/>
                        <w:sz w:val="18"/>
                        <w:szCs w:val="18"/>
                      </w:rPr>
                      <w:t>SUNSET PV sp. z o.o.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Calibri" w:eastAsia="Calibri" w:hAnsi="Calibri" w:cs="Calibri"/>
                        <w:sz w:val="18"/>
                        <w:szCs w:val="18"/>
                      </w:rPr>
                      <w:t>ul. Józefa Konrada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Calibri" w:eastAsia="Calibri" w:hAnsi="Calibri" w:cs="Calibri"/>
                        <w:sz w:val="18"/>
                        <w:szCs w:val="18"/>
                      </w:rPr>
                      <w:t>Korzeniowskiego 3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Calibri" w:eastAsia="Calibri" w:hAnsi="Calibri" w:cs="Calibri"/>
                        <w:sz w:val="18"/>
                        <w:szCs w:val="18"/>
                      </w:rPr>
                      <w:t>15-519 Białystok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2055495</wp:posOffset>
              </wp:positionH>
              <wp:positionV relativeFrom="page">
                <wp:posOffset>485140</wp:posOffset>
              </wp:positionV>
              <wp:extent cx="868680" cy="35369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68680" cy="3536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KRS 0000802775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NIP 9662133182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REGON 384312673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61.84999999999999pt;margin-top:38.200000000000003pt;width:68.400000000000006pt;height:27.85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Calibri" w:eastAsia="Calibri" w:hAnsi="Calibri" w:cs="Calibri"/>
                        <w:sz w:val="18"/>
                        <w:szCs w:val="18"/>
                      </w:rPr>
                      <w:t>KRS 0000802775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Calibri" w:eastAsia="Calibri" w:hAnsi="Calibri" w:cs="Calibri"/>
                        <w:sz w:val="18"/>
                        <w:szCs w:val="18"/>
                      </w:rPr>
                      <w:t>NIP 9662133182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Calibri" w:eastAsia="Calibri" w:hAnsi="Calibri" w:cs="Calibri"/>
                        <w:sz w:val="18"/>
                        <w:szCs w:val="18"/>
                      </w:rPr>
                      <w:t>REGON 384312673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 (3)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5">
    <w:name w:val="Nagłówek lub stopka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Tekst treści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Tekst treści (2)_"/>
    <w:basedOn w:val="DefaultParagraphFont"/>
    <w:link w:val="Style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Tekst treści (3)"/>
    <w:basedOn w:val="Normal"/>
    <w:link w:val="CharStyle3"/>
    <w:pPr>
      <w:widowControl w:val="0"/>
      <w:shd w:val="clear" w:color="auto" w:fill="auto"/>
      <w:spacing w:before="300" w:after="320" w:line="223" w:lineRule="auto"/>
      <w:jc w:val="right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4">
    <w:name w:val="Nagłówek lub stopka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Tekst treści"/>
    <w:basedOn w:val="Normal"/>
    <w:link w:val="CharStyle8"/>
    <w:pPr>
      <w:widowControl w:val="0"/>
      <w:shd w:val="clear" w:color="auto" w:fill="auto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4">
    <w:name w:val="Tekst treści (2)"/>
    <w:basedOn w:val="Normal"/>
    <w:link w:val="CharStyle15"/>
    <w:pPr>
      <w:widowControl w:val="0"/>
      <w:shd w:val="clear" w:color="auto" w:fill="auto"/>
      <w:spacing w:after="160" w:line="199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grzesiek</dc:creator>
  <cp:keywords/>
</cp:coreProperties>
</file>