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D58D7" w14:textId="77777777" w:rsidR="007B68E9" w:rsidRPr="00745E38" w:rsidRDefault="00006CA2" w:rsidP="007B68E9">
      <w:pPr>
        <w:spacing w:line="360" w:lineRule="auto"/>
      </w:pPr>
      <w:r w:rsidRPr="00AA33FB">
        <w:rPr>
          <w:b/>
          <w:bCs/>
        </w:rPr>
        <w:t>Załącznik nr 3</w:t>
      </w:r>
      <w:r w:rsidRPr="00006CA2">
        <w:t xml:space="preserve"> </w:t>
      </w:r>
      <w:r w:rsidR="007B68E9" w:rsidRPr="00745E38">
        <w:t>do Zarządzenia Nr 20/2023</w:t>
      </w:r>
    </w:p>
    <w:p w14:paraId="59161E79" w14:textId="77777777" w:rsidR="007B68E9" w:rsidRPr="00745E38" w:rsidRDefault="007B68E9" w:rsidP="007B68E9">
      <w:pPr>
        <w:spacing w:line="360" w:lineRule="auto"/>
      </w:pPr>
      <w:r w:rsidRPr="00745E38">
        <w:t>Wojewódzkiego Inspektora Jakości Handlowej Artykułów Rolno-Spożywczych w Zielonej Górze</w:t>
      </w:r>
      <w:r>
        <w:t xml:space="preserve"> </w:t>
      </w:r>
      <w:r w:rsidRPr="00745E38">
        <w:t>z dnia 7 lipca 2023r.</w:t>
      </w:r>
    </w:p>
    <w:p w14:paraId="72F19874" w14:textId="409BF727" w:rsidR="00006CA2" w:rsidRPr="00006CA2" w:rsidRDefault="00006CA2" w:rsidP="007B68E9">
      <w:pPr>
        <w:numPr>
          <w:ilvl w:val="0"/>
          <w:numId w:val="0"/>
        </w:numPr>
        <w:spacing w:line="360" w:lineRule="auto"/>
      </w:pPr>
    </w:p>
    <w:p w14:paraId="1817276E" w14:textId="3F3AA4AB" w:rsidR="00006CA2" w:rsidRPr="00006CA2" w:rsidRDefault="00006CA2" w:rsidP="003014DA">
      <w:pPr>
        <w:pStyle w:val="Tytu"/>
        <w:spacing w:line="360" w:lineRule="auto"/>
      </w:pPr>
      <w:r w:rsidRPr="00006CA2">
        <w:t>Procedura zamieszczania informacji na stronie</w:t>
      </w:r>
      <w:r w:rsidR="003014DA">
        <w:t xml:space="preserve"> </w:t>
      </w:r>
      <w:r w:rsidRPr="00006CA2">
        <w:t>internetowej</w:t>
      </w:r>
      <w:r w:rsidR="003014DA">
        <w:t xml:space="preserve">, </w:t>
      </w:r>
      <w:r w:rsidRPr="00006CA2">
        <w:t>podmiotowej stronie BIP</w:t>
      </w:r>
    </w:p>
    <w:p w14:paraId="7978D7AA" w14:textId="77777777" w:rsidR="00006CA2" w:rsidRPr="00006CA2" w:rsidRDefault="00006CA2" w:rsidP="003014DA">
      <w:pPr>
        <w:numPr>
          <w:ilvl w:val="0"/>
          <w:numId w:val="0"/>
        </w:numPr>
        <w:spacing w:line="360" w:lineRule="auto"/>
      </w:pPr>
    </w:p>
    <w:p w14:paraId="4B506560" w14:textId="1D975F4A" w:rsidR="00006CA2" w:rsidRPr="00006CA2" w:rsidRDefault="00006CA2" w:rsidP="003014DA">
      <w:pPr>
        <w:pStyle w:val="Nagwek1"/>
        <w:spacing w:line="360" w:lineRule="auto"/>
        <w:rPr>
          <w:b w:val="0"/>
        </w:rPr>
      </w:pPr>
      <w:r w:rsidRPr="00006CA2">
        <w:t>§ 1. Wstęp.</w:t>
      </w:r>
    </w:p>
    <w:p w14:paraId="0C175742" w14:textId="6F2BBF3C" w:rsidR="00006CA2" w:rsidRDefault="00006CA2" w:rsidP="003014DA">
      <w:pPr>
        <w:pStyle w:val="Akapitzlist"/>
        <w:numPr>
          <w:ilvl w:val="0"/>
          <w:numId w:val="5"/>
        </w:numPr>
        <w:spacing w:line="360" w:lineRule="auto"/>
      </w:pPr>
      <w:r w:rsidRPr="00006CA2">
        <w:t>Procedura określa standardy zamieszczania informacji na stronie internetowej</w:t>
      </w:r>
      <w:r>
        <w:t>, podmiotowej stronie BIP Wojewódzkiego Inspektoratu Jakości Handlowej Artykułów Rolno-Spożywczych w Zielonej Górze.</w:t>
      </w:r>
    </w:p>
    <w:p w14:paraId="41ABBBFF" w14:textId="77777777" w:rsidR="00006CA2" w:rsidRDefault="00006CA2" w:rsidP="003014DA">
      <w:pPr>
        <w:pStyle w:val="Akapitzlist"/>
        <w:numPr>
          <w:ilvl w:val="0"/>
          <w:numId w:val="5"/>
        </w:numPr>
        <w:spacing w:line="360" w:lineRule="auto"/>
      </w:pPr>
      <w:r>
        <w:t>Wojewódzki Inspektorat Jakości Handlowej Artykułów Rolno-Spożywczych w Zielonej Górze</w:t>
      </w:r>
      <w:r w:rsidRPr="00006CA2">
        <w:t xml:space="preserve"> zwany dalej Urzędem zapewnia obsługę osób ze szczególnymi potrzebami w tym osób z niepełnosprawnościami.</w:t>
      </w:r>
    </w:p>
    <w:p w14:paraId="413C3D64" w14:textId="7EABE1B2" w:rsidR="00006CA2" w:rsidRDefault="00006CA2" w:rsidP="003014DA">
      <w:pPr>
        <w:pStyle w:val="Akapitzlist"/>
        <w:numPr>
          <w:ilvl w:val="0"/>
          <w:numId w:val="5"/>
        </w:numPr>
        <w:spacing w:line="360" w:lineRule="auto"/>
      </w:pPr>
      <w:r w:rsidRPr="00006CA2">
        <w:t>Procedura stosowana jest od dnia wejścia w życie zarządzania W</w:t>
      </w:r>
      <w:r>
        <w:t xml:space="preserve">ojewódzkiego Inspektora Jakości Handlowej Artykułów Rolno-Spożywczych w Zielonej Górze </w:t>
      </w:r>
      <w:r w:rsidRPr="00006CA2">
        <w:t>wprowadzającego niniejszą procedurę.</w:t>
      </w:r>
    </w:p>
    <w:p w14:paraId="121F7EC7" w14:textId="77777777" w:rsidR="00006CA2" w:rsidRPr="00006CA2" w:rsidRDefault="00006CA2" w:rsidP="003014DA">
      <w:pPr>
        <w:numPr>
          <w:ilvl w:val="0"/>
          <w:numId w:val="0"/>
        </w:numPr>
        <w:spacing w:line="360" w:lineRule="auto"/>
      </w:pPr>
    </w:p>
    <w:p w14:paraId="3F0C0802" w14:textId="18DCB040" w:rsidR="00006CA2" w:rsidRPr="00006CA2" w:rsidRDefault="00006CA2" w:rsidP="003014DA">
      <w:pPr>
        <w:pStyle w:val="Nagwek1"/>
        <w:spacing w:line="360" w:lineRule="auto"/>
      </w:pPr>
      <w:r w:rsidRPr="00006CA2">
        <w:t>§ 2. Postanowienia ogólne.</w:t>
      </w:r>
    </w:p>
    <w:p w14:paraId="5AF8EF34" w14:textId="77777777" w:rsidR="00006CA2" w:rsidRDefault="00006CA2" w:rsidP="003014DA">
      <w:pPr>
        <w:pStyle w:val="Akapitzlist"/>
        <w:numPr>
          <w:ilvl w:val="0"/>
          <w:numId w:val="6"/>
        </w:numPr>
        <w:spacing w:line="360" w:lineRule="auto"/>
      </w:pPr>
      <w:r w:rsidRPr="00006CA2">
        <w:t>Celem procedury jest wdrożenie standardów opartych na WCAG 2.1 podczas zamieszczania informacji na stronie internetowej</w:t>
      </w:r>
      <w:r>
        <w:t>, stronie podmiotowej BIP</w:t>
      </w:r>
      <w:r w:rsidRPr="00006CA2">
        <w:t>, zgodnie z Ustawą dnia 4 kwietnia 2019 r. o dostępności cyfrowej stron internetowych i aplikacji mobilnych podmiotów publicznych, Ustawą z dnia 6 września 2001 roku o dostępie do informacji publicznej (</w:t>
      </w:r>
      <w:proofErr w:type="spellStart"/>
      <w:r w:rsidRPr="00006CA2">
        <w:t>t.j</w:t>
      </w:r>
      <w:proofErr w:type="spellEnd"/>
      <w:r w:rsidRPr="00006CA2">
        <w:t>. Dz. U. z 2019 r. poz. 1429 ze zm.) oraz Konwencją Praw Osób Niepełnosprawnych Organizacji Narodów Zjednoczonych.</w:t>
      </w:r>
    </w:p>
    <w:p w14:paraId="3E2C73BC" w14:textId="2CD4B674" w:rsidR="00006CA2" w:rsidRDefault="00006CA2" w:rsidP="003014DA">
      <w:pPr>
        <w:pStyle w:val="Akapitzlist"/>
        <w:numPr>
          <w:ilvl w:val="0"/>
          <w:numId w:val="6"/>
        </w:numPr>
        <w:spacing w:line="360" w:lineRule="auto"/>
      </w:pPr>
      <w:r w:rsidRPr="00006CA2">
        <w:t>Procedura zostanie zamieszczona na stronie https://</w:t>
      </w:r>
      <w:r>
        <w:t>www.bip.wijhars.zgora.pl</w:t>
      </w:r>
      <w:r w:rsidRPr="00006CA2">
        <w:t xml:space="preserve"> w formie dostępnego dokumentu.</w:t>
      </w:r>
    </w:p>
    <w:p w14:paraId="756E3099" w14:textId="77777777" w:rsidR="00006CA2" w:rsidRPr="00006CA2" w:rsidRDefault="00006CA2" w:rsidP="003014DA">
      <w:pPr>
        <w:numPr>
          <w:ilvl w:val="0"/>
          <w:numId w:val="0"/>
        </w:numPr>
        <w:spacing w:line="360" w:lineRule="auto"/>
      </w:pPr>
    </w:p>
    <w:p w14:paraId="4A60C75E" w14:textId="5FC51B27" w:rsidR="00006CA2" w:rsidRPr="00006CA2" w:rsidRDefault="00006CA2" w:rsidP="003014DA">
      <w:pPr>
        <w:pStyle w:val="Nagwek1"/>
        <w:spacing w:line="360" w:lineRule="auto"/>
      </w:pPr>
      <w:r w:rsidRPr="00006CA2">
        <w:lastRenderedPageBreak/>
        <w:t xml:space="preserve">§ 3. Zamieszczanie informacji na stronie internetowej, stronie podmiotowej BIP. </w:t>
      </w:r>
    </w:p>
    <w:p w14:paraId="7DCD3357" w14:textId="78803FEF" w:rsidR="00006CA2" w:rsidRPr="00006CA2" w:rsidRDefault="00006CA2" w:rsidP="003014DA">
      <w:pPr>
        <w:pStyle w:val="Akapitzlist"/>
        <w:numPr>
          <w:ilvl w:val="0"/>
          <w:numId w:val="7"/>
        </w:numPr>
        <w:spacing w:line="360" w:lineRule="auto"/>
      </w:pPr>
      <w:r w:rsidRPr="00006CA2">
        <w:t>Rekomendacje dotyczą zarówno sposobu edytowania, eksportowania i zamieszczania dokumentów w sieci jak i funkcjonowania strony www.</w:t>
      </w:r>
    </w:p>
    <w:p w14:paraId="72894CDA" w14:textId="77777777" w:rsidR="00006CA2" w:rsidRDefault="00006CA2" w:rsidP="003014DA">
      <w:pPr>
        <w:pStyle w:val="Akapitzlist"/>
        <w:numPr>
          <w:ilvl w:val="0"/>
          <w:numId w:val="8"/>
        </w:numPr>
        <w:spacing w:line="360" w:lineRule="auto"/>
      </w:pPr>
      <w:r w:rsidRPr="00006CA2">
        <w:t xml:space="preserve">Należy stosować łatwe w czytaniu, </w:t>
      </w:r>
      <w:proofErr w:type="spellStart"/>
      <w:r w:rsidRPr="00006CA2">
        <w:t>bezszeryfowe</w:t>
      </w:r>
      <w:proofErr w:type="spellEnd"/>
      <w:r w:rsidRPr="00006CA2">
        <w:t xml:space="preserve"> </w:t>
      </w:r>
      <w:proofErr w:type="spellStart"/>
      <w:r w:rsidRPr="00006CA2">
        <w:t>fonty</w:t>
      </w:r>
      <w:proofErr w:type="spellEnd"/>
      <w:r w:rsidRPr="00006CA2">
        <w:t xml:space="preserve"> np. </w:t>
      </w:r>
      <w:r>
        <w:t>Calibri i</w:t>
      </w:r>
      <w:r w:rsidRPr="00006CA2">
        <w:t xml:space="preserve"> unikać krojów </w:t>
      </w:r>
      <w:proofErr w:type="spellStart"/>
      <w:r w:rsidRPr="00006CA2">
        <w:t>fontów</w:t>
      </w:r>
      <w:proofErr w:type="spellEnd"/>
      <w:r w:rsidRPr="00006CA2">
        <w:t>, które mają cyfry nautyczne (cyfry mediewalne).</w:t>
      </w:r>
    </w:p>
    <w:p w14:paraId="6CBD3424" w14:textId="2AD96E21" w:rsidR="00006CA2" w:rsidRDefault="00006CA2" w:rsidP="003014DA">
      <w:pPr>
        <w:pStyle w:val="Akapitzlist"/>
        <w:numPr>
          <w:ilvl w:val="0"/>
          <w:numId w:val="8"/>
        </w:numPr>
        <w:spacing w:line="360" w:lineRule="auto"/>
      </w:pPr>
      <w:r w:rsidRPr="00006CA2">
        <w:t>Powinno się unikać stosowania podkreślania tekstu, który nie jest hiperłączem. Wyróżnienie przez podkreślenia w tekście ciągłym sugeruje, że mamy do czynienia z linkiem do kolejnej podstrony.</w:t>
      </w:r>
    </w:p>
    <w:p w14:paraId="6E4E5E5F" w14:textId="77777777" w:rsidR="00006CA2" w:rsidRDefault="00006CA2" w:rsidP="003014DA">
      <w:pPr>
        <w:pStyle w:val="Akapitzlist"/>
        <w:numPr>
          <w:ilvl w:val="0"/>
          <w:numId w:val="8"/>
        </w:numPr>
        <w:spacing w:line="360" w:lineRule="auto"/>
      </w:pPr>
      <w:r w:rsidRPr="00006CA2">
        <w:t xml:space="preserve">Odpowiedni kontrast liter do tła: między tłem a dużym tekstem (większym niż 150% wielkości podstawowej tekstu na stronie) współczynnik kontrastu powinien wynosić 3:1, a w przypadku małego tekstu 4,5:1. Współczynnik kontrastu można zbadać z użyciem narzędzia </w:t>
      </w:r>
      <w:proofErr w:type="spellStart"/>
      <w:r w:rsidRPr="00006CA2">
        <w:t>Contrast</w:t>
      </w:r>
      <w:proofErr w:type="spellEnd"/>
      <w:r w:rsidRPr="00006CA2">
        <w:t xml:space="preserve"> </w:t>
      </w:r>
      <w:proofErr w:type="spellStart"/>
      <w:r w:rsidRPr="00006CA2">
        <w:t>Colour</w:t>
      </w:r>
      <w:proofErr w:type="spellEnd"/>
      <w:r w:rsidRPr="00006CA2">
        <w:t xml:space="preserve"> Analyzer.</w:t>
      </w:r>
    </w:p>
    <w:p w14:paraId="4A190865" w14:textId="77777777" w:rsidR="00006CA2" w:rsidRDefault="00006CA2" w:rsidP="003014DA">
      <w:pPr>
        <w:pStyle w:val="Akapitzlist"/>
        <w:numPr>
          <w:ilvl w:val="0"/>
          <w:numId w:val="8"/>
        </w:numPr>
        <w:spacing w:line="360" w:lineRule="auto"/>
      </w:pPr>
      <w:r w:rsidRPr="00006CA2">
        <w:t>Należy unikać zamieszczania napisów na zdjęciu lub grafice, zwłaszcza gdy zawiera ona sporą ilość elementów.</w:t>
      </w:r>
    </w:p>
    <w:p w14:paraId="6171BB4E" w14:textId="77777777" w:rsidR="00006CA2" w:rsidRDefault="00006CA2" w:rsidP="003014DA">
      <w:pPr>
        <w:pStyle w:val="Akapitzlist"/>
        <w:numPr>
          <w:ilvl w:val="0"/>
          <w:numId w:val="8"/>
        </w:numPr>
        <w:spacing w:line="360" w:lineRule="auto"/>
      </w:pPr>
      <w:r w:rsidRPr="00006CA2">
        <w:t>Każda grafika powinna być opatrzona tekstem alternatywnym, opisującym zawartość, treść i kontekst, pozbawionym skomplikowanych struktur gramatycznych.</w:t>
      </w:r>
    </w:p>
    <w:p w14:paraId="023891AE" w14:textId="77777777" w:rsidR="00006CA2" w:rsidRDefault="00006CA2" w:rsidP="003014DA">
      <w:pPr>
        <w:pStyle w:val="Akapitzlist"/>
        <w:numPr>
          <w:ilvl w:val="0"/>
          <w:numId w:val="8"/>
        </w:numPr>
        <w:spacing w:line="360" w:lineRule="auto"/>
      </w:pPr>
      <w:r w:rsidRPr="00006CA2">
        <w:t xml:space="preserve">Należy też pamiętać o tym, by nie nadawać dwóch takich samych tekstów alternatywnych znajdującym się obok siebie grafikom, </w:t>
      </w:r>
      <w:proofErr w:type="spellStart"/>
      <w:r w:rsidRPr="00006CA2">
        <w:t>buttonom</w:t>
      </w:r>
      <w:proofErr w:type="spellEnd"/>
      <w:r w:rsidRPr="00006CA2">
        <w:t xml:space="preserve"> lub odsyłaczom obrazkowym. By uniknąć redundancji, czyli nadmiarowości, nie dubluje się nazwy linku do tekstu alternatywnego.</w:t>
      </w:r>
    </w:p>
    <w:p w14:paraId="2497BB6E" w14:textId="77777777" w:rsidR="00006CA2" w:rsidRDefault="00006CA2" w:rsidP="003014DA">
      <w:pPr>
        <w:pStyle w:val="Akapitzlist"/>
        <w:numPr>
          <w:ilvl w:val="0"/>
          <w:numId w:val="8"/>
        </w:numPr>
        <w:spacing w:line="360" w:lineRule="auto"/>
      </w:pPr>
      <w:r w:rsidRPr="00006CA2">
        <w:t xml:space="preserve">Na stronie poprawnie powinno działać powiększanie/zmniejszanie tekstu przez użycie skrótu klawiaturowego </w:t>
      </w:r>
      <w:proofErr w:type="spellStart"/>
      <w:r w:rsidRPr="00006CA2">
        <w:t>ctrl</w:t>
      </w:r>
      <w:proofErr w:type="spellEnd"/>
      <w:r w:rsidRPr="00006CA2">
        <w:t>+/</w:t>
      </w:r>
      <w:proofErr w:type="spellStart"/>
      <w:r w:rsidRPr="00006CA2">
        <w:t>ctrl</w:t>
      </w:r>
      <w:proofErr w:type="spellEnd"/>
      <w:r w:rsidRPr="00006CA2">
        <w:t>-.</w:t>
      </w:r>
    </w:p>
    <w:p w14:paraId="32AC5792" w14:textId="77777777" w:rsidR="00AA33FB" w:rsidRDefault="00006CA2" w:rsidP="003014DA">
      <w:pPr>
        <w:pStyle w:val="Akapitzlist"/>
        <w:numPr>
          <w:ilvl w:val="0"/>
          <w:numId w:val="8"/>
        </w:numPr>
        <w:spacing w:line="360" w:lineRule="auto"/>
      </w:pPr>
      <w:r w:rsidRPr="00006CA2">
        <w:t>Przy powiększaniu strony do 200% nie powinno być utraty treści i funkcjonalności na stronie, użytkownik strony nie powinien przewijać strony w poziomie na prawo lub lewo.</w:t>
      </w:r>
    </w:p>
    <w:p w14:paraId="3BE644AC" w14:textId="4D2C2C4D" w:rsidR="00006CA2" w:rsidRDefault="00006CA2" w:rsidP="003014DA">
      <w:pPr>
        <w:pStyle w:val="Akapitzlist"/>
        <w:numPr>
          <w:ilvl w:val="0"/>
          <w:numId w:val="8"/>
        </w:numPr>
        <w:spacing w:line="360" w:lineRule="auto"/>
      </w:pPr>
      <w:r w:rsidRPr="00006CA2">
        <w:t xml:space="preserve">Rekomendowane jest wyłączenie wszelkich animacji wywołujące interakcje użytkownika, chyba że animacja ma istotne znaczenie dla funkcjonalności lub przekazywania informacji. Raz wyświetlona strona bez ingerencji użytkownika powinna być przez cały czas czytania statyczna i nieruchoma. Dopuszczalne jest ustawianie czasu animacji tak, by był nie mniejszy niż 6 sekund pomiędzy slajdami, </w:t>
      </w:r>
      <w:r w:rsidRPr="00006CA2">
        <w:lastRenderedPageBreak/>
        <w:t xml:space="preserve">wolny przepływ zdjęć, ograniczenie teksty na bannerach do 5-10 słów w wyraźnej, dużej, </w:t>
      </w:r>
      <w:proofErr w:type="spellStart"/>
      <w:r w:rsidRPr="00006CA2">
        <w:t>bezszeryfowej</w:t>
      </w:r>
      <w:proofErr w:type="spellEnd"/>
      <w:r w:rsidRPr="00006CA2">
        <w:t xml:space="preserve"> czcionce.</w:t>
      </w:r>
    </w:p>
    <w:p w14:paraId="5AFE59CB" w14:textId="77777777" w:rsidR="00006CA2" w:rsidRDefault="00006CA2" w:rsidP="003014DA">
      <w:pPr>
        <w:pStyle w:val="Akapitzlist"/>
        <w:numPr>
          <w:ilvl w:val="0"/>
          <w:numId w:val="8"/>
        </w:numPr>
        <w:spacing w:line="360" w:lineRule="auto"/>
      </w:pPr>
      <w:r w:rsidRPr="00006CA2">
        <w:t>Deklarowany język na w każdym elemencie strony powinien być jako język polski.</w:t>
      </w:r>
    </w:p>
    <w:p w14:paraId="3E48CF04" w14:textId="023233EA" w:rsidR="00DE7E45" w:rsidRDefault="00006CA2" w:rsidP="003014DA">
      <w:pPr>
        <w:pStyle w:val="Akapitzlist"/>
        <w:numPr>
          <w:ilvl w:val="0"/>
          <w:numId w:val="8"/>
        </w:numPr>
        <w:spacing w:line="360" w:lineRule="auto"/>
      </w:pPr>
      <w:r w:rsidRPr="00006CA2">
        <w:t>By ułatwić nawigację, istotne elementy strony powinny być przyporządkowane pod nagłówki h1, h2, h3 etc.</w:t>
      </w:r>
    </w:p>
    <w:p w14:paraId="60E09899" w14:textId="38DA8CCD" w:rsidR="00AA33FB" w:rsidRDefault="00AA33FB" w:rsidP="003014DA">
      <w:pPr>
        <w:pStyle w:val="Akapitzlist"/>
        <w:numPr>
          <w:ilvl w:val="0"/>
          <w:numId w:val="8"/>
        </w:numPr>
        <w:spacing w:line="360" w:lineRule="auto"/>
      </w:pPr>
      <w:r>
        <w:t>Strona powinna być możliwa do obsłużenia wyłącznie przy pomocy klawiatury, bez użycia myszki lub innych zewnętrznych urządzeń nawigacyjnych. Ramka fokus powinna być wyraźna i kontrastowa w stosunku do tła.</w:t>
      </w:r>
    </w:p>
    <w:p w14:paraId="234B099D" w14:textId="67740EB1" w:rsidR="00AA33FB" w:rsidRDefault="00AA33FB" w:rsidP="003014DA">
      <w:pPr>
        <w:pStyle w:val="Akapitzlist"/>
        <w:numPr>
          <w:ilvl w:val="0"/>
          <w:numId w:val="8"/>
        </w:numPr>
        <w:spacing w:line="360" w:lineRule="auto"/>
      </w:pPr>
      <w:r>
        <w:t>Każda strona powinna zawierać mapę strony oraz wyszukiwarkę.</w:t>
      </w:r>
    </w:p>
    <w:p w14:paraId="10BC9252" w14:textId="46F2472D" w:rsidR="00AA33FB" w:rsidRDefault="00AA33FB" w:rsidP="003014DA">
      <w:pPr>
        <w:pStyle w:val="Akapitzlist"/>
        <w:numPr>
          <w:ilvl w:val="0"/>
          <w:numId w:val="8"/>
        </w:numPr>
        <w:spacing w:line="360" w:lineRule="auto"/>
      </w:pPr>
      <w:r>
        <w:t>Zamieszczone treści powinny być dostępne również na podstronie z wersją ETR (</w:t>
      </w:r>
      <w:proofErr w:type="spellStart"/>
      <w:r>
        <w:t>Easy</w:t>
      </w:r>
      <w:proofErr w:type="spellEnd"/>
      <w:r>
        <w:t xml:space="preserve"> to </w:t>
      </w:r>
      <w:proofErr w:type="spellStart"/>
      <w:r>
        <w:t>read</w:t>
      </w:r>
      <w:proofErr w:type="spellEnd"/>
      <w:r>
        <w:t xml:space="preserve">) łatwą do czytania i zrozumienia. Zrozumiałość tekstu można sprawdzić przy użyciu narzędzi </w:t>
      </w:r>
      <w:proofErr w:type="spellStart"/>
      <w:r>
        <w:t>Jasnopis</w:t>
      </w:r>
      <w:proofErr w:type="spellEnd"/>
      <w:r>
        <w:t xml:space="preserve"> (www.jasnopis.pl, maksymalnie 3600 znaków) i </w:t>
      </w:r>
      <w:proofErr w:type="spellStart"/>
      <w:r>
        <w:t>Logios</w:t>
      </w:r>
      <w:proofErr w:type="spellEnd"/>
      <w:r>
        <w:t xml:space="preserve"> (www.logios.dev, maksymalnie 3000 znaków).</w:t>
      </w:r>
    </w:p>
    <w:p w14:paraId="7531826D" w14:textId="77777777" w:rsidR="00AA33FB" w:rsidRDefault="00AA33FB" w:rsidP="003014DA">
      <w:pPr>
        <w:pStyle w:val="Akapitzlist"/>
        <w:numPr>
          <w:ilvl w:val="0"/>
          <w:numId w:val="8"/>
        </w:numPr>
        <w:spacing w:line="360" w:lineRule="auto"/>
      </w:pPr>
      <w:r>
        <w:t xml:space="preserve">Zagnieżdżanie plików PDF: Eksportowany plik PDF z edytora tekstu powinien być </w:t>
      </w:r>
      <w:proofErr w:type="spellStart"/>
      <w:r>
        <w:t>otagowany</w:t>
      </w:r>
      <w:proofErr w:type="spellEnd"/>
      <w:r>
        <w:t xml:space="preserve"> oraz zgodny ze standardem ISO. Generowanie plików PDF zawsze powinno odbywać się na pomocą opcji „ZAPISZ JAKO PDF”, nigdy jako ”DRUKUJ JAKO PDF”. Jeśli plik PDF jest skanem, należy zadbać o nadanie </w:t>
      </w:r>
      <w:proofErr w:type="spellStart"/>
      <w:r>
        <w:t>przeszukiwalnej</w:t>
      </w:r>
      <w:proofErr w:type="spellEnd"/>
      <w:r>
        <w:t xml:space="preserve"> warstwy tekstowej. Z pomocą darmowych narzędzi </w:t>
      </w:r>
      <w:proofErr w:type="spellStart"/>
      <w:r>
        <w:t>freeOCR</w:t>
      </w:r>
      <w:proofErr w:type="spellEnd"/>
      <w:r>
        <w:t xml:space="preserve">, </w:t>
      </w:r>
      <w:proofErr w:type="spellStart"/>
      <w:r>
        <w:t>meOCR</w:t>
      </w:r>
      <w:proofErr w:type="spellEnd"/>
      <w:r>
        <w:t xml:space="preserve"> czy OCR </w:t>
      </w:r>
      <w:proofErr w:type="spellStart"/>
      <w:r>
        <w:t>detection</w:t>
      </w:r>
      <w:proofErr w:type="spellEnd"/>
      <w:r>
        <w:t xml:space="preserve"> </w:t>
      </w:r>
      <w:proofErr w:type="spellStart"/>
      <w:r>
        <w:t>tool</w:t>
      </w:r>
      <w:proofErr w:type="spellEnd"/>
      <w:r>
        <w:t xml:space="preserve"> można wyeksportować taką warstwę. </w:t>
      </w:r>
    </w:p>
    <w:p w14:paraId="2D4615CD" w14:textId="6D3DC167" w:rsidR="00AA33FB" w:rsidRDefault="00AA33FB" w:rsidP="003014DA">
      <w:pPr>
        <w:pStyle w:val="Akapitzlist"/>
        <w:numPr>
          <w:ilvl w:val="0"/>
          <w:numId w:val="8"/>
        </w:numPr>
        <w:spacing w:line="360" w:lineRule="auto"/>
      </w:pPr>
      <w:r>
        <w:t>Zakładki strony powinny zawierać krótki tekst, wskazujący na jakiej podstronie się znajdujemy.</w:t>
      </w:r>
    </w:p>
    <w:p w14:paraId="6B0CECF7" w14:textId="77777777" w:rsidR="00AA33FB" w:rsidRDefault="00AA33FB" w:rsidP="003014DA">
      <w:pPr>
        <w:numPr>
          <w:ilvl w:val="0"/>
          <w:numId w:val="0"/>
        </w:numPr>
        <w:spacing w:line="360" w:lineRule="auto"/>
        <w:ind w:left="708"/>
      </w:pPr>
    </w:p>
    <w:p w14:paraId="74BF3448" w14:textId="45B72235" w:rsidR="00AA33FB" w:rsidRPr="00AA33FB" w:rsidRDefault="00AA33FB" w:rsidP="003014DA">
      <w:pPr>
        <w:pStyle w:val="Nagwek1"/>
        <w:spacing w:line="360" w:lineRule="auto"/>
      </w:pPr>
      <w:r w:rsidRPr="00AA33FB">
        <w:t xml:space="preserve">§ </w:t>
      </w:r>
      <w:r w:rsidR="003014DA">
        <w:t>4</w:t>
      </w:r>
      <w:r w:rsidRPr="00AA33FB">
        <w:t>. Postanowienia końcowe.</w:t>
      </w:r>
    </w:p>
    <w:p w14:paraId="356491AB" w14:textId="77777777" w:rsidR="00AA33FB" w:rsidRDefault="00AA33FB" w:rsidP="003014DA">
      <w:pPr>
        <w:pStyle w:val="Akapitzlist"/>
        <w:numPr>
          <w:ilvl w:val="0"/>
          <w:numId w:val="9"/>
        </w:numPr>
        <w:spacing w:line="360" w:lineRule="auto"/>
      </w:pPr>
      <w:r>
        <w:t>Niniejsza procedura ma zastosowanie do zamieszczania informacji na stronie internetowej, stronie podmiotowej BIP zgodnie ze Międzynarodowym standardem dostępności stron internetowych dla osób z niepełnosprawnościami standardami WCAG 2.1, Ustawą dnia 4 kwietnia 2019 r. o dostępności cyfrowej stron internetowych i aplikacji mobilnych podmiotów publicznych, Ustawą z dnia 6 września 2001 roku o dostępie do informacji publicznej (</w:t>
      </w:r>
      <w:proofErr w:type="spellStart"/>
      <w:r>
        <w:t>t.j</w:t>
      </w:r>
      <w:proofErr w:type="spellEnd"/>
      <w:r>
        <w:t>. Dz. U. z 2019 r. poz. 1429 ze zm.) oraz Konwencją Praw Osób Niepełnosprawnych Organizacji Narodów Zjednoczonych.</w:t>
      </w:r>
    </w:p>
    <w:p w14:paraId="0BD6D738" w14:textId="1C67FC79" w:rsidR="00AA33FB" w:rsidRPr="00006CA2" w:rsidRDefault="00AA33FB" w:rsidP="003014DA">
      <w:pPr>
        <w:pStyle w:val="Akapitzlist"/>
        <w:numPr>
          <w:ilvl w:val="0"/>
          <w:numId w:val="9"/>
        </w:numPr>
        <w:spacing w:line="360" w:lineRule="auto"/>
      </w:pPr>
      <w:r>
        <w:lastRenderedPageBreak/>
        <w:t>Niezależnie od zapisów procedury każdy pracownik Wojewódzkiego Inspektoratu Jakości Handlowej Artykułów Rolno-Spożywczych w Zielonej Górze jest zobowiązany udostępnić treści, które okazałyby się niedostępne osobie ze szczególnymi potrzebami, w tym osobom z niepełnosprawnością przez np. odczytanie tekstu lub zapewnienie usługi tłumacza PJM.</w:t>
      </w:r>
    </w:p>
    <w:sectPr w:rsidR="00AA33FB" w:rsidRPr="00006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627C"/>
    <w:multiLevelType w:val="hybridMultilevel"/>
    <w:tmpl w:val="D15A14B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BF4061D"/>
    <w:multiLevelType w:val="hybridMultilevel"/>
    <w:tmpl w:val="7A8CD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E95EC2"/>
    <w:multiLevelType w:val="hybridMultilevel"/>
    <w:tmpl w:val="22AC8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9259AD"/>
    <w:multiLevelType w:val="hybridMultilevel"/>
    <w:tmpl w:val="AB6AB4B8"/>
    <w:lvl w:ilvl="0" w:tplc="B4BABF62">
      <w:start w:val="1"/>
      <w:numFmt w:val="decimal"/>
      <w:lvlText w:val="%1."/>
      <w:lvlJc w:val="left"/>
      <w:pPr>
        <w:tabs>
          <w:tab w:val="num" w:pos="720"/>
        </w:tabs>
        <w:ind w:left="720" w:hanging="360"/>
      </w:pPr>
      <w:rPr>
        <w:rFonts w:hint="default"/>
      </w:rPr>
    </w:lvl>
    <w:lvl w:ilvl="1" w:tplc="79AE7A76">
      <w:numFmt w:val="none"/>
      <w:pStyle w:val="Normalny"/>
      <w:lvlText w:val=""/>
      <w:lvlJc w:val="left"/>
      <w:pPr>
        <w:tabs>
          <w:tab w:val="num" w:pos="360"/>
        </w:tabs>
      </w:pPr>
    </w:lvl>
    <w:lvl w:ilvl="2" w:tplc="BAE46D4E">
      <w:numFmt w:val="none"/>
      <w:lvlText w:val=""/>
      <w:lvlJc w:val="left"/>
      <w:pPr>
        <w:tabs>
          <w:tab w:val="num" w:pos="360"/>
        </w:tabs>
      </w:pPr>
    </w:lvl>
    <w:lvl w:ilvl="3" w:tplc="E304D6F0">
      <w:numFmt w:val="none"/>
      <w:lvlText w:val=""/>
      <w:lvlJc w:val="left"/>
      <w:pPr>
        <w:tabs>
          <w:tab w:val="num" w:pos="360"/>
        </w:tabs>
      </w:pPr>
    </w:lvl>
    <w:lvl w:ilvl="4" w:tplc="34703708">
      <w:numFmt w:val="none"/>
      <w:lvlText w:val=""/>
      <w:lvlJc w:val="left"/>
      <w:pPr>
        <w:tabs>
          <w:tab w:val="num" w:pos="360"/>
        </w:tabs>
      </w:pPr>
    </w:lvl>
    <w:lvl w:ilvl="5" w:tplc="AEB83A60">
      <w:numFmt w:val="none"/>
      <w:lvlText w:val=""/>
      <w:lvlJc w:val="left"/>
      <w:pPr>
        <w:tabs>
          <w:tab w:val="num" w:pos="360"/>
        </w:tabs>
      </w:pPr>
    </w:lvl>
    <w:lvl w:ilvl="6" w:tplc="CE16B25A">
      <w:numFmt w:val="none"/>
      <w:lvlText w:val=""/>
      <w:lvlJc w:val="left"/>
      <w:pPr>
        <w:tabs>
          <w:tab w:val="num" w:pos="360"/>
        </w:tabs>
      </w:pPr>
    </w:lvl>
    <w:lvl w:ilvl="7" w:tplc="D658807C">
      <w:numFmt w:val="none"/>
      <w:lvlText w:val=""/>
      <w:lvlJc w:val="left"/>
      <w:pPr>
        <w:tabs>
          <w:tab w:val="num" w:pos="360"/>
        </w:tabs>
      </w:pPr>
    </w:lvl>
    <w:lvl w:ilvl="8" w:tplc="8E2EEEB0">
      <w:numFmt w:val="none"/>
      <w:lvlText w:val=""/>
      <w:lvlJc w:val="left"/>
      <w:pPr>
        <w:tabs>
          <w:tab w:val="num" w:pos="360"/>
        </w:tabs>
      </w:pPr>
    </w:lvl>
  </w:abstractNum>
  <w:abstractNum w:abstractNumId="4" w15:restartNumberingAfterBreak="0">
    <w:nsid w:val="3A5E595E"/>
    <w:multiLevelType w:val="hybridMultilevel"/>
    <w:tmpl w:val="85BC2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854253"/>
    <w:multiLevelType w:val="hybridMultilevel"/>
    <w:tmpl w:val="7B3C1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693852">
    <w:abstractNumId w:val="3"/>
  </w:num>
  <w:num w:numId="2" w16cid:durableId="1842427706">
    <w:abstractNumId w:val="3"/>
  </w:num>
  <w:num w:numId="3" w16cid:durableId="1220945725">
    <w:abstractNumId w:val="3"/>
  </w:num>
  <w:num w:numId="4" w16cid:durableId="416755883">
    <w:abstractNumId w:val="3"/>
  </w:num>
  <w:num w:numId="5" w16cid:durableId="612250231">
    <w:abstractNumId w:val="5"/>
  </w:num>
  <w:num w:numId="6" w16cid:durableId="267859481">
    <w:abstractNumId w:val="1"/>
  </w:num>
  <w:num w:numId="7" w16cid:durableId="48237109">
    <w:abstractNumId w:val="4"/>
  </w:num>
  <w:num w:numId="8" w16cid:durableId="2111578677">
    <w:abstractNumId w:val="0"/>
  </w:num>
  <w:num w:numId="9" w16cid:durableId="1773893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A2"/>
    <w:rsid w:val="00006CA2"/>
    <w:rsid w:val="003014DA"/>
    <w:rsid w:val="006D657F"/>
    <w:rsid w:val="007B68E9"/>
    <w:rsid w:val="0090483D"/>
    <w:rsid w:val="00AA33FB"/>
    <w:rsid w:val="00BA1763"/>
    <w:rsid w:val="00DE7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8342"/>
  <w15:chartTrackingRefBased/>
  <w15:docId w15:val="{BF36433C-5E88-4F56-A276-44A4D510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1763"/>
    <w:pPr>
      <w:numPr>
        <w:ilvl w:val="1"/>
        <w:numId w:val="4"/>
      </w:numPr>
      <w:tabs>
        <w:tab w:val="left" w:pos="2410"/>
      </w:tabs>
      <w:spacing w:after="0" w:line="240" w:lineRule="auto"/>
    </w:pPr>
    <w:rPr>
      <w:rFonts w:eastAsia="SimSun" w:cs="Times New Roman"/>
      <w:sz w:val="24"/>
      <w:szCs w:val="24"/>
      <w:lang w:eastAsia="zh-CN"/>
    </w:rPr>
  </w:style>
  <w:style w:type="paragraph" w:styleId="Nagwek1">
    <w:name w:val="heading 1"/>
    <w:basedOn w:val="Normalny"/>
    <w:next w:val="Normalny"/>
    <w:link w:val="Nagwek1Znak"/>
    <w:uiPriority w:val="9"/>
    <w:qFormat/>
    <w:rsid w:val="003014DA"/>
    <w:pPr>
      <w:keepNext/>
      <w:keepLines/>
      <w:spacing w:before="240"/>
      <w:outlineLvl w:val="0"/>
    </w:pPr>
    <w:rPr>
      <w:rFonts w:eastAsiaTheme="majorEastAsia" w:cstheme="majorBidi"/>
      <w:b/>
      <w:color w:val="000000" w:themeColor="text1"/>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qFormat/>
    <w:rsid w:val="003014DA"/>
    <w:pPr>
      <w:numPr>
        <w:ilvl w:val="0"/>
        <w:numId w:val="0"/>
      </w:numPr>
      <w:tabs>
        <w:tab w:val="num" w:pos="360"/>
      </w:tabs>
      <w:spacing w:before="240" w:after="60"/>
      <w:outlineLvl w:val="0"/>
    </w:pPr>
    <w:rPr>
      <w:rFonts w:eastAsiaTheme="majorEastAsia" w:cstheme="majorBidi"/>
      <w:b/>
      <w:bCs/>
      <w:kern w:val="28"/>
      <w:sz w:val="32"/>
      <w:szCs w:val="32"/>
    </w:rPr>
  </w:style>
  <w:style w:type="character" w:customStyle="1" w:styleId="TytuZnak">
    <w:name w:val="Tytuł Znak"/>
    <w:basedOn w:val="Domylnaczcionkaakapitu"/>
    <w:link w:val="Tytu"/>
    <w:rsid w:val="003014DA"/>
    <w:rPr>
      <w:rFonts w:eastAsiaTheme="majorEastAsia" w:cstheme="majorBidi"/>
      <w:b/>
      <w:bCs/>
      <w:kern w:val="28"/>
      <w:sz w:val="32"/>
      <w:szCs w:val="32"/>
      <w:lang w:eastAsia="zh-CN"/>
    </w:rPr>
  </w:style>
  <w:style w:type="paragraph" w:styleId="Akapitzlist">
    <w:name w:val="List Paragraph"/>
    <w:basedOn w:val="Normalny"/>
    <w:uiPriority w:val="34"/>
    <w:qFormat/>
    <w:rsid w:val="00006CA2"/>
    <w:pPr>
      <w:ind w:left="720"/>
      <w:contextualSpacing/>
    </w:pPr>
  </w:style>
  <w:style w:type="character" w:customStyle="1" w:styleId="Nagwek1Znak">
    <w:name w:val="Nagłówek 1 Znak"/>
    <w:basedOn w:val="Domylnaczcionkaakapitu"/>
    <w:link w:val="Nagwek1"/>
    <w:uiPriority w:val="9"/>
    <w:rsid w:val="003014DA"/>
    <w:rPr>
      <w:rFonts w:eastAsiaTheme="majorEastAsia" w:cstheme="majorBidi"/>
      <w:b/>
      <w:color w:val="000000" w:themeColor="text1"/>
      <w:sz w:val="24"/>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816</Words>
  <Characters>4901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zamieszczania informacji na stronie ingternetowej, BIP - załącznik nr 3 do zarządzenia Wjewódzkiego Inspektora JHARS</dc:title>
  <dc:subject/>
  <dc:creator>Tomasz Szular</dc:creator>
  <cp:keywords/>
  <dc:description/>
  <cp:lastModifiedBy>Tomasz Szular</cp:lastModifiedBy>
  <cp:revision>3</cp:revision>
  <dcterms:created xsi:type="dcterms:W3CDTF">2023-07-05T11:01:00Z</dcterms:created>
  <dcterms:modified xsi:type="dcterms:W3CDTF">2023-07-07T08:40:00Z</dcterms:modified>
</cp:coreProperties>
</file>