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0E8B" w14:textId="3C64ADCD" w:rsidR="0035209A" w:rsidRPr="00150DAF" w:rsidRDefault="00150DAF" w:rsidP="00150DAF">
      <w:pPr>
        <w:tabs>
          <w:tab w:val="right" w:pos="9072"/>
        </w:tabs>
        <w:jc w:val="center"/>
        <w:rPr>
          <w:rFonts w:ascii="Lato" w:hAnsi="Lato"/>
          <w:sz w:val="22"/>
          <w:szCs w:val="22"/>
        </w:rPr>
      </w:pPr>
      <w:r w:rsidRPr="00150DAF">
        <w:rPr>
          <w:rFonts w:ascii="Lato" w:hAnsi="Lato"/>
          <w:sz w:val="22"/>
          <w:szCs w:val="22"/>
        </w:rPr>
        <w:t>Szczegółowy opis przedmiotu zamówienia</w:t>
      </w:r>
    </w:p>
    <w:p w14:paraId="42C0C8F2" w14:textId="77777777" w:rsidR="005E79E7" w:rsidRPr="00150DAF" w:rsidRDefault="005E79E7" w:rsidP="005E79E7">
      <w:pPr>
        <w:tabs>
          <w:tab w:val="right" w:pos="9072"/>
        </w:tabs>
        <w:ind w:left="4536"/>
        <w:jc w:val="both"/>
        <w:rPr>
          <w:rFonts w:ascii="Lato" w:hAnsi="Lato"/>
          <w:sz w:val="22"/>
          <w:szCs w:val="22"/>
        </w:rPr>
      </w:pPr>
    </w:p>
    <w:p w14:paraId="253E8F70" w14:textId="77777777" w:rsidR="005E79E7" w:rsidRPr="00150DAF" w:rsidRDefault="005E79E7" w:rsidP="005E79E7">
      <w:pPr>
        <w:ind w:left="4536"/>
        <w:jc w:val="both"/>
        <w:rPr>
          <w:rFonts w:ascii="Lato" w:hAnsi="Lato"/>
          <w:sz w:val="22"/>
          <w:szCs w:val="22"/>
        </w:rPr>
      </w:pPr>
    </w:p>
    <w:p w14:paraId="2563BF2B" w14:textId="45305045" w:rsidR="0035209A" w:rsidRPr="00150DAF" w:rsidRDefault="005E79E7" w:rsidP="00150DAF">
      <w:pPr>
        <w:pStyle w:val="Akapitzlist"/>
        <w:numPr>
          <w:ilvl w:val="0"/>
          <w:numId w:val="12"/>
        </w:numPr>
        <w:spacing w:line="276" w:lineRule="auto"/>
        <w:rPr>
          <w:rFonts w:ascii="Lato" w:hAnsi="Lato"/>
          <w:b/>
          <w:sz w:val="22"/>
          <w:szCs w:val="22"/>
        </w:rPr>
      </w:pPr>
      <w:r w:rsidRPr="00150DAF">
        <w:rPr>
          <w:rFonts w:ascii="Lato" w:hAnsi="Lato"/>
          <w:b/>
          <w:sz w:val="22"/>
          <w:szCs w:val="22"/>
        </w:rPr>
        <w:t>Szczegółowy zakres usług</w:t>
      </w:r>
    </w:p>
    <w:p w14:paraId="7D989A8B" w14:textId="626DC9D8" w:rsidR="00150DAF" w:rsidRPr="00150DAF" w:rsidRDefault="00150DAF" w:rsidP="00150DAF">
      <w:pPr>
        <w:spacing w:line="276" w:lineRule="auto"/>
        <w:rPr>
          <w:rFonts w:ascii="Lato" w:hAnsi="Lato"/>
          <w:b/>
          <w:sz w:val="22"/>
          <w:szCs w:val="22"/>
        </w:rPr>
      </w:pPr>
    </w:p>
    <w:p w14:paraId="7480F671" w14:textId="1FC3C193" w:rsidR="00150DAF" w:rsidRPr="00150DAF" w:rsidRDefault="00150DAF" w:rsidP="00150DAF">
      <w:pPr>
        <w:ind w:left="-5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1.1</w:t>
      </w:r>
      <w:r w:rsidRPr="00150DAF">
        <w:rPr>
          <w:rFonts w:ascii="Lato" w:eastAsia="Arial" w:hAnsi="Lato" w:cs="Calibri"/>
          <w:sz w:val="22"/>
          <w:szCs w:val="22"/>
        </w:rPr>
        <w:t xml:space="preserve"> </w:t>
      </w:r>
      <w:r w:rsidRPr="00150DAF">
        <w:rPr>
          <w:rFonts w:ascii="Lato" w:hAnsi="Lato" w:cs="Calibri"/>
          <w:sz w:val="22"/>
          <w:szCs w:val="22"/>
        </w:rPr>
        <w:t xml:space="preserve">Usługi serwisu ekranu wielkoformatowego technologii LED, bez widocznych połączeń </w:t>
      </w:r>
      <w:r w:rsidR="00D00E16" w:rsidRPr="00D00E16">
        <w:rPr>
          <w:rFonts w:ascii="Lato" w:hAnsi="Lato" w:cs="Calibri"/>
          <w:sz w:val="22"/>
          <w:szCs w:val="22"/>
        </w:rPr>
        <w:t>LEDLIVE P2.6 INDOOR</w:t>
      </w:r>
      <w:r w:rsidR="00D00E16">
        <w:rPr>
          <w:rFonts w:ascii="Lato" w:hAnsi="Lato" w:cs="Calibri"/>
          <w:sz w:val="22"/>
          <w:szCs w:val="22"/>
        </w:rPr>
        <w:t xml:space="preserve"> </w:t>
      </w:r>
      <w:r w:rsidRPr="00150DAF">
        <w:rPr>
          <w:rFonts w:ascii="Lato" w:hAnsi="Lato" w:cs="Calibri"/>
          <w:sz w:val="22"/>
          <w:szCs w:val="22"/>
        </w:rPr>
        <w:t>świadczone będą w dni robocze w godzinach: 8:00 – 17:00. W pierwszej kolejności w trybie zdalnym a w dalszej kolejności w przypadku konieczności obecności fizycznej przedstawi</w:t>
      </w:r>
      <w:r w:rsidR="004B51BC">
        <w:rPr>
          <w:rFonts w:ascii="Lato" w:hAnsi="Lato" w:cs="Calibri"/>
          <w:sz w:val="22"/>
          <w:szCs w:val="22"/>
        </w:rPr>
        <w:t>cieli</w:t>
      </w:r>
      <w:r w:rsidRPr="00150DAF">
        <w:rPr>
          <w:rFonts w:ascii="Lato" w:hAnsi="Lato" w:cs="Calibri"/>
          <w:sz w:val="22"/>
          <w:szCs w:val="22"/>
        </w:rPr>
        <w:t xml:space="preserve"> Wykonawcy w </w:t>
      </w:r>
      <w:r w:rsidRPr="00150DAF">
        <w:rPr>
          <w:rFonts w:ascii="Lato" w:eastAsia="Calibri" w:hAnsi="Lato" w:cs="Calibri"/>
          <w:bCs/>
          <w:sz w:val="22"/>
          <w:szCs w:val="22"/>
        </w:rPr>
        <w:t>lokalizacji Zamawiającego.</w:t>
      </w:r>
    </w:p>
    <w:p w14:paraId="127B4EAE" w14:textId="77777777" w:rsidR="00150DAF" w:rsidRPr="00150DAF" w:rsidRDefault="00150DAF" w:rsidP="00150DAF">
      <w:pPr>
        <w:rPr>
          <w:rFonts w:ascii="Lato" w:hAnsi="Lato" w:cs="Calibri"/>
          <w:b/>
          <w:sz w:val="22"/>
          <w:szCs w:val="22"/>
        </w:rPr>
      </w:pPr>
    </w:p>
    <w:p w14:paraId="1F8625FB" w14:textId="77777777" w:rsidR="00150DAF" w:rsidRPr="00150DAF" w:rsidRDefault="00150DAF" w:rsidP="00150DAF">
      <w:pPr>
        <w:ind w:left="-5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1.2</w:t>
      </w:r>
      <w:r w:rsidRPr="00150DAF">
        <w:rPr>
          <w:rFonts w:ascii="Lato" w:eastAsia="Arial" w:hAnsi="Lato" w:cs="Calibri"/>
          <w:sz w:val="22"/>
          <w:szCs w:val="22"/>
        </w:rPr>
        <w:t xml:space="preserve"> </w:t>
      </w:r>
      <w:r w:rsidRPr="00150DAF">
        <w:rPr>
          <w:rFonts w:ascii="Lato" w:hAnsi="Lato" w:cs="Calibri"/>
          <w:sz w:val="22"/>
          <w:szCs w:val="22"/>
        </w:rPr>
        <w:t xml:space="preserve">Zakres Usług  </w:t>
      </w:r>
    </w:p>
    <w:p w14:paraId="786BCD92" w14:textId="77777777" w:rsidR="00150DAF" w:rsidRPr="00150DAF" w:rsidRDefault="00150DAF" w:rsidP="00150DAF">
      <w:pPr>
        <w:ind w:left="-5"/>
        <w:rPr>
          <w:rFonts w:ascii="Lato" w:hAnsi="Lato" w:cs="Calibri"/>
          <w:sz w:val="22"/>
          <w:szCs w:val="22"/>
        </w:rPr>
      </w:pPr>
    </w:p>
    <w:tbl>
      <w:tblPr>
        <w:tblStyle w:val="TableGrid"/>
        <w:tblW w:w="10171" w:type="dxa"/>
        <w:tblInd w:w="72" w:type="dxa"/>
        <w:tblCellMar>
          <w:top w:w="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544"/>
        <w:gridCol w:w="8627"/>
      </w:tblGrid>
      <w:tr w:rsidR="00150DAF" w:rsidRPr="00150DAF" w14:paraId="7647BC02" w14:textId="77777777" w:rsidTr="00DF00E2">
        <w:trPr>
          <w:trHeight w:val="48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4D81" w14:textId="77777777" w:rsidR="00150DAF" w:rsidRPr="00150DAF" w:rsidRDefault="00150DAF" w:rsidP="00DF00E2">
            <w:pPr>
              <w:spacing w:line="259" w:lineRule="auto"/>
              <w:ind w:left="2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Usługa 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2442" w14:textId="77777777" w:rsidR="00150DAF" w:rsidRPr="00150DAF" w:rsidRDefault="00150DAF" w:rsidP="00DF00E2">
            <w:pPr>
              <w:spacing w:line="259" w:lineRule="auto"/>
              <w:ind w:left="2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Zakres Usługi </w:t>
            </w:r>
          </w:p>
        </w:tc>
      </w:tr>
      <w:tr w:rsidR="00150DAF" w:rsidRPr="00150DAF" w14:paraId="50B2C6DF" w14:textId="77777777" w:rsidTr="00DF00E2">
        <w:trPr>
          <w:trHeight w:val="264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963B" w14:textId="77777777" w:rsidR="00150DAF" w:rsidRPr="00150DAF" w:rsidRDefault="00150DAF" w:rsidP="00DF00E2">
            <w:pPr>
              <w:spacing w:line="259" w:lineRule="auto"/>
              <w:ind w:left="2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Przyjmowanie  </w:t>
            </w:r>
          </w:p>
          <w:p w14:paraId="000438DE" w14:textId="77777777" w:rsidR="00150DAF" w:rsidRPr="00150DAF" w:rsidRDefault="00150DAF" w:rsidP="00DF00E2">
            <w:pPr>
              <w:spacing w:line="259" w:lineRule="auto"/>
              <w:ind w:left="2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Zgłoszeń </w:t>
            </w:r>
          </w:p>
          <w:p w14:paraId="3D06518C" w14:textId="77777777" w:rsidR="00150DAF" w:rsidRPr="00150DAF" w:rsidRDefault="00150DAF" w:rsidP="00DF00E2">
            <w:pPr>
              <w:spacing w:line="259" w:lineRule="auto"/>
              <w:ind w:left="2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4AD8" w14:textId="77777777" w:rsidR="00150DAF" w:rsidRPr="00150DAF" w:rsidRDefault="00150DAF" w:rsidP="00DF00E2">
            <w:pPr>
              <w:spacing w:after="1" w:line="259" w:lineRule="auto"/>
              <w:ind w:left="2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>1.</w:t>
            </w:r>
            <w:r w:rsidRPr="00150DAF">
              <w:rPr>
                <w:rFonts w:ascii="Lato" w:eastAsia="Arial" w:hAnsi="Lato" w:cs="Calibri"/>
                <w:sz w:val="22"/>
                <w:szCs w:val="22"/>
              </w:rPr>
              <w:t xml:space="preserve"> </w:t>
            </w:r>
            <w:r w:rsidRPr="00150DAF">
              <w:rPr>
                <w:rFonts w:ascii="Lato" w:hAnsi="Lato" w:cs="Calibri"/>
                <w:sz w:val="22"/>
                <w:szCs w:val="22"/>
              </w:rPr>
              <w:t xml:space="preserve">Usługa obejmuje: </w:t>
            </w:r>
          </w:p>
          <w:p w14:paraId="000AFFCA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Przyjmowanie zgłoszeń dotyczących Sprzętu i oprogramowania Klienta. </w:t>
            </w:r>
          </w:p>
          <w:p w14:paraId="41038827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Rejestrację zgłoszeń w systemie informatycznym. </w:t>
            </w:r>
          </w:p>
          <w:p w14:paraId="3F8B1A9C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Weryfikację zgłoszenia pod względem formalnym. </w:t>
            </w:r>
          </w:p>
          <w:p w14:paraId="56889D00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Analizę zgłoszenia w zakresie merytorycznym. </w:t>
            </w:r>
          </w:p>
          <w:p w14:paraId="51FBEA08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Wstępną diagnozę zgłoszonych problemów. </w:t>
            </w:r>
          </w:p>
          <w:p w14:paraId="484E175D" w14:textId="77777777" w:rsidR="00150DAF" w:rsidRPr="00150DAF" w:rsidRDefault="00150DAF" w:rsidP="00DF00E2">
            <w:pPr>
              <w:numPr>
                <w:ilvl w:val="0"/>
                <w:numId w:val="9"/>
              </w:numPr>
              <w:spacing w:after="13" w:line="244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Eskalację zgłoszeń do odpowiednich zasobów serwisowych po stronie Spółki tj. przekazanie zgłoszenia do osób, które zajmować się będą wykonaniem zlecenia. </w:t>
            </w:r>
          </w:p>
          <w:p w14:paraId="76E3182F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Monitorowanie przebiegu realizacji zgłoszenia w całym cyklu. </w:t>
            </w:r>
          </w:p>
          <w:p w14:paraId="0123B545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Udzielanie informacji o bieżącym statusie zgłoszenia. </w:t>
            </w:r>
          </w:p>
          <w:p w14:paraId="51EDC4A6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Informowanie o rozwiązaniu problemu. </w:t>
            </w:r>
          </w:p>
          <w:p w14:paraId="299DF112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Zamykanie procesu realizacji zgłoszenia. </w:t>
            </w:r>
          </w:p>
          <w:p w14:paraId="2B35F989" w14:textId="77777777" w:rsidR="00150DAF" w:rsidRPr="00150DAF" w:rsidRDefault="00150DAF" w:rsidP="00DF00E2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Kontrola i raportowanie poziomu usług. </w:t>
            </w:r>
          </w:p>
        </w:tc>
      </w:tr>
      <w:tr w:rsidR="00150DAF" w:rsidRPr="00150DAF" w14:paraId="1D27312A" w14:textId="77777777" w:rsidTr="00DF00E2">
        <w:trPr>
          <w:trHeight w:val="2016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4B80" w14:textId="77777777" w:rsidR="00150DAF" w:rsidRPr="00150DAF" w:rsidRDefault="00150DAF" w:rsidP="00DF00E2">
            <w:pPr>
              <w:spacing w:line="259" w:lineRule="auto"/>
              <w:ind w:left="2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Serwis prewencyjny 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5C51" w14:textId="77777777" w:rsidR="00150DAF" w:rsidRPr="004B51BC" w:rsidRDefault="00150DAF" w:rsidP="00DF00E2">
            <w:pPr>
              <w:numPr>
                <w:ilvl w:val="0"/>
                <w:numId w:val="10"/>
              </w:numPr>
              <w:spacing w:after="1" w:line="259" w:lineRule="auto"/>
              <w:ind w:hanging="194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 xml:space="preserve">Usługa obejmuje najczęściej następujące czynności: </w:t>
            </w:r>
          </w:p>
          <w:p w14:paraId="1F4F8225" w14:textId="77777777" w:rsidR="00150DAF" w:rsidRPr="004B51BC" w:rsidRDefault="00150DAF" w:rsidP="00DF00E2">
            <w:pPr>
              <w:numPr>
                <w:ilvl w:val="1"/>
                <w:numId w:val="10"/>
              </w:numPr>
              <w:spacing w:line="259" w:lineRule="auto"/>
              <w:ind w:hanging="282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 xml:space="preserve">Okresowe wykonywanie testów serwisowanego sprzętu w celu identyfikacji elementów uszkodzonych oraz niestabilnych </w:t>
            </w:r>
          </w:p>
          <w:p w14:paraId="48407C83" w14:textId="77777777" w:rsidR="00150DAF" w:rsidRPr="004B51BC" w:rsidRDefault="00150DAF" w:rsidP="00DF00E2">
            <w:pPr>
              <w:spacing w:after="1" w:line="259" w:lineRule="auto"/>
              <w:ind w:left="644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 xml:space="preserve">(Eliminacja elementów uszkodzonych oraz niestabilnych będzie realizowana w ramach Serwisu naprawczego) </w:t>
            </w:r>
          </w:p>
          <w:p w14:paraId="6CF59AD5" w14:textId="77777777" w:rsidR="00150DAF" w:rsidRPr="004B51BC" w:rsidRDefault="00150DAF" w:rsidP="00DF00E2">
            <w:pPr>
              <w:numPr>
                <w:ilvl w:val="1"/>
                <w:numId w:val="10"/>
              </w:numPr>
              <w:spacing w:line="259" w:lineRule="auto"/>
              <w:ind w:hanging="282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 xml:space="preserve">Okresowe czyszczenie urządzeń w przypadku zaistnienia takiej konieczności. </w:t>
            </w:r>
          </w:p>
          <w:p w14:paraId="2541D724" w14:textId="77777777" w:rsidR="00150DAF" w:rsidRPr="004B51BC" w:rsidRDefault="00150DAF" w:rsidP="00DF00E2">
            <w:pPr>
              <w:numPr>
                <w:ilvl w:val="1"/>
                <w:numId w:val="10"/>
              </w:numPr>
              <w:spacing w:line="259" w:lineRule="auto"/>
              <w:ind w:hanging="282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 xml:space="preserve">Sprawdzenie poprawności działania Sprzętu i oprogramowania Klienta oraz kontrola konfiguracji. </w:t>
            </w:r>
          </w:p>
          <w:p w14:paraId="69E739FF" w14:textId="77777777" w:rsidR="00150DAF" w:rsidRPr="004B51BC" w:rsidRDefault="00150DAF" w:rsidP="00DF00E2">
            <w:pPr>
              <w:numPr>
                <w:ilvl w:val="1"/>
                <w:numId w:val="10"/>
              </w:numPr>
              <w:spacing w:line="259" w:lineRule="auto"/>
              <w:ind w:hanging="282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 xml:space="preserve">Rekomendacja dla klienta odnośnie do ewentualnych modernizacji systemu. </w:t>
            </w:r>
          </w:p>
          <w:p w14:paraId="66A8D522" w14:textId="77777777" w:rsidR="00150DAF" w:rsidRPr="004B51BC" w:rsidRDefault="00150DAF" w:rsidP="00DF00E2">
            <w:pPr>
              <w:numPr>
                <w:ilvl w:val="1"/>
                <w:numId w:val="10"/>
              </w:numPr>
              <w:spacing w:line="259" w:lineRule="auto"/>
              <w:ind w:hanging="282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 xml:space="preserve">Sporządzenie protokołu podsumowującego wykonane prace </w:t>
            </w:r>
          </w:p>
          <w:p w14:paraId="76056FF6" w14:textId="77777777" w:rsidR="00150DAF" w:rsidRPr="004B51BC" w:rsidRDefault="00150DAF" w:rsidP="00DF00E2">
            <w:pPr>
              <w:numPr>
                <w:ilvl w:val="1"/>
                <w:numId w:val="10"/>
              </w:numPr>
              <w:spacing w:line="259" w:lineRule="auto"/>
              <w:ind w:hanging="282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>Aktualizacja oprogramowania</w:t>
            </w:r>
          </w:p>
          <w:p w14:paraId="49A51ED0" w14:textId="77777777" w:rsidR="00150DAF" w:rsidRPr="004B51BC" w:rsidRDefault="00150DAF" w:rsidP="00DF00E2">
            <w:pPr>
              <w:numPr>
                <w:ilvl w:val="0"/>
                <w:numId w:val="10"/>
              </w:numPr>
              <w:spacing w:line="259" w:lineRule="auto"/>
              <w:ind w:hanging="194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 xml:space="preserve">Serwis prewencyjny będzie świadczony w ramach wynagrodzenia miesięcznego, </w:t>
            </w:r>
          </w:p>
          <w:p w14:paraId="5E9BE182" w14:textId="245FB47B" w:rsidR="00150DAF" w:rsidRPr="004B51BC" w:rsidRDefault="00150DAF" w:rsidP="00DF00E2">
            <w:pPr>
              <w:numPr>
                <w:ilvl w:val="0"/>
                <w:numId w:val="10"/>
              </w:numPr>
              <w:spacing w:line="259" w:lineRule="auto"/>
              <w:ind w:hanging="194"/>
              <w:rPr>
                <w:rFonts w:ascii="Lato" w:hAnsi="Lato" w:cs="Calibri"/>
                <w:sz w:val="22"/>
                <w:szCs w:val="22"/>
              </w:rPr>
            </w:pPr>
            <w:r w:rsidRPr="004B51BC">
              <w:rPr>
                <w:rFonts w:ascii="Lato" w:hAnsi="Lato" w:cs="Calibri"/>
                <w:sz w:val="22"/>
                <w:szCs w:val="22"/>
              </w:rPr>
              <w:t xml:space="preserve">Serwis prewencyjny wykonywany będzie raz (1) na miesiąc w godzinach ustalonych przez Strony. </w:t>
            </w:r>
          </w:p>
        </w:tc>
      </w:tr>
      <w:tr w:rsidR="00150DAF" w:rsidRPr="00150DAF" w14:paraId="38CFDBBF" w14:textId="77777777" w:rsidTr="00DF00E2">
        <w:trPr>
          <w:trHeight w:val="2174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D22E" w14:textId="77777777" w:rsidR="00150DAF" w:rsidRPr="00150DAF" w:rsidRDefault="00150DAF" w:rsidP="00DF00E2">
            <w:pPr>
              <w:spacing w:line="259" w:lineRule="auto"/>
              <w:ind w:left="2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Serwis naprawczy* 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F1D9" w14:textId="77777777" w:rsidR="00150DAF" w:rsidRPr="00150DAF" w:rsidRDefault="00150DAF" w:rsidP="00DF00E2">
            <w:pPr>
              <w:numPr>
                <w:ilvl w:val="0"/>
                <w:numId w:val="11"/>
              </w:numPr>
              <w:spacing w:after="1" w:line="259" w:lineRule="auto"/>
              <w:ind w:hanging="219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Usługa obejmuje: </w:t>
            </w:r>
          </w:p>
          <w:p w14:paraId="76C6E214" w14:textId="304F2429" w:rsidR="00150DAF" w:rsidRPr="00150DAF" w:rsidRDefault="00150DAF" w:rsidP="00DF00E2">
            <w:pPr>
              <w:numPr>
                <w:ilvl w:val="1"/>
                <w:numId w:val="11"/>
              </w:numPr>
              <w:spacing w:line="259" w:lineRule="auto"/>
              <w:ind w:hanging="348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Interwencję serwisu </w:t>
            </w:r>
            <w:r w:rsidR="004B51BC">
              <w:rPr>
                <w:rFonts w:ascii="Lato" w:hAnsi="Lato" w:cs="Calibri"/>
                <w:sz w:val="22"/>
                <w:szCs w:val="22"/>
              </w:rPr>
              <w:t>Wykonawcy</w:t>
            </w:r>
            <w:r w:rsidRPr="00150DAF">
              <w:rPr>
                <w:rFonts w:ascii="Lato" w:hAnsi="Lato" w:cs="Calibri"/>
                <w:sz w:val="22"/>
                <w:szCs w:val="22"/>
              </w:rPr>
              <w:t xml:space="preserve"> w miejscu wystąpienia Usterki. </w:t>
            </w:r>
          </w:p>
          <w:p w14:paraId="46DC07B6" w14:textId="77777777" w:rsidR="00150DAF" w:rsidRPr="00150DAF" w:rsidRDefault="00150DAF" w:rsidP="00DF00E2">
            <w:pPr>
              <w:numPr>
                <w:ilvl w:val="1"/>
                <w:numId w:val="11"/>
              </w:numPr>
              <w:spacing w:line="259" w:lineRule="auto"/>
              <w:ind w:hanging="348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Przywrócenie funkcjonalności poprzez naprawę Sprzętu Klienta lub zapewnienie Sprzętu Zastępczego. </w:t>
            </w:r>
          </w:p>
          <w:p w14:paraId="0220A112" w14:textId="77777777" w:rsidR="00150DAF" w:rsidRPr="00150DAF" w:rsidRDefault="00150DAF" w:rsidP="00DF00E2">
            <w:pPr>
              <w:numPr>
                <w:ilvl w:val="0"/>
                <w:numId w:val="11"/>
              </w:numPr>
              <w:spacing w:line="259" w:lineRule="auto"/>
              <w:ind w:hanging="219"/>
              <w:rPr>
                <w:rFonts w:ascii="Lato" w:hAnsi="Lato" w:cs="Calibri"/>
                <w:sz w:val="22"/>
                <w:szCs w:val="22"/>
              </w:rPr>
            </w:pPr>
            <w:r w:rsidRPr="00150DAF">
              <w:rPr>
                <w:rFonts w:ascii="Lato" w:hAnsi="Lato" w:cs="Calibri"/>
                <w:sz w:val="22"/>
                <w:szCs w:val="22"/>
              </w:rPr>
              <w:t xml:space="preserve">Serwis naprawczy będzie wykonywany maksymalnie 2 razy w miesiącu, na zgłoszenie Zamawiającego w ramach wynagrodzenia miesięcznego </w:t>
            </w:r>
          </w:p>
        </w:tc>
      </w:tr>
    </w:tbl>
    <w:p w14:paraId="28E54D58" w14:textId="7FD4F5B1" w:rsidR="00150DAF" w:rsidRPr="00150DAF" w:rsidRDefault="00150DAF" w:rsidP="00150DAF">
      <w:pPr>
        <w:spacing w:line="276" w:lineRule="auto"/>
        <w:rPr>
          <w:rFonts w:ascii="Lato" w:hAnsi="Lato"/>
          <w:b/>
          <w:sz w:val="22"/>
          <w:szCs w:val="22"/>
        </w:rPr>
      </w:pPr>
    </w:p>
    <w:p w14:paraId="61425A7F" w14:textId="77777777" w:rsidR="00150DAF" w:rsidRPr="00150DAF" w:rsidRDefault="00150DAF" w:rsidP="00150DAF">
      <w:pPr>
        <w:spacing w:line="276" w:lineRule="auto"/>
        <w:rPr>
          <w:rFonts w:ascii="Lato" w:hAnsi="Lato"/>
          <w:b/>
          <w:sz w:val="22"/>
          <w:szCs w:val="22"/>
        </w:rPr>
      </w:pPr>
    </w:p>
    <w:p w14:paraId="5EC84C9F" w14:textId="37C510D2" w:rsidR="00150DAF" w:rsidRPr="00150DAF" w:rsidRDefault="00150DAF" w:rsidP="00150DAF">
      <w:pPr>
        <w:pStyle w:val="Akapitzlist"/>
        <w:numPr>
          <w:ilvl w:val="0"/>
          <w:numId w:val="12"/>
        </w:numPr>
        <w:spacing w:line="276" w:lineRule="auto"/>
        <w:rPr>
          <w:rFonts w:ascii="Lato" w:hAnsi="Lato"/>
          <w:b/>
          <w:sz w:val="22"/>
          <w:szCs w:val="22"/>
        </w:rPr>
      </w:pPr>
      <w:r w:rsidRPr="00150DAF">
        <w:rPr>
          <w:rFonts w:ascii="Lato" w:hAnsi="Lato"/>
          <w:b/>
          <w:sz w:val="22"/>
          <w:szCs w:val="22"/>
        </w:rPr>
        <w:t>Szczegółowy opis przedmiotu dotyczącego serwisu</w:t>
      </w:r>
    </w:p>
    <w:p w14:paraId="1E230C5D" w14:textId="419E1344" w:rsidR="00150DAF" w:rsidRPr="00150DAF" w:rsidRDefault="00150DAF" w:rsidP="00150DAF">
      <w:pPr>
        <w:pStyle w:val="Akapitzlist"/>
        <w:spacing w:line="276" w:lineRule="auto"/>
        <w:rPr>
          <w:rFonts w:ascii="Lato" w:hAnsi="Lato"/>
          <w:b/>
          <w:sz w:val="22"/>
          <w:szCs w:val="22"/>
        </w:rPr>
      </w:pPr>
    </w:p>
    <w:p w14:paraId="6855FC7B" w14:textId="5678FE97" w:rsidR="00150DAF" w:rsidRPr="00150DAF" w:rsidRDefault="00150DAF" w:rsidP="00150DAF">
      <w:pPr>
        <w:spacing w:line="276" w:lineRule="auto"/>
        <w:rPr>
          <w:rFonts w:ascii="Lato" w:hAnsi="Lato"/>
          <w:bCs/>
          <w:sz w:val="22"/>
          <w:szCs w:val="22"/>
        </w:rPr>
      </w:pPr>
      <w:r w:rsidRPr="00150DAF">
        <w:rPr>
          <w:rFonts w:ascii="Lato" w:hAnsi="Lato"/>
          <w:bCs/>
          <w:sz w:val="22"/>
          <w:szCs w:val="22"/>
        </w:rPr>
        <w:t>2.1 Ekran wielkoformatowy, w technologii LED, bez widocznych połączeń</w:t>
      </w:r>
    </w:p>
    <w:p w14:paraId="04111060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Rozmiar ekranu 4800mm (+/- 5mm) x 3700 mm (+/- 5mm)</w:t>
      </w:r>
    </w:p>
    <w:p w14:paraId="1DADF603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Rozdzielczość ekranu 1920x1080 </w:t>
      </w:r>
      <w:proofErr w:type="spellStart"/>
      <w:r w:rsidRPr="00150DAF">
        <w:rPr>
          <w:rFonts w:ascii="Lato" w:hAnsi="Lato" w:cs="Calibri"/>
          <w:sz w:val="22"/>
          <w:szCs w:val="22"/>
        </w:rPr>
        <w:t>pxl</w:t>
      </w:r>
      <w:proofErr w:type="spellEnd"/>
    </w:p>
    <w:p w14:paraId="35C3A157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Wielkość </w:t>
      </w:r>
      <w:proofErr w:type="spellStart"/>
      <w:r w:rsidRPr="00150DAF">
        <w:rPr>
          <w:rFonts w:ascii="Lato" w:hAnsi="Lato" w:cs="Calibri"/>
          <w:sz w:val="22"/>
          <w:szCs w:val="22"/>
        </w:rPr>
        <w:t>pixela</w:t>
      </w:r>
      <w:proofErr w:type="spellEnd"/>
      <w:r w:rsidRPr="00150DAF">
        <w:rPr>
          <w:rFonts w:ascii="Lato" w:hAnsi="Lato" w:cs="Calibri"/>
          <w:sz w:val="22"/>
          <w:szCs w:val="22"/>
        </w:rPr>
        <w:t>- ≥ 2.5 mm</w:t>
      </w:r>
    </w:p>
    <w:p w14:paraId="2D114EB0" w14:textId="77777777" w:rsidR="00150DAF" w:rsidRPr="00150DAF" w:rsidRDefault="00150DAF" w:rsidP="00150DAF">
      <w:pPr>
        <w:rPr>
          <w:rFonts w:ascii="Lato" w:hAnsi="Lato" w:cs="Calibri"/>
          <w:sz w:val="22"/>
          <w:szCs w:val="22"/>
          <w:lang w:val="en-US"/>
        </w:rPr>
      </w:pPr>
      <w:r w:rsidRPr="00150DAF">
        <w:rPr>
          <w:rFonts w:ascii="Lato" w:hAnsi="Lato" w:cs="Calibri"/>
          <w:sz w:val="22"/>
          <w:szCs w:val="22"/>
          <w:lang w:val="en-US"/>
        </w:rPr>
        <w:t xml:space="preserve">• </w:t>
      </w:r>
      <w:proofErr w:type="spellStart"/>
      <w:r w:rsidRPr="00150DAF">
        <w:rPr>
          <w:rFonts w:ascii="Lato" w:hAnsi="Lato" w:cs="Calibri"/>
          <w:sz w:val="22"/>
          <w:szCs w:val="22"/>
          <w:lang w:val="en-US"/>
        </w:rPr>
        <w:t>Konfiguracja</w:t>
      </w:r>
      <w:proofErr w:type="spellEnd"/>
      <w:r w:rsidRPr="00150DAF">
        <w:rPr>
          <w:rFonts w:ascii="Lato" w:hAnsi="Lato" w:cs="Calibri"/>
          <w:sz w:val="22"/>
          <w:szCs w:val="22"/>
          <w:lang w:val="en-US"/>
        </w:rPr>
        <w:t xml:space="preserve"> </w:t>
      </w:r>
      <w:proofErr w:type="spellStart"/>
      <w:r w:rsidRPr="00150DAF">
        <w:rPr>
          <w:rFonts w:ascii="Lato" w:hAnsi="Lato" w:cs="Calibri"/>
          <w:sz w:val="22"/>
          <w:szCs w:val="22"/>
          <w:lang w:val="en-US"/>
        </w:rPr>
        <w:t>pixela</w:t>
      </w:r>
      <w:proofErr w:type="spellEnd"/>
      <w:r w:rsidRPr="00150DAF">
        <w:rPr>
          <w:rFonts w:ascii="Lato" w:hAnsi="Lato" w:cs="Calibri"/>
          <w:sz w:val="22"/>
          <w:szCs w:val="22"/>
          <w:lang w:val="en-US"/>
        </w:rPr>
        <w:t xml:space="preserve"> 1 red, 1 green, 1 blue</w:t>
      </w:r>
    </w:p>
    <w:p w14:paraId="0C0485BD" w14:textId="77777777" w:rsidR="00150DAF" w:rsidRPr="00150DAF" w:rsidRDefault="00150DAF" w:rsidP="00150DAF">
      <w:pPr>
        <w:rPr>
          <w:rFonts w:ascii="Lato" w:hAnsi="Lato" w:cs="Calibri"/>
          <w:sz w:val="22"/>
          <w:szCs w:val="22"/>
          <w:lang w:val="en-US"/>
        </w:rPr>
      </w:pPr>
      <w:r w:rsidRPr="00150DAF">
        <w:rPr>
          <w:rFonts w:ascii="Lato" w:hAnsi="Lato" w:cs="Calibri"/>
          <w:sz w:val="22"/>
          <w:szCs w:val="22"/>
          <w:lang w:val="en-US"/>
        </w:rPr>
        <w:t xml:space="preserve">• </w:t>
      </w:r>
      <w:proofErr w:type="spellStart"/>
      <w:r w:rsidRPr="00150DAF">
        <w:rPr>
          <w:rFonts w:ascii="Lato" w:hAnsi="Lato" w:cs="Calibri"/>
          <w:sz w:val="22"/>
          <w:szCs w:val="22"/>
          <w:lang w:val="en-US"/>
        </w:rPr>
        <w:t>Typ</w:t>
      </w:r>
      <w:proofErr w:type="spellEnd"/>
      <w:r w:rsidRPr="00150DAF">
        <w:rPr>
          <w:rFonts w:ascii="Lato" w:hAnsi="Lato" w:cs="Calibri"/>
          <w:sz w:val="22"/>
          <w:szCs w:val="22"/>
          <w:lang w:val="en-US"/>
        </w:rPr>
        <w:t xml:space="preserve"> </w:t>
      </w:r>
      <w:proofErr w:type="spellStart"/>
      <w:r w:rsidRPr="00150DAF">
        <w:rPr>
          <w:rFonts w:ascii="Lato" w:hAnsi="Lato" w:cs="Calibri"/>
          <w:sz w:val="22"/>
          <w:szCs w:val="22"/>
          <w:lang w:val="en-US"/>
        </w:rPr>
        <w:t>diody</w:t>
      </w:r>
      <w:proofErr w:type="spellEnd"/>
      <w:r w:rsidRPr="00150DAF">
        <w:rPr>
          <w:rFonts w:ascii="Lato" w:hAnsi="Lato" w:cs="Calibri"/>
          <w:sz w:val="22"/>
          <w:szCs w:val="22"/>
          <w:lang w:val="en-US"/>
        </w:rPr>
        <w:t xml:space="preserve"> - SMD Surface Mount Device </w:t>
      </w:r>
    </w:p>
    <w:p w14:paraId="248B684C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Rozmiar kabinetu 960x540x80 mm (+/- 5mm), zawierający 12 modułów LED w konfiguracji 4x3</w:t>
      </w:r>
    </w:p>
    <w:p w14:paraId="132CEDC6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Waga- poniżej 11 kg na kabinet</w:t>
      </w:r>
    </w:p>
    <w:p w14:paraId="3DAA8751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Układ kabin 5 x 5 (pion/poziom)</w:t>
      </w:r>
    </w:p>
    <w:p w14:paraId="521605B7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1 dodatkowa kabina w pełni wyposażone, z tej samej serii produkcyjnej</w:t>
      </w:r>
    </w:p>
    <w:p w14:paraId="31E62EC6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Jasność ( standard) – min 500 nit</w:t>
      </w:r>
    </w:p>
    <w:p w14:paraId="669D2DFB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Jasność ( </w:t>
      </w:r>
      <w:proofErr w:type="spellStart"/>
      <w:r w:rsidRPr="00150DAF">
        <w:rPr>
          <w:rFonts w:ascii="Lato" w:hAnsi="Lato" w:cs="Calibri"/>
          <w:sz w:val="22"/>
          <w:szCs w:val="22"/>
        </w:rPr>
        <w:t>paek</w:t>
      </w:r>
      <w:proofErr w:type="spellEnd"/>
      <w:r w:rsidRPr="00150DAF">
        <w:rPr>
          <w:rFonts w:ascii="Lato" w:hAnsi="Lato" w:cs="Calibri"/>
          <w:sz w:val="22"/>
          <w:szCs w:val="22"/>
        </w:rPr>
        <w:t>) – min 1000 nit</w:t>
      </w:r>
    </w:p>
    <w:p w14:paraId="36F9DE09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Kontrast 5000:1</w:t>
      </w:r>
    </w:p>
    <w:p w14:paraId="2AC7CFAB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Wsparcie HDR - Podwojenie jasności i kontrastu, wzmocnienie odwzorowania kolorów przy niskiej skali szarości, możliwość pracy w różnych spektrum kolorów (gamach kolorów), HDR10+/ Multi-link HDR</w:t>
      </w:r>
    </w:p>
    <w:p w14:paraId="4E76A923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Kąty widzenia – min 150°x 150°</w:t>
      </w:r>
    </w:p>
    <w:p w14:paraId="394391A3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Głębia kolorów- 16 bit</w:t>
      </w:r>
    </w:p>
    <w:p w14:paraId="7036DF99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Wewnętrzne procesowanie kolorów- 18 bit</w:t>
      </w:r>
    </w:p>
    <w:p w14:paraId="042CD211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Temperatura kolorów bazowa/zakres min 6500K/ 2,800 ~ 10,000K</w:t>
      </w:r>
    </w:p>
    <w:p w14:paraId="468395CA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Klatki na sekundę – 50/60 HZ</w:t>
      </w:r>
    </w:p>
    <w:p w14:paraId="41164864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Zasilanie - 100~240 VAC, 50/60 </w:t>
      </w:r>
      <w:proofErr w:type="spellStart"/>
      <w:r w:rsidRPr="00150DAF">
        <w:rPr>
          <w:rFonts w:ascii="Lato" w:hAnsi="Lato" w:cs="Calibri"/>
          <w:sz w:val="22"/>
          <w:szCs w:val="22"/>
        </w:rPr>
        <w:t>Hz</w:t>
      </w:r>
      <w:proofErr w:type="spellEnd"/>
    </w:p>
    <w:p w14:paraId="0EE3EE49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Pobór mocy max. – 4.5 </w:t>
      </w:r>
      <w:proofErr w:type="spellStart"/>
      <w:r w:rsidRPr="00150DAF">
        <w:rPr>
          <w:rFonts w:ascii="Lato" w:hAnsi="Lato" w:cs="Calibri"/>
          <w:sz w:val="22"/>
          <w:szCs w:val="22"/>
        </w:rPr>
        <w:t>Kw</w:t>
      </w:r>
      <w:proofErr w:type="spellEnd"/>
      <w:r w:rsidRPr="00150DAF">
        <w:rPr>
          <w:rFonts w:ascii="Lato" w:hAnsi="Lato" w:cs="Calibri"/>
          <w:sz w:val="22"/>
          <w:szCs w:val="22"/>
        </w:rPr>
        <w:t>/ekran</w:t>
      </w:r>
    </w:p>
    <w:p w14:paraId="593924B5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Pobór mocy typowy -  1.5 kW/ekran</w:t>
      </w:r>
    </w:p>
    <w:p w14:paraId="00422AD2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Wydatek cieplny max- 15 500 BTU/ekran</w:t>
      </w:r>
    </w:p>
    <w:p w14:paraId="05715F75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Wydatek cieplny max- 5 200 BTU/ekran</w:t>
      </w:r>
    </w:p>
    <w:p w14:paraId="6967C293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Częstotliwość odświeżania – min 3,840 </w:t>
      </w:r>
      <w:proofErr w:type="spellStart"/>
      <w:r w:rsidRPr="00150DAF">
        <w:rPr>
          <w:rFonts w:ascii="Lato" w:hAnsi="Lato" w:cs="Calibri"/>
          <w:sz w:val="22"/>
          <w:szCs w:val="22"/>
        </w:rPr>
        <w:t>Hz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, wizualne min 7,680 </w:t>
      </w:r>
      <w:proofErr w:type="spellStart"/>
      <w:r w:rsidRPr="00150DAF">
        <w:rPr>
          <w:rFonts w:ascii="Lato" w:hAnsi="Lato" w:cs="Calibri"/>
          <w:sz w:val="22"/>
          <w:szCs w:val="22"/>
        </w:rPr>
        <w:t>Hz</w:t>
      </w:r>
      <w:proofErr w:type="spellEnd"/>
    </w:p>
    <w:p w14:paraId="4CA07D05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Zakres temperatury pracy – min 0°C~40°C / 10~80%RH</w:t>
      </w:r>
    </w:p>
    <w:p w14:paraId="43E906ED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Zakres temperatury przechowywania - -20°C~45°C / 5~95%RH</w:t>
      </w:r>
    </w:p>
    <w:p w14:paraId="5DBB9154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Stopień ochrony – IP 20</w:t>
      </w:r>
    </w:p>
    <w:p w14:paraId="7FC33E8B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Żywotność – 100,000 h</w:t>
      </w:r>
    </w:p>
    <w:p w14:paraId="00436471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Praca ciągła 24/7</w:t>
      </w:r>
    </w:p>
    <w:p w14:paraId="347105F6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Łączność- HDBT</w:t>
      </w:r>
    </w:p>
    <w:p w14:paraId="6EFE9013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System operacyjny- </w:t>
      </w:r>
      <w:proofErr w:type="spellStart"/>
      <w:r w:rsidRPr="00150DAF">
        <w:rPr>
          <w:rFonts w:ascii="Lato" w:hAnsi="Lato" w:cs="Calibri"/>
          <w:sz w:val="22"/>
          <w:szCs w:val="22"/>
        </w:rPr>
        <w:t>Tizen</w:t>
      </w:r>
      <w:proofErr w:type="spellEnd"/>
    </w:p>
    <w:p w14:paraId="36EA0BBC" w14:textId="290E7425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Serwis – od przodu, możliwość deinstalacji modułów w czasie pracy ekranu (hot </w:t>
      </w:r>
      <w:proofErr w:type="spellStart"/>
      <w:r w:rsidRPr="00150DAF">
        <w:rPr>
          <w:rFonts w:ascii="Lato" w:hAnsi="Lato" w:cs="Calibri"/>
          <w:sz w:val="22"/>
          <w:szCs w:val="22"/>
        </w:rPr>
        <w:t>swap</w:t>
      </w:r>
      <w:proofErr w:type="spellEnd"/>
      <w:r w:rsidRPr="00150DAF">
        <w:rPr>
          <w:rFonts w:ascii="Lato" w:hAnsi="Lato" w:cs="Calibri"/>
          <w:sz w:val="22"/>
          <w:szCs w:val="22"/>
        </w:rPr>
        <w:t>)</w:t>
      </w:r>
    </w:p>
    <w:p w14:paraId="4BD0F540" w14:textId="1E919043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Podłączanie, odłączanie, zmiana źródeł bez ingerencji w pracę ekranu</w:t>
      </w:r>
    </w:p>
    <w:p w14:paraId="2A5D7CCE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Sensor temperatury</w:t>
      </w:r>
    </w:p>
    <w:p w14:paraId="5F89BB88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System wzmacniania obrazu oparty na oszczędzaniu energii</w:t>
      </w:r>
    </w:p>
    <w:p w14:paraId="41EC424C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System chłodzenia – pasywny, bezgłośny</w:t>
      </w:r>
    </w:p>
    <w:p w14:paraId="1FB83B0C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Możliwość instalacji kabinetów w pionie i poziomie</w:t>
      </w:r>
    </w:p>
    <w:p w14:paraId="79BE023D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Dodatkowe akcesoria: kontroler z wbudowanym playerem do odtwarzania treści i zestaw montażowy tego samego producenta co ekran</w:t>
      </w:r>
    </w:p>
    <w:p w14:paraId="0968D7EC" w14:textId="377DF4C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Gwarancja producenta</w:t>
      </w:r>
    </w:p>
    <w:p w14:paraId="163032A8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Bezpieczeństwo użytkowania- zgodność z normami 62368-1, 60950-1</w:t>
      </w:r>
    </w:p>
    <w:p w14:paraId="52141A2B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EMC- klasa A</w:t>
      </w:r>
    </w:p>
    <w:p w14:paraId="683CB3DE" w14:textId="069BA269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Oprogramowanie na PC oraz aplikacja mobilna tego samego producenta co ekran LED do konfiguracji i kalibracji ekranu LED. </w:t>
      </w:r>
    </w:p>
    <w:p w14:paraId="537CA6AC" w14:textId="6953CCB0" w:rsidR="00150DAF" w:rsidRPr="00150DAF" w:rsidRDefault="00150DAF" w:rsidP="00666585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lastRenderedPageBreak/>
        <w:t xml:space="preserve">• Zintegrowane oprogramowanie tego samego producenta co ekran LED umożliwiające zarządzanie treścią oraz monitoring pracy zarówno monitorów LCD jak i ekranów LED </w:t>
      </w:r>
    </w:p>
    <w:p w14:paraId="7012F91C" w14:textId="6C0BBA20" w:rsid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Wsparcie techniczne oraz serwis ze strony producenta w języku polskim przez cały okres trwania gwarancji </w:t>
      </w:r>
    </w:p>
    <w:p w14:paraId="452D8372" w14:textId="77777777" w:rsidR="00150DAF" w:rsidRPr="00150DAF" w:rsidRDefault="00150DAF" w:rsidP="00150DAF">
      <w:pPr>
        <w:rPr>
          <w:rFonts w:ascii="Lato" w:hAnsi="Lato" w:cs="Calibri"/>
          <w:b/>
          <w:sz w:val="22"/>
          <w:szCs w:val="22"/>
        </w:rPr>
      </w:pPr>
    </w:p>
    <w:p w14:paraId="10923E61" w14:textId="6B005010" w:rsidR="00150DAF" w:rsidRPr="00150DAF" w:rsidRDefault="00150DAF" w:rsidP="004B51BC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bCs/>
          <w:sz w:val="22"/>
          <w:szCs w:val="22"/>
        </w:rPr>
        <w:t>2.2 Procesor obrazu (kontroler) z wbudowanym playerem umożliwiającym zarządzanie treściami na ekranie bez konieczności stosowania peryferyjnych urządzeń</w:t>
      </w:r>
      <w:r w:rsidR="004B51BC">
        <w:rPr>
          <w:rFonts w:ascii="Lato" w:hAnsi="Lato" w:cs="Calibri"/>
          <w:bCs/>
          <w:sz w:val="22"/>
          <w:szCs w:val="22"/>
        </w:rPr>
        <w:br/>
      </w:r>
      <w:r w:rsidRPr="00150DAF">
        <w:rPr>
          <w:rFonts w:ascii="Lato" w:hAnsi="Lato" w:cs="Calibri"/>
          <w:sz w:val="22"/>
          <w:szCs w:val="22"/>
        </w:rPr>
        <w:t xml:space="preserve">• obsługiwana rozdzielczość UHD 3840x2160 </w:t>
      </w:r>
      <w:proofErr w:type="spellStart"/>
      <w:r w:rsidRPr="00150DAF">
        <w:rPr>
          <w:rFonts w:ascii="Lato" w:hAnsi="Lato" w:cs="Calibri"/>
          <w:sz w:val="22"/>
          <w:szCs w:val="22"/>
        </w:rPr>
        <w:t>pxl</w:t>
      </w:r>
      <w:proofErr w:type="spellEnd"/>
    </w:p>
    <w:p w14:paraId="556FCEDA" w14:textId="77777777" w:rsidR="00150DAF" w:rsidRPr="00150DAF" w:rsidRDefault="00150DAF" w:rsidP="004B51BC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Poprawa jakości obrazu poprzez: Multi-Link HDR, LED HDR (</w:t>
      </w:r>
      <w:proofErr w:type="spellStart"/>
      <w:r w:rsidRPr="00150DAF">
        <w:rPr>
          <w:rFonts w:ascii="Lato" w:hAnsi="Lato" w:cs="Calibri"/>
          <w:sz w:val="22"/>
          <w:szCs w:val="22"/>
        </w:rPr>
        <w:t>Inverse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 Tone </w:t>
      </w:r>
      <w:proofErr w:type="spellStart"/>
      <w:r w:rsidRPr="00150DAF">
        <w:rPr>
          <w:rFonts w:ascii="Lato" w:hAnsi="Lato" w:cs="Calibri"/>
          <w:sz w:val="22"/>
          <w:szCs w:val="22"/>
        </w:rPr>
        <w:t>Mapping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150DAF">
        <w:rPr>
          <w:rFonts w:ascii="Lato" w:hAnsi="Lato" w:cs="Calibri"/>
          <w:sz w:val="22"/>
          <w:szCs w:val="22"/>
        </w:rPr>
        <w:t>Dynamic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150DAF">
        <w:rPr>
          <w:rFonts w:ascii="Lato" w:hAnsi="Lato" w:cs="Calibri"/>
          <w:sz w:val="22"/>
          <w:szCs w:val="22"/>
        </w:rPr>
        <w:t>Peaking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150DAF">
        <w:rPr>
          <w:rFonts w:ascii="Lato" w:hAnsi="Lato" w:cs="Calibri"/>
          <w:sz w:val="22"/>
          <w:szCs w:val="22"/>
        </w:rPr>
        <w:t>Color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150DAF">
        <w:rPr>
          <w:rFonts w:ascii="Lato" w:hAnsi="Lato" w:cs="Calibri"/>
          <w:sz w:val="22"/>
          <w:szCs w:val="22"/>
        </w:rPr>
        <w:t>Mapping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), HDR10/10+, Eco Image </w:t>
      </w:r>
      <w:proofErr w:type="spellStart"/>
      <w:r w:rsidRPr="00150DAF">
        <w:rPr>
          <w:rFonts w:ascii="Lato" w:hAnsi="Lato" w:cs="Calibri"/>
          <w:sz w:val="22"/>
          <w:szCs w:val="22"/>
        </w:rPr>
        <w:t>Enhancer</w:t>
      </w:r>
      <w:proofErr w:type="spellEnd"/>
    </w:p>
    <w:p w14:paraId="3D5F6334" w14:textId="77777777" w:rsidR="00150DAF" w:rsidRPr="00150DAF" w:rsidRDefault="00150DAF" w:rsidP="004B51BC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Sygnał wejściowy: DP 1.2a x 1, HDMI 2.0 x 2, USB x 2</w:t>
      </w:r>
    </w:p>
    <w:p w14:paraId="0F6D8BD9" w14:textId="77777777" w:rsidR="00150DAF" w:rsidRPr="00150DAF" w:rsidRDefault="00150DAF" w:rsidP="004B51BC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Sygnał wyjściowy: DVI, HDBT x 4, SPDIF (Audio, 5.1ch)</w:t>
      </w:r>
    </w:p>
    <w:p w14:paraId="789AC205" w14:textId="77777777" w:rsidR="00150DAF" w:rsidRPr="00150DAF" w:rsidRDefault="00150DAF" w:rsidP="004B51BC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</w:t>
      </w:r>
      <w:proofErr w:type="spellStart"/>
      <w:r w:rsidRPr="00150DAF">
        <w:rPr>
          <w:rFonts w:ascii="Lato" w:hAnsi="Lato" w:cs="Calibri"/>
          <w:sz w:val="22"/>
          <w:szCs w:val="22"/>
        </w:rPr>
        <w:t>Frame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150DAF">
        <w:rPr>
          <w:rFonts w:ascii="Lato" w:hAnsi="Lato" w:cs="Calibri"/>
          <w:sz w:val="22"/>
          <w:szCs w:val="22"/>
        </w:rPr>
        <w:t>Rate</w:t>
      </w:r>
      <w:proofErr w:type="spellEnd"/>
      <w:r w:rsidRPr="00150DAF">
        <w:rPr>
          <w:rFonts w:ascii="Lato" w:hAnsi="Lato" w:cs="Calibri"/>
          <w:sz w:val="22"/>
          <w:szCs w:val="22"/>
        </w:rPr>
        <w:t>: 50/60Hz</w:t>
      </w:r>
    </w:p>
    <w:p w14:paraId="641230E0" w14:textId="77777777" w:rsidR="00150DAF" w:rsidRPr="00150DAF" w:rsidRDefault="00150DAF" w:rsidP="004B51BC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Sterowanie z poziomu pilota z zewnętrznym sensorem IR</w:t>
      </w:r>
    </w:p>
    <w:p w14:paraId="28E9F358" w14:textId="77777777" w:rsidR="00150DAF" w:rsidRPr="00150DAF" w:rsidRDefault="00150DAF" w:rsidP="004B51BC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• Funkcja Auto </w:t>
      </w:r>
      <w:proofErr w:type="spellStart"/>
      <w:r w:rsidRPr="00150DAF">
        <w:rPr>
          <w:rFonts w:ascii="Lato" w:hAnsi="Lato" w:cs="Calibri"/>
          <w:sz w:val="22"/>
          <w:szCs w:val="22"/>
        </w:rPr>
        <w:t>Brightness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 z zewnętrznym czujnikiem jasności</w:t>
      </w:r>
    </w:p>
    <w:p w14:paraId="32293503" w14:textId="77777777" w:rsidR="00150DAF" w:rsidRPr="00150DAF" w:rsidRDefault="00150DAF" w:rsidP="004B51BC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EMC klasy B</w:t>
      </w:r>
    </w:p>
    <w:p w14:paraId="71E376D9" w14:textId="77777777" w:rsidR="00150DAF" w:rsidRPr="00150DAF" w:rsidRDefault="00150DAF" w:rsidP="004B51BC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• Diagnostyka w zakresie temperatury płyty głównej, sygnału, zasilania i zwarcia na diodzie</w:t>
      </w:r>
    </w:p>
    <w:p w14:paraId="01E0328B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</w:p>
    <w:p w14:paraId="3A954391" w14:textId="5C183370" w:rsidR="00150DAF" w:rsidRPr="00150DAF" w:rsidRDefault="00150DAF" w:rsidP="00150DAF">
      <w:pPr>
        <w:widowControl w:val="0"/>
        <w:wordWrap w:val="0"/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2.3 Rozwiązanie do wyświetlania treści i zarządzania systemem informacji</w:t>
      </w:r>
    </w:p>
    <w:p w14:paraId="44CA35B9" w14:textId="7777777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System zarządzania treścią składający się z oprogramowanie typu CMS do zarządzania treścią, monitorów oraz profesjonalnych ekranów wielkoformatowych typu LED. Wszystkie elementy systemu pochodzą od jednego producenta.</w:t>
      </w:r>
    </w:p>
    <w:p w14:paraId="1C7BDA1E" w14:textId="64BC4FF7" w:rsidR="00150DAF" w:rsidRPr="00150DAF" w:rsidRDefault="00150DAF" w:rsidP="00150DAF">
      <w:pPr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Oprogramowanie typu CMS do zarządzania treścią</w:t>
      </w:r>
      <w:r w:rsidR="000C07C2">
        <w:rPr>
          <w:rFonts w:ascii="Lato" w:hAnsi="Lato" w:cs="Calibri"/>
          <w:sz w:val="22"/>
          <w:szCs w:val="22"/>
        </w:rPr>
        <w:t>:</w:t>
      </w:r>
    </w:p>
    <w:p w14:paraId="566B778E" w14:textId="7777777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Dostęp do oprogramowania zarządzającego możliwy jest poprzez przeglądarkę WWW w sposób zdalny. </w:t>
      </w:r>
    </w:p>
    <w:p w14:paraId="73D66770" w14:textId="7777777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System umożliwia użytkownikowi zmianę treści publikowanej na nośnikach w sposób zdalny (poprzez sieć LAN lub </w:t>
      </w:r>
      <w:proofErr w:type="spellStart"/>
      <w:r w:rsidRPr="00150DAF">
        <w:rPr>
          <w:rFonts w:ascii="Lato" w:hAnsi="Lato" w:cs="Calibri"/>
          <w:sz w:val="22"/>
          <w:szCs w:val="22"/>
        </w:rPr>
        <w:t>WiFi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). </w:t>
      </w:r>
    </w:p>
    <w:p w14:paraId="034B2043" w14:textId="7777777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Użytkownik ma możliwość tworzenia scenariuszy i list odtwarzania w oprogramowaniu sterującym. Scenariusze i listy odtwarzania mogą być przyporządkowane do poszczególnych wyświetlaczy w systemie lub do całych grup nośników. </w:t>
      </w:r>
    </w:p>
    <w:p w14:paraId="74216575" w14:textId="7777777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Rozwiązanie posiada opcjonalną możliwość integracji treści wyświetlanych na poszczególnych nośnikach z zewnętrznymi bazami danych oraz musi posiadać możliwość automatycznej aktualizacji po zmianie danych w bazie. </w:t>
      </w:r>
    </w:p>
    <w:p w14:paraId="403E1F69" w14:textId="7F4F6F0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System umożliwia zarządzanie dostępem do aplikacji sterującej w postaci segmentacji </w:t>
      </w:r>
      <w:r w:rsidR="004B51BC">
        <w:rPr>
          <w:rFonts w:ascii="Lato" w:hAnsi="Lato" w:cs="Calibri"/>
          <w:sz w:val="22"/>
          <w:szCs w:val="22"/>
        </w:rPr>
        <w:br/>
      </w:r>
      <w:r w:rsidRPr="00150DAF">
        <w:rPr>
          <w:rFonts w:ascii="Lato" w:hAnsi="Lato" w:cs="Calibri"/>
          <w:sz w:val="22"/>
          <w:szCs w:val="22"/>
        </w:rPr>
        <w:t xml:space="preserve">uprawnień poszczególnych użytkowników oprogramowania sterującego. </w:t>
      </w:r>
    </w:p>
    <w:p w14:paraId="2A47CAE6" w14:textId="7777777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System umożliwia zdalną (sieciową) aktualizację oprogramowania na nośnikach działających w tym systemie bez konieczności używania dodatkowych urządzeń. </w:t>
      </w:r>
    </w:p>
    <w:p w14:paraId="1F3FA589" w14:textId="144CE539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Rozwiązanie posiada możliwość zdalnej (sieciowej) kontroli sprzętowej urządzeń w sieci (włącz/wyłącz, zmień źródło, głośniej/ciszej etc.) wraz z funkcją monitoringu pracy samych urządzeń (tj. temperatura, zasilanie, zwarcie na diodzie) oraz podglądem treści na nich wyświetlanej. </w:t>
      </w:r>
    </w:p>
    <w:p w14:paraId="67BE3349" w14:textId="7777777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Użytkownik posiada możliwość sprawnego zarządzania scenariuszami i listami odtwarzania w sieci poprzez używanie tzw. </w:t>
      </w:r>
      <w:proofErr w:type="spellStart"/>
      <w:r w:rsidRPr="00150DAF">
        <w:rPr>
          <w:rFonts w:ascii="Lato" w:hAnsi="Lato" w:cs="Calibri"/>
          <w:sz w:val="22"/>
          <w:szCs w:val="22"/>
        </w:rPr>
        <w:t>tagów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 – znaczników dzięki którym w łatwy sposób ma dostęp do treści dedykowanych dla danej grupy nośników. </w:t>
      </w:r>
    </w:p>
    <w:p w14:paraId="06C27268" w14:textId="7777777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Rozwiązanie umożliwia użytkownikom łączenie wyświetlaczy w grupy oraz tworzenie scenariuszy wraz z kalendarzami odtwarzania treści na poszczególnych nośnikach lub na ich całych grupach. </w:t>
      </w:r>
    </w:p>
    <w:p w14:paraId="6CABAF0F" w14:textId="7777777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System posiada funkcjonalność </w:t>
      </w:r>
      <w:proofErr w:type="spellStart"/>
      <w:r w:rsidRPr="00150DAF">
        <w:rPr>
          <w:rFonts w:ascii="Lato" w:hAnsi="Lato" w:cs="Calibri"/>
          <w:sz w:val="22"/>
          <w:szCs w:val="22"/>
        </w:rPr>
        <w:t>multi</w:t>
      </w:r>
      <w:proofErr w:type="spellEnd"/>
      <w:r w:rsidRPr="00150DAF">
        <w:rPr>
          <w:rFonts w:ascii="Lato" w:hAnsi="Lato" w:cs="Calibri"/>
          <w:sz w:val="22"/>
          <w:szCs w:val="22"/>
        </w:rPr>
        <w:t xml:space="preserve"> – wykorzystania nośników w sieci rozumianą jako możliwość publikowania treści na nośnikach umieszczonych oddzielnie lub w ułożonych w dowolnym formacie bez konieczności wykorzystywania dodatkowych urządzeń. </w:t>
      </w:r>
    </w:p>
    <w:p w14:paraId="1167C3E5" w14:textId="77777777" w:rsidR="00150DAF" w:rsidRPr="00150DAF" w:rsidRDefault="00150DAF" w:rsidP="004B51BC">
      <w:pPr>
        <w:pStyle w:val="Akapitzlist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 xml:space="preserve">Częścią systemu jest oprogramowanie do kreacji treści na nośnikach pozwalające na dowolny podział wyświetlacza na strefy, w którym w każdej z nich publikowana może być </w:t>
      </w:r>
      <w:r w:rsidRPr="00150DAF">
        <w:rPr>
          <w:rFonts w:ascii="Lato" w:hAnsi="Lato" w:cs="Calibri"/>
          <w:sz w:val="22"/>
          <w:szCs w:val="22"/>
        </w:rPr>
        <w:lastRenderedPageBreak/>
        <w:t xml:space="preserve">inna treść, np. filmy, zdjęcia, obraz z innego źródła w monitorach, prezentacje PPT lub strona www.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150DAF" w:rsidRPr="00150DAF" w14:paraId="384D8047" w14:textId="77777777" w:rsidTr="00DF00E2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DBF7" w14:textId="77777777" w:rsidR="00150DAF" w:rsidRPr="00150DAF" w:rsidRDefault="00150DAF" w:rsidP="004B51BC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150DAF">
              <w:rPr>
                <w:rFonts w:ascii="Lato" w:hAnsi="Lato" w:cs="Calibri"/>
                <w:color w:val="000000"/>
                <w:sz w:val="22"/>
                <w:szCs w:val="22"/>
              </w:rPr>
              <w:t>Możliwość diagnozowania i naprawiania potencjalnych problemów z działaniem poszczególnych nośników z każdej lokalizacji za pośrednictwem dostępu zdalnego.</w:t>
            </w:r>
          </w:p>
        </w:tc>
      </w:tr>
      <w:tr w:rsidR="00150DAF" w:rsidRPr="00150DAF" w14:paraId="18B5F1F1" w14:textId="77777777" w:rsidTr="00DF00E2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CFC8" w14:textId="77777777" w:rsidR="00150DAF" w:rsidRPr="00150DAF" w:rsidRDefault="00150DAF" w:rsidP="004B51BC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150DAF">
              <w:rPr>
                <w:rFonts w:ascii="Lato" w:hAnsi="Lato" w:cs="Calibri"/>
                <w:color w:val="000000"/>
                <w:sz w:val="22"/>
                <w:szCs w:val="22"/>
              </w:rPr>
              <w:t xml:space="preserve">System umożliwia zdalną (sieciową) aktualizację oprogramowania na nośnikach działających w tym systemie bez konieczności używania dodatkowych urządzeń. </w:t>
            </w:r>
          </w:p>
        </w:tc>
      </w:tr>
      <w:tr w:rsidR="00150DAF" w:rsidRPr="00150DAF" w14:paraId="45C4AB20" w14:textId="77777777" w:rsidTr="00DF00E2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6C91" w14:textId="77777777" w:rsidR="00150DAF" w:rsidRPr="00150DAF" w:rsidRDefault="00150DAF" w:rsidP="004B51BC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150DAF">
              <w:rPr>
                <w:rFonts w:ascii="Lato" w:hAnsi="Lato" w:cs="Calibri"/>
                <w:color w:val="000000"/>
                <w:sz w:val="22"/>
                <w:szCs w:val="22"/>
              </w:rPr>
              <w:t>Rozwiązanie posiada możliwość zdalnej (sieciowej) kontroli sprzętowej urządzeń w sieci (włącz/wyłącz, zmień źródło, głośniej/ciszej etc.) wraz z funkcją monitoringu pracy samych urządzeń oraz podglądem treści na nich wyświetlanej</w:t>
            </w:r>
          </w:p>
        </w:tc>
      </w:tr>
      <w:tr w:rsidR="00150DAF" w:rsidRPr="00150DAF" w14:paraId="1E895113" w14:textId="77777777" w:rsidTr="00DF00E2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CA29" w14:textId="77777777" w:rsidR="00150DAF" w:rsidRPr="00150DAF" w:rsidRDefault="00150DAF" w:rsidP="004B51BC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150DAF">
              <w:rPr>
                <w:rFonts w:ascii="Lato" w:hAnsi="Lato" w:cs="Calibri"/>
                <w:color w:val="000000"/>
                <w:sz w:val="22"/>
                <w:szCs w:val="22"/>
              </w:rPr>
              <w:t>Oprogramowanie sterujące pracą nośników w sieci daje możliwość zdalnego zaprogramowania czasu pracy poszczególnych monitorów w sieci oraz tego, kiedy mają one się włączyć, a kiedy wyłączyć. Umożliwia także sekwencyjne włączanie urządzeń (modułów urządzenia)</w:t>
            </w:r>
          </w:p>
        </w:tc>
      </w:tr>
      <w:tr w:rsidR="00150DAF" w:rsidRPr="00150DAF" w14:paraId="1C1584E5" w14:textId="77777777" w:rsidTr="00DF00E2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D957" w14:textId="77777777" w:rsidR="00150DAF" w:rsidRPr="00150DAF" w:rsidRDefault="00150DAF" w:rsidP="004B51BC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150DAF">
              <w:rPr>
                <w:rFonts w:ascii="Lato" w:hAnsi="Lato" w:cs="Calibri"/>
                <w:color w:val="000000"/>
                <w:sz w:val="22"/>
                <w:szCs w:val="22"/>
              </w:rPr>
              <w:t>Możliwość zdalnego monitorowania zabezpieczeń wszystkich wyświetlaczy i ich zmiany. Wgląd ten obejmuje dostęp do portów sieciowych, nawigację USB, łączność Wi-Fi i Bluetooth, jak również funkcję inteligentnego pobierania na bazie bezpieczeństwa każdego urządzenia i obowiązujących dla niego ustaleń.</w:t>
            </w:r>
          </w:p>
        </w:tc>
      </w:tr>
    </w:tbl>
    <w:p w14:paraId="0F4B6B21" w14:textId="77777777" w:rsidR="00150DAF" w:rsidRPr="00150DAF" w:rsidRDefault="00150DAF" w:rsidP="004B51BC">
      <w:pPr>
        <w:pStyle w:val="Akapitzlist"/>
        <w:numPr>
          <w:ilvl w:val="0"/>
          <w:numId w:val="13"/>
        </w:numPr>
        <w:spacing w:after="160"/>
        <w:jc w:val="both"/>
        <w:rPr>
          <w:rFonts w:ascii="Lato" w:hAnsi="Lato" w:cs="Calibri"/>
          <w:sz w:val="22"/>
          <w:szCs w:val="22"/>
        </w:rPr>
      </w:pPr>
      <w:r w:rsidRPr="00150DAF">
        <w:rPr>
          <w:rFonts w:ascii="Lato" w:hAnsi="Lato" w:cs="Calibri"/>
          <w:sz w:val="22"/>
          <w:szCs w:val="22"/>
        </w:rPr>
        <w:t>Oprogramowanie sterujące pracą nośników w sieci daje możliwość zdalnego zaprogramowania czasu pracy poszczególnych monitorów w sieci oraz tego kiedy mają one się włączyć, a kiedy wyłączyć, w tym także umożliwia włączanie sekwencyjne.</w:t>
      </w:r>
    </w:p>
    <w:sectPr w:rsidR="00150DAF" w:rsidRPr="00150DAF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6132" w14:textId="77777777" w:rsidR="00F824B9" w:rsidRDefault="00F824B9" w:rsidP="0002753F">
      <w:r>
        <w:separator/>
      </w:r>
    </w:p>
  </w:endnote>
  <w:endnote w:type="continuationSeparator" w:id="0">
    <w:p w14:paraId="0BB2E10F" w14:textId="77777777" w:rsidR="00F824B9" w:rsidRDefault="00F824B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47C9" w14:textId="77777777" w:rsidR="00F824B9" w:rsidRDefault="00F824B9" w:rsidP="0002753F">
      <w:r>
        <w:separator/>
      </w:r>
    </w:p>
  </w:footnote>
  <w:footnote w:type="continuationSeparator" w:id="0">
    <w:p w14:paraId="6131DA7A" w14:textId="77777777" w:rsidR="00F824B9" w:rsidRDefault="00F824B9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680"/>
    <w:multiLevelType w:val="hybridMultilevel"/>
    <w:tmpl w:val="63F06404"/>
    <w:lvl w:ilvl="0" w:tplc="5D8C32B0">
      <w:start w:val="1"/>
      <w:numFmt w:val="decimal"/>
      <w:lvlText w:val="%1."/>
      <w:lvlJc w:val="left"/>
      <w:pPr>
        <w:ind w:left="21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22B8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80BF6">
      <w:start w:val="1"/>
      <w:numFmt w:val="bullet"/>
      <w:lvlText w:val="▪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A079E2">
      <w:start w:val="1"/>
      <w:numFmt w:val="bullet"/>
      <w:lvlText w:val="•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02D83A">
      <w:start w:val="1"/>
      <w:numFmt w:val="bullet"/>
      <w:lvlText w:val="o"/>
      <w:lvlJc w:val="left"/>
      <w:pPr>
        <w:ind w:left="2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586060">
      <w:start w:val="1"/>
      <w:numFmt w:val="bullet"/>
      <w:lvlText w:val="▪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20E336">
      <w:start w:val="1"/>
      <w:numFmt w:val="bullet"/>
      <w:lvlText w:val="•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54B732">
      <w:start w:val="1"/>
      <w:numFmt w:val="bullet"/>
      <w:lvlText w:val="o"/>
      <w:lvlJc w:val="left"/>
      <w:pPr>
        <w:ind w:left="5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10CDB4">
      <w:start w:val="1"/>
      <w:numFmt w:val="bullet"/>
      <w:lvlText w:val="▪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0812"/>
    <w:multiLevelType w:val="hybridMultilevel"/>
    <w:tmpl w:val="C8EC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63B11"/>
    <w:multiLevelType w:val="multilevel"/>
    <w:tmpl w:val="7EB6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9B2C7D"/>
    <w:multiLevelType w:val="hybridMultilevel"/>
    <w:tmpl w:val="87F0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E424D"/>
    <w:multiLevelType w:val="hybridMultilevel"/>
    <w:tmpl w:val="EF6A5BF8"/>
    <w:lvl w:ilvl="0" w:tplc="D0E8EC3E">
      <w:start w:val="1"/>
      <w:numFmt w:val="decimal"/>
      <w:lvlText w:val="%1."/>
      <w:lvlJc w:val="left"/>
      <w:pPr>
        <w:ind w:left="19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20A06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E40EB2">
      <w:start w:val="1"/>
      <w:numFmt w:val="bullet"/>
      <w:lvlText w:val="▪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EC4A2C">
      <w:start w:val="1"/>
      <w:numFmt w:val="bullet"/>
      <w:lvlText w:val="•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8ED0D4">
      <w:start w:val="1"/>
      <w:numFmt w:val="bullet"/>
      <w:lvlText w:val="o"/>
      <w:lvlJc w:val="left"/>
      <w:pPr>
        <w:ind w:left="2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DAEA16">
      <w:start w:val="1"/>
      <w:numFmt w:val="bullet"/>
      <w:lvlText w:val="▪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465AE2">
      <w:start w:val="1"/>
      <w:numFmt w:val="bullet"/>
      <w:lvlText w:val="•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48C8CE">
      <w:start w:val="1"/>
      <w:numFmt w:val="bullet"/>
      <w:lvlText w:val="o"/>
      <w:lvlJc w:val="left"/>
      <w:pPr>
        <w:ind w:left="5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92672A">
      <w:start w:val="1"/>
      <w:numFmt w:val="bullet"/>
      <w:lvlText w:val="▪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20AD8"/>
    <w:multiLevelType w:val="hybridMultilevel"/>
    <w:tmpl w:val="705A9770"/>
    <w:lvl w:ilvl="0" w:tplc="3BC0B9B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34281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5AA9C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E418C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DAF9E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E8CEE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E48A8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A28DB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9691C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A73B59"/>
    <w:multiLevelType w:val="hybridMultilevel"/>
    <w:tmpl w:val="EBACA6EE"/>
    <w:lvl w:ilvl="0" w:tplc="A1C20A70">
      <w:start w:val="4"/>
      <w:numFmt w:val="decimal"/>
      <w:lvlText w:val="%1.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4EE8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727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66D8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06C3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A677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C80F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9CEE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42FA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0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2C19"/>
    <w:rsid w:val="00023B04"/>
    <w:rsid w:val="0002753F"/>
    <w:rsid w:val="000455F4"/>
    <w:rsid w:val="0004783E"/>
    <w:rsid w:val="00054E5B"/>
    <w:rsid w:val="00055450"/>
    <w:rsid w:val="00055543"/>
    <w:rsid w:val="00056347"/>
    <w:rsid w:val="00093128"/>
    <w:rsid w:val="000977E1"/>
    <w:rsid w:val="000A3C7F"/>
    <w:rsid w:val="000B1E42"/>
    <w:rsid w:val="000B686D"/>
    <w:rsid w:val="000C07C2"/>
    <w:rsid w:val="000D1AE2"/>
    <w:rsid w:val="000D642A"/>
    <w:rsid w:val="000E09DD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0DAF"/>
    <w:rsid w:val="00155673"/>
    <w:rsid w:val="0017093C"/>
    <w:rsid w:val="00176D73"/>
    <w:rsid w:val="00187496"/>
    <w:rsid w:val="00192DF4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B7ED8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3C33"/>
    <w:rsid w:val="003354B6"/>
    <w:rsid w:val="0035209A"/>
    <w:rsid w:val="003618FD"/>
    <w:rsid w:val="00380523"/>
    <w:rsid w:val="00390A3F"/>
    <w:rsid w:val="003915B3"/>
    <w:rsid w:val="00395A1F"/>
    <w:rsid w:val="003A175A"/>
    <w:rsid w:val="003F7BF4"/>
    <w:rsid w:val="00401ED0"/>
    <w:rsid w:val="00416E8D"/>
    <w:rsid w:val="00437930"/>
    <w:rsid w:val="00451DEF"/>
    <w:rsid w:val="00453A5F"/>
    <w:rsid w:val="00453A88"/>
    <w:rsid w:val="00465A8F"/>
    <w:rsid w:val="0046629C"/>
    <w:rsid w:val="00466FD1"/>
    <w:rsid w:val="00477E98"/>
    <w:rsid w:val="004B51BC"/>
    <w:rsid w:val="004B7DAC"/>
    <w:rsid w:val="004D685E"/>
    <w:rsid w:val="004F1AD1"/>
    <w:rsid w:val="004F1C15"/>
    <w:rsid w:val="004F2123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E79E7"/>
    <w:rsid w:val="005F0B03"/>
    <w:rsid w:val="005F26A6"/>
    <w:rsid w:val="005F7F40"/>
    <w:rsid w:val="006016D9"/>
    <w:rsid w:val="00612D13"/>
    <w:rsid w:val="006312AE"/>
    <w:rsid w:val="00646805"/>
    <w:rsid w:val="00660538"/>
    <w:rsid w:val="00666585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45C59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4495F"/>
    <w:rsid w:val="00954C7F"/>
    <w:rsid w:val="00955E77"/>
    <w:rsid w:val="00972A8F"/>
    <w:rsid w:val="009949F3"/>
    <w:rsid w:val="009A73DB"/>
    <w:rsid w:val="009B3FC8"/>
    <w:rsid w:val="009E27BD"/>
    <w:rsid w:val="009E48BF"/>
    <w:rsid w:val="009F1EC3"/>
    <w:rsid w:val="00A04BF8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2657C"/>
    <w:rsid w:val="00C32865"/>
    <w:rsid w:val="00C506F4"/>
    <w:rsid w:val="00C50B34"/>
    <w:rsid w:val="00C54394"/>
    <w:rsid w:val="00C54559"/>
    <w:rsid w:val="00C57022"/>
    <w:rsid w:val="00C60917"/>
    <w:rsid w:val="00C7218A"/>
    <w:rsid w:val="00C83253"/>
    <w:rsid w:val="00C973F3"/>
    <w:rsid w:val="00CA2789"/>
    <w:rsid w:val="00CA2B95"/>
    <w:rsid w:val="00CB62A1"/>
    <w:rsid w:val="00CD5BF1"/>
    <w:rsid w:val="00CF171E"/>
    <w:rsid w:val="00CF3D96"/>
    <w:rsid w:val="00D00E1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824B9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table" w:customStyle="1" w:styleId="TableGrid">
    <w:name w:val="TableGrid"/>
    <w:rsid w:val="005E79E7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5E7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06ACB-B0FC-4EDD-AED7-BAE2F310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Przybyła Marta</cp:lastModifiedBy>
  <cp:revision>2</cp:revision>
  <cp:lastPrinted>2018-11-06T07:51:00Z</cp:lastPrinted>
  <dcterms:created xsi:type="dcterms:W3CDTF">2024-03-25T11:05:00Z</dcterms:created>
  <dcterms:modified xsi:type="dcterms:W3CDTF">2024-03-25T11:05:00Z</dcterms:modified>
</cp:coreProperties>
</file>