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520" w:rsidRPr="00093685" w:rsidRDefault="00737520" w:rsidP="00093685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  <w:r w:rsidRPr="00093685">
        <w:rPr>
          <w:rFonts w:ascii="Times New Roman" w:eastAsia="Times New Roman" w:hAnsi="Times New Roman" w:cs="Times New Roman"/>
          <w:lang w:val="pl-PL" w:eastAsia="pl-PL"/>
        </w:rPr>
        <w:t>Zał</w:t>
      </w:r>
      <w:bookmarkStart w:id="0" w:name="_GoBack"/>
      <w:bookmarkEnd w:id="0"/>
      <w:r w:rsidRPr="00093685">
        <w:rPr>
          <w:rFonts w:ascii="Times New Roman" w:eastAsia="Times New Roman" w:hAnsi="Times New Roman" w:cs="Times New Roman"/>
          <w:lang w:val="pl-PL" w:eastAsia="pl-PL"/>
        </w:rPr>
        <w:t>ącznik B.90.</w:t>
      </w:r>
    </w:p>
    <w:p w:rsidR="00737520" w:rsidRPr="00737520" w:rsidRDefault="00737520" w:rsidP="0009368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5"/>
          <w:lang w:val="pl-PL"/>
        </w:rPr>
      </w:pPr>
    </w:p>
    <w:p w:rsidR="00474F55" w:rsidRPr="00C85003" w:rsidRDefault="00474F55" w:rsidP="00093685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l-PL"/>
        </w:rPr>
      </w:pPr>
      <w:r w:rsidRPr="00474F5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l-PL"/>
        </w:rPr>
        <w:t xml:space="preserve">LECZENIE </w:t>
      </w:r>
      <w:r w:rsidR="00B4095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l-PL"/>
        </w:rPr>
        <w:t>ZABURZEŃ MOTORYCZNYCH W PRZEBIEGU ZAAWANSOWANEJ CHOROBY PARKINSONA (ICD-10 G.20)</w:t>
      </w:r>
    </w:p>
    <w:tbl>
      <w:tblPr>
        <w:tblW w:w="4931" w:type="pct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4"/>
        <w:gridCol w:w="3688"/>
        <w:gridCol w:w="5250"/>
      </w:tblGrid>
      <w:tr w:rsidR="00E15E77" w:rsidTr="00FB2B07">
        <w:trPr>
          <w:trHeight w:val="333"/>
        </w:trPr>
        <w:tc>
          <w:tcPr>
            <w:tcW w:w="15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CD" w:rsidRPr="000A22CD" w:rsidRDefault="00A72250" w:rsidP="00C850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C850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ZAKRES ŚWIADCZENIA GWARANTOWANEGO</w:t>
            </w:r>
          </w:p>
        </w:tc>
      </w:tr>
      <w:tr w:rsidR="00E15E77" w:rsidRPr="00CD3A00" w:rsidTr="00FB2B07"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E77" w:rsidRDefault="00A72250" w:rsidP="00737520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ŚW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CY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E77" w:rsidRPr="00D344B3" w:rsidRDefault="00A72250" w:rsidP="0036574A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SC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H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E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pl-PL"/>
              </w:rPr>
              <w:t>M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AT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pl-PL"/>
              </w:rPr>
              <w:t xml:space="preserve"> 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DAW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KO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WA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N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pl-PL"/>
              </w:rPr>
              <w:t>I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  <w:lang w:val="pl-PL"/>
              </w:rPr>
              <w:t xml:space="preserve"> 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LE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KÓ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W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pl-PL"/>
              </w:rPr>
              <w:t xml:space="preserve"> 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W</w:t>
            </w:r>
            <w:r w:rsidR="00365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 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PR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O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pl-PL"/>
              </w:rPr>
              <w:t>M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E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E77" w:rsidRPr="00D344B3" w:rsidRDefault="00A72250" w:rsidP="00737520">
            <w:pPr>
              <w:spacing w:before="98" w:after="0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D344B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B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ADAN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pl-PL"/>
              </w:rPr>
              <w:t xml:space="preserve"> 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D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pl-PL"/>
              </w:rPr>
              <w:t>I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G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N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O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S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T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Y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C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Z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pl-PL"/>
              </w:rPr>
              <w:t>N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E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val="pl-PL"/>
              </w:rPr>
              <w:t xml:space="preserve"> 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WY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KO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NYWA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N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E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lang w:val="pl-PL"/>
              </w:rPr>
              <w:t xml:space="preserve"> </w:t>
            </w:r>
            <w:r w:rsidR="00365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W 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pl-PL"/>
              </w:rPr>
              <w:t>M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ACH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pl-PL"/>
              </w:rPr>
              <w:t xml:space="preserve"> 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PR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O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pl-PL"/>
              </w:rPr>
              <w:t>M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U</w:t>
            </w:r>
          </w:p>
        </w:tc>
      </w:tr>
      <w:tr w:rsidR="00E15E77" w:rsidRPr="00CD3A00" w:rsidTr="00FB2B07"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BF" w:rsidRDefault="000B7B27" w:rsidP="00160112">
            <w:pPr>
              <w:spacing w:before="120" w:after="0"/>
              <w:ind w:left="142" w:right="2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B7B2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Pacjent jest kwalifi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kowany do programu przez Zespół</w:t>
            </w:r>
            <w:r w:rsidR="0016011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K</w:t>
            </w:r>
            <w:r w:rsidRPr="000B7B2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oordynacyjny do Spraw Leczenia Zaburzeń Motorycznych w Przebiegu Choroby Parkinsona, powoływany przez Prezesa Narodowego Funduszu Zdrowia.</w:t>
            </w:r>
          </w:p>
          <w:p w:rsidR="004753A5" w:rsidRPr="00160112" w:rsidRDefault="00F41BD5" w:rsidP="00160112">
            <w:pPr>
              <w:pStyle w:val="Akapitzlist"/>
              <w:numPr>
                <w:ilvl w:val="0"/>
                <w:numId w:val="1"/>
              </w:numPr>
              <w:spacing w:before="120" w:after="120"/>
              <w:ind w:left="426" w:right="142" w:hanging="357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160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 xml:space="preserve">Leczenie lewodopą </w:t>
            </w:r>
            <w:r w:rsidR="00FB2B07" w:rsidRPr="00F41BD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podawaną</w:t>
            </w:r>
            <w:r w:rsidR="00FB2B07" w:rsidRPr="00160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160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z karbidopą</w:t>
            </w:r>
          </w:p>
          <w:p w:rsidR="00E15E77" w:rsidRPr="00F41BD5" w:rsidRDefault="00A72250" w:rsidP="00D256AD">
            <w:pPr>
              <w:pStyle w:val="Akapitzlist"/>
              <w:numPr>
                <w:ilvl w:val="1"/>
                <w:numId w:val="14"/>
              </w:numPr>
              <w:spacing w:after="0"/>
              <w:ind w:left="426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41BD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K</w:t>
            </w:r>
            <w:r w:rsidRPr="00F41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</w:t>
            </w:r>
            <w:r w:rsidRPr="00F41BD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yt</w:t>
            </w:r>
            <w:r w:rsidRPr="00F41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e</w:t>
            </w:r>
            <w:r w:rsidRPr="00F41BD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r</w:t>
            </w:r>
            <w:r w:rsidRPr="00F41BD5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i</w:t>
            </w:r>
            <w:r w:rsidRPr="00F41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41BD5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pl-PL"/>
              </w:rPr>
              <w:t xml:space="preserve"> </w:t>
            </w:r>
            <w:r w:rsidRPr="00F41BD5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F41BD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pl-PL"/>
              </w:rPr>
              <w:t>w</w:t>
            </w:r>
            <w:r w:rsidRPr="00F41BD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a</w:t>
            </w:r>
            <w:r w:rsidRPr="00F41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lifi</w:t>
            </w:r>
            <w:r w:rsidRPr="00F41BD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pl-PL"/>
              </w:rPr>
              <w:t>k</w:t>
            </w:r>
            <w:r w:rsidRPr="00F41BD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a</w:t>
            </w:r>
            <w:r w:rsidRPr="00F41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41BD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j</w:t>
            </w:r>
            <w:r w:rsidRPr="00F41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</w:t>
            </w:r>
            <w:r w:rsidR="00813CF5" w:rsidRPr="00F41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:</w:t>
            </w:r>
          </w:p>
          <w:p w:rsidR="00E71CC0" w:rsidRPr="00E71CC0" w:rsidRDefault="00E71CC0" w:rsidP="002046CD">
            <w:pPr>
              <w:pStyle w:val="Akapitzlist"/>
              <w:numPr>
                <w:ilvl w:val="0"/>
                <w:numId w:val="7"/>
              </w:numPr>
              <w:spacing w:after="0"/>
              <w:ind w:left="426" w:right="141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71CC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rozpoznanie choroby Parkinsona wg powszechnie przyjętych kryteriów UKPDS Brain Bank Criteria;</w:t>
            </w:r>
          </w:p>
          <w:p w:rsidR="00E71CC0" w:rsidRPr="00E71CC0" w:rsidRDefault="00E71CC0" w:rsidP="002046CD">
            <w:pPr>
              <w:pStyle w:val="Akapitzlist"/>
              <w:numPr>
                <w:ilvl w:val="0"/>
                <w:numId w:val="7"/>
              </w:numPr>
              <w:spacing w:after="0"/>
              <w:ind w:left="426" w:right="141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71CC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czas trwania choroby powyżej 5 lat;</w:t>
            </w:r>
          </w:p>
          <w:p w:rsidR="00E71CC0" w:rsidRPr="00E71CC0" w:rsidRDefault="0002543B" w:rsidP="002046CD">
            <w:pPr>
              <w:pStyle w:val="Akapitzlist"/>
              <w:numPr>
                <w:ilvl w:val="0"/>
                <w:numId w:val="7"/>
              </w:numPr>
              <w:ind w:left="426" w:right="141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zaawansowana postać choroby, tj. stany off i/lub on z uciążliwymi dyskinezami trwające co najmniej 50% czasu aktywności dobowej pacjenta, </w:t>
            </w:r>
            <w:r w:rsidR="000B7B2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dokumentowany zapisami w dzienniczku Hausera;</w:t>
            </w:r>
          </w:p>
          <w:p w:rsidR="00E71CC0" w:rsidRPr="00E71CC0" w:rsidRDefault="00E71CC0" w:rsidP="002046CD">
            <w:pPr>
              <w:pStyle w:val="Akapitzlist"/>
              <w:numPr>
                <w:ilvl w:val="0"/>
                <w:numId w:val="7"/>
              </w:numPr>
              <w:ind w:left="426" w:right="141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71CC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potwierdzona skuteczność stosowania lewodopy we wcześniejszym leczeniu;</w:t>
            </w:r>
          </w:p>
          <w:p w:rsidR="00E71CC0" w:rsidRPr="00E71CC0" w:rsidRDefault="00E71CC0" w:rsidP="002046CD">
            <w:pPr>
              <w:pStyle w:val="Akapitzlist"/>
              <w:numPr>
                <w:ilvl w:val="0"/>
                <w:numId w:val="7"/>
              </w:numPr>
              <w:ind w:left="426" w:right="141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71CC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wyczerpanie możliwości prowadzenia skutecznej terapii </w:t>
            </w:r>
            <w:r w:rsidR="000B7B2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co najmniej dwoma </w:t>
            </w:r>
            <w:r w:rsidRPr="00E71CC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lekami doustnymi </w:t>
            </w:r>
            <w:r w:rsidR="000B7B2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o różnych mechanizmach działania </w:t>
            </w:r>
            <w:r w:rsidRPr="00E71CC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lub wystąpienie działań niepożądanych, związa</w:t>
            </w:r>
            <w:r w:rsidR="0002543B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nych ze stosowaniem tych leków</w:t>
            </w:r>
            <w:r w:rsidRPr="00E71CC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;</w:t>
            </w:r>
          </w:p>
          <w:p w:rsidR="00E71CC0" w:rsidRPr="00AE3F20" w:rsidRDefault="0002543B" w:rsidP="002046CD">
            <w:pPr>
              <w:pStyle w:val="Akapitzlist"/>
              <w:numPr>
                <w:ilvl w:val="0"/>
                <w:numId w:val="7"/>
              </w:numPr>
              <w:ind w:left="426" w:right="141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obecność </w:t>
            </w:r>
            <w:r w:rsidR="00E71CC0" w:rsidRPr="00E71CC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przeciwwskazań do wszczepienia </w:t>
            </w:r>
            <w:r w:rsidR="00E71CC0" w:rsidRPr="00AE3F2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stymulator</w:t>
            </w:r>
            <w:r w:rsidRPr="00AE3F2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 do głębokiej stymulacji mózgu;</w:t>
            </w:r>
          </w:p>
          <w:p w:rsidR="000B7B27" w:rsidRDefault="0002543B" w:rsidP="002046CD">
            <w:pPr>
              <w:pStyle w:val="Akapitzlist"/>
              <w:numPr>
                <w:ilvl w:val="0"/>
                <w:numId w:val="7"/>
              </w:numPr>
              <w:ind w:left="426" w:right="141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AE3F2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codzienna obecność i pomoc ze strony opiekuna, który będzie w stanie obsłużyć PEG oraz pompę</w:t>
            </w:r>
            <w:r w:rsidR="00EE0B7B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;</w:t>
            </w:r>
          </w:p>
          <w:p w:rsidR="004753A5" w:rsidRPr="00F41BD5" w:rsidRDefault="000B7B27" w:rsidP="002046CD">
            <w:pPr>
              <w:pStyle w:val="Akapitzlist"/>
              <w:numPr>
                <w:ilvl w:val="0"/>
                <w:numId w:val="7"/>
              </w:numPr>
              <w:spacing w:after="0"/>
              <w:ind w:left="426" w:right="141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Ocena nastroju w skali Becka oraz badanie psychologiczne – ocena funkcji poznawczych wg. Kryteriów rozpoznania otępienia w</w:t>
            </w:r>
            <w:r w:rsidR="0016011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chorobie Parkinsona (Emre et al. Mov Disord 2007)</w:t>
            </w:r>
            <w:r w:rsidR="0002543B" w:rsidRPr="00AE3F2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.</w:t>
            </w:r>
          </w:p>
          <w:p w:rsidR="00F17267" w:rsidRPr="000B7B27" w:rsidRDefault="00F17267" w:rsidP="00D256AD">
            <w:pPr>
              <w:pStyle w:val="Akapitzlist"/>
              <w:numPr>
                <w:ilvl w:val="1"/>
                <w:numId w:val="13"/>
              </w:numPr>
              <w:spacing w:before="120" w:after="120"/>
              <w:ind w:left="426" w:right="142" w:hanging="357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</w:pPr>
            <w:r w:rsidRPr="000B7B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Kryteria uniemożliwiające kwalifikację do programu:</w:t>
            </w:r>
          </w:p>
          <w:p w:rsidR="00F17267" w:rsidRPr="00F81DBC" w:rsidRDefault="000B7B27" w:rsidP="002046CD">
            <w:pPr>
              <w:pStyle w:val="Akapitzlist"/>
              <w:numPr>
                <w:ilvl w:val="0"/>
                <w:numId w:val="9"/>
              </w:numPr>
              <w:spacing w:after="120"/>
              <w:ind w:left="426" w:right="141" w:hanging="284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Ciężka depresja w skali Becka lub z</w:t>
            </w:r>
            <w:r w:rsidR="00F17267" w:rsidRPr="00F81D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naczne nasilenie dysfunkcji poznawczych, uniemożliwiające dalszą współpracę chorego, a tym samym skuteczną kontynuację terapii;</w:t>
            </w:r>
          </w:p>
          <w:p w:rsidR="004753A5" w:rsidRPr="00FB2B07" w:rsidRDefault="0002543B" w:rsidP="002046CD">
            <w:pPr>
              <w:pStyle w:val="Akapitzlist"/>
              <w:numPr>
                <w:ilvl w:val="0"/>
                <w:numId w:val="9"/>
              </w:numPr>
              <w:spacing w:after="120"/>
              <w:ind w:left="426" w:right="142" w:hanging="284"/>
              <w:contextualSpacing w:val="0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Przeciwwskazania do stoso</w:t>
            </w:r>
            <w:r w:rsidR="0016011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wania systemu DuoDopa zgodnie z 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charakterystyką produktu leczniczego.</w:t>
            </w:r>
          </w:p>
          <w:p w:rsidR="00F17267" w:rsidRDefault="00F17267" w:rsidP="00D256AD">
            <w:pPr>
              <w:pStyle w:val="Akapitzlist"/>
              <w:numPr>
                <w:ilvl w:val="1"/>
                <w:numId w:val="13"/>
              </w:numPr>
              <w:spacing w:before="120" w:after="0"/>
              <w:ind w:left="426" w:right="142" w:hanging="357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>Czas leczenia w programie:</w:t>
            </w:r>
          </w:p>
          <w:p w:rsidR="00F17267" w:rsidRPr="00F17267" w:rsidRDefault="00F17267" w:rsidP="00160112">
            <w:pPr>
              <w:spacing w:after="120"/>
              <w:ind w:left="142" w:right="14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bidi="en-US"/>
              </w:rPr>
            </w:pPr>
            <w:r w:rsidRPr="00F17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bidi="en-US"/>
              </w:rPr>
              <w:t xml:space="preserve">Czas leczenia w programie określa lekarz na podstawie kryteriów </w:t>
            </w:r>
            <w:r w:rsidR="00726F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bidi="en-US"/>
              </w:rPr>
              <w:t>zaprzestania udziału</w:t>
            </w:r>
            <w:r w:rsidRPr="00F17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bidi="en-US"/>
              </w:rPr>
              <w:t xml:space="preserve"> </w:t>
            </w:r>
            <w:r w:rsidR="00726F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bidi="en-US"/>
              </w:rPr>
              <w:t>w</w:t>
            </w:r>
            <w:r w:rsidRPr="00F17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bidi="en-US"/>
              </w:rPr>
              <w:t xml:space="preserve"> program</w:t>
            </w:r>
            <w:r w:rsidR="00726F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bidi="en-US"/>
              </w:rPr>
              <w:t>ie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bidi="en-US"/>
              </w:rPr>
              <w:t>.</w:t>
            </w:r>
          </w:p>
          <w:p w:rsidR="009B51AF" w:rsidRPr="00813CF5" w:rsidRDefault="00D344B3" w:rsidP="00D256AD">
            <w:pPr>
              <w:pStyle w:val="Akapitzlist"/>
              <w:numPr>
                <w:ilvl w:val="1"/>
                <w:numId w:val="13"/>
              </w:numPr>
              <w:spacing w:before="120" w:after="120"/>
              <w:ind w:left="426" w:right="142" w:hanging="357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</w:pPr>
            <w:r w:rsidRPr="00AC3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 xml:space="preserve">Kryteria </w:t>
            </w:r>
            <w:r w:rsidR="00F81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zaprzestania udziału</w:t>
            </w:r>
            <w:r w:rsidR="006959FD" w:rsidRPr="00AC3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 w:rsidR="00F81D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w programie</w:t>
            </w:r>
            <w:r w:rsidR="006959FD" w:rsidRPr="00AC3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:</w:t>
            </w:r>
          </w:p>
          <w:p w:rsidR="0002543B" w:rsidRPr="0002543B" w:rsidRDefault="00F81DBC" w:rsidP="002046CD">
            <w:pPr>
              <w:pStyle w:val="Akapitzlist"/>
              <w:numPr>
                <w:ilvl w:val="0"/>
                <w:numId w:val="10"/>
              </w:numPr>
              <w:spacing w:after="120"/>
              <w:ind w:left="426" w:right="141" w:hanging="284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Brak potwierdzonej </w:t>
            </w:r>
            <w:r w:rsidR="000A22CD" w:rsidRPr="00F81D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skuteczności leczenia w czasie wstępnego okresu oceny skuteczności, trwającego do 7 dni, podczas którego ustala się w ramach hospitalizacji, czy ci</w:t>
            </w:r>
            <w:r w:rsidR="00D256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ągły wlew dojelitowy lewodopy z </w:t>
            </w:r>
            <w:r w:rsidR="000A22CD" w:rsidRPr="00F81D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karbidopą, podawanych w p</w:t>
            </w:r>
            <w:r w:rsidR="0002543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ostaci żelu przez sondę nosowo-dwunastniczą lub nosowo-dojelitową</w:t>
            </w:r>
            <w:r w:rsidR="000A22CD" w:rsidRPr="00F81D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, przynosi pożądany efekt kliniczny oraz ustala się wstępną dawkę leku</w:t>
            </w:r>
            <w:r w:rsidR="0002543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. </w:t>
            </w:r>
            <w:r w:rsidR="0002543B" w:rsidRPr="0002543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Pożądany efekt kliniczny zdefiniowano jako redukcję o co najmniej 30% czasu spędzanego w stanie off lub w stanie on z uciążliwymi dyskinezami</w:t>
            </w:r>
            <w:r w:rsidR="0002543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;</w:t>
            </w:r>
          </w:p>
          <w:p w:rsidR="00F81DBC" w:rsidRDefault="00F81DBC" w:rsidP="002046CD">
            <w:pPr>
              <w:pStyle w:val="Akapitzlist"/>
              <w:numPr>
                <w:ilvl w:val="0"/>
                <w:numId w:val="10"/>
              </w:numPr>
              <w:spacing w:after="120"/>
              <w:ind w:left="426" w:right="141" w:hanging="284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Niedające się opanować powikłania chirurgiczne, związane z PEG;</w:t>
            </w:r>
          </w:p>
          <w:p w:rsidR="00F81DBC" w:rsidRPr="00F81DBC" w:rsidRDefault="00F17267" w:rsidP="002046CD">
            <w:pPr>
              <w:pStyle w:val="Akapitzlist"/>
              <w:numPr>
                <w:ilvl w:val="0"/>
                <w:numId w:val="10"/>
              </w:numPr>
              <w:spacing w:after="120"/>
              <w:ind w:left="426" w:right="141" w:hanging="284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Rezygnacja pacjenta;</w:t>
            </w:r>
          </w:p>
          <w:p w:rsidR="00F17267" w:rsidRDefault="00F81DBC" w:rsidP="002046CD">
            <w:pPr>
              <w:pStyle w:val="Akapitzlist"/>
              <w:numPr>
                <w:ilvl w:val="0"/>
                <w:numId w:val="10"/>
              </w:numPr>
              <w:spacing w:after="120"/>
              <w:ind w:left="426" w:right="141" w:hanging="284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lastRenderedPageBreak/>
              <w:t xml:space="preserve">Dyskwalifikacja </w:t>
            </w:r>
            <w:r w:rsidR="002F139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powodu działań niepożądanych</w:t>
            </w:r>
            <w:r w:rsidR="00F172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;</w:t>
            </w:r>
          </w:p>
          <w:p w:rsidR="008745C9" w:rsidRDefault="00F17267" w:rsidP="002046CD">
            <w:pPr>
              <w:pStyle w:val="Akapitzlist"/>
              <w:numPr>
                <w:ilvl w:val="0"/>
                <w:numId w:val="10"/>
              </w:numPr>
              <w:spacing w:after="120"/>
              <w:ind w:left="426" w:right="142" w:hanging="284"/>
              <w:contextualSpacing w:val="0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Utrata skuteczności leczenia mimo prób </w:t>
            </w:r>
            <w:r w:rsidR="00D256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dostosowania dawek leku, w </w:t>
            </w:r>
            <w:r w:rsidR="00260B05" w:rsidRPr="00F172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okresie 6 mies. od implantacji systemu</w:t>
            </w:r>
            <w:r w:rsidR="0002543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.</w:t>
            </w:r>
          </w:p>
          <w:p w:rsidR="00160112" w:rsidRDefault="00160112" w:rsidP="00FB2B07">
            <w:pPr>
              <w:pStyle w:val="Akapitzlist"/>
              <w:numPr>
                <w:ilvl w:val="0"/>
                <w:numId w:val="1"/>
              </w:numPr>
              <w:spacing w:before="240" w:after="120"/>
              <w:ind w:left="426" w:right="142" w:hanging="357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</w:pPr>
            <w:r w:rsidRPr="0016011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>Leczenie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16011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>apomorfiną</w:t>
            </w:r>
          </w:p>
          <w:p w:rsidR="00FB2B07" w:rsidRPr="00D256AD" w:rsidRDefault="00FB2B07" w:rsidP="00D256AD">
            <w:pPr>
              <w:pStyle w:val="Akapitzlist"/>
              <w:numPr>
                <w:ilvl w:val="1"/>
                <w:numId w:val="30"/>
              </w:numPr>
              <w:spacing w:after="0"/>
              <w:ind w:left="426"/>
              <w:rPr>
                <w:rStyle w:val="Teksttreci"/>
                <w:rFonts w:ascii="Times New Roman" w:hAnsi="Times New Roman" w:cs="Times New Roman"/>
                <w:b/>
                <w:sz w:val="20"/>
                <w:szCs w:val="20"/>
              </w:rPr>
            </w:pPr>
            <w:r w:rsidRPr="00D256AD">
              <w:rPr>
                <w:rStyle w:val="Teksttreci"/>
                <w:rFonts w:ascii="Times New Roman" w:hAnsi="Times New Roman" w:cs="Times New Roman"/>
                <w:b/>
                <w:sz w:val="20"/>
                <w:szCs w:val="20"/>
              </w:rPr>
              <w:t>Kryteria kwalifikacji</w:t>
            </w:r>
          </w:p>
          <w:p w:rsidR="00160112" w:rsidRPr="00CD3A00" w:rsidRDefault="00160112" w:rsidP="00D256AD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Do programu kwalifikowani są pacjenci z chorobą</w:t>
            </w:r>
            <w:r w:rsidR="00D256A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Parkinsona, spełniający łącznie wszystkie poniższe kryteria:</w:t>
            </w:r>
          </w:p>
          <w:p w:rsidR="00160112" w:rsidRPr="008B41C6" w:rsidRDefault="00160112" w:rsidP="00D256AD">
            <w:pPr>
              <w:numPr>
                <w:ilvl w:val="0"/>
                <w:numId w:val="21"/>
              </w:numPr>
              <w:tabs>
                <w:tab w:val="left" w:pos="567"/>
              </w:tabs>
              <w:spacing w:after="0"/>
              <w:ind w:left="476" w:right="13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wiek &gt;18. r.ż.;</w:t>
            </w:r>
          </w:p>
          <w:p w:rsidR="00160112" w:rsidRPr="00CD3A00" w:rsidRDefault="00160112" w:rsidP="00D256AD">
            <w:pPr>
              <w:numPr>
                <w:ilvl w:val="0"/>
                <w:numId w:val="21"/>
              </w:numPr>
              <w:tabs>
                <w:tab w:val="left" w:pos="567"/>
              </w:tabs>
              <w:spacing w:after="0"/>
              <w:ind w:left="476" w:right="138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rozpoznana idiopatyczna postać choroby Parkinsona</w:t>
            </w:r>
            <w:r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według przyjętych kryteriów (</w:t>
            </w:r>
            <w:r w:rsidRPr="00CD3A00">
              <w:rPr>
                <w:rStyle w:val="TeksttreciKursywa"/>
                <w:rFonts w:ascii="Times New Roman" w:eastAsiaTheme="minorHAnsi" w:hAnsi="Times New Roman"/>
                <w:sz w:val="20"/>
                <w:szCs w:val="20"/>
                <w:lang w:val="pl-PL"/>
              </w:rPr>
              <w:t>United Kingdom Parkinson’s Disease Brain Bank Criteria),</w:t>
            </w:r>
          </w:p>
          <w:p w:rsidR="00160112" w:rsidRPr="00CD3A00" w:rsidRDefault="00160112" w:rsidP="00D256AD">
            <w:pPr>
              <w:numPr>
                <w:ilvl w:val="0"/>
                <w:numId w:val="21"/>
              </w:numPr>
              <w:tabs>
                <w:tab w:val="left" w:pos="567"/>
              </w:tabs>
              <w:spacing w:after="0"/>
              <w:ind w:left="476" w:right="138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zaawansowana choroba Parkinsona </w:t>
            </w:r>
            <w:r>
              <w:rPr>
                <w:rStyle w:val="Teksttreci"/>
                <w:rFonts w:ascii="Times New Roman" w:hAnsi="Times New Roman" w:cs="Times New Roman"/>
                <w:sz w:val="20"/>
                <w:szCs w:val="20"/>
                <w:lang w:bidi="en-US"/>
              </w:rPr>
              <w:t>- stadium ≥</w:t>
            </w: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  <w:lang w:bidi="en-US"/>
              </w:rPr>
              <w:t>3</w:t>
            </w:r>
            <w:r>
              <w:rPr>
                <w:rStyle w:val="Teksttreci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według skali Hoehn i Yahr, z fluktuacjami ruchowymi,</w:t>
            </w:r>
            <w:r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które utrzymują się mimo stosowania optymalnego</w:t>
            </w:r>
            <w:r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leczenia farmakologicznego (stany </w:t>
            </w:r>
            <w:r w:rsidRPr="008B41C6">
              <w:rPr>
                <w:rStyle w:val="Teksttreci"/>
                <w:rFonts w:ascii="Times New Roman" w:hAnsi="Times New Roman" w:cs="Times New Roman"/>
                <w:i/>
                <w:sz w:val="20"/>
                <w:szCs w:val="20"/>
                <w:lang w:bidi="en-US"/>
              </w:rPr>
              <w:t xml:space="preserve">off </w:t>
            </w: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łąc</w:t>
            </w:r>
            <w:r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znie ≥</w:t>
            </w: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połowy</w:t>
            </w:r>
            <w:r w:rsidR="00D256A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czasu aktywności dobowej pacjenta) za pomocą</w:t>
            </w:r>
            <w:r w:rsidR="00D256A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doustnych leków przeciw chorobie Parkinsona;</w:t>
            </w:r>
          </w:p>
          <w:p w:rsidR="00160112" w:rsidRPr="00CD3A00" w:rsidRDefault="00160112" w:rsidP="00D256AD">
            <w:pPr>
              <w:numPr>
                <w:ilvl w:val="0"/>
                <w:numId w:val="21"/>
              </w:numPr>
              <w:tabs>
                <w:tab w:val="left" w:pos="567"/>
              </w:tabs>
              <w:spacing w:after="0"/>
              <w:ind w:left="476" w:right="138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czas trwania choroby co najmniej 5 lat od początku</w:t>
            </w:r>
            <w:r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objawów;</w:t>
            </w:r>
          </w:p>
          <w:p w:rsidR="00160112" w:rsidRPr="00CD3A00" w:rsidRDefault="00160112" w:rsidP="00D256AD">
            <w:pPr>
              <w:numPr>
                <w:ilvl w:val="0"/>
                <w:numId w:val="21"/>
              </w:numPr>
              <w:tabs>
                <w:tab w:val="left" w:pos="567"/>
              </w:tabs>
              <w:spacing w:after="0"/>
              <w:ind w:left="476" w:right="138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brak przeciwwskazań do stosowania apomorfiny,</w:t>
            </w:r>
            <w:r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wynikających z:</w:t>
            </w:r>
          </w:p>
          <w:p w:rsidR="00160112" w:rsidRPr="00CD3A00" w:rsidRDefault="00160112" w:rsidP="00D256AD">
            <w:pPr>
              <w:pStyle w:val="Akapitzlist"/>
              <w:numPr>
                <w:ilvl w:val="1"/>
                <w:numId w:val="21"/>
              </w:numPr>
              <w:tabs>
                <w:tab w:val="left" w:pos="567"/>
              </w:tabs>
              <w:spacing w:after="0"/>
              <w:ind w:left="851" w:right="138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istotnych klinicznie zaburzeń psychotycznych stwierdzonych w</w:t>
            </w:r>
            <w:r w:rsidR="00D256A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 </w:t>
            </w: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wywiadzie;</w:t>
            </w:r>
          </w:p>
          <w:p w:rsidR="00160112" w:rsidRPr="00CD3A00" w:rsidRDefault="00160112" w:rsidP="00D256AD">
            <w:pPr>
              <w:pStyle w:val="Akapitzlist"/>
              <w:numPr>
                <w:ilvl w:val="1"/>
                <w:numId w:val="21"/>
              </w:numPr>
              <w:tabs>
                <w:tab w:val="left" w:pos="567"/>
              </w:tabs>
              <w:spacing w:after="0"/>
              <w:ind w:left="851" w:right="138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istotnych klinicznie objawów hipotonii ortostatycznej;</w:t>
            </w:r>
          </w:p>
          <w:p w:rsidR="00160112" w:rsidRPr="00CD3A00" w:rsidRDefault="00160112" w:rsidP="00D256AD">
            <w:pPr>
              <w:pStyle w:val="Akapitzlist"/>
              <w:numPr>
                <w:ilvl w:val="1"/>
                <w:numId w:val="21"/>
              </w:numPr>
              <w:tabs>
                <w:tab w:val="left" w:pos="567"/>
              </w:tabs>
              <w:spacing w:after="0"/>
              <w:ind w:left="851" w:right="138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istotnych klinicznie zaburzeń rytmu serca;</w:t>
            </w:r>
          </w:p>
          <w:p w:rsidR="00160112" w:rsidRDefault="00160112" w:rsidP="00D256AD">
            <w:pPr>
              <w:pStyle w:val="Akapitzlist"/>
              <w:widowControl/>
              <w:numPr>
                <w:ilvl w:val="0"/>
                <w:numId w:val="21"/>
              </w:numPr>
              <w:tabs>
                <w:tab w:val="left" w:pos="567"/>
                <w:tab w:val="left" w:pos="3390"/>
              </w:tabs>
              <w:autoSpaceDE w:val="0"/>
              <w:autoSpaceDN w:val="0"/>
              <w:adjustRightInd w:val="0"/>
              <w:spacing w:after="120"/>
              <w:ind w:left="476" w:right="138" w:hanging="284"/>
              <w:jc w:val="both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obecność przeciwwskazań do wszczepienia stymulatora do głębokiej stymulacji mózgu;</w:t>
            </w:r>
          </w:p>
          <w:p w:rsidR="00160112" w:rsidRDefault="00160112" w:rsidP="00D256AD">
            <w:pPr>
              <w:pStyle w:val="Akapitzlist"/>
              <w:widowControl/>
              <w:numPr>
                <w:ilvl w:val="0"/>
                <w:numId w:val="21"/>
              </w:numPr>
              <w:tabs>
                <w:tab w:val="left" w:pos="567"/>
                <w:tab w:val="left" w:pos="3390"/>
              </w:tabs>
              <w:autoSpaceDE w:val="0"/>
              <w:autoSpaceDN w:val="0"/>
              <w:adjustRightInd w:val="0"/>
              <w:spacing w:after="120"/>
              <w:ind w:left="476" w:right="138" w:hanging="284"/>
              <w:jc w:val="both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uzyskanie pisemnej zgody na leczenie;</w:t>
            </w:r>
          </w:p>
          <w:p w:rsidR="00FB2B07" w:rsidRPr="00FB2B07" w:rsidRDefault="00160112" w:rsidP="00D256AD">
            <w:pPr>
              <w:pStyle w:val="Akapitzlist"/>
              <w:widowControl/>
              <w:numPr>
                <w:ilvl w:val="0"/>
                <w:numId w:val="21"/>
              </w:numPr>
              <w:tabs>
                <w:tab w:val="left" w:pos="567"/>
                <w:tab w:val="left" w:pos="3390"/>
              </w:tabs>
              <w:autoSpaceDE w:val="0"/>
              <w:autoSpaceDN w:val="0"/>
              <w:adjustRightInd w:val="0"/>
              <w:spacing w:after="120"/>
              <w:ind w:left="476" w:right="138" w:hanging="284"/>
              <w:contextualSpacing w:val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pl-PL" w:eastAsia="pl-PL" w:bidi="pl-PL"/>
              </w:rPr>
            </w:pP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współpraca pacjenta lub jego opiekuna w trakcie</w:t>
            </w:r>
            <w:r w:rsidR="00D256A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terapii.</w:t>
            </w:r>
          </w:p>
          <w:p w:rsidR="00160112" w:rsidRPr="00FB2B07" w:rsidRDefault="00160112" w:rsidP="00D256AD">
            <w:pPr>
              <w:pStyle w:val="Akapitzlist"/>
              <w:widowControl/>
              <w:numPr>
                <w:ilvl w:val="1"/>
                <w:numId w:val="30"/>
              </w:numPr>
              <w:tabs>
                <w:tab w:val="left" w:pos="567"/>
                <w:tab w:val="left" w:pos="3390"/>
              </w:tabs>
              <w:autoSpaceDE w:val="0"/>
              <w:autoSpaceDN w:val="0"/>
              <w:adjustRightInd w:val="0"/>
              <w:spacing w:before="120" w:after="120"/>
              <w:ind w:left="426" w:hanging="357"/>
              <w:contextualSpacing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pl-PL" w:eastAsia="pl-PL" w:bidi="pl-PL"/>
              </w:rPr>
            </w:pPr>
            <w:r w:rsidRPr="00FB2B07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Określenie czasu leczenia w programie:</w:t>
            </w:r>
          </w:p>
          <w:p w:rsidR="00160112" w:rsidRPr="008B41C6" w:rsidRDefault="00160112" w:rsidP="00D256AD">
            <w:pPr>
              <w:autoSpaceDE w:val="0"/>
              <w:autoSpaceDN w:val="0"/>
              <w:adjustRightInd w:val="0"/>
              <w:spacing w:after="0"/>
              <w:ind w:left="142" w:right="138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41C6">
              <w:rPr>
                <w:rFonts w:ascii="Times New Roman" w:hAnsi="Times New Roman" w:cs="Times New Roman"/>
                <w:sz w:val="20"/>
                <w:szCs w:val="20"/>
                <w:lang w:val="pl-PL" w:bidi="pl-PL"/>
              </w:rPr>
              <w:t>Czas leczenia w programie określa lekarz na podstawie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 w:bidi="pl-PL"/>
              </w:rPr>
              <w:t xml:space="preserve"> </w:t>
            </w:r>
            <w:r w:rsidRPr="008B41C6">
              <w:rPr>
                <w:rFonts w:ascii="Times New Roman" w:hAnsi="Times New Roman" w:cs="Times New Roman"/>
                <w:sz w:val="20"/>
                <w:szCs w:val="20"/>
                <w:lang w:val="pl-PL" w:bidi="pl-PL"/>
              </w:rPr>
              <w:t>kryteriów włączenia i kryteriów wyłączenia z programu.</w:t>
            </w:r>
            <w:r>
              <w:rPr>
                <w:rFonts w:ascii="Times New Roman" w:hAnsi="Times New Roman" w:cs="Times New Roman"/>
                <w:sz w:val="20"/>
                <w:szCs w:val="20"/>
                <w:lang w:val="pl-PL" w:bidi="pl-PL"/>
              </w:rPr>
              <w:t xml:space="preserve"> </w:t>
            </w:r>
            <w:r w:rsidRPr="008B41C6">
              <w:rPr>
                <w:rFonts w:ascii="Times New Roman" w:hAnsi="Times New Roman" w:cs="Times New Roman"/>
                <w:sz w:val="20"/>
                <w:szCs w:val="20"/>
                <w:lang w:val="pl-PL" w:bidi="pl-PL"/>
              </w:rPr>
              <w:t>Nie ma zaleceń dotyczących maksymalnego okresu</w:t>
            </w:r>
            <w:r>
              <w:rPr>
                <w:rFonts w:ascii="Times New Roman" w:hAnsi="Times New Roman" w:cs="Times New Roman"/>
                <w:sz w:val="20"/>
                <w:szCs w:val="20"/>
                <w:lang w:val="pl-PL" w:bidi="pl-PL"/>
              </w:rPr>
              <w:t xml:space="preserve"> </w:t>
            </w:r>
            <w:r w:rsidRPr="008B41C6">
              <w:rPr>
                <w:rFonts w:ascii="Times New Roman" w:hAnsi="Times New Roman" w:cs="Times New Roman"/>
                <w:sz w:val="20"/>
                <w:szCs w:val="20"/>
                <w:lang w:val="pl-PL" w:bidi="pl-PL"/>
              </w:rPr>
              <w:t>leczenia, jednak ze względu na przewlekły charakter</w:t>
            </w:r>
            <w:r>
              <w:rPr>
                <w:rFonts w:ascii="Times New Roman" w:hAnsi="Times New Roman" w:cs="Times New Roman"/>
                <w:sz w:val="20"/>
                <w:szCs w:val="20"/>
                <w:lang w:val="pl-PL" w:bidi="pl-PL"/>
              </w:rPr>
              <w:t xml:space="preserve"> </w:t>
            </w:r>
            <w:r w:rsidRPr="008B41C6">
              <w:rPr>
                <w:rFonts w:ascii="Times New Roman" w:hAnsi="Times New Roman" w:cs="Times New Roman"/>
                <w:sz w:val="20"/>
                <w:szCs w:val="20"/>
                <w:lang w:val="pl-PL" w:bidi="pl-PL"/>
              </w:rPr>
              <w:t>choroby, leczenie może trwać kilka lat.</w:t>
            </w:r>
            <w:r>
              <w:rPr>
                <w:rFonts w:ascii="Times New Roman" w:hAnsi="Times New Roman" w:cs="Times New Roman"/>
                <w:sz w:val="20"/>
                <w:szCs w:val="20"/>
                <w:lang w:val="pl-PL" w:bidi="pl-PL"/>
              </w:rPr>
              <w:t xml:space="preserve"> </w:t>
            </w:r>
          </w:p>
          <w:p w:rsidR="00160112" w:rsidRPr="008B41C6" w:rsidRDefault="00160112" w:rsidP="00D256AD">
            <w:pPr>
              <w:pStyle w:val="Teksttreci20"/>
              <w:numPr>
                <w:ilvl w:val="1"/>
                <w:numId w:val="30"/>
              </w:numPr>
              <w:shd w:val="clear" w:color="auto" w:fill="auto"/>
              <w:spacing w:before="120" w:after="120" w:line="17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Kryteria wyłączenia</w:t>
            </w:r>
          </w:p>
          <w:p w:rsidR="00160112" w:rsidRPr="008B41C6" w:rsidRDefault="00160112" w:rsidP="00E76E4E">
            <w:pPr>
              <w:numPr>
                <w:ilvl w:val="0"/>
                <w:numId w:val="17"/>
              </w:numPr>
              <w:spacing w:after="0"/>
              <w:ind w:left="567" w:right="138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brak zgody chorego;</w:t>
            </w:r>
          </w:p>
          <w:p w:rsidR="00160112" w:rsidRPr="008B41C6" w:rsidRDefault="00160112" w:rsidP="00E76E4E">
            <w:pPr>
              <w:numPr>
                <w:ilvl w:val="0"/>
                <w:numId w:val="17"/>
              </w:numPr>
              <w:spacing w:after="0"/>
              <w:ind w:left="567" w:right="138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ciężka depresja;</w:t>
            </w:r>
          </w:p>
          <w:p w:rsidR="00160112" w:rsidRPr="00CD3A00" w:rsidRDefault="00160112" w:rsidP="00E76E4E">
            <w:pPr>
              <w:numPr>
                <w:ilvl w:val="0"/>
                <w:numId w:val="17"/>
              </w:numPr>
              <w:spacing w:after="0"/>
              <w:ind w:left="567" w:right="138" w:hanging="36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brak współpracy pacjenta  lub opiekuna;</w:t>
            </w:r>
          </w:p>
          <w:p w:rsidR="00160112" w:rsidRPr="00CD3A00" w:rsidRDefault="00160112" w:rsidP="00E76E4E">
            <w:pPr>
              <w:numPr>
                <w:ilvl w:val="0"/>
                <w:numId w:val="17"/>
              </w:numPr>
              <w:spacing w:after="0"/>
              <w:ind w:left="567" w:right="138" w:hanging="36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niepełna lub niewystarczająca odpowiedź na leczenie,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tj. nie osiągnięcie w ciągu 3 miesięcy leczenia obu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poniższych parametrów:</w:t>
            </w:r>
          </w:p>
          <w:p w:rsidR="00160112" w:rsidRPr="00CD3A00" w:rsidRDefault="00160112" w:rsidP="00E76E4E">
            <w:pPr>
              <w:numPr>
                <w:ilvl w:val="0"/>
                <w:numId w:val="18"/>
              </w:numPr>
              <w:spacing w:after="0"/>
              <w:ind w:left="851" w:right="138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poprawy w stanie </w:t>
            </w:r>
            <w:r w:rsidRPr="00CD3A00">
              <w:rPr>
                <w:rStyle w:val="TeksttreciKursywa"/>
                <w:rFonts w:ascii="Times New Roman" w:eastAsiaTheme="minorHAnsi" w:hAnsi="Times New Roman"/>
                <w:sz w:val="20"/>
                <w:szCs w:val="20"/>
                <w:lang w:val="pl-PL"/>
              </w:rPr>
              <w:t>on</w:t>
            </w: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w stosunku do stanu </w:t>
            </w:r>
            <w:r w:rsidRPr="00CD3A00">
              <w:rPr>
                <w:rStyle w:val="TeksttreciKursywa"/>
                <w:rFonts w:ascii="Times New Roman" w:eastAsiaTheme="minorHAnsi" w:hAnsi="Times New Roman"/>
                <w:sz w:val="20"/>
                <w:szCs w:val="20"/>
                <w:lang w:val="pl-PL"/>
              </w:rPr>
              <w:t xml:space="preserve">off, </w:t>
            </w: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wyrażającej się obniżeniem wyniku III części skali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UPDRS o co najmniej 20% po ustaleniu dawki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optymalnej;</w:t>
            </w:r>
          </w:p>
          <w:p w:rsidR="00160112" w:rsidRPr="00CD3A00" w:rsidRDefault="00160112" w:rsidP="00E76E4E">
            <w:pPr>
              <w:numPr>
                <w:ilvl w:val="0"/>
                <w:numId w:val="18"/>
              </w:numPr>
              <w:spacing w:after="0"/>
              <w:ind w:left="851" w:right="138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965B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skrócenia łącznego okresu stanów </w:t>
            </w:r>
            <w:r w:rsidRPr="00CD3A00">
              <w:rPr>
                <w:rStyle w:val="TeksttreciKursywa"/>
                <w:rFonts w:ascii="Times New Roman" w:eastAsiaTheme="minorHAnsi" w:hAnsi="Times New Roman"/>
                <w:sz w:val="20"/>
                <w:szCs w:val="20"/>
                <w:lang w:val="pl-PL"/>
              </w:rPr>
              <w:t>off</w:t>
            </w:r>
            <w:r w:rsidRPr="00D965B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o co najmniej 50%;</w:t>
            </w:r>
          </w:p>
          <w:p w:rsidR="00160112" w:rsidRPr="00CD3A00" w:rsidRDefault="00160112" w:rsidP="00E76E4E">
            <w:pPr>
              <w:numPr>
                <w:ilvl w:val="0"/>
                <w:numId w:val="17"/>
              </w:numPr>
              <w:spacing w:after="0"/>
              <w:ind w:left="567" w:right="138" w:hanging="36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pogorszenie w trakcie kontynuacji leczenia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osiągniętego poziomu sprawności określonej w definicji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odpowiedzi na leczenie;</w:t>
            </w:r>
          </w:p>
          <w:p w:rsidR="00160112" w:rsidRPr="00CD3A00" w:rsidRDefault="00160112" w:rsidP="00E76E4E">
            <w:pPr>
              <w:numPr>
                <w:ilvl w:val="0"/>
                <w:numId w:val="17"/>
              </w:numPr>
              <w:spacing w:after="0"/>
              <w:ind w:left="567" w:right="138" w:hanging="36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wystąpienie nadwrażliwości na chlorowodorek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apomorfiny lub substancje pomocnicze;</w:t>
            </w:r>
          </w:p>
          <w:p w:rsidR="00160112" w:rsidRPr="00CD3A00" w:rsidRDefault="00160112" w:rsidP="00E76E4E">
            <w:pPr>
              <w:numPr>
                <w:ilvl w:val="0"/>
                <w:numId w:val="17"/>
              </w:numPr>
              <w:spacing w:after="0"/>
              <w:ind w:left="567" w:right="138" w:hanging="36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chorzy, u których występuje odpowiedź </w:t>
            </w:r>
            <w:r w:rsidRPr="00CD3A00">
              <w:rPr>
                <w:rStyle w:val="TeksttreciKursywa"/>
                <w:rFonts w:ascii="Times New Roman" w:eastAsiaTheme="minorHAnsi" w:hAnsi="Times New Roman"/>
                <w:sz w:val="20"/>
                <w:szCs w:val="20"/>
                <w:lang w:val="pl-PL"/>
              </w:rPr>
              <w:t>on</w:t>
            </w: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na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lewodopę zakłócona ciężkimi dyskinezami lub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dystonią;</w:t>
            </w:r>
          </w:p>
          <w:p w:rsidR="00160112" w:rsidRPr="00CD3A00" w:rsidRDefault="00160112" w:rsidP="00E76E4E">
            <w:pPr>
              <w:numPr>
                <w:ilvl w:val="0"/>
                <w:numId w:val="17"/>
              </w:numPr>
              <w:spacing w:after="0"/>
              <w:ind w:left="567" w:right="138" w:hanging="36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dyskwalifikacja z powodu działań niepożądanych;</w:t>
            </w:r>
          </w:p>
          <w:p w:rsidR="00160112" w:rsidRPr="008B41C6" w:rsidRDefault="00160112" w:rsidP="00E76E4E">
            <w:pPr>
              <w:numPr>
                <w:ilvl w:val="0"/>
                <w:numId w:val="17"/>
              </w:numPr>
              <w:spacing w:after="180"/>
              <w:ind w:left="567" w:right="138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rezygnacja pacjenta.</w:t>
            </w:r>
          </w:p>
          <w:p w:rsidR="00160112" w:rsidRPr="00CD3A00" w:rsidRDefault="00160112" w:rsidP="00E76E4E">
            <w:pPr>
              <w:pStyle w:val="Teksttreci20"/>
              <w:numPr>
                <w:ilvl w:val="1"/>
                <w:numId w:val="30"/>
              </w:numPr>
              <w:shd w:val="clear" w:color="auto" w:fill="auto"/>
              <w:spacing w:before="120" w:after="120"/>
              <w:ind w:left="567" w:right="13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Przeciwwskazania do włączenia do programu:</w:t>
            </w:r>
          </w:p>
          <w:p w:rsidR="00160112" w:rsidRPr="00CD3A00" w:rsidRDefault="00160112" w:rsidP="00E76E4E">
            <w:pPr>
              <w:numPr>
                <w:ilvl w:val="0"/>
                <w:numId w:val="19"/>
              </w:numPr>
              <w:spacing w:after="0"/>
              <w:ind w:left="567" w:right="138" w:hanging="35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nadwrażliwość na pochodne morfiny lub substancje</w:t>
            </w:r>
            <w:r w:rsidR="00FB2B07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pomocnicze produktu;</w:t>
            </w:r>
          </w:p>
          <w:p w:rsidR="00160112" w:rsidRPr="00CD3A00" w:rsidRDefault="00160112" w:rsidP="00E76E4E">
            <w:pPr>
              <w:numPr>
                <w:ilvl w:val="0"/>
                <w:numId w:val="19"/>
              </w:numPr>
              <w:spacing w:after="0"/>
              <w:ind w:left="567" w:right="138" w:hanging="35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jednoczesne leczenie za pomocą wlewów dojelitowych lewodopy; </w:t>
            </w:r>
          </w:p>
          <w:p w:rsidR="00160112" w:rsidRPr="008B41C6" w:rsidRDefault="00160112" w:rsidP="00E76E4E">
            <w:pPr>
              <w:numPr>
                <w:ilvl w:val="0"/>
                <w:numId w:val="19"/>
              </w:numPr>
              <w:spacing w:after="0"/>
              <w:ind w:left="567" w:right="138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atypowy parkinsonizm;</w:t>
            </w:r>
          </w:p>
          <w:p w:rsidR="00160112" w:rsidRPr="008B41C6" w:rsidRDefault="00160112" w:rsidP="00E76E4E">
            <w:pPr>
              <w:numPr>
                <w:ilvl w:val="0"/>
                <w:numId w:val="19"/>
              </w:numPr>
              <w:spacing w:after="0"/>
              <w:ind w:left="567" w:right="138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lastRenderedPageBreak/>
              <w:t>nasilone otępienie</w:t>
            </w: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;</w:t>
            </w:r>
          </w:p>
          <w:p w:rsidR="00160112" w:rsidRPr="008B41C6" w:rsidRDefault="00160112" w:rsidP="00E76E4E">
            <w:pPr>
              <w:numPr>
                <w:ilvl w:val="0"/>
                <w:numId w:val="19"/>
              </w:numPr>
              <w:spacing w:after="0"/>
              <w:ind w:left="567" w:right="138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depresja oddechowa;</w:t>
            </w:r>
          </w:p>
          <w:p w:rsidR="00160112" w:rsidRDefault="00160112" w:rsidP="00E76E4E">
            <w:pPr>
              <w:numPr>
                <w:ilvl w:val="0"/>
                <w:numId w:val="19"/>
              </w:numPr>
              <w:spacing w:after="0"/>
              <w:ind w:left="567" w:right="138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klinicznie istotne zaburzenia psychotyczne;</w:t>
            </w:r>
          </w:p>
          <w:p w:rsidR="00160112" w:rsidRPr="00D965B2" w:rsidRDefault="00160112" w:rsidP="00E76E4E">
            <w:pPr>
              <w:numPr>
                <w:ilvl w:val="0"/>
                <w:numId w:val="19"/>
              </w:numPr>
              <w:spacing w:after="0"/>
              <w:ind w:left="567" w:right="138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D965B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klinicznie istotna hipotonia ortostatyczna;</w:t>
            </w:r>
          </w:p>
          <w:p w:rsidR="00160112" w:rsidRPr="008B41C6" w:rsidRDefault="00160112" w:rsidP="00E76E4E">
            <w:pPr>
              <w:numPr>
                <w:ilvl w:val="0"/>
                <w:numId w:val="19"/>
              </w:numPr>
              <w:spacing w:after="0"/>
              <w:ind w:left="567" w:right="138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niestabilne, klinicznie istotne choroby:</w:t>
            </w:r>
          </w:p>
          <w:p w:rsidR="00160112" w:rsidRPr="008B41C6" w:rsidRDefault="00160112" w:rsidP="00E76E4E">
            <w:pPr>
              <w:numPr>
                <w:ilvl w:val="0"/>
                <w:numId w:val="20"/>
              </w:numPr>
              <w:spacing w:after="0"/>
              <w:ind w:left="426" w:righ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sercowo-naczyniowe;</w:t>
            </w:r>
          </w:p>
          <w:p w:rsidR="00160112" w:rsidRPr="008B41C6" w:rsidRDefault="00160112" w:rsidP="00E76E4E">
            <w:pPr>
              <w:numPr>
                <w:ilvl w:val="0"/>
                <w:numId w:val="20"/>
              </w:numPr>
              <w:spacing w:after="0"/>
              <w:ind w:left="426" w:righ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wątroby;</w:t>
            </w:r>
          </w:p>
          <w:p w:rsidR="00160112" w:rsidRPr="008B41C6" w:rsidRDefault="00160112" w:rsidP="00E76E4E">
            <w:pPr>
              <w:numPr>
                <w:ilvl w:val="0"/>
                <w:numId w:val="20"/>
              </w:numPr>
              <w:spacing w:after="0"/>
              <w:ind w:left="426" w:righ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nerek;</w:t>
            </w:r>
          </w:p>
          <w:p w:rsidR="00160112" w:rsidRPr="008B41C6" w:rsidRDefault="00160112" w:rsidP="00E76E4E">
            <w:pPr>
              <w:numPr>
                <w:ilvl w:val="0"/>
                <w:numId w:val="20"/>
              </w:numPr>
              <w:spacing w:after="0"/>
              <w:ind w:left="426" w:righ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8B41C6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hematologiczne;</w:t>
            </w:r>
          </w:p>
          <w:p w:rsidR="00160112" w:rsidRPr="00160112" w:rsidRDefault="00160112" w:rsidP="00E76E4E">
            <w:pPr>
              <w:pStyle w:val="Akapitzlist"/>
              <w:numPr>
                <w:ilvl w:val="0"/>
                <w:numId w:val="19"/>
              </w:numPr>
              <w:spacing w:after="120"/>
              <w:ind w:left="567" w:right="138" w:hanging="357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</w:pPr>
            <w:r w:rsidRPr="0016011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ciąża i karmienie piersią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3A5" w:rsidRPr="00FB2B07" w:rsidRDefault="00F41BD5" w:rsidP="00D256AD">
            <w:pPr>
              <w:pStyle w:val="Akapitzlist"/>
              <w:numPr>
                <w:ilvl w:val="0"/>
                <w:numId w:val="2"/>
              </w:numPr>
              <w:spacing w:before="120" w:after="120"/>
              <w:ind w:left="341" w:right="141" w:hanging="284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41BD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Leczenie</w:t>
            </w:r>
            <w:r w:rsidR="00B35705" w:rsidRPr="00F41BD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41BD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lewodopa podawaną</w:t>
            </w:r>
            <w:r w:rsidR="0016011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z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karb</w:t>
            </w:r>
            <w:r w:rsidR="00B35705" w:rsidRPr="00F41BD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idopą</w:t>
            </w:r>
          </w:p>
          <w:p w:rsidR="00D256AD" w:rsidRDefault="00B35705" w:rsidP="00D256AD">
            <w:pPr>
              <w:pStyle w:val="Akapitzlist"/>
              <w:numPr>
                <w:ilvl w:val="1"/>
                <w:numId w:val="14"/>
              </w:numPr>
              <w:spacing w:before="120" w:after="120"/>
              <w:ind w:right="142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Sposób podania: </w:t>
            </w:r>
          </w:p>
          <w:p w:rsidR="004753A5" w:rsidRPr="00FB2B07" w:rsidRDefault="00B35705" w:rsidP="00D256AD">
            <w:pPr>
              <w:pStyle w:val="Akapitzlist"/>
              <w:spacing w:after="0"/>
              <w:ind w:left="145" w:right="142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za pomocą specjalnej pompy, w postaci ciągłego wlewu dojelitowego, przez przezskórną gastrostomię (PEG)</w:t>
            </w:r>
          </w:p>
          <w:p w:rsidR="0087106A" w:rsidRDefault="00AC30BF" w:rsidP="00D256AD">
            <w:pPr>
              <w:pStyle w:val="Akapitzlist"/>
              <w:numPr>
                <w:ilvl w:val="1"/>
                <w:numId w:val="14"/>
              </w:numPr>
              <w:spacing w:before="120" w:after="120"/>
              <w:ind w:right="142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Dawkowanie</w:t>
            </w:r>
            <w:r w:rsidR="00B3570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:</w:t>
            </w:r>
          </w:p>
          <w:p w:rsidR="00260B05" w:rsidRPr="00260B05" w:rsidRDefault="00260B05" w:rsidP="00D256AD">
            <w:pPr>
              <w:spacing w:after="0"/>
              <w:ind w:left="196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88240E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 ramac</w:t>
            </w:r>
            <w:r w:rsidR="0016011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h programu dawkowanie zgodnie z </w:t>
            </w:r>
            <w:r w:rsidRPr="0088240E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Charakterystyką Produktu Leczniczego.</w:t>
            </w:r>
          </w:p>
          <w:p w:rsidR="00260B05" w:rsidRPr="00260B05" w:rsidRDefault="00260B05" w:rsidP="00D256AD">
            <w:pPr>
              <w:spacing w:after="0"/>
              <w:ind w:left="196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60B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 okresie</w:t>
            </w:r>
            <w:r w:rsidR="0016011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dostosowania dawki, lewodopa z </w:t>
            </w:r>
            <w:r w:rsidRPr="00260B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karbidopą są podawane w postaci ciągłego wlewu dojelitowego przez sondę nosowo-</w:t>
            </w:r>
            <w:r w:rsidRPr="0088240E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dwunastniczą lub nosowo-dojelitową, w</w:t>
            </w:r>
            <w:r w:rsidR="0016011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 </w:t>
            </w:r>
            <w:r w:rsidRPr="00260B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zmiennej dawce, zależnej od potrzeby klinicznej. W tym czasie określa się reaktywność choroby na tę formę terapii i ustala właściwą dawkę.</w:t>
            </w:r>
          </w:p>
          <w:p w:rsidR="00260B05" w:rsidRPr="00260B05" w:rsidRDefault="00260B05" w:rsidP="00D256AD">
            <w:pPr>
              <w:spacing w:after="0"/>
              <w:ind w:left="196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60B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 ostatecznym zakwalifikowaniu chorego do objęcia programem terap</w:t>
            </w:r>
            <w:r w:rsidR="00D256A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eutycznym podaje się lewodopę z </w:t>
            </w:r>
            <w:r w:rsidRPr="00260B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karbidopą w postaci ciągłego wlewu dojelitowego za pomocą zewnętrznej pompy, przez gastrostomię</w:t>
            </w:r>
            <w:r w:rsidR="0002543B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(PEG)</w:t>
            </w:r>
            <w:r w:rsidR="00D256A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, w </w:t>
            </w:r>
            <w:r w:rsidRPr="00260B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daw</w:t>
            </w:r>
            <w:r w:rsidR="00D256A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ce ustalonej podczas leczenia w </w:t>
            </w:r>
            <w:r w:rsidRPr="00260B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okresie wstępnym. </w:t>
            </w:r>
          </w:p>
          <w:p w:rsidR="00160112" w:rsidRDefault="00260B05" w:rsidP="00D256AD">
            <w:pPr>
              <w:spacing w:after="0"/>
              <w:ind w:left="196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60B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Dawka dobo</w:t>
            </w:r>
            <w:r w:rsidR="00160112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wa leku zawarta jest z reguły w </w:t>
            </w:r>
            <w:r w:rsidRPr="00260B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jednej kasetce o pojemności 100 ml. W rzadkich przypadkach konieczne może być podanie większej dawki leku.</w:t>
            </w:r>
          </w:p>
          <w:p w:rsidR="00160112" w:rsidRPr="00160112" w:rsidRDefault="00160112" w:rsidP="00D256AD">
            <w:pPr>
              <w:pStyle w:val="Akapitzlist"/>
              <w:numPr>
                <w:ilvl w:val="0"/>
                <w:numId w:val="2"/>
              </w:numPr>
              <w:spacing w:before="240" w:after="0"/>
              <w:ind w:right="142" w:hanging="294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16011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>Leczenie apomorfiną</w:t>
            </w:r>
          </w:p>
          <w:p w:rsidR="00160112" w:rsidRPr="00CD3A00" w:rsidRDefault="00160112" w:rsidP="00D256AD">
            <w:pPr>
              <w:spacing w:before="120" w:after="0"/>
              <w:ind w:left="80" w:right="142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Ciągła infuzja podskórna apomorfiny (fiolki</w:t>
            </w:r>
            <w:r w:rsidR="00FB2B07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100 mg/20 ml):</w:t>
            </w:r>
          </w:p>
          <w:p w:rsidR="00160112" w:rsidRPr="00CD3A00" w:rsidRDefault="00160112" w:rsidP="00D256AD">
            <w:pPr>
              <w:numPr>
                <w:ilvl w:val="0"/>
                <w:numId w:val="22"/>
              </w:numPr>
              <w:tabs>
                <w:tab w:val="left" w:pos="712"/>
              </w:tabs>
              <w:spacing w:after="0"/>
              <w:ind w:left="570" w:right="142" w:hanging="36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Dawka początkowa 1 mg/godz.(0,2 ml/godz.).</w:t>
            </w:r>
            <w:r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Dawkę początkową zwiększa się w zależności</w:t>
            </w:r>
            <w:r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od indywidualnej odpowiedzi pacjenta na</w:t>
            </w:r>
            <w:r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leczenie;</w:t>
            </w:r>
          </w:p>
          <w:p w:rsidR="00160112" w:rsidRPr="00CD3A00" w:rsidRDefault="00160112" w:rsidP="00D256AD">
            <w:pPr>
              <w:numPr>
                <w:ilvl w:val="0"/>
                <w:numId w:val="22"/>
              </w:numPr>
              <w:tabs>
                <w:tab w:val="left" w:pos="712"/>
              </w:tabs>
              <w:spacing w:after="0"/>
              <w:ind w:left="570" w:right="142" w:hanging="36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Zwiększenie szybkości infuzji nie przekracza</w:t>
            </w:r>
            <w:r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0,5 mg/godz. i następuje w odstępach nie</w:t>
            </w:r>
            <w:r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mniejszych niż 4</w:t>
            </w:r>
            <w:r w:rsidR="00E76E4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 </w:t>
            </w: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godz.;</w:t>
            </w:r>
          </w:p>
          <w:p w:rsidR="00160112" w:rsidRPr="00D965B2" w:rsidRDefault="00160112" w:rsidP="00D256AD">
            <w:pPr>
              <w:numPr>
                <w:ilvl w:val="0"/>
                <w:numId w:val="22"/>
              </w:numPr>
              <w:tabs>
                <w:tab w:val="left" w:pos="497"/>
                <w:tab w:val="left" w:pos="712"/>
              </w:tabs>
              <w:spacing w:after="0"/>
              <w:ind w:left="570" w:right="142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5B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W programie zwykle stosuje się dawkę od 1 mg/godz. do 4 mg/godz. </w:t>
            </w:r>
            <w:r w:rsidRPr="00D965B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(od 0,2 ml/godz. </w:t>
            </w:r>
            <w:r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d</w:t>
            </w:r>
            <w:r w:rsidRPr="00D965B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5B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0,8 ml/godz.);</w:t>
            </w:r>
          </w:p>
          <w:p w:rsidR="00160112" w:rsidRPr="00CD3A00" w:rsidRDefault="00160112" w:rsidP="00D256AD">
            <w:pPr>
              <w:numPr>
                <w:ilvl w:val="0"/>
                <w:numId w:val="22"/>
              </w:numPr>
              <w:tabs>
                <w:tab w:val="left" w:pos="712"/>
              </w:tabs>
              <w:spacing w:after="0"/>
              <w:ind w:left="570" w:right="142" w:hanging="36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Wlew stosuje się w stanie czuwania pacjenta,</w:t>
            </w:r>
            <w:r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nie zaleca się stosowania infuzji 24-godz.;</w:t>
            </w:r>
          </w:p>
          <w:p w:rsidR="00160112" w:rsidRPr="00CD3A00" w:rsidRDefault="00160112" w:rsidP="00D256AD">
            <w:pPr>
              <w:numPr>
                <w:ilvl w:val="0"/>
                <w:numId w:val="22"/>
              </w:numPr>
              <w:tabs>
                <w:tab w:val="left" w:pos="712"/>
              </w:tabs>
              <w:spacing w:after="0"/>
              <w:ind w:left="570" w:right="142" w:hanging="36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Miejsce wkłucia infuzji zmienia się co 12 godz.</w:t>
            </w:r>
            <w:r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 celu zmniejszenia prawdopodobieństwa</w:t>
            </w:r>
            <w:r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wystąpienia reakcji skórnych;</w:t>
            </w:r>
          </w:p>
          <w:p w:rsidR="00160112" w:rsidRPr="00CD3A00" w:rsidRDefault="00160112" w:rsidP="00D256AD">
            <w:pPr>
              <w:numPr>
                <w:ilvl w:val="0"/>
                <w:numId w:val="22"/>
              </w:numPr>
              <w:tabs>
                <w:tab w:val="left" w:pos="712"/>
              </w:tabs>
              <w:spacing w:after="0"/>
              <w:ind w:left="570" w:right="142" w:hanging="36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Maksymalna dobowa dawka apomorfiny nie</w:t>
            </w:r>
            <w:r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powinna przekraczać 100 mg.</w:t>
            </w:r>
          </w:p>
          <w:p w:rsidR="00160112" w:rsidRPr="00CD3A00" w:rsidRDefault="00160112" w:rsidP="00E76E4E">
            <w:pPr>
              <w:spacing w:after="120"/>
              <w:ind w:left="145" w:right="142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 czasie prowadzenia leczenia apomorfiną</w:t>
            </w:r>
            <w:r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modyfikuje się, stosownie do potrzeb, dawki leków</w:t>
            </w:r>
            <w:r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doustnych.</w:t>
            </w:r>
          </w:p>
          <w:p w:rsidR="00160112" w:rsidRPr="008B41C6" w:rsidRDefault="00160112" w:rsidP="00E76E4E">
            <w:pPr>
              <w:ind w:left="145" w:right="142"/>
              <w:jc w:val="both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Niezbędne jest ustalone podawanie pacjentowi</w:t>
            </w:r>
            <w:r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domperidonu</w:t>
            </w:r>
            <w:r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w dawce zazwyczaj 20 mg trzy razy na dobę.</w:t>
            </w:r>
            <w:r w:rsidRPr="008B41C6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Terapię domperidonem należy rozpocząć dzień przed rozpoczęciem terapii apomorfiną oraz kontynuować tak, aby łączny okres przyjmowania domperidonu trwał od 3 do maksymalnie 7 dni.</w:t>
            </w:r>
          </w:p>
          <w:p w:rsidR="00160112" w:rsidRPr="00160112" w:rsidRDefault="00160112" w:rsidP="00160112">
            <w:pPr>
              <w:spacing w:after="0"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BD5" w:rsidRDefault="00F41BD5" w:rsidP="00E76E4E">
            <w:pPr>
              <w:pStyle w:val="Akapitzlist"/>
              <w:numPr>
                <w:ilvl w:val="0"/>
                <w:numId w:val="3"/>
              </w:numPr>
              <w:spacing w:before="120" w:after="120"/>
              <w:ind w:left="471" w:right="142" w:hanging="33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L</w:t>
            </w:r>
            <w:r w:rsidR="00FB2B0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eczenie 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ewodopą podawaną z karbidopą</w:t>
            </w:r>
          </w:p>
          <w:p w:rsidR="00E15E77" w:rsidRPr="00F41BD5" w:rsidRDefault="00A72250" w:rsidP="00E76E4E">
            <w:pPr>
              <w:pStyle w:val="Akapitzlist"/>
              <w:numPr>
                <w:ilvl w:val="1"/>
                <w:numId w:val="15"/>
              </w:numPr>
              <w:spacing w:before="120" w:after="120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41BD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Badania przy kwalifikacji do leczenia:</w:t>
            </w:r>
          </w:p>
          <w:p w:rsidR="00FB0225" w:rsidRPr="00E71CC0" w:rsidRDefault="00260B05" w:rsidP="00E76E4E">
            <w:pPr>
              <w:pStyle w:val="Akapitzlist"/>
              <w:numPr>
                <w:ilvl w:val="1"/>
                <w:numId w:val="3"/>
              </w:numPr>
              <w:spacing w:after="0"/>
              <w:ind w:left="471" w:right="141" w:hanging="33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 w:rsidRPr="00E71CC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Ocena stanu ruchowego (</w:t>
            </w:r>
            <w:r w:rsidR="00160112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czas spędzany w stanie off/on z </w:t>
            </w:r>
            <w:r w:rsidR="0002543B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uciążliwymi dyskinezami</w:t>
            </w:r>
            <w:r w:rsidRPr="00E71CC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)</w:t>
            </w:r>
            <w:r w:rsidR="00E71CC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;</w:t>
            </w:r>
          </w:p>
          <w:p w:rsidR="00FB0225" w:rsidRPr="00E71CC0" w:rsidRDefault="00260B05" w:rsidP="00E76E4E">
            <w:pPr>
              <w:pStyle w:val="Akapitzlist"/>
              <w:numPr>
                <w:ilvl w:val="1"/>
                <w:numId w:val="3"/>
              </w:numPr>
              <w:spacing w:after="0"/>
              <w:ind w:left="471" w:right="141" w:hanging="33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 w:rsidRPr="00E71CC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ocena neuropsychologiczna zaburzeń nastroju (kwestionariusz Becka)</w:t>
            </w:r>
            <w:r w:rsidR="00E71CC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;</w:t>
            </w:r>
          </w:p>
          <w:p w:rsidR="00FB0225" w:rsidRPr="00E71CC0" w:rsidRDefault="00260B05" w:rsidP="00E76E4E">
            <w:pPr>
              <w:pStyle w:val="Akapitzlist"/>
              <w:numPr>
                <w:ilvl w:val="1"/>
                <w:numId w:val="3"/>
              </w:numPr>
              <w:spacing w:after="0"/>
              <w:ind w:left="471" w:right="141" w:hanging="33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 w:rsidRPr="00E71CC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ocena zaburzeń poznawczych</w:t>
            </w:r>
            <w:r w:rsidR="0002543B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(skala Addenbrooke’s Cognitive Examination)</w:t>
            </w:r>
            <w:r w:rsidR="00E71CC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;</w:t>
            </w:r>
          </w:p>
          <w:p w:rsidR="00FB0225" w:rsidRPr="00E71CC0" w:rsidRDefault="00260B05" w:rsidP="00E76E4E">
            <w:pPr>
              <w:pStyle w:val="Akapitzlist"/>
              <w:numPr>
                <w:ilvl w:val="1"/>
                <w:numId w:val="3"/>
              </w:numPr>
              <w:spacing w:after="0"/>
              <w:ind w:left="471" w:right="141" w:hanging="33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 w:rsidRPr="00E71CC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morfologia krwi z rozmazem</w:t>
            </w:r>
            <w:r w:rsidR="00E71CC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;</w:t>
            </w:r>
          </w:p>
          <w:p w:rsidR="00FB0225" w:rsidRPr="00E71CC0" w:rsidRDefault="00260B05" w:rsidP="00E76E4E">
            <w:pPr>
              <w:pStyle w:val="Akapitzlist"/>
              <w:numPr>
                <w:ilvl w:val="1"/>
                <w:numId w:val="3"/>
              </w:numPr>
              <w:spacing w:after="0"/>
              <w:ind w:left="471" w:right="141" w:hanging="33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 w:rsidRPr="00E71CC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próby wątrobowe</w:t>
            </w:r>
            <w:r w:rsidR="00E6227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(AspAT, AlAT)</w:t>
            </w:r>
            <w:r w:rsidR="00E71CC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;</w:t>
            </w:r>
          </w:p>
          <w:p w:rsidR="00FB0225" w:rsidRPr="00E71CC0" w:rsidRDefault="00260B05" w:rsidP="00E76E4E">
            <w:pPr>
              <w:pStyle w:val="Akapitzlist"/>
              <w:numPr>
                <w:ilvl w:val="1"/>
                <w:numId w:val="3"/>
              </w:numPr>
              <w:spacing w:after="0"/>
              <w:ind w:left="471" w:right="141" w:hanging="33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 w:rsidRPr="00E71CC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badanie układu krzepnięcia</w:t>
            </w:r>
            <w:r w:rsidR="00E71CC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;</w:t>
            </w:r>
          </w:p>
          <w:p w:rsidR="00FB0225" w:rsidRPr="00E71CC0" w:rsidRDefault="0002543B" w:rsidP="00E76E4E">
            <w:pPr>
              <w:pStyle w:val="Akapitzlist"/>
              <w:numPr>
                <w:ilvl w:val="1"/>
                <w:numId w:val="3"/>
              </w:numPr>
              <w:spacing w:after="0"/>
              <w:ind w:left="472" w:right="141" w:hanging="33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wynik </w:t>
            </w:r>
            <w:r w:rsidR="00260B05" w:rsidRPr="00E71CC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MRI głowy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z ostatnich 12 miesięcy</w:t>
            </w:r>
            <w:r w:rsidR="00E71CC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;</w:t>
            </w:r>
          </w:p>
          <w:p w:rsidR="004753A5" w:rsidRPr="00E76E4E" w:rsidRDefault="00816EE3" w:rsidP="00E76E4E">
            <w:pPr>
              <w:pStyle w:val="Akapitzlist"/>
              <w:numPr>
                <w:ilvl w:val="1"/>
                <w:numId w:val="3"/>
              </w:numPr>
              <w:ind w:left="472" w:right="141" w:hanging="33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k</w:t>
            </w:r>
            <w:r w:rsidR="00260B05" w:rsidRPr="00E71CC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walifikacja przez chirurga / gastroenterologa do PEG</w:t>
            </w:r>
            <w:r w:rsidR="00AE3F2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.</w:t>
            </w:r>
          </w:p>
          <w:p w:rsidR="00E15E77" w:rsidRDefault="00A72250" w:rsidP="00E76E4E">
            <w:pPr>
              <w:pStyle w:val="Akapitzlist"/>
              <w:numPr>
                <w:ilvl w:val="1"/>
                <w:numId w:val="15"/>
              </w:numPr>
              <w:spacing w:before="120" w:after="120"/>
              <w:ind w:right="141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9B30B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M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o</w:t>
            </w:r>
            <w:r w:rsidRPr="009B30B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nit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o</w:t>
            </w:r>
            <w:r w:rsidRPr="009B30B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row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a</w:t>
            </w:r>
            <w:r w:rsidRPr="009B30B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nie lec</w:t>
            </w:r>
            <w:r w:rsidRPr="00D344B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z</w:t>
            </w:r>
            <w:r w:rsidRPr="009B30B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enia:</w:t>
            </w:r>
          </w:p>
          <w:p w:rsidR="00FB0225" w:rsidRPr="00E71CC0" w:rsidRDefault="00260B05" w:rsidP="00E76E4E">
            <w:pPr>
              <w:pStyle w:val="Akapitzlist"/>
              <w:numPr>
                <w:ilvl w:val="2"/>
                <w:numId w:val="10"/>
              </w:numPr>
              <w:spacing w:after="0"/>
              <w:ind w:left="472" w:right="141" w:hanging="329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 w:rsidRPr="00E71CC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morfologia krwi z rozmazem</w:t>
            </w:r>
            <w:r w:rsidR="00E71CC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,</w:t>
            </w:r>
            <w:r w:rsidRPr="00E71CC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E6227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co</w:t>
            </w:r>
            <w:r w:rsidRPr="00E71CC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DB67B5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6 miesięcy</w:t>
            </w:r>
            <w:r w:rsidR="00E71CC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;</w:t>
            </w:r>
          </w:p>
          <w:p w:rsidR="00FB0225" w:rsidRPr="00E71CC0" w:rsidRDefault="00F81DBC" w:rsidP="00E76E4E">
            <w:pPr>
              <w:pStyle w:val="Akapitzlist"/>
              <w:numPr>
                <w:ilvl w:val="2"/>
                <w:numId w:val="10"/>
              </w:numPr>
              <w:spacing w:after="0"/>
              <w:ind w:left="472" w:right="141" w:hanging="329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AspAT, AlAT</w:t>
            </w:r>
            <w:r w:rsidR="00E71CC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,</w:t>
            </w:r>
            <w:r w:rsidR="00260B05" w:rsidRPr="00E71CC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="00E6227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co </w:t>
            </w:r>
            <w:r w:rsidR="002F1394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6 mies</w:t>
            </w:r>
            <w:r w:rsidR="00DB67B5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ięcy</w:t>
            </w:r>
            <w:r w:rsidR="00E71CC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;</w:t>
            </w:r>
          </w:p>
          <w:p w:rsidR="00FB0225" w:rsidRPr="00E71CC0" w:rsidRDefault="00E6227A" w:rsidP="00E76E4E">
            <w:pPr>
              <w:pStyle w:val="Akapitzlist"/>
              <w:numPr>
                <w:ilvl w:val="2"/>
                <w:numId w:val="10"/>
              </w:numPr>
              <w:spacing w:after="0"/>
              <w:ind w:left="472" w:right="141" w:hanging="329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Ocena stanu ruchowego (czas spędzany w stanie off / on z uciążliwymi dyskinezami)</w:t>
            </w:r>
            <w:r w:rsidR="00F81DBC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co 3 miesiące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w pierwszym roku terapii, a następnie co 6 miesięcy</w:t>
            </w:r>
            <w:r w:rsidR="00F81DBC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;</w:t>
            </w:r>
          </w:p>
          <w:p w:rsidR="00FB0225" w:rsidRPr="00E71CC0" w:rsidRDefault="00260B05" w:rsidP="00E76E4E">
            <w:pPr>
              <w:pStyle w:val="Akapitzlist"/>
              <w:numPr>
                <w:ilvl w:val="2"/>
                <w:numId w:val="10"/>
              </w:numPr>
              <w:spacing w:after="0"/>
              <w:ind w:left="472" w:right="141" w:hanging="329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 w:rsidRPr="00E71CC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badanie neuropsychologiczne, tj:</w:t>
            </w:r>
          </w:p>
          <w:p w:rsidR="00FB0225" w:rsidRPr="00E71CC0" w:rsidRDefault="00260B05" w:rsidP="00E76E4E">
            <w:pPr>
              <w:pStyle w:val="Akapitzlist"/>
              <w:numPr>
                <w:ilvl w:val="2"/>
                <w:numId w:val="8"/>
              </w:numPr>
              <w:spacing w:after="0"/>
              <w:ind w:left="472" w:right="141" w:hanging="329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 w:rsidRPr="00E71CC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ocena nastroju (kwestionariusz Becka), co 6 mies.</w:t>
            </w:r>
            <w:r w:rsidR="00E71CC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;</w:t>
            </w:r>
          </w:p>
          <w:p w:rsidR="00FB0225" w:rsidRPr="00E71CC0" w:rsidRDefault="00260B05" w:rsidP="00E76E4E">
            <w:pPr>
              <w:pStyle w:val="Akapitzlist"/>
              <w:numPr>
                <w:ilvl w:val="2"/>
                <w:numId w:val="8"/>
              </w:numPr>
              <w:spacing w:after="0"/>
              <w:ind w:left="472" w:right="141" w:hanging="329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 w:rsidRPr="00E71CC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ocena zaburzeń poznawczych</w:t>
            </w:r>
            <w:r w:rsidR="00E6227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 xml:space="preserve"> (skala Addenbrooke’s Cognitive Examination)</w:t>
            </w:r>
            <w:r w:rsidRPr="00E71CC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, co 12 mies.</w:t>
            </w:r>
            <w:r w:rsidR="00E71CC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;</w:t>
            </w:r>
          </w:p>
          <w:p w:rsidR="00FB0225" w:rsidRPr="00F41BD5" w:rsidRDefault="00260B05" w:rsidP="00E76E4E">
            <w:pPr>
              <w:pStyle w:val="Akapitzlist"/>
              <w:numPr>
                <w:ilvl w:val="0"/>
                <w:numId w:val="16"/>
              </w:numPr>
              <w:spacing w:after="0"/>
              <w:ind w:left="472" w:right="141" w:hanging="329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 w:rsidRPr="00F41BD5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ocena PEG przez chirurga / gastroenterologa</w:t>
            </w:r>
            <w:r w:rsidR="00F81DBC" w:rsidRPr="00F41BD5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, nie rzadziej niż raz na 3 miesiące</w:t>
            </w:r>
            <w:r w:rsidRPr="00F41BD5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;</w:t>
            </w:r>
          </w:p>
          <w:p w:rsidR="00E71CC0" w:rsidRDefault="00260B05" w:rsidP="00E76E4E">
            <w:pPr>
              <w:pStyle w:val="Akapitzlist"/>
              <w:numPr>
                <w:ilvl w:val="0"/>
                <w:numId w:val="16"/>
              </w:numPr>
              <w:spacing w:after="0"/>
              <w:ind w:left="472" w:right="141" w:hanging="329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korekta dotychczasowego leczenia: odstawienie lub dodanie innych l</w:t>
            </w:r>
            <w:r w:rsidR="00F81DBC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eków lub korekta dawki Duo</w:t>
            </w:r>
            <w:r w:rsidR="00AE3F2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dopy, doraźnie w miarę potrzeby;</w:t>
            </w:r>
          </w:p>
          <w:p w:rsidR="00160112" w:rsidRPr="00E76E4E" w:rsidRDefault="00AE3F20" w:rsidP="00E76E4E">
            <w:pPr>
              <w:pStyle w:val="Akapitzlist"/>
              <w:numPr>
                <w:ilvl w:val="0"/>
                <w:numId w:val="16"/>
              </w:numPr>
              <w:spacing w:after="0"/>
              <w:ind w:left="472" w:right="141" w:hanging="329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pl-PL"/>
              </w:rPr>
              <w:t>radiologiczna ocena położenia cewnika w jelicie we wstępnym okresie leczenia oraz po założeniu PEG.</w:t>
            </w:r>
          </w:p>
          <w:p w:rsidR="00160112" w:rsidRPr="00160112" w:rsidRDefault="00160112" w:rsidP="00E76E4E">
            <w:pPr>
              <w:pStyle w:val="Akapitzlist"/>
              <w:numPr>
                <w:ilvl w:val="0"/>
                <w:numId w:val="8"/>
              </w:numPr>
              <w:spacing w:before="240" w:after="0"/>
              <w:ind w:left="426" w:right="141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16011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>Leczenie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16011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>apomorfiną</w:t>
            </w:r>
          </w:p>
          <w:p w:rsidR="00160112" w:rsidRPr="00160112" w:rsidRDefault="00160112" w:rsidP="00E76E4E">
            <w:pPr>
              <w:pStyle w:val="Akapitzlist"/>
              <w:numPr>
                <w:ilvl w:val="1"/>
                <w:numId w:val="29"/>
              </w:numPr>
              <w:tabs>
                <w:tab w:val="left" w:pos="568"/>
              </w:tabs>
              <w:spacing w:before="120" w:after="120" w:line="230" w:lineRule="exact"/>
              <w:ind w:left="426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112">
              <w:rPr>
                <w:rStyle w:val="TeksttreciPogrubienie"/>
                <w:rFonts w:ascii="Times New Roman" w:eastAsiaTheme="minorHAnsi" w:hAnsi="Times New Roman"/>
                <w:sz w:val="20"/>
                <w:szCs w:val="20"/>
              </w:rPr>
              <w:t>Badania przy kwalifikacji</w:t>
            </w:r>
          </w:p>
          <w:p w:rsidR="00160112" w:rsidRPr="00CD3A00" w:rsidRDefault="00160112" w:rsidP="00E76E4E">
            <w:pPr>
              <w:numPr>
                <w:ilvl w:val="0"/>
                <w:numId w:val="24"/>
              </w:numPr>
              <w:tabs>
                <w:tab w:val="left" w:pos="1135"/>
              </w:tabs>
              <w:spacing w:after="0"/>
              <w:ind w:left="426" w:hanging="283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6011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ocena stanu pacjenta w skali:</w:t>
            </w:r>
          </w:p>
          <w:p w:rsidR="00160112" w:rsidRPr="00CD3A00" w:rsidRDefault="00160112" w:rsidP="00E76E4E">
            <w:pPr>
              <w:numPr>
                <w:ilvl w:val="0"/>
                <w:numId w:val="25"/>
              </w:numPr>
              <w:tabs>
                <w:tab w:val="left" w:pos="1135"/>
              </w:tabs>
              <w:spacing w:after="0"/>
              <w:ind w:left="710" w:hanging="283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6011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UPDRS część </w:t>
            </w:r>
            <w:r w:rsidRPr="00160112">
              <w:rPr>
                <w:rStyle w:val="Teksttreci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III-IV </w:t>
            </w:r>
            <w:r w:rsidRPr="00160112">
              <w:rPr>
                <w:rStyle w:val="TeksttreciPogrubienie"/>
                <w:rFonts w:ascii="Times New Roman" w:eastAsiaTheme="minorHAnsi" w:hAnsi="Times New Roman"/>
                <w:sz w:val="20"/>
                <w:szCs w:val="20"/>
              </w:rPr>
              <w:t xml:space="preserve">- </w:t>
            </w:r>
            <w:r w:rsidR="00E76E4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ocena zaburzeń ruchowych i </w:t>
            </w:r>
            <w:r w:rsidRPr="0016011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zaburzeń okresu późnego;</w:t>
            </w:r>
          </w:p>
          <w:p w:rsidR="00160112" w:rsidRPr="00160112" w:rsidRDefault="00160112" w:rsidP="00E76E4E">
            <w:pPr>
              <w:numPr>
                <w:ilvl w:val="0"/>
                <w:numId w:val="25"/>
              </w:numPr>
              <w:tabs>
                <w:tab w:val="left" w:pos="532"/>
                <w:tab w:val="left" w:pos="1135"/>
              </w:tabs>
              <w:spacing w:after="0"/>
              <w:ind w:left="71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6011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Becka </w:t>
            </w:r>
            <w:r w:rsidRPr="00160112">
              <w:rPr>
                <w:rStyle w:val="TeksttreciPogrubienie"/>
                <w:rFonts w:ascii="Times New Roman" w:eastAsiaTheme="minorHAnsi" w:hAnsi="Times New Roman"/>
                <w:sz w:val="20"/>
                <w:szCs w:val="20"/>
              </w:rPr>
              <w:t xml:space="preserve">- </w:t>
            </w:r>
            <w:r w:rsidRPr="0016011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ocena nastroju;</w:t>
            </w:r>
          </w:p>
          <w:p w:rsidR="00160112" w:rsidRPr="00160112" w:rsidRDefault="00160112" w:rsidP="00E76E4E">
            <w:pPr>
              <w:numPr>
                <w:ilvl w:val="0"/>
                <w:numId w:val="24"/>
              </w:numPr>
              <w:tabs>
                <w:tab w:val="left" w:pos="674"/>
                <w:tab w:val="left" w:pos="1135"/>
              </w:tabs>
              <w:spacing w:after="0"/>
              <w:ind w:left="426" w:hanging="283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16011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Ocena funkcji poznawczych (stopień otępienia) w ocenie psychologa</w:t>
            </w:r>
            <w:r w:rsidR="00E76E4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0112" w:rsidRPr="00CD3A00" w:rsidRDefault="00160112" w:rsidP="00E76E4E">
            <w:pPr>
              <w:numPr>
                <w:ilvl w:val="0"/>
                <w:numId w:val="24"/>
              </w:numPr>
              <w:tabs>
                <w:tab w:val="left" w:pos="532"/>
                <w:tab w:val="left" w:pos="1135"/>
              </w:tabs>
              <w:spacing w:after="0"/>
              <w:ind w:left="426" w:hanging="283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6011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 ramach kwalifikacji pacjenta do udziału w programie konieczne jest wykonanie następujących badań:</w:t>
            </w:r>
          </w:p>
          <w:p w:rsidR="00160112" w:rsidRPr="00160112" w:rsidRDefault="00160112" w:rsidP="00E76E4E">
            <w:pPr>
              <w:numPr>
                <w:ilvl w:val="0"/>
                <w:numId w:val="26"/>
              </w:numPr>
              <w:tabs>
                <w:tab w:val="left" w:pos="568"/>
                <w:tab w:val="left" w:pos="816"/>
                <w:tab w:val="left" w:pos="1135"/>
              </w:tabs>
              <w:spacing w:after="0"/>
              <w:ind w:left="71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6011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morfologia krwi z rozmazem;</w:t>
            </w:r>
          </w:p>
          <w:p w:rsidR="00160112" w:rsidRPr="00160112" w:rsidRDefault="00160112" w:rsidP="00E76E4E">
            <w:pPr>
              <w:numPr>
                <w:ilvl w:val="0"/>
                <w:numId w:val="26"/>
              </w:numPr>
              <w:tabs>
                <w:tab w:val="left" w:pos="568"/>
                <w:tab w:val="left" w:pos="674"/>
                <w:tab w:val="left" w:pos="957"/>
                <w:tab w:val="left" w:pos="1135"/>
              </w:tabs>
              <w:spacing w:after="0"/>
              <w:ind w:left="71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6011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aminotransferaza asparaginowa AspAT;</w:t>
            </w:r>
          </w:p>
          <w:p w:rsidR="00160112" w:rsidRPr="00160112" w:rsidRDefault="00160112" w:rsidP="00E76E4E">
            <w:pPr>
              <w:numPr>
                <w:ilvl w:val="0"/>
                <w:numId w:val="26"/>
              </w:numPr>
              <w:tabs>
                <w:tab w:val="left" w:pos="568"/>
                <w:tab w:val="left" w:pos="957"/>
                <w:tab w:val="left" w:pos="1135"/>
              </w:tabs>
              <w:spacing w:after="0"/>
              <w:ind w:left="71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6011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aminotransferaza alaninowa AIAT</w:t>
            </w:r>
            <w:r w:rsidRPr="00160112">
              <w:rPr>
                <w:rStyle w:val="TeksttreciPogrubienie"/>
                <w:rFonts w:ascii="Times New Roman" w:eastAsiaTheme="minorHAnsi" w:hAnsi="Times New Roman"/>
                <w:sz w:val="20"/>
                <w:szCs w:val="20"/>
              </w:rPr>
              <w:t>;</w:t>
            </w:r>
          </w:p>
          <w:p w:rsidR="00160112" w:rsidRPr="00CD3A00" w:rsidRDefault="00160112" w:rsidP="00E76E4E">
            <w:pPr>
              <w:numPr>
                <w:ilvl w:val="0"/>
                <w:numId w:val="26"/>
              </w:numPr>
              <w:tabs>
                <w:tab w:val="left" w:pos="568"/>
                <w:tab w:val="left" w:pos="816"/>
                <w:tab w:val="left" w:pos="1135"/>
              </w:tabs>
              <w:spacing w:after="0"/>
              <w:ind w:left="710" w:hanging="283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6011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poziom kreatyniny i mocznika w surowicy;</w:t>
            </w:r>
          </w:p>
          <w:p w:rsidR="00160112" w:rsidRPr="00CD3A00" w:rsidRDefault="00160112" w:rsidP="00E76E4E">
            <w:pPr>
              <w:numPr>
                <w:ilvl w:val="0"/>
                <w:numId w:val="26"/>
              </w:numPr>
              <w:tabs>
                <w:tab w:val="left" w:pos="435"/>
                <w:tab w:val="left" w:pos="568"/>
                <w:tab w:val="left" w:pos="957"/>
                <w:tab w:val="left" w:pos="1135"/>
              </w:tabs>
              <w:spacing w:after="0"/>
              <w:ind w:left="710" w:hanging="283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6011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lastRenderedPageBreak/>
              <w:t>badanie mające na ce</w:t>
            </w:r>
            <w:r w:rsidR="00E76E4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lu wykluczenie ciąży u kobiet w </w:t>
            </w:r>
            <w:r w:rsidRPr="0016011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wieku rozrodczym;</w:t>
            </w:r>
          </w:p>
          <w:p w:rsidR="00160112" w:rsidRPr="00160112" w:rsidRDefault="00160112" w:rsidP="00E76E4E">
            <w:pPr>
              <w:numPr>
                <w:ilvl w:val="0"/>
                <w:numId w:val="26"/>
              </w:numPr>
              <w:tabs>
                <w:tab w:val="left" w:pos="568"/>
                <w:tab w:val="left" w:pos="816"/>
                <w:tab w:val="left" w:pos="1135"/>
              </w:tabs>
              <w:spacing w:after="0"/>
              <w:ind w:left="710" w:hanging="283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16011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badanie EKG;</w:t>
            </w:r>
          </w:p>
          <w:p w:rsidR="00160112" w:rsidRPr="00160112" w:rsidRDefault="00160112" w:rsidP="00E76E4E">
            <w:pPr>
              <w:numPr>
                <w:ilvl w:val="0"/>
                <w:numId w:val="26"/>
              </w:numPr>
              <w:tabs>
                <w:tab w:val="left" w:pos="568"/>
                <w:tab w:val="left" w:pos="816"/>
                <w:tab w:val="left" w:pos="1135"/>
              </w:tabs>
              <w:spacing w:after="180"/>
              <w:ind w:left="71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6011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badanie CRP.</w:t>
            </w:r>
          </w:p>
          <w:p w:rsidR="00160112" w:rsidRPr="00FB2B07" w:rsidRDefault="00160112" w:rsidP="00E76E4E">
            <w:pPr>
              <w:pStyle w:val="Akapitzlist"/>
              <w:numPr>
                <w:ilvl w:val="1"/>
                <w:numId w:val="29"/>
              </w:numPr>
              <w:tabs>
                <w:tab w:val="left" w:pos="568"/>
              </w:tabs>
              <w:spacing w:before="180" w:after="120"/>
              <w:ind w:left="426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B07">
              <w:rPr>
                <w:rStyle w:val="TeksttreciPogrubienie"/>
                <w:rFonts w:ascii="Times New Roman" w:eastAsiaTheme="minorHAnsi" w:hAnsi="Times New Roman"/>
                <w:sz w:val="20"/>
                <w:szCs w:val="20"/>
              </w:rPr>
              <w:t>Monitorowanie leczenia apomorfiną:</w:t>
            </w:r>
          </w:p>
          <w:p w:rsidR="00160112" w:rsidRPr="00CD3A00" w:rsidRDefault="00160112" w:rsidP="00E76E4E">
            <w:pPr>
              <w:pStyle w:val="Akapitzlist"/>
              <w:widowControl/>
              <w:numPr>
                <w:ilvl w:val="0"/>
                <w:numId w:val="28"/>
              </w:numPr>
              <w:tabs>
                <w:tab w:val="left" w:pos="713"/>
              </w:tabs>
              <w:spacing w:after="0"/>
              <w:ind w:left="426" w:right="200" w:hanging="283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76E4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monitorowanie leczenia obejmuje ocenę stanu</w:t>
            </w:r>
            <w:r w:rsidR="00E76E4E" w:rsidRPr="00E76E4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6E4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pacjenta w </w:t>
            </w:r>
            <w:r w:rsidRPr="00E76E4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skali ruchowej (Część III) UPDRS </w:t>
            </w:r>
            <w:r w:rsidRPr="00E76E4E">
              <w:rPr>
                <w:rStyle w:val="TeksttreciPogrubienie"/>
                <w:rFonts w:ascii="Times New Roman" w:eastAsiaTheme="minorHAnsi" w:hAnsi="Times New Roman"/>
                <w:sz w:val="20"/>
                <w:szCs w:val="20"/>
              </w:rPr>
              <w:t>(</w:t>
            </w:r>
            <w:r w:rsidRPr="00CD3A00">
              <w:rPr>
                <w:rStyle w:val="TeksttreciKursywa"/>
                <w:rFonts w:ascii="Times New Roman" w:eastAsiaTheme="minorHAnsi" w:hAnsi="Times New Roman"/>
                <w:sz w:val="20"/>
                <w:szCs w:val="20"/>
                <w:lang w:val="pl-PL"/>
              </w:rPr>
              <w:t>United Parkinson's Disease Rating Scale).</w:t>
            </w:r>
            <w:r w:rsidRPr="00E76E4E">
              <w:rPr>
                <w:rStyle w:val="Teksttreci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76E4E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Pierwsza ocena efektywności leczenia apomorfiną następuje po </w:t>
            </w:r>
            <w:r w:rsidRPr="00E76E4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3 miesiącach od włączenia pacjenta do programu. Terapię uznaje się za skuteczną, gdy po 3 miesiącach leczenia osiągnięte są łącznie następujące parametry:</w:t>
            </w:r>
          </w:p>
          <w:p w:rsidR="00160112" w:rsidRPr="00CD3A00" w:rsidRDefault="00160112" w:rsidP="00E76E4E">
            <w:pPr>
              <w:numPr>
                <w:ilvl w:val="0"/>
                <w:numId w:val="23"/>
              </w:numPr>
              <w:tabs>
                <w:tab w:val="left" w:pos="713"/>
              </w:tabs>
              <w:spacing w:after="0"/>
              <w:ind w:left="710" w:right="146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6011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uzyskanie poprawy w stanie </w:t>
            </w:r>
            <w:r w:rsidRPr="00CD3A00">
              <w:rPr>
                <w:rStyle w:val="TeksttreciKursywa"/>
                <w:rFonts w:ascii="Times New Roman" w:eastAsiaTheme="minorHAnsi" w:hAnsi="Times New Roman"/>
                <w:sz w:val="20"/>
                <w:szCs w:val="20"/>
                <w:lang w:val="pl-PL"/>
              </w:rPr>
              <w:t>on</w:t>
            </w:r>
            <w:r w:rsidRPr="0016011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w stosunku do stanu </w:t>
            </w:r>
            <w:r w:rsidRPr="00CD3A00">
              <w:rPr>
                <w:rStyle w:val="TeksttreciKursywa"/>
                <w:rFonts w:ascii="Times New Roman" w:eastAsiaTheme="minorHAnsi" w:hAnsi="Times New Roman"/>
                <w:sz w:val="20"/>
                <w:szCs w:val="20"/>
                <w:lang w:val="pl-PL"/>
              </w:rPr>
              <w:t>off,</w:t>
            </w:r>
            <w:r w:rsidRPr="0016011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wyrażającej się obniżeniem wyniku III części skali UPDRS o co najmniej 20% po ustaleniu dawki optymalnej;</w:t>
            </w:r>
          </w:p>
          <w:p w:rsidR="00160112" w:rsidRPr="00CD3A00" w:rsidRDefault="00160112" w:rsidP="00E76E4E">
            <w:pPr>
              <w:numPr>
                <w:ilvl w:val="0"/>
                <w:numId w:val="23"/>
              </w:numPr>
              <w:tabs>
                <w:tab w:val="left" w:pos="713"/>
              </w:tabs>
              <w:spacing w:after="0"/>
              <w:ind w:left="710" w:right="146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6011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skrócenie łącznego okresu stanów </w:t>
            </w:r>
            <w:r w:rsidRPr="00CD3A00">
              <w:rPr>
                <w:rStyle w:val="TeksttreciKursywa"/>
                <w:rFonts w:ascii="Times New Roman" w:eastAsiaTheme="minorHAnsi" w:hAnsi="Times New Roman"/>
                <w:sz w:val="20"/>
                <w:szCs w:val="20"/>
                <w:lang w:val="pl-PL"/>
              </w:rPr>
              <w:t>off</w:t>
            </w:r>
            <w:r w:rsidRPr="0016011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o co najmniej </w:t>
            </w:r>
            <w:r w:rsidRPr="00160112">
              <w:rPr>
                <w:rStyle w:val="TeksttreciPogrubienie"/>
                <w:rFonts w:ascii="Times New Roman" w:eastAsiaTheme="minorHAnsi" w:hAnsi="Times New Roman"/>
                <w:b w:val="0"/>
                <w:sz w:val="20"/>
                <w:szCs w:val="20"/>
              </w:rPr>
              <w:t>50%.</w:t>
            </w:r>
          </w:p>
          <w:p w:rsidR="00160112" w:rsidRPr="00CD3A00" w:rsidRDefault="00160112" w:rsidP="00E76E4E">
            <w:pPr>
              <w:tabs>
                <w:tab w:val="left" w:pos="713"/>
              </w:tabs>
              <w:spacing w:before="120" w:after="120"/>
              <w:ind w:left="143" w:right="146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6011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W trakcie kontynuacji leczenia, po osiągnięciu parametrów określonych w ust. 2 pkt 1. lit a i b, konieczne jest utrzymanie poziomu parametrów zgodnego z definicją odpowiedzi na leczenie,</w:t>
            </w:r>
          </w:p>
          <w:p w:rsidR="00160112" w:rsidRPr="00CD3A00" w:rsidRDefault="00160112" w:rsidP="00E76E4E">
            <w:pPr>
              <w:pStyle w:val="Akapitzlist"/>
              <w:widowControl/>
              <w:numPr>
                <w:ilvl w:val="0"/>
                <w:numId w:val="28"/>
              </w:numPr>
              <w:tabs>
                <w:tab w:val="left" w:pos="713"/>
              </w:tabs>
              <w:spacing w:after="0"/>
              <w:ind w:left="426" w:right="146" w:hanging="283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6011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monitorowanie obejmuje również wykonanie po 30 dniach od pierwszego podania apomorfiny następujących badań:</w:t>
            </w:r>
          </w:p>
          <w:p w:rsidR="00E76E4E" w:rsidRPr="00E76E4E" w:rsidRDefault="00160112" w:rsidP="00E76E4E">
            <w:pPr>
              <w:pStyle w:val="Akapitzlist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ind w:left="851"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E4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morfologia krwi z rozmazem;</w:t>
            </w:r>
          </w:p>
          <w:p w:rsidR="00E76E4E" w:rsidRPr="00E76E4E" w:rsidRDefault="00160112" w:rsidP="00E76E4E">
            <w:pPr>
              <w:pStyle w:val="Akapitzlist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ind w:left="851"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E4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badanie ogólne moczu;</w:t>
            </w:r>
          </w:p>
          <w:p w:rsidR="00E76E4E" w:rsidRPr="00E76E4E" w:rsidRDefault="00160112" w:rsidP="00E76E4E">
            <w:pPr>
              <w:pStyle w:val="Akapitzlist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ind w:left="851"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E4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odczyn Biernackiego OB;</w:t>
            </w:r>
          </w:p>
          <w:p w:rsidR="00E76E4E" w:rsidRPr="00E76E4E" w:rsidRDefault="00160112" w:rsidP="00E76E4E">
            <w:pPr>
              <w:pStyle w:val="Akapitzlist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ind w:left="851"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E4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aminotransferaza asparaginowa AspAT;</w:t>
            </w:r>
          </w:p>
          <w:p w:rsidR="00E76E4E" w:rsidRPr="00E76E4E" w:rsidRDefault="00160112" w:rsidP="00E76E4E">
            <w:pPr>
              <w:pStyle w:val="Akapitzlist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ind w:left="851"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E4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aminotransferaza alaninowa AIAT;</w:t>
            </w:r>
          </w:p>
          <w:p w:rsidR="00E76E4E" w:rsidRPr="00CD3A00" w:rsidRDefault="00160112" w:rsidP="00E76E4E">
            <w:pPr>
              <w:pStyle w:val="Akapitzlist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ind w:left="851" w:right="146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76E4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poziom kreatyniny i mocznika w surowicy;</w:t>
            </w:r>
          </w:p>
          <w:p w:rsidR="00E76E4E" w:rsidRPr="00E76E4E" w:rsidRDefault="00160112" w:rsidP="00E76E4E">
            <w:pPr>
              <w:pStyle w:val="Akapitzlist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ind w:left="851"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E4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poziom bilirubiny;</w:t>
            </w:r>
          </w:p>
          <w:p w:rsidR="00160112" w:rsidRPr="00E76E4E" w:rsidRDefault="00160112" w:rsidP="00E76E4E">
            <w:pPr>
              <w:pStyle w:val="Akapitzlist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ind w:left="851"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E4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badanie EKG.</w:t>
            </w:r>
          </w:p>
          <w:p w:rsidR="00160112" w:rsidRPr="00CD3A00" w:rsidRDefault="00160112" w:rsidP="00E76E4E">
            <w:pPr>
              <w:pStyle w:val="Akapitzlist"/>
              <w:numPr>
                <w:ilvl w:val="0"/>
                <w:numId w:val="24"/>
              </w:numPr>
              <w:tabs>
                <w:tab w:val="left" w:pos="713"/>
              </w:tabs>
              <w:spacing w:after="0"/>
              <w:ind w:left="426" w:right="146" w:hanging="283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6011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ocena poprawy stanu pacjenta w skali ruchowej (Część III) UPDRS odbywa się nie rzadziej niż co 3 miesiące.</w:t>
            </w:r>
          </w:p>
          <w:p w:rsidR="00160112" w:rsidRPr="00CD3A00" w:rsidRDefault="00160112" w:rsidP="00E76E4E">
            <w:pPr>
              <w:pStyle w:val="Akapitzlist"/>
              <w:numPr>
                <w:ilvl w:val="0"/>
                <w:numId w:val="24"/>
              </w:numPr>
              <w:tabs>
                <w:tab w:val="left" w:pos="713"/>
              </w:tabs>
              <w:spacing w:after="0"/>
              <w:ind w:left="426" w:right="146" w:hanging="283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6011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kontrola stanu pacjenta </w:t>
            </w:r>
            <w:r w:rsidR="00E76E4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co miesiąc w ciągu pierwszych 3 </w:t>
            </w:r>
            <w:r w:rsidRPr="0016011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miesięcy leczenia, a następnie co</w:t>
            </w:r>
            <w:r w:rsidRPr="00CD3A0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6011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3 miesiące;</w:t>
            </w:r>
          </w:p>
          <w:p w:rsidR="00160112" w:rsidRPr="00CD3A00" w:rsidRDefault="00160112" w:rsidP="00E76E4E">
            <w:pPr>
              <w:numPr>
                <w:ilvl w:val="0"/>
                <w:numId w:val="24"/>
              </w:numPr>
              <w:tabs>
                <w:tab w:val="left" w:pos="713"/>
              </w:tabs>
              <w:spacing w:after="0"/>
              <w:ind w:left="426" w:right="146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6011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po ustaleniu sposobu dawkowania powtarza się co 12 miesięcy badania:</w:t>
            </w:r>
          </w:p>
          <w:p w:rsidR="00160112" w:rsidRPr="00160112" w:rsidRDefault="00160112" w:rsidP="00E76E4E">
            <w:pPr>
              <w:pStyle w:val="Akapitzlist"/>
              <w:numPr>
                <w:ilvl w:val="0"/>
                <w:numId w:val="27"/>
              </w:numPr>
              <w:tabs>
                <w:tab w:val="left" w:pos="713"/>
              </w:tabs>
              <w:spacing w:after="0"/>
              <w:ind w:left="710" w:right="146" w:hanging="283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11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morfologia krwi z rozmazem;</w:t>
            </w:r>
          </w:p>
          <w:p w:rsidR="00160112" w:rsidRPr="00160112" w:rsidRDefault="00160112" w:rsidP="00E76E4E">
            <w:pPr>
              <w:numPr>
                <w:ilvl w:val="0"/>
                <w:numId w:val="27"/>
              </w:numPr>
              <w:tabs>
                <w:tab w:val="left" w:pos="713"/>
              </w:tabs>
              <w:spacing w:after="0"/>
              <w:ind w:left="710" w:right="146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11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aminotransferaza asparaginowa AspAT</w:t>
            </w:r>
          </w:p>
          <w:p w:rsidR="00160112" w:rsidRPr="00160112" w:rsidRDefault="00160112" w:rsidP="00E76E4E">
            <w:pPr>
              <w:numPr>
                <w:ilvl w:val="0"/>
                <w:numId w:val="27"/>
              </w:numPr>
              <w:tabs>
                <w:tab w:val="left" w:pos="713"/>
              </w:tabs>
              <w:spacing w:after="0"/>
              <w:ind w:left="710" w:right="146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11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aminotransferaza alaninowa AIAT;</w:t>
            </w:r>
          </w:p>
          <w:p w:rsidR="00160112" w:rsidRPr="00CD3A00" w:rsidRDefault="00160112" w:rsidP="00E76E4E">
            <w:pPr>
              <w:numPr>
                <w:ilvl w:val="0"/>
                <w:numId w:val="27"/>
              </w:numPr>
              <w:tabs>
                <w:tab w:val="left" w:pos="713"/>
              </w:tabs>
              <w:spacing w:after="0"/>
              <w:ind w:left="710" w:right="146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6011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poziom kreatyniny i mocznika w surowicy;</w:t>
            </w:r>
          </w:p>
          <w:p w:rsidR="00160112" w:rsidRPr="00160112" w:rsidRDefault="00160112" w:rsidP="00E76E4E">
            <w:pPr>
              <w:numPr>
                <w:ilvl w:val="0"/>
                <w:numId w:val="27"/>
              </w:numPr>
              <w:tabs>
                <w:tab w:val="left" w:pos="713"/>
              </w:tabs>
              <w:spacing w:after="0"/>
              <w:ind w:left="710" w:right="146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11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 xml:space="preserve"> badanie EKG</w:t>
            </w:r>
          </w:p>
          <w:p w:rsidR="00866E3B" w:rsidRDefault="00160112" w:rsidP="00866E3B">
            <w:pPr>
              <w:numPr>
                <w:ilvl w:val="0"/>
                <w:numId w:val="27"/>
              </w:numPr>
              <w:tabs>
                <w:tab w:val="left" w:pos="713"/>
              </w:tabs>
              <w:spacing w:after="0"/>
              <w:ind w:left="710" w:right="146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11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pl-PL"/>
              </w:rPr>
              <w:t>badanie CRP.</w:t>
            </w:r>
          </w:p>
          <w:p w:rsidR="00866E3B" w:rsidRPr="00866E3B" w:rsidRDefault="00866E3B" w:rsidP="00866E3B">
            <w:pPr>
              <w:pStyle w:val="Akapitzlist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ind w:left="426" w:right="146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Monitorowanie obejmuje również k</w:t>
            </w:r>
            <w:r w:rsidRPr="00866E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onsultacje neuropsychologiczne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celu oceny wpływu terapii na funkcje poznawcze, przeprowadzane po roku terapii, a następnie z częstością 1/rok – decyzję o zasadności ich przeprowadzania podejmuje lekarz prowadzący w oparciu o stan kliniczny chorego.</w:t>
            </w:r>
          </w:p>
          <w:p w:rsidR="00FD49E7" w:rsidRPr="00160112" w:rsidRDefault="006959FD" w:rsidP="00E76E4E">
            <w:pPr>
              <w:pStyle w:val="Akapitzlist"/>
              <w:numPr>
                <w:ilvl w:val="0"/>
                <w:numId w:val="8"/>
              </w:numPr>
              <w:spacing w:before="120" w:after="120"/>
              <w:ind w:right="146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16011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Monitorowanie programu:</w:t>
            </w:r>
          </w:p>
          <w:p w:rsidR="00AC30BF" w:rsidRPr="00E73E18" w:rsidRDefault="00AC30BF" w:rsidP="00E76E4E">
            <w:pPr>
              <w:pStyle w:val="Akapitzlist"/>
              <w:numPr>
                <w:ilvl w:val="0"/>
                <w:numId w:val="6"/>
              </w:numPr>
              <w:spacing w:before="1" w:after="0"/>
              <w:ind w:left="330" w:right="146" w:hanging="283"/>
              <w:contextualSpacing w:val="0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</w:pPr>
            <w:r w:rsidRPr="00E73E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Gromadzenie w dokumentacji medycznej pacjenta danych dotyczących monitorowania leczenia i każdorazowe ich przedstawianie na żądanie kontrolerów Narodowego Funduszu Zdrowia;</w:t>
            </w:r>
          </w:p>
          <w:p w:rsidR="00AC30BF" w:rsidRPr="00E73E18" w:rsidRDefault="00AC30BF" w:rsidP="00E76E4E">
            <w:pPr>
              <w:pStyle w:val="Akapitzlist"/>
              <w:numPr>
                <w:ilvl w:val="0"/>
                <w:numId w:val="6"/>
              </w:numPr>
              <w:spacing w:before="1" w:after="0"/>
              <w:ind w:left="330" w:right="146" w:hanging="283"/>
              <w:contextualSpacing w:val="0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</w:pPr>
            <w:r w:rsidRPr="00E73E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Uzupełnianie danych zawartych w rejestrze (SMPT) </w:t>
            </w:r>
            <w:r w:rsidRPr="00E73E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lastRenderedPageBreak/>
              <w:t>dostępnym za pomocą aplikacji internetowej udostępnionej przez OW NFZ, na zakończenie leczenia;</w:t>
            </w:r>
          </w:p>
          <w:p w:rsidR="00D344B3" w:rsidRPr="00AC30BF" w:rsidRDefault="00AC30BF" w:rsidP="00E76E4E">
            <w:pPr>
              <w:pStyle w:val="Akapitzlist"/>
              <w:numPr>
                <w:ilvl w:val="0"/>
                <w:numId w:val="6"/>
              </w:numPr>
              <w:spacing w:before="1" w:after="0"/>
              <w:ind w:left="330" w:right="146" w:hanging="283"/>
              <w:contextualSpacing w:val="0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73E1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Przekazywanie informacji sprawozdawczo-rozliczeniowych do NFZ: informacje przekazuje się do NFZ w formie papierowej lub w formie elektronicznej, zgodnie z wymaganiami opublikowanymi przez Narodowy Fundusz Zdrowia.</w:t>
            </w:r>
          </w:p>
        </w:tc>
      </w:tr>
    </w:tbl>
    <w:p w:rsidR="00A72250" w:rsidRPr="00D344B3" w:rsidRDefault="00A72250" w:rsidP="004018E2">
      <w:pPr>
        <w:rPr>
          <w:lang w:val="pl-PL"/>
        </w:rPr>
      </w:pPr>
    </w:p>
    <w:sectPr w:rsidR="00A72250" w:rsidRPr="00D344B3" w:rsidSect="00CD3A00">
      <w:pgSz w:w="16840" w:h="11900" w:orient="landscape"/>
      <w:pgMar w:top="1588" w:right="720" w:bottom="1418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6CD" w:rsidRDefault="002046CD" w:rsidP="004753A5">
      <w:pPr>
        <w:spacing w:after="0" w:line="240" w:lineRule="auto"/>
      </w:pPr>
      <w:r>
        <w:separator/>
      </w:r>
    </w:p>
  </w:endnote>
  <w:endnote w:type="continuationSeparator" w:id="0">
    <w:p w:rsidR="002046CD" w:rsidRDefault="002046CD" w:rsidP="0047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6CD" w:rsidRDefault="002046CD" w:rsidP="004753A5">
      <w:pPr>
        <w:spacing w:after="0" w:line="240" w:lineRule="auto"/>
      </w:pPr>
      <w:r>
        <w:separator/>
      </w:r>
    </w:p>
  </w:footnote>
  <w:footnote w:type="continuationSeparator" w:id="0">
    <w:p w:rsidR="002046CD" w:rsidRDefault="002046CD" w:rsidP="00475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7BD8"/>
    <w:multiLevelType w:val="multilevel"/>
    <w:tmpl w:val="5E14B8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8" w:hanging="1440"/>
      </w:pPr>
      <w:rPr>
        <w:rFonts w:hint="default"/>
      </w:rPr>
    </w:lvl>
  </w:abstractNum>
  <w:abstractNum w:abstractNumId="1" w15:restartNumberingAfterBreak="0">
    <w:nsid w:val="041E18B6"/>
    <w:multiLevelType w:val="multilevel"/>
    <w:tmpl w:val="3B7098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8" w:hanging="1440"/>
      </w:pPr>
      <w:rPr>
        <w:rFonts w:hint="default"/>
      </w:rPr>
    </w:lvl>
  </w:abstractNum>
  <w:abstractNum w:abstractNumId="2" w15:restartNumberingAfterBreak="0">
    <w:nsid w:val="04C413A6"/>
    <w:multiLevelType w:val="multilevel"/>
    <w:tmpl w:val="14069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421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8" w:hanging="1440"/>
      </w:pPr>
      <w:rPr>
        <w:rFonts w:hint="default"/>
      </w:rPr>
    </w:lvl>
  </w:abstractNum>
  <w:abstractNum w:abstractNumId="3" w15:restartNumberingAfterBreak="0">
    <w:nsid w:val="065C25D1"/>
    <w:multiLevelType w:val="multilevel"/>
    <w:tmpl w:val="66B0D572"/>
    <w:numStyleLink w:val="HTA-Listapunktowa1"/>
  </w:abstractNum>
  <w:abstractNum w:abstractNumId="4" w15:restartNumberingAfterBreak="0">
    <w:nsid w:val="0D813392"/>
    <w:multiLevelType w:val="multilevel"/>
    <w:tmpl w:val="DCD2E00E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  <w:b/>
        <w:color w:val="000000"/>
        <w:sz w:val="17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  <w:color w:val="000000"/>
        <w:sz w:val="1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  <w:color w:val="000000"/>
        <w:sz w:val="17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  <w:b/>
        <w:color w:val="000000"/>
        <w:sz w:val="1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  <w:color w:val="000000"/>
        <w:sz w:val="17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  <w:b/>
        <w:color w:val="000000"/>
        <w:sz w:val="1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  <w:color w:val="000000"/>
        <w:sz w:val="17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  <w:b/>
        <w:color w:val="000000"/>
        <w:sz w:val="17"/>
      </w:rPr>
    </w:lvl>
  </w:abstractNum>
  <w:abstractNum w:abstractNumId="5" w15:restartNumberingAfterBreak="0">
    <w:nsid w:val="0E8E04A1"/>
    <w:multiLevelType w:val="multilevel"/>
    <w:tmpl w:val="C1D498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8E7D7A"/>
    <w:multiLevelType w:val="multilevel"/>
    <w:tmpl w:val="AB7E6AD6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402857"/>
    <w:multiLevelType w:val="hybridMultilevel"/>
    <w:tmpl w:val="81BED1E6"/>
    <w:lvl w:ilvl="0" w:tplc="751E6D66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F24BB"/>
    <w:multiLevelType w:val="multilevel"/>
    <w:tmpl w:val="9B127E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8" w:hanging="1440"/>
      </w:pPr>
      <w:rPr>
        <w:rFonts w:hint="default"/>
      </w:rPr>
    </w:lvl>
  </w:abstractNum>
  <w:abstractNum w:abstractNumId="9" w15:restartNumberingAfterBreak="0">
    <w:nsid w:val="169A5795"/>
    <w:multiLevelType w:val="hybridMultilevel"/>
    <w:tmpl w:val="834EC5A2"/>
    <w:lvl w:ilvl="0" w:tplc="04150011">
      <w:start w:val="1"/>
      <w:numFmt w:val="decimal"/>
      <w:lvlText w:val="%1)"/>
      <w:lvlJc w:val="lef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0" w15:restartNumberingAfterBreak="0">
    <w:nsid w:val="21DA55AB"/>
    <w:multiLevelType w:val="multilevel"/>
    <w:tmpl w:val="97341D6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FC0EC2"/>
    <w:multiLevelType w:val="multilevel"/>
    <w:tmpl w:val="F30A4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4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8" w:hanging="1440"/>
      </w:pPr>
      <w:rPr>
        <w:rFonts w:hint="default"/>
      </w:rPr>
    </w:lvl>
  </w:abstractNum>
  <w:abstractNum w:abstractNumId="12" w15:restartNumberingAfterBreak="0">
    <w:nsid w:val="2A122272"/>
    <w:multiLevelType w:val="multilevel"/>
    <w:tmpl w:val="2FD0A11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330463"/>
    <w:multiLevelType w:val="multilevel"/>
    <w:tmpl w:val="85BAB51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B5052B"/>
    <w:multiLevelType w:val="multilevel"/>
    <w:tmpl w:val="EEC46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8" w:hanging="1440"/>
      </w:pPr>
      <w:rPr>
        <w:rFonts w:hint="default"/>
      </w:rPr>
    </w:lvl>
  </w:abstractNum>
  <w:abstractNum w:abstractNumId="15" w15:restartNumberingAfterBreak="0">
    <w:nsid w:val="37A336D9"/>
    <w:multiLevelType w:val="hybridMultilevel"/>
    <w:tmpl w:val="A53C9134"/>
    <w:lvl w:ilvl="0" w:tplc="04150017">
      <w:start w:val="1"/>
      <w:numFmt w:val="lowerLetter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6" w15:restartNumberingAfterBreak="0">
    <w:nsid w:val="3BD651DC"/>
    <w:multiLevelType w:val="hybridMultilevel"/>
    <w:tmpl w:val="10ACF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14EB7"/>
    <w:multiLevelType w:val="multilevel"/>
    <w:tmpl w:val="FF82AB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4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0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6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6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28" w:hanging="1440"/>
      </w:pPr>
      <w:rPr>
        <w:rFonts w:hint="default"/>
        <w:b/>
      </w:rPr>
    </w:lvl>
  </w:abstractNum>
  <w:abstractNum w:abstractNumId="18" w15:restartNumberingAfterBreak="0">
    <w:nsid w:val="45964AA2"/>
    <w:multiLevelType w:val="multilevel"/>
    <w:tmpl w:val="DA34A0B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9B528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8A7F07"/>
    <w:multiLevelType w:val="multilevel"/>
    <w:tmpl w:val="673A802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B71D7F"/>
    <w:multiLevelType w:val="multilevel"/>
    <w:tmpl w:val="9864D7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9A435FB"/>
    <w:multiLevelType w:val="hybridMultilevel"/>
    <w:tmpl w:val="728A81BC"/>
    <w:lvl w:ilvl="0" w:tplc="2ECCD7F4">
      <w:start w:val="1"/>
      <w:numFmt w:val="decimal"/>
      <w:pStyle w:val="Tabela-Listanumerowana"/>
      <w:lvlText w:val="%1."/>
      <w:lvlJc w:val="left"/>
      <w:pPr>
        <w:ind w:left="643" w:hanging="360"/>
      </w:pPr>
    </w:lvl>
    <w:lvl w:ilvl="1" w:tplc="2B8ACBB0">
      <w:start w:val="1"/>
      <w:numFmt w:val="lowerLetter"/>
      <w:lvlText w:val="%2."/>
      <w:lvlJc w:val="left"/>
      <w:pPr>
        <w:ind w:left="1363" w:hanging="360"/>
      </w:pPr>
    </w:lvl>
    <w:lvl w:ilvl="2" w:tplc="BD1EC8B4">
      <w:start w:val="1"/>
      <w:numFmt w:val="lowerRoman"/>
      <w:lvlText w:val="%3."/>
      <w:lvlJc w:val="right"/>
      <w:pPr>
        <w:ind w:left="2083" w:hanging="180"/>
      </w:pPr>
    </w:lvl>
    <w:lvl w:ilvl="3" w:tplc="2E04C0CE" w:tentative="1">
      <w:start w:val="1"/>
      <w:numFmt w:val="decimal"/>
      <w:lvlText w:val="%4."/>
      <w:lvlJc w:val="left"/>
      <w:pPr>
        <w:ind w:left="2803" w:hanging="360"/>
      </w:pPr>
    </w:lvl>
    <w:lvl w:ilvl="4" w:tplc="355A402A" w:tentative="1">
      <w:start w:val="1"/>
      <w:numFmt w:val="lowerLetter"/>
      <w:lvlText w:val="%5."/>
      <w:lvlJc w:val="left"/>
      <w:pPr>
        <w:ind w:left="3523" w:hanging="360"/>
      </w:pPr>
    </w:lvl>
    <w:lvl w:ilvl="5" w:tplc="E89C484E" w:tentative="1">
      <w:start w:val="1"/>
      <w:numFmt w:val="lowerRoman"/>
      <w:lvlText w:val="%6."/>
      <w:lvlJc w:val="right"/>
      <w:pPr>
        <w:ind w:left="4243" w:hanging="180"/>
      </w:pPr>
    </w:lvl>
    <w:lvl w:ilvl="6" w:tplc="452AC33E" w:tentative="1">
      <w:start w:val="1"/>
      <w:numFmt w:val="decimal"/>
      <w:lvlText w:val="%7."/>
      <w:lvlJc w:val="left"/>
      <w:pPr>
        <w:ind w:left="4963" w:hanging="360"/>
      </w:pPr>
    </w:lvl>
    <w:lvl w:ilvl="7" w:tplc="C43E3A3E" w:tentative="1">
      <w:start w:val="1"/>
      <w:numFmt w:val="lowerLetter"/>
      <w:lvlText w:val="%8."/>
      <w:lvlJc w:val="left"/>
      <w:pPr>
        <w:ind w:left="5683" w:hanging="360"/>
      </w:pPr>
    </w:lvl>
    <w:lvl w:ilvl="8" w:tplc="AD06510A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A175ABE"/>
    <w:multiLevelType w:val="multilevel"/>
    <w:tmpl w:val="66B0D572"/>
    <w:styleLink w:val="HTA-Listapunktowa1"/>
    <w:lvl w:ilvl="0">
      <w:start w:val="1"/>
      <w:numFmt w:val="bullet"/>
      <w:pStyle w:val="Listapunktowana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0000"/>
      </w:rPr>
    </w:lvl>
    <w:lvl w:ilvl="1">
      <w:start w:val="1"/>
      <w:numFmt w:val="bullet"/>
      <w:pStyle w:val="Listapunktowana2"/>
      <w:lvlText w:val="o"/>
      <w:lvlJc w:val="left"/>
      <w:pPr>
        <w:tabs>
          <w:tab w:val="num" w:pos="851"/>
        </w:tabs>
        <w:ind w:left="851" w:hanging="283"/>
      </w:pPr>
      <w:rPr>
        <w:rFonts w:ascii="Courier New" w:hAnsi="Courier New" w:hint="default"/>
      </w:rPr>
    </w:lvl>
    <w:lvl w:ilvl="2">
      <w:start w:val="1"/>
      <w:numFmt w:val="none"/>
      <w:pStyle w:val="Listapunktowana3"/>
      <w:lvlText w:val="-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bullet"/>
      <w:pStyle w:val="Listapunktowana4"/>
      <w:lvlText w:val="·"/>
      <w:lvlJc w:val="left"/>
      <w:pPr>
        <w:tabs>
          <w:tab w:val="num" w:pos="1419"/>
        </w:tabs>
        <w:ind w:left="1419" w:hanging="283"/>
      </w:pPr>
      <w:rPr>
        <w:rFonts w:ascii="Arial" w:hAnsi="Arial" w:hint="default"/>
        <w:color w:val="000000"/>
      </w:rPr>
    </w:lvl>
    <w:lvl w:ilvl="4">
      <w:start w:val="1"/>
      <w:numFmt w:val="bullet"/>
      <w:pStyle w:val="Listapunktowana5"/>
      <w:lvlText w:val="·"/>
      <w:lvlJc w:val="left"/>
      <w:pPr>
        <w:tabs>
          <w:tab w:val="num" w:pos="1703"/>
        </w:tabs>
        <w:ind w:left="1703" w:hanging="283"/>
      </w:pPr>
      <w:rPr>
        <w:rFonts w:ascii="Arial" w:hAnsi="Arial" w:hint="default"/>
        <w:color w:val="000000"/>
      </w:rPr>
    </w:lvl>
    <w:lvl w:ilvl="5">
      <w:start w:val="1"/>
      <w:numFmt w:val="bullet"/>
      <w:lvlText w:val="-"/>
      <w:lvlJc w:val="left"/>
      <w:pPr>
        <w:tabs>
          <w:tab w:val="num" w:pos="1987"/>
        </w:tabs>
        <w:ind w:left="1987" w:hanging="283"/>
      </w:pPr>
      <w:rPr>
        <w:rFonts w:ascii="Arial" w:hAnsi="Arial" w:hint="default"/>
        <w:color w:val="000000"/>
      </w:rPr>
    </w:lvl>
    <w:lvl w:ilvl="6">
      <w:start w:val="1"/>
      <w:numFmt w:val="bullet"/>
      <w:lvlText w:val="-"/>
      <w:lvlJc w:val="left"/>
      <w:pPr>
        <w:tabs>
          <w:tab w:val="num" w:pos="2271"/>
        </w:tabs>
        <w:ind w:left="2271" w:hanging="283"/>
      </w:pPr>
      <w:rPr>
        <w:rFonts w:ascii="Arial" w:hAnsi="Arial" w:hint="default"/>
        <w:color w:val="000000"/>
      </w:rPr>
    </w:lvl>
    <w:lvl w:ilvl="7">
      <w:start w:val="1"/>
      <w:numFmt w:val="bullet"/>
      <w:lvlText w:val="-"/>
      <w:lvlJc w:val="left"/>
      <w:pPr>
        <w:tabs>
          <w:tab w:val="num" w:pos="2555"/>
        </w:tabs>
        <w:ind w:left="2555" w:hanging="283"/>
      </w:pPr>
      <w:rPr>
        <w:rFonts w:ascii="Arial" w:hAnsi="Arial" w:hint="default"/>
        <w:color w:val="000000"/>
      </w:rPr>
    </w:lvl>
    <w:lvl w:ilvl="8">
      <w:start w:val="1"/>
      <w:numFmt w:val="bullet"/>
      <w:lvlText w:val="-"/>
      <w:lvlJc w:val="left"/>
      <w:pPr>
        <w:tabs>
          <w:tab w:val="num" w:pos="2839"/>
        </w:tabs>
        <w:ind w:left="2839" w:hanging="283"/>
      </w:pPr>
      <w:rPr>
        <w:rFonts w:ascii="Arial" w:hAnsi="Arial" w:hint="default"/>
        <w:color w:val="000000"/>
      </w:rPr>
    </w:lvl>
  </w:abstractNum>
  <w:abstractNum w:abstractNumId="24" w15:restartNumberingAfterBreak="0">
    <w:nsid w:val="5ADD2337"/>
    <w:multiLevelType w:val="multilevel"/>
    <w:tmpl w:val="928A5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1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03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8" w:hanging="1440"/>
      </w:pPr>
      <w:rPr>
        <w:rFonts w:hint="default"/>
      </w:rPr>
    </w:lvl>
  </w:abstractNum>
  <w:abstractNum w:abstractNumId="25" w15:restartNumberingAfterBreak="0">
    <w:nsid w:val="5C1B3165"/>
    <w:multiLevelType w:val="multilevel"/>
    <w:tmpl w:val="7FA44798"/>
    <w:styleLink w:val="HTA-Listanagwkwrozdziaw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0" w:hanging="624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Nagwek7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Nagwek9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626E73EE"/>
    <w:multiLevelType w:val="multilevel"/>
    <w:tmpl w:val="055E2FD6"/>
    <w:lvl w:ilvl="0">
      <w:start w:val="1"/>
      <w:numFmt w:val="lowerLetter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2056DA8"/>
    <w:multiLevelType w:val="multilevel"/>
    <w:tmpl w:val="16763214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DB6EC0"/>
    <w:multiLevelType w:val="multilevel"/>
    <w:tmpl w:val="F74EFEF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BC7E7B"/>
    <w:multiLevelType w:val="multilevel"/>
    <w:tmpl w:val="F8B272F0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144387"/>
    <w:multiLevelType w:val="multilevel"/>
    <w:tmpl w:val="DE4C8796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8" w:hanging="1440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11"/>
  </w:num>
  <w:num w:numId="4">
    <w:abstractNumId w:val="22"/>
  </w:num>
  <w:num w:numId="5">
    <w:abstractNumId w:val="25"/>
  </w:num>
  <w:num w:numId="6">
    <w:abstractNumId w:val="16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3"/>
  </w:num>
  <w:num w:numId="13">
    <w:abstractNumId w:val="21"/>
  </w:num>
  <w:num w:numId="14">
    <w:abstractNumId w:val="17"/>
  </w:num>
  <w:num w:numId="15">
    <w:abstractNumId w:val="8"/>
  </w:num>
  <w:num w:numId="16">
    <w:abstractNumId w:val="30"/>
  </w:num>
  <w:num w:numId="17">
    <w:abstractNumId w:val="18"/>
  </w:num>
  <w:num w:numId="18">
    <w:abstractNumId w:val="27"/>
  </w:num>
  <w:num w:numId="19">
    <w:abstractNumId w:val="10"/>
  </w:num>
  <w:num w:numId="20">
    <w:abstractNumId w:val="6"/>
  </w:num>
  <w:num w:numId="21">
    <w:abstractNumId w:val="19"/>
  </w:num>
  <w:num w:numId="22">
    <w:abstractNumId w:val="12"/>
  </w:num>
  <w:num w:numId="23">
    <w:abstractNumId w:val="29"/>
  </w:num>
  <w:num w:numId="24">
    <w:abstractNumId w:val="13"/>
  </w:num>
  <w:num w:numId="25">
    <w:abstractNumId w:val="20"/>
  </w:num>
  <w:num w:numId="26">
    <w:abstractNumId w:val="28"/>
  </w:num>
  <w:num w:numId="27">
    <w:abstractNumId w:val="26"/>
  </w:num>
  <w:num w:numId="28">
    <w:abstractNumId w:val="7"/>
  </w:num>
  <w:num w:numId="29">
    <w:abstractNumId w:val="4"/>
  </w:num>
  <w:num w:numId="30">
    <w:abstractNumId w:val="5"/>
  </w:num>
  <w:num w:numId="31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77"/>
    <w:rsid w:val="0002543B"/>
    <w:rsid w:val="00046B54"/>
    <w:rsid w:val="00060FB4"/>
    <w:rsid w:val="00076893"/>
    <w:rsid w:val="00087D29"/>
    <w:rsid w:val="00093685"/>
    <w:rsid w:val="000A22CD"/>
    <w:rsid w:val="000A4343"/>
    <w:rsid w:val="000B7B27"/>
    <w:rsid w:val="000F66AA"/>
    <w:rsid w:val="00160112"/>
    <w:rsid w:val="00170220"/>
    <w:rsid w:val="001B4AA2"/>
    <w:rsid w:val="001E4C54"/>
    <w:rsid w:val="00201860"/>
    <w:rsid w:val="002046CD"/>
    <w:rsid w:val="00260B05"/>
    <w:rsid w:val="00285F57"/>
    <w:rsid w:val="00290DE9"/>
    <w:rsid w:val="00292FA3"/>
    <w:rsid w:val="00293929"/>
    <w:rsid w:val="002A4BA0"/>
    <w:rsid w:val="002D1D65"/>
    <w:rsid w:val="002F1394"/>
    <w:rsid w:val="002F6E13"/>
    <w:rsid w:val="00310EC7"/>
    <w:rsid w:val="00340EBD"/>
    <w:rsid w:val="00344AF0"/>
    <w:rsid w:val="0036574A"/>
    <w:rsid w:val="003C7214"/>
    <w:rsid w:val="003E4625"/>
    <w:rsid w:val="004018E2"/>
    <w:rsid w:val="004200D2"/>
    <w:rsid w:val="00423DCB"/>
    <w:rsid w:val="00456F86"/>
    <w:rsid w:val="00464873"/>
    <w:rsid w:val="004661B0"/>
    <w:rsid w:val="00474F55"/>
    <w:rsid w:val="004753A5"/>
    <w:rsid w:val="00532447"/>
    <w:rsid w:val="005326EE"/>
    <w:rsid w:val="00564099"/>
    <w:rsid w:val="005B2EB3"/>
    <w:rsid w:val="00636CF3"/>
    <w:rsid w:val="0064754B"/>
    <w:rsid w:val="006959FD"/>
    <w:rsid w:val="006A30C0"/>
    <w:rsid w:val="006D6665"/>
    <w:rsid w:val="00711A45"/>
    <w:rsid w:val="00726F6A"/>
    <w:rsid w:val="00737520"/>
    <w:rsid w:val="007F649F"/>
    <w:rsid w:val="00811000"/>
    <w:rsid w:val="00813CF5"/>
    <w:rsid w:val="00816EE3"/>
    <w:rsid w:val="00817BB9"/>
    <w:rsid w:val="00821ECC"/>
    <w:rsid w:val="00827BCE"/>
    <w:rsid w:val="00827ECA"/>
    <w:rsid w:val="00854E7A"/>
    <w:rsid w:val="00861E7D"/>
    <w:rsid w:val="00866E3B"/>
    <w:rsid w:val="0087106A"/>
    <w:rsid w:val="00873402"/>
    <w:rsid w:val="008745C9"/>
    <w:rsid w:val="0088240E"/>
    <w:rsid w:val="008C6354"/>
    <w:rsid w:val="00903D49"/>
    <w:rsid w:val="00916A59"/>
    <w:rsid w:val="00923108"/>
    <w:rsid w:val="0093247F"/>
    <w:rsid w:val="00946D82"/>
    <w:rsid w:val="009576BE"/>
    <w:rsid w:val="0098625A"/>
    <w:rsid w:val="00987066"/>
    <w:rsid w:val="009B30BE"/>
    <w:rsid w:val="009B51AF"/>
    <w:rsid w:val="009C3C9F"/>
    <w:rsid w:val="009F223D"/>
    <w:rsid w:val="00A35911"/>
    <w:rsid w:val="00A72250"/>
    <w:rsid w:val="00A766E7"/>
    <w:rsid w:val="00A801AF"/>
    <w:rsid w:val="00AC30BF"/>
    <w:rsid w:val="00AD2286"/>
    <w:rsid w:val="00AD28B7"/>
    <w:rsid w:val="00AE3F20"/>
    <w:rsid w:val="00AF36BD"/>
    <w:rsid w:val="00B10142"/>
    <w:rsid w:val="00B2236B"/>
    <w:rsid w:val="00B3148C"/>
    <w:rsid w:val="00B35705"/>
    <w:rsid w:val="00B4095B"/>
    <w:rsid w:val="00B42E27"/>
    <w:rsid w:val="00B517A0"/>
    <w:rsid w:val="00B55729"/>
    <w:rsid w:val="00B61991"/>
    <w:rsid w:val="00B82564"/>
    <w:rsid w:val="00BE1142"/>
    <w:rsid w:val="00BE14F7"/>
    <w:rsid w:val="00C61392"/>
    <w:rsid w:val="00C85003"/>
    <w:rsid w:val="00C94384"/>
    <w:rsid w:val="00CA0885"/>
    <w:rsid w:val="00CB46B1"/>
    <w:rsid w:val="00CD3839"/>
    <w:rsid w:val="00CD3A00"/>
    <w:rsid w:val="00D03C44"/>
    <w:rsid w:val="00D256AD"/>
    <w:rsid w:val="00D344B3"/>
    <w:rsid w:val="00D70ECD"/>
    <w:rsid w:val="00D70ED7"/>
    <w:rsid w:val="00D87183"/>
    <w:rsid w:val="00DA6972"/>
    <w:rsid w:val="00DB67B5"/>
    <w:rsid w:val="00DD3671"/>
    <w:rsid w:val="00DE65C5"/>
    <w:rsid w:val="00E15E77"/>
    <w:rsid w:val="00E22212"/>
    <w:rsid w:val="00E2398F"/>
    <w:rsid w:val="00E32A05"/>
    <w:rsid w:val="00E448C2"/>
    <w:rsid w:val="00E6227A"/>
    <w:rsid w:val="00E71CC0"/>
    <w:rsid w:val="00E73E18"/>
    <w:rsid w:val="00E76E4E"/>
    <w:rsid w:val="00E84D19"/>
    <w:rsid w:val="00EC4563"/>
    <w:rsid w:val="00EE0B7B"/>
    <w:rsid w:val="00F17267"/>
    <w:rsid w:val="00F41BD5"/>
    <w:rsid w:val="00F47698"/>
    <w:rsid w:val="00F54604"/>
    <w:rsid w:val="00F7159F"/>
    <w:rsid w:val="00F81DBC"/>
    <w:rsid w:val="00F938C9"/>
    <w:rsid w:val="00FA128A"/>
    <w:rsid w:val="00FB0225"/>
    <w:rsid w:val="00FB2B07"/>
    <w:rsid w:val="00FD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254AF-36EB-4C39-820F-F21478B0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paragraph" w:styleId="Nagwek1">
    <w:name w:val="heading 1"/>
    <w:basedOn w:val="Normalny"/>
    <w:next w:val="Tekstpodstawowy"/>
    <w:link w:val="Nagwek1Znak"/>
    <w:uiPriority w:val="10"/>
    <w:qFormat/>
    <w:rsid w:val="006959FD"/>
    <w:pPr>
      <w:keepNext/>
      <w:keepLines/>
      <w:pageBreakBefore/>
      <w:widowControl/>
      <w:numPr>
        <w:numId w:val="5"/>
      </w:numPr>
      <w:spacing w:before="720" w:after="360" w:line="360" w:lineRule="auto"/>
      <w:jc w:val="both"/>
      <w:outlineLvl w:val="0"/>
    </w:pPr>
    <w:rPr>
      <w:rFonts w:ascii="Arial" w:eastAsia="Times New Roman" w:hAnsi="Arial" w:cs="Times New Roman"/>
      <w:b/>
      <w:caps/>
      <w:sz w:val="28"/>
      <w:szCs w:val="28"/>
      <w:lang w:val="pl-PL" w:bidi="en-US"/>
    </w:rPr>
  </w:style>
  <w:style w:type="paragraph" w:styleId="Nagwek2">
    <w:name w:val="heading 2"/>
    <w:basedOn w:val="Normalny"/>
    <w:next w:val="Tekstpodstawowy"/>
    <w:link w:val="Nagwek2Znak"/>
    <w:uiPriority w:val="10"/>
    <w:qFormat/>
    <w:rsid w:val="006959FD"/>
    <w:pPr>
      <w:keepNext/>
      <w:keepLines/>
      <w:widowControl/>
      <w:numPr>
        <w:ilvl w:val="1"/>
        <w:numId w:val="5"/>
      </w:numPr>
      <w:spacing w:before="480" w:after="240" w:line="360" w:lineRule="auto"/>
      <w:jc w:val="both"/>
      <w:outlineLvl w:val="1"/>
    </w:pPr>
    <w:rPr>
      <w:rFonts w:ascii="Arial" w:eastAsia="Times New Roman" w:hAnsi="Arial" w:cs="Times New Roman"/>
      <w:b/>
      <w:sz w:val="24"/>
      <w:szCs w:val="26"/>
      <w:lang w:val="pl-PL" w:bidi="en-US"/>
    </w:rPr>
  </w:style>
  <w:style w:type="paragraph" w:styleId="Nagwek3">
    <w:name w:val="heading 3"/>
    <w:basedOn w:val="Normalny"/>
    <w:next w:val="Tekstpodstawowy"/>
    <w:link w:val="Nagwek3Znak"/>
    <w:uiPriority w:val="10"/>
    <w:unhideWhenUsed/>
    <w:qFormat/>
    <w:rsid w:val="006959FD"/>
    <w:pPr>
      <w:keepNext/>
      <w:keepLines/>
      <w:widowControl/>
      <w:numPr>
        <w:ilvl w:val="2"/>
        <w:numId w:val="5"/>
      </w:numPr>
      <w:spacing w:before="480" w:after="120" w:line="360" w:lineRule="auto"/>
      <w:jc w:val="both"/>
      <w:outlineLvl w:val="2"/>
    </w:pPr>
    <w:rPr>
      <w:rFonts w:ascii="Arial" w:eastAsia="Times New Roman" w:hAnsi="Arial" w:cs="Times New Roman"/>
      <w:b/>
      <w:szCs w:val="20"/>
      <w:lang w:val="pl-PL" w:bidi="en-US"/>
    </w:rPr>
  </w:style>
  <w:style w:type="paragraph" w:styleId="Nagwek4">
    <w:name w:val="heading 4"/>
    <w:basedOn w:val="Normalny"/>
    <w:next w:val="Tekstpodstawowy"/>
    <w:link w:val="Nagwek4Znak"/>
    <w:uiPriority w:val="10"/>
    <w:unhideWhenUsed/>
    <w:qFormat/>
    <w:rsid w:val="006959FD"/>
    <w:pPr>
      <w:keepNext/>
      <w:keepLines/>
      <w:widowControl/>
      <w:numPr>
        <w:ilvl w:val="3"/>
        <w:numId w:val="5"/>
      </w:numPr>
      <w:spacing w:before="360" w:after="120" w:line="360" w:lineRule="auto"/>
      <w:jc w:val="both"/>
      <w:outlineLvl w:val="3"/>
    </w:pPr>
    <w:rPr>
      <w:rFonts w:ascii="Arial" w:eastAsia="Times New Roman" w:hAnsi="Arial" w:cs="Times New Roman"/>
      <w:b/>
      <w:iCs/>
      <w:sz w:val="20"/>
      <w:szCs w:val="20"/>
      <w:lang w:val="pl-PL" w:bidi="en-US"/>
    </w:rPr>
  </w:style>
  <w:style w:type="paragraph" w:styleId="Nagwek5">
    <w:name w:val="heading 5"/>
    <w:basedOn w:val="Normalny"/>
    <w:next w:val="Tekstpodstawowy"/>
    <w:link w:val="Nagwek5Znak"/>
    <w:uiPriority w:val="10"/>
    <w:unhideWhenUsed/>
    <w:rsid w:val="006959FD"/>
    <w:pPr>
      <w:keepNext/>
      <w:keepLines/>
      <w:widowControl/>
      <w:numPr>
        <w:ilvl w:val="4"/>
        <w:numId w:val="5"/>
      </w:numPr>
      <w:spacing w:before="200" w:after="0" w:line="360" w:lineRule="auto"/>
      <w:jc w:val="both"/>
      <w:outlineLvl w:val="4"/>
    </w:pPr>
    <w:rPr>
      <w:rFonts w:ascii="Arial" w:eastAsia="Times New Roman" w:hAnsi="Arial" w:cs="Times New Roman"/>
      <w:b/>
      <w:i/>
      <w:sz w:val="20"/>
      <w:szCs w:val="20"/>
      <w:lang w:val="pl-PL" w:bidi="en-US"/>
    </w:rPr>
  </w:style>
  <w:style w:type="paragraph" w:styleId="Nagwek6">
    <w:name w:val="heading 6"/>
    <w:basedOn w:val="Normalny"/>
    <w:next w:val="Tekstpodstawowy"/>
    <w:link w:val="Nagwek6Znak"/>
    <w:uiPriority w:val="10"/>
    <w:unhideWhenUsed/>
    <w:rsid w:val="006959FD"/>
    <w:pPr>
      <w:keepNext/>
      <w:keepLines/>
      <w:widowControl/>
      <w:numPr>
        <w:ilvl w:val="5"/>
        <w:numId w:val="5"/>
      </w:numPr>
      <w:spacing w:before="240" w:after="120" w:line="360" w:lineRule="auto"/>
      <w:jc w:val="both"/>
      <w:outlineLvl w:val="5"/>
    </w:pPr>
    <w:rPr>
      <w:rFonts w:ascii="Arial" w:eastAsia="Times New Roman" w:hAnsi="Arial" w:cs="Times New Roman"/>
      <w:b/>
      <w:iCs/>
      <w:sz w:val="20"/>
      <w:szCs w:val="20"/>
      <w:lang w:val="pl-PL" w:bidi="en-US"/>
    </w:rPr>
  </w:style>
  <w:style w:type="paragraph" w:styleId="Nagwek7">
    <w:name w:val="heading 7"/>
    <w:basedOn w:val="Normalny"/>
    <w:next w:val="Tekstpodstawowy"/>
    <w:link w:val="Nagwek7Znak"/>
    <w:uiPriority w:val="10"/>
    <w:unhideWhenUsed/>
    <w:rsid w:val="006959FD"/>
    <w:pPr>
      <w:keepNext/>
      <w:keepLines/>
      <w:widowControl/>
      <w:numPr>
        <w:ilvl w:val="6"/>
        <w:numId w:val="5"/>
      </w:numPr>
      <w:spacing w:before="240" w:after="120" w:line="360" w:lineRule="auto"/>
      <w:jc w:val="both"/>
      <w:outlineLvl w:val="6"/>
    </w:pPr>
    <w:rPr>
      <w:rFonts w:ascii="Arial" w:eastAsia="Times New Roman" w:hAnsi="Arial" w:cs="Times New Roman"/>
      <w:bCs/>
      <w:i/>
      <w:iCs/>
      <w:sz w:val="20"/>
      <w:szCs w:val="20"/>
      <w:lang w:val="pl-PL" w:bidi="en-US"/>
    </w:rPr>
  </w:style>
  <w:style w:type="paragraph" w:styleId="Nagwek8">
    <w:name w:val="heading 8"/>
    <w:basedOn w:val="Normalny"/>
    <w:next w:val="Tekstpodstawowy"/>
    <w:link w:val="Nagwek8Znak"/>
    <w:uiPriority w:val="10"/>
    <w:unhideWhenUsed/>
    <w:rsid w:val="006959FD"/>
    <w:pPr>
      <w:keepNext/>
      <w:keepLines/>
      <w:widowControl/>
      <w:numPr>
        <w:ilvl w:val="7"/>
        <w:numId w:val="5"/>
      </w:numPr>
      <w:spacing w:before="240" w:after="120" w:line="360" w:lineRule="auto"/>
      <w:jc w:val="both"/>
      <w:outlineLvl w:val="7"/>
    </w:pPr>
    <w:rPr>
      <w:rFonts w:ascii="Arial" w:eastAsia="Times New Roman" w:hAnsi="Arial" w:cs="Times New Roman"/>
      <w:bCs/>
      <w:sz w:val="20"/>
      <w:szCs w:val="20"/>
      <w:lang w:val="pl-PL" w:bidi="en-US"/>
    </w:rPr>
  </w:style>
  <w:style w:type="paragraph" w:styleId="Nagwek9">
    <w:name w:val="heading 9"/>
    <w:basedOn w:val="Normalny"/>
    <w:next w:val="Tekstpodstawowy"/>
    <w:link w:val="Nagwek9Znak"/>
    <w:uiPriority w:val="10"/>
    <w:semiHidden/>
    <w:unhideWhenUsed/>
    <w:rsid w:val="006959FD"/>
    <w:pPr>
      <w:keepNext/>
      <w:keepLines/>
      <w:widowControl/>
      <w:numPr>
        <w:ilvl w:val="8"/>
        <w:numId w:val="5"/>
      </w:numPr>
      <w:spacing w:before="240" w:after="120" w:line="360" w:lineRule="auto"/>
      <w:jc w:val="both"/>
      <w:outlineLvl w:val="8"/>
    </w:pPr>
    <w:rPr>
      <w:rFonts w:ascii="Arial" w:eastAsia="Times New Roman" w:hAnsi="Arial" w:cs="Times New Roman"/>
      <w:bCs/>
      <w:i/>
      <w:iCs/>
      <w:spacing w:val="5"/>
      <w:sz w:val="20"/>
      <w:szCs w:val="20"/>
      <w:lang w:val="pl-PL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4B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1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1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1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86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018E2"/>
    <w:pPr>
      <w:widowControl/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10"/>
    <w:rsid w:val="006959FD"/>
    <w:rPr>
      <w:rFonts w:ascii="Arial" w:eastAsia="Times New Roman" w:hAnsi="Arial" w:cs="Times New Roman"/>
      <w:b/>
      <w:caps/>
      <w:sz w:val="28"/>
      <w:szCs w:val="28"/>
      <w:lang w:val="pl-PL" w:bidi="en-US"/>
    </w:rPr>
  </w:style>
  <w:style w:type="character" w:customStyle="1" w:styleId="Nagwek2Znak">
    <w:name w:val="Nagłówek 2 Znak"/>
    <w:basedOn w:val="Domylnaczcionkaakapitu"/>
    <w:link w:val="Nagwek2"/>
    <w:uiPriority w:val="10"/>
    <w:rsid w:val="006959FD"/>
    <w:rPr>
      <w:rFonts w:ascii="Arial" w:eastAsia="Times New Roman" w:hAnsi="Arial" w:cs="Times New Roman"/>
      <w:b/>
      <w:sz w:val="24"/>
      <w:szCs w:val="26"/>
      <w:lang w:val="pl-PL" w:bidi="en-US"/>
    </w:rPr>
  </w:style>
  <w:style w:type="character" w:customStyle="1" w:styleId="Nagwek3Znak">
    <w:name w:val="Nagłówek 3 Znak"/>
    <w:basedOn w:val="Domylnaczcionkaakapitu"/>
    <w:link w:val="Nagwek3"/>
    <w:uiPriority w:val="10"/>
    <w:rsid w:val="006959FD"/>
    <w:rPr>
      <w:rFonts w:ascii="Arial" w:eastAsia="Times New Roman" w:hAnsi="Arial" w:cs="Times New Roman"/>
      <w:b/>
      <w:szCs w:val="20"/>
      <w:lang w:val="pl-PL" w:bidi="en-US"/>
    </w:rPr>
  </w:style>
  <w:style w:type="character" w:customStyle="1" w:styleId="Nagwek4Znak">
    <w:name w:val="Nagłówek 4 Znak"/>
    <w:basedOn w:val="Domylnaczcionkaakapitu"/>
    <w:link w:val="Nagwek4"/>
    <w:uiPriority w:val="10"/>
    <w:rsid w:val="006959FD"/>
    <w:rPr>
      <w:rFonts w:ascii="Arial" w:eastAsia="Times New Roman" w:hAnsi="Arial" w:cs="Times New Roman"/>
      <w:b/>
      <w:iCs/>
      <w:sz w:val="20"/>
      <w:szCs w:val="20"/>
      <w:lang w:val="pl-PL" w:bidi="en-US"/>
    </w:rPr>
  </w:style>
  <w:style w:type="character" w:customStyle="1" w:styleId="Nagwek5Znak">
    <w:name w:val="Nagłówek 5 Znak"/>
    <w:basedOn w:val="Domylnaczcionkaakapitu"/>
    <w:link w:val="Nagwek5"/>
    <w:uiPriority w:val="10"/>
    <w:rsid w:val="006959FD"/>
    <w:rPr>
      <w:rFonts w:ascii="Arial" w:eastAsia="Times New Roman" w:hAnsi="Arial" w:cs="Times New Roman"/>
      <w:b/>
      <w:i/>
      <w:sz w:val="20"/>
      <w:szCs w:val="20"/>
      <w:lang w:val="pl-PL" w:bidi="en-US"/>
    </w:rPr>
  </w:style>
  <w:style w:type="character" w:customStyle="1" w:styleId="Nagwek6Znak">
    <w:name w:val="Nagłówek 6 Znak"/>
    <w:basedOn w:val="Domylnaczcionkaakapitu"/>
    <w:link w:val="Nagwek6"/>
    <w:uiPriority w:val="10"/>
    <w:rsid w:val="006959FD"/>
    <w:rPr>
      <w:rFonts w:ascii="Arial" w:eastAsia="Times New Roman" w:hAnsi="Arial" w:cs="Times New Roman"/>
      <w:b/>
      <w:iCs/>
      <w:sz w:val="20"/>
      <w:szCs w:val="20"/>
      <w:lang w:val="pl-PL" w:bidi="en-US"/>
    </w:rPr>
  </w:style>
  <w:style w:type="character" w:customStyle="1" w:styleId="Nagwek7Znak">
    <w:name w:val="Nagłówek 7 Znak"/>
    <w:basedOn w:val="Domylnaczcionkaakapitu"/>
    <w:link w:val="Nagwek7"/>
    <w:uiPriority w:val="10"/>
    <w:rsid w:val="006959FD"/>
    <w:rPr>
      <w:rFonts w:ascii="Arial" w:eastAsia="Times New Roman" w:hAnsi="Arial" w:cs="Times New Roman"/>
      <w:bCs/>
      <w:i/>
      <w:iCs/>
      <w:sz w:val="20"/>
      <w:szCs w:val="20"/>
      <w:lang w:val="pl-PL" w:bidi="en-US"/>
    </w:rPr>
  </w:style>
  <w:style w:type="character" w:customStyle="1" w:styleId="Nagwek8Znak">
    <w:name w:val="Nagłówek 8 Znak"/>
    <w:basedOn w:val="Domylnaczcionkaakapitu"/>
    <w:link w:val="Nagwek8"/>
    <w:uiPriority w:val="10"/>
    <w:rsid w:val="006959FD"/>
    <w:rPr>
      <w:rFonts w:ascii="Arial" w:eastAsia="Times New Roman" w:hAnsi="Arial" w:cs="Times New Roman"/>
      <w:bCs/>
      <w:sz w:val="20"/>
      <w:szCs w:val="20"/>
      <w:lang w:val="pl-PL" w:bidi="en-US"/>
    </w:rPr>
  </w:style>
  <w:style w:type="character" w:customStyle="1" w:styleId="Nagwek9Znak">
    <w:name w:val="Nagłówek 9 Znak"/>
    <w:basedOn w:val="Domylnaczcionkaakapitu"/>
    <w:link w:val="Nagwek9"/>
    <w:uiPriority w:val="10"/>
    <w:semiHidden/>
    <w:rsid w:val="006959FD"/>
    <w:rPr>
      <w:rFonts w:ascii="Arial" w:eastAsia="Times New Roman" w:hAnsi="Arial" w:cs="Times New Roman"/>
      <w:bCs/>
      <w:i/>
      <w:iCs/>
      <w:spacing w:val="5"/>
      <w:sz w:val="20"/>
      <w:szCs w:val="20"/>
      <w:lang w:val="pl-PL" w:bidi="en-US"/>
    </w:rPr>
  </w:style>
  <w:style w:type="paragraph" w:customStyle="1" w:styleId="Tabela-Listanumerowana">
    <w:name w:val="Tabela - Lista numerowana"/>
    <w:basedOn w:val="Normalny"/>
    <w:next w:val="Normalny"/>
    <w:uiPriority w:val="7"/>
    <w:qFormat/>
    <w:rsid w:val="006959FD"/>
    <w:pPr>
      <w:widowControl/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bCs/>
      <w:sz w:val="16"/>
      <w:szCs w:val="20"/>
      <w:lang w:val="pl-PL" w:bidi="en-US"/>
    </w:rPr>
  </w:style>
  <w:style w:type="numbering" w:customStyle="1" w:styleId="HTA-Listanagwkwrozdziaw">
    <w:name w:val="HTA - Lista nagłówków rozdziałów"/>
    <w:uiPriority w:val="99"/>
    <w:rsid w:val="006959FD"/>
    <w:pPr>
      <w:numPr>
        <w:numId w:val="5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59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59FD"/>
  </w:style>
  <w:style w:type="paragraph" w:customStyle="1" w:styleId="Tabela-TekstpodstawowyDolewej">
    <w:name w:val="Tabela - Tekst podstawowy Do lewej"/>
    <w:basedOn w:val="Normalny"/>
    <w:uiPriority w:val="7"/>
    <w:qFormat/>
    <w:rsid w:val="006959FD"/>
    <w:pPr>
      <w:widowControl/>
      <w:spacing w:after="0" w:line="240" w:lineRule="auto"/>
    </w:pPr>
    <w:rPr>
      <w:rFonts w:ascii="Arial" w:eastAsia="Times New Roman" w:hAnsi="Arial" w:cs="Times New Roman"/>
      <w:bCs/>
      <w:sz w:val="16"/>
      <w:szCs w:val="20"/>
      <w:lang w:val="pl-PL" w:bidi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C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30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49E7"/>
    <w:pPr>
      <w:widowControl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pl-PL"/>
    </w:rPr>
  </w:style>
  <w:style w:type="numbering" w:customStyle="1" w:styleId="HTA-Listapunktowa1">
    <w:name w:val="HTA - Lista punktowa 1"/>
    <w:uiPriority w:val="99"/>
    <w:rsid w:val="0002543B"/>
    <w:pPr>
      <w:numPr>
        <w:numId w:val="11"/>
      </w:numPr>
    </w:pPr>
  </w:style>
  <w:style w:type="paragraph" w:styleId="Listapunktowana">
    <w:name w:val="List Bullet"/>
    <w:basedOn w:val="Normalny"/>
    <w:uiPriority w:val="4"/>
    <w:qFormat/>
    <w:rsid w:val="0002543B"/>
    <w:pPr>
      <w:widowControl/>
      <w:numPr>
        <w:numId w:val="12"/>
      </w:numPr>
      <w:spacing w:after="0" w:line="360" w:lineRule="auto"/>
      <w:contextualSpacing/>
      <w:jc w:val="both"/>
    </w:pPr>
    <w:rPr>
      <w:rFonts w:ascii="Calibri" w:hAnsi="Calibri" w:cs="Times New Roman"/>
      <w:lang w:val="pl-PL" w:eastAsia="pl-PL"/>
    </w:rPr>
  </w:style>
  <w:style w:type="paragraph" w:styleId="Listapunktowana2">
    <w:name w:val="List Bullet 2"/>
    <w:basedOn w:val="Normalny"/>
    <w:uiPriority w:val="4"/>
    <w:unhideWhenUsed/>
    <w:rsid w:val="0002543B"/>
    <w:pPr>
      <w:widowControl/>
      <w:numPr>
        <w:ilvl w:val="1"/>
        <w:numId w:val="12"/>
      </w:numPr>
      <w:spacing w:after="0" w:line="360" w:lineRule="auto"/>
      <w:contextualSpacing/>
      <w:jc w:val="both"/>
    </w:pPr>
    <w:rPr>
      <w:rFonts w:ascii="Calibri" w:hAnsi="Calibri" w:cs="Times New Roman"/>
      <w:lang w:val="pl-PL" w:eastAsia="pl-PL"/>
    </w:rPr>
  </w:style>
  <w:style w:type="paragraph" w:styleId="Listapunktowana3">
    <w:name w:val="List Bullet 3"/>
    <w:basedOn w:val="Normalny"/>
    <w:uiPriority w:val="4"/>
    <w:unhideWhenUsed/>
    <w:rsid w:val="0002543B"/>
    <w:pPr>
      <w:widowControl/>
      <w:numPr>
        <w:ilvl w:val="2"/>
        <w:numId w:val="12"/>
      </w:numPr>
      <w:spacing w:after="0" w:line="360" w:lineRule="auto"/>
      <w:contextualSpacing/>
      <w:jc w:val="both"/>
    </w:pPr>
    <w:rPr>
      <w:rFonts w:ascii="Calibri" w:hAnsi="Calibri" w:cs="Times New Roman"/>
      <w:lang w:val="pl-PL" w:eastAsia="pl-PL"/>
    </w:rPr>
  </w:style>
  <w:style w:type="paragraph" w:styleId="Listapunktowana4">
    <w:name w:val="List Bullet 4"/>
    <w:basedOn w:val="Normalny"/>
    <w:uiPriority w:val="4"/>
    <w:unhideWhenUsed/>
    <w:rsid w:val="0002543B"/>
    <w:pPr>
      <w:widowControl/>
      <w:numPr>
        <w:ilvl w:val="3"/>
        <w:numId w:val="12"/>
      </w:numPr>
      <w:spacing w:after="0" w:line="360" w:lineRule="auto"/>
      <w:contextualSpacing/>
      <w:jc w:val="both"/>
    </w:pPr>
    <w:rPr>
      <w:rFonts w:ascii="Calibri" w:hAnsi="Calibri" w:cs="Times New Roman"/>
      <w:lang w:val="pl-PL" w:eastAsia="pl-PL"/>
    </w:rPr>
  </w:style>
  <w:style w:type="paragraph" w:styleId="Listapunktowana5">
    <w:name w:val="List Bullet 5"/>
    <w:basedOn w:val="Normalny"/>
    <w:uiPriority w:val="4"/>
    <w:unhideWhenUsed/>
    <w:rsid w:val="0002543B"/>
    <w:pPr>
      <w:widowControl/>
      <w:numPr>
        <w:ilvl w:val="4"/>
        <w:numId w:val="12"/>
      </w:numPr>
      <w:spacing w:after="0" w:line="360" w:lineRule="auto"/>
      <w:contextualSpacing/>
      <w:jc w:val="both"/>
    </w:pPr>
    <w:rPr>
      <w:rFonts w:ascii="Calibri" w:hAnsi="Calibri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475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3A5"/>
  </w:style>
  <w:style w:type="paragraph" w:styleId="Stopka">
    <w:name w:val="footer"/>
    <w:basedOn w:val="Normalny"/>
    <w:link w:val="StopkaZnak"/>
    <w:uiPriority w:val="99"/>
    <w:unhideWhenUsed/>
    <w:rsid w:val="00475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3A5"/>
  </w:style>
  <w:style w:type="character" w:customStyle="1" w:styleId="Teksttreci">
    <w:name w:val="Tekst treści"/>
    <w:basedOn w:val="Domylnaczcionkaakapitu"/>
    <w:rsid w:val="001601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Kursywa">
    <w:name w:val="Tekst treści + Kursywa"/>
    <w:basedOn w:val="Domylnaczcionkaakapitu"/>
    <w:rsid w:val="001601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eksttreci2">
    <w:name w:val="Tekst treści (2)_"/>
    <w:basedOn w:val="Domylnaczcionkaakapitu"/>
    <w:link w:val="Teksttreci20"/>
    <w:rsid w:val="00160112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0112"/>
    <w:pPr>
      <w:shd w:val="clear" w:color="auto" w:fill="FFFFFF"/>
      <w:spacing w:before="180" w:after="0" w:line="202" w:lineRule="exact"/>
      <w:ind w:hanging="360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Pogrubienie">
    <w:name w:val="Tekst treści + Pogrubienie"/>
    <w:basedOn w:val="Domylnaczcionkaakapitu"/>
    <w:rsid w:val="001601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49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73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7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5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77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61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78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6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1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2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4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4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9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95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1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8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33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41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74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9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4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8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3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2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E23E9-FED7-40DF-86FF-A8F1FFA0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1638</Words>
  <Characters>9832</Characters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2014-07-21T11:48:00Z</cp:lastPrinted>
  <dcterms:created xsi:type="dcterms:W3CDTF">2018-04-24T14:38:00Z</dcterms:created>
  <dcterms:modified xsi:type="dcterms:W3CDTF">2018-04-24T14:39:00Z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LastSaved">
    <vt:filetime>2014-07-07T00:00:00Z</vt:filetime>
  </property>
</Properties>
</file>