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DEFB" w14:textId="77777777" w:rsidR="005F2AF6" w:rsidRPr="00D8264F" w:rsidRDefault="005F2AF6" w:rsidP="00D56A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p w14:paraId="76EE06EA" w14:textId="77777777" w:rsidR="005F2AF6" w:rsidRPr="00D8264F" w:rsidRDefault="005F2AF6" w:rsidP="003851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przedmiotu zamówienia</w:t>
      </w:r>
    </w:p>
    <w:p w14:paraId="248C4701" w14:textId="77777777" w:rsidR="005F2AF6" w:rsidRPr="00D8264F" w:rsidRDefault="005F2AF6" w:rsidP="005F2AF6">
      <w:pPr>
        <w:rPr>
          <w:rFonts w:ascii="Times New Roman" w:hAnsi="Times New Roman" w:cs="Times New Roman"/>
          <w:sz w:val="20"/>
          <w:szCs w:val="20"/>
        </w:rPr>
      </w:pPr>
    </w:p>
    <w:p w14:paraId="348CBEEA" w14:textId="38B9892B" w:rsidR="00B877DA" w:rsidRPr="00D8264F" w:rsidRDefault="005F2AF6" w:rsidP="005F2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264F">
        <w:rPr>
          <w:rFonts w:ascii="Times New Roman" w:hAnsi="Times New Roman" w:cs="Times New Roman"/>
          <w:sz w:val="20"/>
          <w:szCs w:val="20"/>
        </w:rPr>
        <w:t xml:space="preserve">Przedmiotem umowy jest </w:t>
      </w:r>
      <w:r w:rsidR="00B604E7" w:rsidRPr="00DD21C0">
        <w:rPr>
          <w:bCs/>
          <w:sz w:val="20"/>
          <w:szCs w:val="20"/>
        </w:rPr>
        <w:t>udzielenie lub zapewnienie udzielenia na rzecz Zamawiającego licencji na oprogramowanie</w:t>
      </w:r>
      <w:r w:rsidR="00B604E7">
        <w:rPr>
          <w:bCs/>
          <w:sz w:val="20"/>
          <w:szCs w:val="20"/>
        </w:rPr>
        <w:t xml:space="preserve"> do monitorowania infrastruktury informatycznej</w:t>
      </w:r>
      <w:r w:rsidR="00B604E7" w:rsidRPr="00DD21C0">
        <w:rPr>
          <w:bCs/>
          <w:sz w:val="20"/>
          <w:szCs w:val="20"/>
        </w:rPr>
        <w:t xml:space="preserve"> </w:t>
      </w:r>
      <w:r w:rsidR="00B604E7" w:rsidRPr="00DD21C0">
        <w:rPr>
          <w:b/>
          <w:bCs/>
          <w:sz w:val="20"/>
          <w:szCs w:val="20"/>
        </w:rPr>
        <w:t>Cisco Catalyst Center</w:t>
      </w:r>
      <w:r w:rsidR="00B604E7">
        <w:rPr>
          <w:b/>
          <w:bCs/>
          <w:sz w:val="20"/>
          <w:szCs w:val="20"/>
        </w:rPr>
        <w:t xml:space="preserve"> </w:t>
      </w:r>
      <w:r w:rsidR="00B604E7" w:rsidRPr="00DD21C0">
        <w:rPr>
          <w:bCs/>
          <w:sz w:val="20"/>
          <w:szCs w:val="20"/>
        </w:rPr>
        <w:t>na okres 36 miesięcy</w:t>
      </w:r>
      <w:r w:rsidR="00B604E7">
        <w:rPr>
          <w:bCs/>
          <w:sz w:val="20"/>
          <w:szCs w:val="20"/>
        </w:rPr>
        <w:t>;</w:t>
      </w:r>
    </w:p>
    <w:p w14:paraId="1684F0C6" w14:textId="77777777" w:rsidR="00B877DA" w:rsidRPr="00D8264F" w:rsidRDefault="00B877DA" w:rsidP="005F2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5A6A3" w14:textId="071A674E" w:rsidR="005F2AF6" w:rsidRPr="00D8264F" w:rsidRDefault="0070353A" w:rsidP="005F2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ramach realizacji zamówienia W</w:t>
      </w:r>
      <w:r w:rsidR="00B604E7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konawca jest zobowiązany do</w:t>
      </w:r>
      <w:r w:rsidR="005F2AF6" w:rsidRPr="00D8264F">
        <w:rPr>
          <w:rFonts w:ascii="Times New Roman" w:hAnsi="Times New Roman" w:cs="Times New Roman"/>
          <w:sz w:val="20"/>
          <w:szCs w:val="20"/>
        </w:rPr>
        <w:t>:</w:t>
      </w:r>
    </w:p>
    <w:p w14:paraId="2AA6725D" w14:textId="77777777" w:rsidR="00D56A0D" w:rsidRPr="00D8264F" w:rsidRDefault="00385188" w:rsidP="003851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264F">
        <w:rPr>
          <w:rFonts w:ascii="Times New Roman" w:hAnsi="Times New Roman" w:cs="Times New Roman"/>
          <w:sz w:val="20"/>
          <w:szCs w:val="20"/>
        </w:rPr>
        <w:t>za</w:t>
      </w:r>
      <w:r w:rsidR="00D56A0D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planowani</w:t>
      </w:r>
      <w:r w:rsidR="005F2AF6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D56A0D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, przygotowani</w:t>
      </w: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D56A0D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, instalacj</w:t>
      </w: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D56A0D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migracj</w:t>
      </w:r>
      <w:r w:rsidR="00533179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D56A0D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z istniejącej instancji Cisco Prime Infrastructure</w:t>
      </w:r>
      <w:r w:rsidR="000A230D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wersji 3.7</w:t>
      </w:r>
      <w:r w:rsidR="00D56A0D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(PI) działającej jako maszyna wirtualna Zamawiającego do nowej platformy Cisco Catalyst Center Virtual Appliance instalowanej na środowisku VMware Zamawiającego. Wykonawca odpowiada za pełny proces migracyjny, testy, dokumentację techniczną oraz konfigurację końcową.</w:t>
      </w:r>
    </w:p>
    <w:p w14:paraId="4E7E27A3" w14:textId="77777777" w:rsidR="00D56A0D" w:rsidRPr="00D8264F" w:rsidRDefault="00D56A0D" w:rsidP="00D5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Definicje:</w:t>
      </w:r>
    </w:p>
    <w:p w14:paraId="58C3677D" w14:textId="77777777" w:rsidR="00D56A0D" w:rsidRPr="00D8264F" w:rsidRDefault="00D56A0D" w:rsidP="00D56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PI (Cisco Prime Infrastructure)</w:t>
      </w: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B6606FE" w14:textId="77777777" w:rsidR="00D56A0D" w:rsidRPr="00D8264F" w:rsidRDefault="00D56A0D" w:rsidP="00D56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CC (Cisco Catalyst Center / DNA Center)</w:t>
      </w: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4271D48" w14:textId="77777777" w:rsidR="00D56A0D" w:rsidRPr="00D8264F" w:rsidRDefault="00D56A0D" w:rsidP="00D56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9B3949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Planowanie, Ocena Gotowości i Przygotowanie Infrastruktury</w:t>
      </w:r>
    </w:p>
    <w:p w14:paraId="2CF16F2D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2.1 Analiza środowiska Cisco Prime Infrastructure (VM)</w:t>
      </w:r>
    </w:p>
    <w:p w14:paraId="4542DA07" w14:textId="77777777" w:rsidR="00D56A0D" w:rsidRPr="00D8264F" w:rsidRDefault="00D56A0D" w:rsidP="00D56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Weryfikacja wersji PI i patchy,</w:t>
      </w:r>
    </w:p>
    <w:p w14:paraId="30B31FBA" w14:textId="77777777" w:rsidR="00D56A0D" w:rsidRPr="00D8264F" w:rsidRDefault="00D56A0D" w:rsidP="00D56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Analiza przydzielonych zasobów VM (CPU, RAM, Storage),</w:t>
      </w:r>
    </w:p>
    <w:p w14:paraId="62D4EC99" w14:textId="77777777" w:rsidR="00D56A0D" w:rsidRPr="00D8264F" w:rsidRDefault="00D56A0D" w:rsidP="00D56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integralności danych i spójności inventory,</w:t>
      </w:r>
    </w:p>
    <w:p w14:paraId="1D85951B" w14:textId="77777777" w:rsidR="00D56A0D" w:rsidRPr="00D8264F" w:rsidRDefault="00D56A0D" w:rsidP="00D56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Weryfikacja komunikacji PI z urządzeniami sieciowymi.</w:t>
      </w:r>
    </w:p>
    <w:p w14:paraId="28B5F963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2.2 Ocena gotowości do migracji (PDART)</w:t>
      </w:r>
    </w:p>
    <w:p w14:paraId="682D16DD" w14:textId="77777777" w:rsidR="00D56A0D" w:rsidRPr="00D8264F" w:rsidRDefault="00D56A0D" w:rsidP="00D5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użyje narzędzia Prime Data Assessment and Readiness Tool (PDART) w celu:</w:t>
      </w:r>
    </w:p>
    <w:p w14:paraId="24D31C90" w14:textId="77777777" w:rsidR="00D56A0D" w:rsidRPr="00D8264F" w:rsidRDefault="00D56A0D" w:rsidP="00D56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analizy skali środowiska</w:t>
      </w:r>
      <w:r w:rsidR="00533179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1FB98F4" w14:textId="77777777" w:rsidR="00D56A0D" w:rsidRPr="00D8264F" w:rsidRDefault="00D56A0D" w:rsidP="00D56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weryfikacji kompatybilności urządzeń i oprogramowania z Catalyst Center,</w:t>
      </w:r>
    </w:p>
    <w:p w14:paraId="3C279DE9" w14:textId="77777777" w:rsidR="00D56A0D" w:rsidRPr="00D8264F" w:rsidRDefault="00D56A0D" w:rsidP="00D56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identyfikacji potencjalnych blokad migracyjnych,</w:t>
      </w:r>
    </w:p>
    <w:p w14:paraId="56E1C23E" w14:textId="77777777" w:rsidR="00D56A0D" w:rsidRPr="00D8264F" w:rsidRDefault="00D56A0D" w:rsidP="00D56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przygotowania raportu z rekomendacjami działań naprawczych.</w:t>
      </w:r>
    </w:p>
    <w:p w14:paraId="2DE5B31E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2.3 Czyszczenie danych w PI</w:t>
      </w:r>
    </w:p>
    <w:p w14:paraId="601563A2" w14:textId="77777777" w:rsidR="00D56A0D" w:rsidRPr="00D8264F" w:rsidRDefault="00D56A0D" w:rsidP="00D56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Usunięcie nieużywanych grup lokalizacji, starych map i nieaktywnych urządzeń,</w:t>
      </w:r>
    </w:p>
    <w:p w14:paraId="2F9C209C" w14:textId="77777777" w:rsidR="00D56A0D" w:rsidRPr="00D8264F" w:rsidRDefault="00D56A0D" w:rsidP="00D56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Porządkowanie inventory i zależności między urządzeniami,</w:t>
      </w:r>
    </w:p>
    <w:p w14:paraId="139BC396" w14:textId="77777777" w:rsidR="00D56A0D" w:rsidRPr="00D8264F" w:rsidRDefault="00D56A0D" w:rsidP="00D56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spójności danych przed migracją.</w:t>
      </w:r>
    </w:p>
    <w:p w14:paraId="59AB0CD6" w14:textId="77777777" w:rsidR="00D56A0D" w:rsidRPr="00D8264F" w:rsidRDefault="00D56A0D" w:rsidP="00D56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184231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 Planowanie i wdrożenie Cisco Catalyst Center V</w:t>
      </w:r>
      <w:r w:rsidR="00385188"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</w:t>
      </w:r>
    </w:p>
    <w:p w14:paraId="47AFFA1D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3.1 Analiza wymagań sprzętowych i środowiskowych VMware</w:t>
      </w:r>
    </w:p>
    <w:p w14:paraId="451AF9BC" w14:textId="77777777" w:rsidR="00D56A0D" w:rsidRPr="00D8264F" w:rsidRDefault="00D56A0D" w:rsidP="00D56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Analiza liczby urządzeń, punktów dostępowych i endpointów,</w:t>
      </w:r>
    </w:p>
    <w:p w14:paraId="36EB7AE9" w14:textId="77777777" w:rsidR="00D56A0D" w:rsidRPr="00D8264F" w:rsidRDefault="00D56A0D" w:rsidP="00D56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Określenie wymagań CPU, RAM, Storage, IOPS,</w:t>
      </w:r>
    </w:p>
    <w:p w14:paraId="02D71FC7" w14:textId="77777777" w:rsidR="00D56A0D" w:rsidRPr="00D8264F" w:rsidRDefault="00D56A0D" w:rsidP="00D56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Konfiguracja sieci (VLAN, adresacja IP, DNS, NTP).</w:t>
      </w:r>
    </w:p>
    <w:p w14:paraId="11EAD4AF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3.2 Instalacja CC </w:t>
      </w:r>
      <w:r w:rsidR="00385188"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="004D5316"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</w:t>
      </w:r>
    </w:p>
    <w:p w14:paraId="78EE0AAD" w14:textId="77777777" w:rsidR="00D56A0D" w:rsidRPr="00D8264F" w:rsidRDefault="00D56A0D" w:rsidP="00D56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Wdrożenie obrazu OVA/ISO w środowisku VMware Zamawiającego,</w:t>
      </w:r>
    </w:p>
    <w:p w14:paraId="5F1C7C2B" w14:textId="77777777" w:rsidR="00D56A0D" w:rsidRPr="00D8264F" w:rsidRDefault="00D56A0D" w:rsidP="00D56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Parametryzacja zasobów maszyny wirtualnej,</w:t>
      </w:r>
    </w:p>
    <w:p w14:paraId="62D4580F" w14:textId="77777777" w:rsidR="00D56A0D" w:rsidRPr="00D8264F" w:rsidRDefault="00D56A0D" w:rsidP="00D56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Konfiguracja interfejsów sieciowych,</w:t>
      </w:r>
    </w:p>
    <w:p w14:paraId="07431A82" w14:textId="77777777" w:rsidR="00D56A0D" w:rsidRPr="00D8264F" w:rsidRDefault="00D56A0D" w:rsidP="00D56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Inicjalizacja systemu, aktualizacja do wersji rekomendowanej przez Cisco,</w:t>
      </w:r>
    </w:p>
    <w:p w14:paraId="345CA5A6" w14:textId="77777777" w:rsidR="00D56A0D" w:rsidRPr="00D8264F" w:rsidRDefault="00D56A0D" w:rsidP="00D56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Testy uruchomienia i sprawności podstawowych usług.</w:t>
      </w:r>
    </w:p>
    <w:p w14:paraId="614BA286" w14:textId="77777777" w:rsidR="00D56A0D" w:rsidRPr="00D8264F" w:rsidRDefault="00D56A0D" w:rsidP="00D56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A6EAFD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 Migracja danych z PI VM do CC V</w:t>
      </w:r>
      <w:r w:rsidR="00385188"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</w:t>
      </w:r>
    </w:p>
    <w:p w14:paraId="7791AC7F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4.1 Przygotowanie środowisk do migracji</w:t>
      </w:r>
    </w:p>
    <w:p w14:paraId="2A937402" w14:textId="77777777" w:rsidR="00D56A0D" w:rsidRPr="00D8264F" w:rsidRDefault="00D56A0D" w:rsidP="00D56A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Konfiguracja kont i poświadczeń,</w:t>
      </w:r>
    </w:p>
    <w:p w14:paraId="75D62B8B" w14:textId="77777777" w:rsidR="0039519D" w:rsidRPr="00D8264F" w:rsidRDefault="00D56A0D" w:rsidP="00331F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Weryfikacja komunikacji </w:t>
      </w:r>
    </w:p>
    <w:p w14:paraId="345163E4" w14:textId="77777777" w:rsidR="00D56A0D" w:rsidRPr="00D8264F" w:rsidRDefault="00D56A0D" w:rsidP="00331F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dostępności usług wymaganych przez PDMT.</w:t>
      </w:r>
    </w:p>
    <w:p w14:paraId="3171E6FD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4.2 Migracja danych przy użyciu PDMT</w:t>
      </w:r>
    </w:p>
    <w:p w14:paraId="79B7447C" w14:textId="77777777" w:rsidR="00D56A0D" w:rsidRPr="00D8264F" w:rsidRDefault="00D56A0D" w:rsidP="00D56A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Przeniesienie struktury lokalizacji,</w:t>
      </w:r>
    </w:p>
    <w:p w14:paraId="06CB3B51" w14:textId="77777777" w:rsidR="00D56A0D" w:rsidRPr="00D8264F" w:rsidRDefault="00D56A0D" w:rsidP="00D56A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Migracja inventory urządzeń, AP, WLC,</w:t>
      </w:r>
    </w:p>
    <w:p w14:paraId="3DAF460D" w14:textId="77777777" w:rsidR="00D56A0D" w:rsidRPr="00D8264F" w:rsidRDefault="00D56A0D" w:rsidP="00D56A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Migracja wspieranych polityk, profili i konfiguracji,</w:t>
      </w:r>
    </w:p>
    <w:p w14:paraId="081F4056" w14:textId="77777777" w:rsidR="00D56A0D" w:rsidRPr="00D8264F" w:rsidRDefault="00D56A0D" w:rsidP="00D56A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Przeniesienie danych telemetrycznych i operacyjnych,</w:t>
      </w:r>
    </w:p>
    <w:p w14:paraId="31F3CE07" w14:textId="77777777" w:rsidR="00D56A0D" w:rsidRPr="00D8264F" w:rsidRDefault="00D56A0D" w:rsidP="00D56A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Proces zgodny z wytycznymi Cisco i raportem PDART.</w:t>
      </w:r>
    </w:p>
    <w:p w14:paraId="7133B184" w14:textId="77777777" w:rsidR="00D56A0D" w:rsidRPr="00D8264F" w:rsidRDefault="00D56A0D" w:rsidP="00D56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2E0006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 Testy powdrożeniowe i stabilizacja</w:t>
      </w:r>
    </w:p>
    <w:p w14:paraId="6AC3D5BF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5.1 Testy poprawności migracji</w:t>
      </w:r>
    </w:p>
    <w:p w14:paraId="75EBEBFB" w14:textId="77777777" w:rsidR="00D56A0D" w:rsidRPr="00D8264F" w:rsidRDefault="00D56A0D" w:rsidP="00D56A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Weryfikacja danych przeniesionych do CC,</w:t>
      </w:r>
    </w:p>
    <w:p w14:paraId="76C8F617" w14:textId="77777777" w:rsidR="00D56A0D" w:rsidRPr="00D8264F" w:rsidRDefault="00D56A0D" w:rsidP="00D56A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struktury lokalizacji i map,</w:t>
      </w:r>
    </w:p>
    <w:p w14:paraId="1695BE94" w14:textId="77777777" w:rsidR="00D56A0D" w:rsidRPr="00D8264F" w:rsidRDefault="00D56A0D" w:rsidP="00D56A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Testy komunikacji z urządzeniami,</w:t>
      </w:r>
    </w:p>
    <w:p w14:paraId="09BCEEBD" w14:textId="77777777" w:rsidR="004D5316" w:rsidRPr="00D8264F" w:rsidRDefault="00D56A0D" w:rsidP="00A916A3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Walidacja odbioru danych telemetrycznych</w:t>
      </w:r>
      <w:r w:rsidR="00626429"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01F7A44" w14:textId="77777777" w:rsidR="004D5316" w:rsidRPr="00D8264F" w:rsidRDefault="004D5316" w:rsidP="004D5316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2A23F9F" w14:textId="77777777" w:rsidR="00D56A0D" w:rsidRPr="00D8264F" w:rsidRDefault="00D56A0D" w:rsidP="004D53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5.2 Wdrożenie polityki backupu CC</w:t>
      </w:r>
    </w:p>
    <w:p w14:paraId="656F8416" w14:textId="77777777" w:rsidR="00D56A0D" w:rsidRPr="00D8264F" w:rsidRDefault="00D56A0D" w:rsidP="00D56A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Opracowanie i konfiguracja polityki backupu,</w:t>
      </w:r>
    </w:p>
    <w:p w14:paraId="022B2B38" w14:textId="77777777" w:rsidR="00D56A0D" w:rsidRPr="00D8264F" w:rsidRDefault="00D56A0D" w:rsidP="00D56A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Testowy backup i odtworzenie danych.</w:t>
      </w:r>
    </w:p>
    <w:p w14:paraId="4D25B40C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5.3 Dezaktywacja Cisco Prime Infrastructure</w:t>
      </w:r>
    </w:p>
    <w:p w14:paraId="3A790CC0" w14:textId="77777777" w:rsidR="00D56A0D" w:rsidRPr="00D8264F" w:rsidRDefault="00D56A0D" w:rsidP="00D56A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Wyłączenie zbierania danych i monitoringu w PI,</w:t>
      </w:r>
    </w:p>
    <w:p w14:paraId="50EAEACE" w14:textId="77777777" w:rsidR="00D56A0D" w:rsidRPr="00D8264F" w:rsidRDefault="00D56A0D" w:rsidP="00D56A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Przygotowanie PI w trybie archiwalnym lub wycofanie systemu,</w:t>
      </w:r>
    </w:p>
    <w:p w14:paraId="5F3EBE7F" w14:textId="77777777" w:rsidR="00D56A0D" w:rsidRPr="00D8264F" w:rsidRDefault="00D56A0D" w:rsidP="00D56A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Przekazanie Catalyst Center jako nadrzędnej platformy zarządzania.</w:t>
      </w:r>
    </w:p>
    <w:p w14:paraId="051EE9EE" w14:textId="77777777" w:rsidR="00D56A0D" w:rsidRPr="00D8264F" w:rsidRDefault="00D56A0D" w:rsidP="00D56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00F022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 Dokumentacja techniczna</w:t>
      </w:r>
    </w:p>
    <w:p w14:paraId="55090352" w14:textId="77777777" w:rsidR="00D56A0D" w:rsidRPr="00D8264F" w:rsidRDefault="00D56A0D" w:rsidP="00D56A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Raport PDART i PDMT,</w:t>
      </w:r>
    </w:p>
    <w:p w14:paraId="55D138C1" w14:textId="77777777" w:rsidR="00D56A0D" w:rsidRPr="00D8264F" w:rsidRDefault="00D56A0D" w:rsidP="00D56A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Dokumentacja powdrożeniowa CC VA,</w:t>
      </w:r>
    </w:p>
    <w:p w14:paraId="567B2764" w14:textId="77777777" w:rsidR="00D56A0D" w:rsidRPr="00D8264F" w:rsidRDefault="00D56A0D" w:rsidP="004D53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Lista urządzeń objętych migracją,</w:t>
      </w:r>
    </w:p>
    <w:p w14:paraId="4DA31B04" w14:textId="77777777" w:rsidR="00D56A0D" w:rsidRPr="00D8264F" w:rsidRDefault="00D56A0D" w:rsidP="00D56A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Opis konfiguracji backupu i polityk bezpieczeństwa.</w:t>
      </w:r>
    </w:p>
    <w:p w14:paraId="055053AE" w14:textId="77777777" w:rsidR="00D56A0D" w:rsidRPr="00D8264F" w:rsidRDefault="00D56A0D" w:rsidP="00D56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A6EAE9" w14:textId="77777777" w:rsidR="00D56A0D" w:rsidRPr="00D8264F" w:rsidRDefault="00D56A0D" w:rsidP="00D56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7. </w:t>
      </w:r>
      <w:r w:rsidR="00385188"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Instruktaż</w:t>
      </w:r>
      <w:r w:rsidRPr="00D826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1F8EEF66" w14:textId="77777777" w:rsidR="00D56A0D" w:rsidRPr="00D8264F" w:rsidRDefault="00385188" w:rsidP="004D53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8264F">
        <w:rPr>
          <w:rFonts w:ascii="Times New Roman" w:hAnsi="Times New Roman" w:cs="Times New Roman"/>
          <w:sz w:val="20"/>
          <w:szCs w:val="20"/>
        </w:rPr>
        <w:t xml:space="preserve">Zamawiający wymaga przeprowadzenie instruktażu personelu Zamawiającego z obsługi dostarczonego rozwiązania i jego funkcjonalności w liczbie nie mniejszej niż </w:t>
      </w:r>
      <w:r w:rsidR="00D8264F" w:rsidRPr="00D8264F">
        <w:rPr>
          <w:rFonts w:ascii="Times New Roman" w:hAnsi="Times New Roman" w:cs="Times New Roman"/>
          <w:sz w:val="20"/>
          <w:szCs w:val="20"/>
        </w:rPr>
        <w:t>2</w:t>
      </w:r>
      <w:r w:rsidRPr="00D8264F">
        <w:rPr>
          <w:rFonts w:ascii="Times New Roman" w:hAnsi="Times New Roman" w:cs="Times New Roman"/>
          <w:sz w:val="20"/>
          <w:szCs w:val="20"/>
        </w:rPr>
        <w:t xml:space="preserve"> dni, 8 godzin na dzień,  w siedzibie Zamawiającego lub zdalnie;</w:t>
      </w:r>
    </w:p>
    <w:p w14:paraId="4982CE2E" w14:textId="77777777" w:rsidR="00AC4D21" w:rsidRPr="00D8264F" w:rsidRDefault="00D56A0D" w:rsidP="004D5316">
      <w:pPr>
        <w:pStyle w:val="Nagwek3"/>
        <w:rPr>
          <w:sz w:val="20"/>
          <w:szCs w:val="20"/>
        </w:rPr>
      </w:pPr>
      <w:r w:rsidRPr="00D8264F">
        <w:rPr>
          <w:sz w:val="20"/>
          <w:szCs w:val="20"/>
        </w:rPr>
        <w:t xml:space="preserve">8. </w:t>
      </w:r>
      <w:bookmarkStart w:id="0" w:name="_Toc517698227"/>
      <w:r w:rsidR="0039519D" w:rsidRPr="00D8264F">
        <w:rPr>
          <w:sz w:val="20"/>
          <w:szCs w:val="20"/>
        </w:rPr>
        <w:t>Dodatkowe wymagania:</w:t>
      </w:r>
      <w:bookmarkEnd w:id="0"/>
    </w:p>
    <w:p w14:paraId="3A2CA868" w14:textId="77777777" w:rsidR="00D56A0D" w:rsidRPr="00D8264F" w:rsidRDefault="00D56A0D" w:rsidP="00D56A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Zgodność z wytycznymi Cisco,</w:t>
      </w:r>
    </w:p>
    <w:p w14:paraId="5E45749F" w14:textId="77777777" w:rsidR="00D8264F" w:rsidRPr="00D8264F" w:rsidRDefault="00AC4D21" w:rsidP="003951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hAnsi="Times New Roman" w:cs="Times New Roman"/>
          <w:sz w:val="20"/>
          <w:szCs w:val="20"/>
        </w:rPr>
        <w:t>Oprogramowanie musi być objęte co najmniej 36 miesięcznym wsparciem producenta</w:t>
      </w:r>
      <w:r w:rsidR="0039519D" w:rsidRPr="00D8264F">
        <w:rPr>
          <w:rFonts w:ascii="Times New Roman" w:hAnsi="Times New Roman" w:cs="Times New Roman"/>
          <w:sz w:val="20"/>
          <w:szCs w:val="20"/>
        </w:rPr>
        <w:t xml:space="preserve"> i dawać </w:t>
      </w:r>
      <w:r w:rsidRPr="00D8264F">
        <w:rPr>
          <w:rFonts w:ascii="Times New Roman" w:hAnsi="Times New Roman" w:cs="Times New Roman"/>
          <w:sz w:val="20"/>
          <w:szCs w:val="20"/>
        </w:rPr>
        <w:t xml:space="preserve">możliwość zgłaszania </w:t>
      </w:r>
      <w:r w:rsidR="004D5316" w:rsidRPr="00D8264F">
        <w:rPr>
          <w:rFonts w:ascii="Times New Roman" w:hAnsi="Times New Roman" w:cs="Times New Roman"/>
          <w:sz w:val="20"/>
          <w:szCs w:val="20"/>
        </w:rPr>
        <w:t xml:space="preserve">problemów </w:t>
      </w:r>
      <w:r w:rsidRPr="00D8264F">
        <w:rPr>
          <w:rFonts w:ascii="Times New Roman" w:hAnsi="Times New Roman" w:cs="Times New Roman"/>
          <w:sz w:val="20"/>
          <w:szCs w:val="20"/>
        </w:rPr>
        <w:t>bezpośrednio do producenta.</w:t>
      </w:r>
    </w:p>
    <w:p w14:paraId="2997E59C" w14:textId="77777777" w:rsidR="00AC4D21" w:rsidRPr="00D8264F" w:rsidRDefault="00D8264F" w:rsidP="003951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hAnsi="Times New Roman" w:cs="Times New Roman"/>
          <w:sz w:val="20"/>
          <w:szCs w:val="20"/>
        </w:rPr>
        <w:t>Wykonawca musi zapewnić gwarancję na wykonaną usługę konfiguracji rozwiązania na okres</w:t>
      </w:r>
      <w:r w:rsidR="00AC4D21" w:rsidRPr="00D826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 mniej niż 3-ce,</w:t>
      </w:r>
    </w:p>
    <w:p w14:paraId="43505016" w14:textId="77777777" w:rsidR="00D56A0D" w:rsidRPr="00D8264F" w:rsidRDefault="00D56A0D" w:rsidP="00D56A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Realizacja prac w oknach serwisowych uzgodnionych z Zamawiającym,</w:t>
      </w:r>
    </w:p>
    <w:p w14:paraId="7B1D4197" w14:textId="77777777" w:rsidR="00D56A0D" w:rsidRPr="00D8264F" w:rsidRDefault="00D56A0D" w:rsidP="00D56A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264F">
        <w:rPr>
          <w:rFonts w:ascii="Times New Roman" w:eastAsia="Times New Roman" w:hAnsi="Times New Roman" w:cs="Times New Roman"/>
          <w:sz w:val="20"/>
          <w:szCs w:val="20"/>
          <w:lang w:eastAsia="pl-PL"/>
        </w:rPr>
        <w:t>Minimalizacja przestojów,</w:t>
      </w:r>
    </w:p>
    <w:p w14:paraId="2C6A49C0" w14:textId="77777777" w:rsidR="00000000" w:rsidRPr="00B877DA" w:rsidRDefault="00000000">
      <w:pPr>
        <w:rPr>
          <w:rFonts w:ascii="Times New Roman" w:hAnsi="Times New Roman" w:cs="Times New Roman"/>
          <w:sz w:val="20"/>
          <w:szCs w:val="20"/>
        </w:rPr>
      </w:pPr>
    </w:p>
    <w:sectPr w:rsidR="005F3AA8" w:rsidRPr="00B877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EBDF" w14:textId="77777777" w:rsidR="000F3EB9" w:rsidRDefault="000F3EB9" w:rsidP="00CC12B2">
      <w:pPr>
        <w:spacing w:after="0" w:line="240" w:lineRule="auto"/>
      </w:pPr>
      <w:r>
        <w:separator/>
      </w:r>
    </w:p>
  </w:endnote>
  <w:endnote w:type="continuationSeparator" w:id="0">
    <w:p w14:paraId="0EBD24DE" w14:textId="77777777" w:rsidR="000F3EB9" w:rsidRDefault="000F3EB9" w:rsidP="00CC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26C2" w14:textId="77777777" w:rsidR="00CC12B2" w:rsidRDefault="00CC12B2">
    <w:pPr>
      <w:pStyle w:val="Stopka"/>
    </w:pPr>
    <w:r w:rsidRPr="00A25198">
      <w:rPr>
        <w:rFonts w:cstheme="minorHAnsi"/>
        <w:noProof/>
        <w:color w:val="474747"/>
        <w:sz w:val="10"/>
        <w:szCs w:val="10"/>
      </w:rPr>
      <w:drawing>
        <wp:anchor distT="0" distB="0" distL="114300" distR="114300" simplePos="0" relativeHeight="251659264" behindDoc="0" locked="0" layoutInCell="1" allowOverlap="1" wp14:anchorId="24D7E086" wp14:editId="08CD2E61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6269990" cy="524510"/>
          <wp:effectExtent l="0" t="0" r="0" b="8890"/>
          <wp:wrapSquare wrapText="bothSides"/>
          <wp:docPr id="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9CBD9" w14:textId="77777777" w:rsidR="00CC12B2" w:rsidRDefault="00CC12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74A8" w14:textId="77777777" w:rsidR="000F3EB9" w:rsidRDefault="000F3EB9" w:rsidP="00CC12B2">
      <w:pPr>
        <w:spacing w:after="0" w:line="240" w:lineRule="auto"/>
      </w:pPr>
      <w:r>
        <w:separator/>
      </w:r>
    </w:p>
  </w:footnote>
  <w:footnote w:type="continuationSeparator" w:id="0">
    <w:p w14:paraId="52B8BAB1" w14:textId="77777777" w:rsidR="000F3EB9" w:rsidRDefault="000F3EB9" w:rsidP="00CC1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2E3B"/>
    <w:multiLevelType w:val="multilevel"/>
    <w:tmpl w:val="A3C4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C2347"/>
    <w:multiLevelType w:val="multilevel"/>
    <w:tmpl w:val="087C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568B1"/>
    <w:multiLevelType w:val="multilevel"/>
    <w:tmpl w:val="3FF2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20D4C"/>
    <w:multiLevelType w:val="hybridMultilevel"/>
    <w:tmpl w:val="9904A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485"/>
    <w:multiLevelType w:val="multilevel"/>
    <w:tmpl w:val="DD1E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61913"/>
    <w:multiLevelType w:val="multilevel"/>
    <w:tmpl w:val="4454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A3440"/>
    <w:multiLevelType w:val="multilevel"/>
    <w:tmpl w:val="780C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7259C"/>
    <w:multiLevelType w:val="multilevel"/>
    <w:tmpl w:val="F800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D3C75"/>
    <w:multiLevelType w:val="multilevel"/>
    <w:tmpl w:val="48C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C7C0A"/>
    <w:multiLevelType w:val="multilevel"/>
    <w:tmpl w:val="E27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01302"/>
    <w:multiLevelType w:val="multilevel"/>
    <w:tmpl w:val="EBBC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8645C"/>
    <w:multiLevelType w:val="multilevel"/>
    <w:tmpl w:val="EC8A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15FB2"/>
    <w:multiLevelType w:val="multilevel"/>
    <w:tmpl w:val="FA2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C2175"/>
    <w:multiLevelType w:val="multilevel"/>
    <w:tmpl w:val="70AA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C1B36"/>
    <w:multiLevelType w:val="multilevel"/>
    <w:tmpl w:val="344E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160428">
    <w:abstractNumId w:val="9"/>
  </w:num>
  <w:num w:numId="2" w16cid:durableId="2120954144">
    <w:abstractNumId w:val="7"/>
  </w:num>
  <w:num w:numId="3" w16cid:durableId="656230225">
    <w:abstractNumId w:val="10"/>
  </w:num>
  <w:num w:numId="4" w16cid:durableId="460345679">
    <w:abstractNumId w:val="5"/>
  </w:num>
  <w:num w:numId="5" w16cid:durableId="168758536">
    <w:abstractNumId w:val="11"/>
  </w:num>
  <w:num w:numId="6" w16cid:durableId="1797065238">
    <w:abstractNumId w:val="6"/>
  </w:num>
  <w:num w:numId="7" w16cid:durableId="1705671283">
    <w:abstractNumId w:val="2"/>
  </w:num>
  <w:num w:numId="8" w16cid:durableId="445545539">
    <w:abstractNumId w:val="1"/>
  </w:num>
  <w:num w:numId="9" w16cid:durableId="963466224">
    <w:abstractNumId w:val="12"/>
  </w:num>
  <w:num w:numId="10" w16cid:durableId="1068454718">
    <w:abstractNumId w:val="4"/>
  </w:num>
  <w:num w:numId="11" w16cid:durableId="2113745480">
    <w:abstractNumId w:val="0"/>
  </w:num>
  <w:num w:numId="12" w16cid:durableId="998725800">
    <w:abstractNumId w:val="14"/>
  </w:num>
  <w:num w:numId="13" w16cid:durableId="1380516890">
    <w:abstractNumId w:val="13"/>
  </w:num>
  <w:num w:numId="14" w16cid:durableId="319893442">
    <w:abstractNumId w:val="8"/>
  </w:num>
  <w:num w:numId="15" w16cid:durableId="42580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0D"/>
    <w:rsid w:val="000A230D"/>
    <w:rsid w:val="000E1C02"/>
    <w:rsid w:val="000F3EB9"/>
    <w:rsid w:val="00385188"/>
    <w:rsid w:val="0039519D"/>
    <w:rsid w:val="003D44F8"/>
    <w:rsid w:val="004D5316"/>
    <w:rsid w:val="00533179"/>
    <w:rsid w:val="005F2AF6"/>
    <w:rsid w:val="00626429"/>
    <w:rsid w:val="0063028B"/>
    <w:rsid w:val="0070353A"/>
    <w:rsid w:val="007A2FE5"/>
    <w:rsid w:val="00907212"/>
    <w:rsid w:val="00915494"/>
    <w:rsid w:val="00994A89"/>
    <w:rsid w:val="00AC4D21"/>
    <w:rsid w:val="00B604E7"/>
    <w:rsid w:val="00B877DA"/>
    <w:rsid w:val="00BE5775"/>
    <w:rsid w:val="00CC12B2"/>
    <w:rsid w:val="00D56A0D"/>
    <w:rsid w:val="00D63AB4"/>
    <w:rsid w:val="00D8264F"/>
    <w:rsid w:val="00D93704"/>
    <w:rsid w:val="00DA119A"/>
    <w:rsid w:val="00F2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F135"/>
  <w15:chartTrackingRefBased/>
  <w15:docId w15:val="{E377A2F8-9F27-4143-95C3-B93A5246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56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56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56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A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56A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56A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6A0D"/>
    <w:rPr>
      <w:b/>
      <w:bCs/>
    </w:rPr>
  </w:style>
  <w:style w:type="paragraph" w:styleId="Akapitzlist">
    <w:name w:val="List Paragraph"/>
    <w:basedOn w:val="Normalny"/>
    <w:uiPriority w:val="34"/>
    <w:qFormat/>
    <w:rsid w:val="005F2A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2B2"/>
  </w:style>
  <w:style w:type="paragraph" w:styleId="Stopka">
    <w:name w:val="footer"/>
    <w:basedOn w:val="Normalny"/>
    <w:link w:val="StopkaZnak"/>
    <w:uiPriority w:val="99"/>
    <w:unhideWhenUsed/>
    <w:rsid w:val="00CC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2B2"/>
  </w:style>
  <w:style w:type="character" w:styleId="Odwoaniedokomentarza">
    <w:name w:val="annotation reference"/>
    <w:basedOn w:val="Domylnaczcionkaakapitu"/>
    <w:uiPriority w:val="99"/>
    <w:semiHidden/>
    <w:unhideWhenUsed/>
    <w:rsid w:val="007035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5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5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5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5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53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A1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Wojsym</dc:creator>
  <cp:keywords/>
  <dc:description/>
  <cp:lastModifiedBy>Blaszczak Anna</cp:lastModifiedBy>
  <cp:revision>2</cp:revision>
  <dcterms:created xsi:type="dcterms:W3CDTF">2026-02-26T11:25:00Z</dcterms:created>
  <dcterms:modified xsi:type="dcterms:W3CDTF">2026-02-26T11:25:00Z</dcterms:modified>
</cp:coreProperties>
</file>