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669E" w:rsidRDefault="0065601B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65601B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65994681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65601B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1" w:name="ezdDataPodpisu"/>
      <w:r>
        <w:rPr>
          <w:rFonts w:ascii="Calibri" w:hAnsi="Calibri" w:cs="Calibri"/>
        </w:rPr>
        <w:t>30 grudnia 2021 r.</w:t>
      </w:r>
      <w:bookmarkEnd w:id="1"/>
    </w:p>
    <w:p w:rsidR="004824F3" w:rsidRPr="0084668F" w:rsidRDefault="0065601B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r w:rsidRPr="0084668F">
        <w:rPr>
          <w:rFonts w:ascii="Calibri" w:hAnsi="Calibri" w:cs="Calibri"/>
          <w:bCs/>
        </w:rPr>
        <w:t>WNP-P.4131.19.2021.IJ</w:t>
      </w:r>
    </w:p>
    <w:p w:rsidR="009C5647" w:rsidRDefault="0065601B" w:rsidP="00DC34C7">
      <w:pPr>
        <w:tabs>
          <w:tab w:val="left" w:pos="4500"/>
          <w:tab w:val="center" w:pos="4675"/>
          <w:tab w:val="left" w:pos="5049"/>
        </w:tabs>
        <w:spacing w:line="276" w:lineRule="auto"/>
        <w:ind w:left="5387"/>
        <w:rPr>
          <w:rFonts w:ascii="Calibri" w:hAnsi="Calibri" w:cs="Calibri"/>
        </w:rPr>
      </w:pPr>
    </w:p>
    <w:p w:rsidR="007D757B" w:rsidRDefault="0065601B" w:rsidP="00DC34C7">
      <w:pPr>
        <w:tabs>
          <w:tab w:val="left" w:pos="4500"/>
          <w:tab w:val="center" w:pos="4675"/>
          <w:tab w:val="left" w:pos="5049"/>
        </w:tabs>
        <w:spacing w:line="276" w:lineRule="auto"/>
        <w:ind w:left="5387"/>
        <w:rPr>
          <w:rFonts w:ascii="Calibri" w:hAnsi="Calibri" w:cs="Calibri"/>
          <w:b/>
        </w:rPr>
      </w:pPr>
      <w:r w:rsidRPr="009C5647">
        <w:rPr>
          <w:rFonts w:ascii="Calibri" w:hAnsi="Calibri" w:cs="Calibri"/>
          <w:b/>
        </w:rPr>
        <w:t>Rada Gminy Rościszewo</w:t>
      </w:r>
    </w:p>
    <w:p w:rsidR="0016614B" w:rsidRPr="00263257" w:rsidRDefault="0065601B" w:rsidP="00DC34C7">
      <w:pPr>
        <w:tabs>
          <w:tab w:val="left" w:pos="4500"/>
          <w:tab w:val="center" w:pos="4675"/>
          <w:tab w:val="left" w:pos="5049"/>
        </w:tabs>
        <w:spacing w:line="276" w:lineRule="auto"/>
        <w:ind w:left="5387"/>
        <w:rPr>
          <w:rFonts w:ascii="Calibri" w:hAnsi="Calibri" w:cs="Calibri"/>
        </w:rPr>
      </w:pPr>
      <w:r w:rsidRPr="00263257">
        <w:rPr>
          <w:rFonts w:ascii="Calibri" w:hAnsi="Calibri" w:cs="Calibri"/>
        </w:rPr>
        <w:t>ul. Armii Krajowej 1</w:t>
      </w:r>
    </w:p>
    <w:p w:rsidR="0016614B" w:rsidRPr="00263257" w:rsidRDefault="0065601B" w:rsidP="00DC34C7">
      <w:pPr>
        <w:tabs>
          <w:tab w:val="left" w:pos="4500"/>
          <w:tab w:val="center" w:pos="4675"/>
          <w:tab w:val="left" w:pos="5049"/>
        </w:tabs>
        <w:spacing w:line="276" w:lineRule="auto"/>
        <w:ind w:left="5387"/>
        <w:rPr>
          <w:rFonts w:ascii="Calibri" w:hAnsi="Calibri" w:cs="Calibri"/>
        </w:rPr>
      </w:pPr>
      <w:r w:rsidRPr="00263257">
        <w:rPr>
          <w:rFonts w:ascii="Calibri" w:hAnsi="Calibri" w:cs="Calibri"/>
        </w:rPr>
        <w:t>09-204 Rościszewo</w:t>
      </w: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  <w:r w:rsidRPr="00407C89">
        <w:rPr>
          <w:rFonts w:ascii="Calibri" w:hAnsi="Calibri" w:cs="Calibri"/>
          <w:b/>
        </w:rPr>
        <w:t>Rozstrzygnięcie nadzorcze</w:t>
      </w: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</w:p>
    <w:p w:rsidR="00263257" w:rsidRDefault="0065601B" w:rsidP="0026325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407C89">
        <w:rPr>
          <w:rFonts w:ascii="Calibri" w:hAnsi="Calibri" w:cs="Calibri"/>
        </w:rPr>
        <w:t xml:space="preserve">Na podstawie art. 91 </w:t>
      </w:r>
      <w:r>
        <w:rPr>
          <w:rFonts w:ascii="Calibri" w:hAnsi="Calibri" w:cs="Calibri"/>
        </w:rPr>
        <w:t>ustawy z dnia 8 marca 1990 r. o samorządzie gminnym (Dz.U. z 2021</w:t>
      </w:r>
      <w:r>
        <w:rPr>
          <w:rFonts w:ascii="Calibri" w:hAnsi="Calibri" w:cs="Calibri"/>
        </w:rPr>
        <w:t xml:space="preserve"> r. poz. 1372 i 1834)</w:t>
      </w: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  <w:r w:rsidRPr="00407C89">
        <w:rPr>
          <w:rFonts w:ascii="Calibri" w:hAnsi="Calibri" w:cs="Calibri"/>
          <w:b/>
        </w:rPr>
        <w:t>stwierdzam nieważność</w:t>
      </w:r>
    </w:p>
    <w:p w:rsidR="00263257" w:rsidRDefault="0065601B" w:rsidP="00263257">
      <w:pPr>
        <w:spacing w:line="276" w:lineRule="auto"/>
        <w:jc w:val="both"/>
        <w:rPr>
          <w:rFonts w:ascii="Calibri" w:hAnsi="Calibri" w:cs="Calibri"/>
        </w:rPr>
      </w:pPr>
    </w:p>
    <w:p w:rsidR="00263257" w:rsidRDefault="0065601B" w:rsidP="0026325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407C89">
        <w:rPr>
          <w:rFonts w:ascii="Calibri" w:hAnsi="Calibri" w:cs="Calibri"/>
        </w:rPr>
        <w:t xml:space="preserve">chwały Nr </w:t>
      </w:r>
      <w:r>
        <w:rPr>
          <w:rFonts w:ascii="Calibri" w:hAnsi="Calibri" w:cs="Calibri"/>
        </w:rPr>
        <w:t xml:space="preserve">217/XXXI/2021 </w:t>
      </w:r>
      <w:r>
        <w:rPr>
          <w:rFonts w:ascii="Calibri" w:hAnsi="Calibri" w:cs="Calibri"/>
        </w:rPr>
        <w:t xml:space="preserve">Rady Gminy </w:t>
      </w:r>
      <w:r>
        <w:rPr>
          <w:rFonts w:ascii="Calibri" w:hAnsi="Calibri" w:cs="Calibri"/>
        </w:rPr>
        <w:t xml:space="preserve">Rościszewo z dnia 30 </w:t>
      </w:r>
      <w:r>
        <w:rPr>
          <w:rFonts w:ascii="Calibri" w:hAnsi="Calibri" w:cs="Calibri"/>
        </w:rPr>
        <w:t>listopada 2021 r. w sprawie</w:t>
      </w:r>
      <w:r>
        <w:rPr>
          <w:rFonts w:ascii="Calibri" w:hAnsi="Calibri" w:cs="Calibri"/>
        </w:rPr>
        <w:t xml:space="preserve"> ustalenia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zryczałtowanych </w:t>
      </w:r>
      <w:r>
        <w:rPr>
          <w:rFonts w:ascii="Calibri" w:hAnsi="Calibri" w:cs="Calibri"/>
        </w:rPr>
        <w:t xml:space="preserve">diet </w:t>
      </w:r>
      <w:r>
        <w:rPr>
          <w:rFonts w:ascii="Calibri" w:hAnsi="Calibri" w:cs="Calibri"/>
        </w:rPr>
        <w:t>dla radnych.</w:t>
      </w: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  <w:r w:rsidRPr="00AF6E88">
        <w:rPr>
          <w:rFonts w:ascii="Calibri" w:hAnsi="Calibri" w:cs="Calibri"/>
          <w:b/>
        </w:rPr>
        <w:t>Uzasadnienie</w:t>
      </w:r>
    </w:p>
    <w:p w:rsidR="00263257" w:rsidRDefault="0065601B" w:rsidP="00263257">
      <w:pPr>
        <w:spacing w:line="276" w:lineRule="auto"/>
        <w:jc w:val="center"/>
        <w:rPr>
          <w:rFonts w:ascii="Calibri" w:hAnsi="Calibri" w:cs="Calibri"/>
          <w:b/>
        </w:rPr>
      </w:pPr>
    </w:p>
    <w:p w:rsidR="009C47F6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 w:rsidRPr="00CE33E3">
        <w:rPr>
          <w:rFonts w:ascii="Calibri" w:hAnsi="Calibri" w:cs="Calibri"/>
        </w:rPr>
        <w:t xml:space="preserve">Przedmiotową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chwałą, dor</w:t>
      </w:r>
      <w:r>
        <w:rPr>
          <w:rFonts w:ascii="Calibri" w:hAnsi="Calibri" w:cs="Calibri"/>
        </w:rPr>
        <w:t>ęczoną organowi nadzoru w dniu 7</w:t>
      </w:r>
      <w:r>
        <w:rPr>
          <w:rFonts w:ascii="Calibri" w:hAnsi="Calibri" w:cs="Calibri"/>
        </w:rPr>
        <w:t xml:space="preserve"> grudnia 2021 r. Rada Gminy </w:t>
      </w:r>
      <w:r>
        <w:rPr>
          <w:rFonts w:ascii="Calibri" w:hAnsi="Calibri" w:cs="Calibri"/>
        </w:rPr>
        <w:t xml:space="preserve">Rościszewo </w:t>
      </w:r>
      <w:r>
        <w:rPr>
          <w:rFonts w:ascii="Calibri" w:hAnsi="Calibri" w:cs="Calibri"/>
        </w:rPr>
        <w:t xml:space="preserve">ustaliła </w:t>
      </w:r>
      <w:r>
        <w:rPr>
          <w:rFonts w:ascii="Calibri" w:hAnsi="Calibri" w:cs="Calibri"/>
        </w:rPr>
        <w:t>wysokość diet Radnych tej Gminy, z uwzględnieniem pełnionych przez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nich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funkcji oraz ustaliła zasady jej przyznawania</w:t>
      </w:r>
      <w:r>
        <w:rPr>
          <w:rFonts w:ascii="Calibri" w:hAnsi="Calibri" w:cs="Calibri"/>
        </w:rPr>
        <w:t>, stanowiąc w § 3 uchwały, że kwota diet miesięcznych ulega zmniejszeniu o 25% za każdą nie</w:t>
      </w:r>
      <w:r>
        <w:rPr>
          <w:rFonts w:ascii="Calibri" w:hAnsi="Calibri" w:cs="Calibri"/>
        </w:rPr>
        <w:t>usprawiedliwioną nieobecność na Sesji Rady Gminy lub posiedzeniu komisji stałych Rady Gminy.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Rada określiła również regułę wskazującą sposób i termin wejścia w życie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chwały, stanowiąc w § 6, iż wchodzi ona w życie z dniem podjęcia z mocą obowiązującą od d</w:t>
      </w:r>
      <w:r>
        <w:rPr>
          <w:rFonts w:ascii="Calibri" w:hAnsi="Calibri" w:cs="Calibri"/>
        </w:rPr>
        <w:t xml:space="preserve">nia 1 grudnia 2021 r. </w:t>
      </w:r>
      <w:r>
        <w:rPr>
          <w:rFonts w:ascii="Calibri" w:hAnsi="Calibri" w:cs="Calibri"/>
        </w:rPr>
        <w:t>i podlega ogłoszeniu poprzez wywieszenie na tablicy ogłoszeń w Urzędzie Gminy.</w:t>
      </w:r>
    </w:p>
    <w:p w:rsidR="008D6A92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pierwszej kolejności organ nadzoru wskazuje</w:t>
      </w:r>
      <w:r>
        <w:rPr>
          <w:rFonts w:ascii="Calibri" w:hAnsi="Calibri" w:cs="Calibri"/>
        </w:rPr>
        <w:t>, ż</w:t>
      </w:r>
      <w:r>
        <w:rPr>
          <w:rFonts w:ascii="Calibri" w:hAnsi="Calibri" w:cs="Calibri"/>
        </w:rPr>
        <w:t>e uchwała  Rady Gminy Rościszewo jest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aktem prawa miejscowego</w:t>
      </w:r>
      <w:r>
        <w:rPr>
          <w:rFonts w:ascii="Calibri" w:hAnsi="Calibri" w:cs="Calibri"/>
        </w:rPr>
        <w:t>, powinna więc zostać opublikowana w Dzienniku</w:t>
      </w:r>
      <w:r>
        <w:rPr>
          <w:rFonts w:ascii="Calibri" w:hAnsi="Calibri" w:cs="Calibri"/>
        </w:rPr>
        <w:t xml:space="preserve"> Urzędowym Województwa Mazowieckiego z uwzględnieniem ustawowego terminu wejścia w życie (14 dni od dnia publikacji).</w:t>
      </w:r>
    </w:p>
    <w:p w:rsidR="000E02D0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orzecznictwie sądów administracyjnych przyjęto, że</w:t>
      </w:r>
      <w:r>
        <w:rPr>
          <w:rFonts w:ascii="Calibri" w:hAnsi="Calibri" w:cs="Calibri"/>
        </w:rPr>
        <w:t xml:space="preserve"> charakter aktu prawa miejscowego mają akty normatywne </w:t>
      </w:r>
      <w:r>
        <w:rPr>
          <w:rFonts w:ascii="Calibri" w:hAnsi="Calibri" w:cs="Calibri"/>
        </w:rPr>
        <w:t xml:space="preserve">zawierające normy postępowania </w:t>
      </w:r>
      <w:r>
        <w:rPr>
          <w:rFonts w:ascii="Calibri" w:hAnsi="Calibri" w:cs="Calibri"/>
        </w:rPr>
        <w:t>o charakterze abstrakcyjnym i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generalnym. Normatywny charakter aktu oznacza, że zawiera on wypowiedzi wyznaczające adresatom pewien s</w:t>
      </w:r>
      <w:r>
        <w:rPr>
          <w:rFonts w:ascii="Calibri" w:hAnsi="Calibri" w:cs="Calibri"/>
        </w:rPr>
        <w:t xml:space="preserve">posób zachowania się, przybierający postać nakazu, zakazu lub uprawnienia. Charakter generalny oznacza, że normy zawarte w </w:t>
      </w:r>
      <w:r>
        <w:rPr>
          <w:rFonts w:ascii="Calibri" w:hAnsi="Calibri" w:cs="Calibri"/>
        </w:rPr>
        <w:t>akcie definiują adresatów  poprzez wskazanie cech, a nie poprzez wymienienie ich z nazwy. Natomiast abstrakcyjność normy wyraża się w tym, że nakazywane, zakazywane</w:t>
      </w:r>
      <w:r>
        <w:rPr>
          <w:rFonts w:ascii="Calibri" w:hAnsi="Calibri" w:cs="Calibri"/>
        </w:rPr>
        <w:t xml:space="preserve"> lub dozwolone zachowanie ma mieć miejsce w pewnych, z reguły powtarzalnych okolicznościach,</w:t>
      </w:r>
      <w:r>
        <w:rPr>
          <w:rFonts w:ascii="Calibri" w:hAnsi="Calibri" w:cs="Calibri"/>
        </w:rPr>
        <w:t xml:space="preserve"> nie zaś w jednej, konkretnej sytuacji, akty te nie mogą</w:t>
      </w:r>
      <w:r w:rsidRPr="00CF06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się   konsumować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poprzez jednorazowe zastosowanie.</w:t>
      </w:r>
    </w:p>
    <w:p w:rsidR="00A43B78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chwała Rady Gminy w sprawie ustalenia zasad przyznawania i wysokości diet radnych zawiera normy abstrakcyjne, ponieważ diety mają charakter powtar</w:t>
      </w:r>
      <w:r>
        <w:rPr>
          <w:rFonts w:ascii="Calibri" w:hAnsi="Calibri" w:cs="Calibri"/>
        </w:rPr>
        <w:t xml:space="preserve">zalny, jest aktem generalnym, ponieważ jej adresaci zostali określeni poprzez wskazanie wspólnej ich cechy, jaką jest pełnienie funkcji radnego, nie zaś w sposób zindywidualizowany, ponadto zawiera przepisy normatywne, na podstawie których  </w:t>
      </w:r>
      <w:r>
        <w:rPr>
          <w:rFonts w:ascii="Calibri" w:hAnsi="Calibri" w:cs="Calibri"/>
        </w:rPr>
        <w:t>jej adresaci uz</w:t>
      </w:r>
      <w:r>
        <w:rPr>
          <w:rFonts w:ascii="Calibri" w:hAnsi="Calibri" w:cs="Calibri"/>
        </w:rPr>
        <w:t>yskali uprawnienie do diety.</w:t>
      </w:r>
    </w:p>
    <w:p w:rsidR="000A379C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Nieuwzględnienie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treści § 6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powyższego trybu publikacji stanowi istotne naruszenie art. 13 pkt 2 ustawy z dnia 20 lipca 2000 r. o ogłaszaniu aktów normatywnych i niektórych innych aktów (</w:t>
      </w:r>
      <w:r>
        <w:rPr>
          <w:rFonts w:ascii="Calibri" w:hAnsi="Calibri" w:cs="Calibri"/>
        </w:rPr>
        <w:t xml:space="preserve">t.j. </w:t>
      </w:r>
      <w:r>
        <w:rPr>
          <w:rFonts w:ascii="Calibri" w:hAnsi="Calibri" w:cs="Calibri"/>
        </w:rPr>
        <w:t>Dz.U. z 2019 r., poz. 14</w:t>
      </w:r>
      <w:r>
        <w:rPr>
          <w:rFonts w:ascii="Calibri" w:hAnsi="Calibri" w:cs="Calibri"/>
        </w:rPr>
        <w:t xml:space="preserve">61) i skutkuje nieważnością uchwały w całości (por. wyroki Naczelnego Sądu Administracyjnego z dnia 29 stycznia 2015 r., sygn. akt II OSK 3270/14 oraz z dnia 9 stycznia 2013 r., sygn. akt I OSK 1608/12). </w:t>
      </w:r>
    </w:p>
    <w:p w:rsidR="000A379C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w § 6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chwały, Rada Gminy wprowadziła błędn</w:t>
      </w:r>
      <w:r>
        <w:rPr>
          <w:rFonts w:ascii="Calibri" w:hAnsi="Calibri" w:cs="Calibri"/>
        </w:rPr>
        <w:t>y termin obowiązywania podjętej regulacji. Zgodnie z art. 18 ustawy z dnia 17 września 2021 r. o zmianie ustawy o wynagrodzeniu osób zajmujących kierownicze stanowiska państwowe oraz niektórych innych ustaw (Dz.U. z 2021 r., poz.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1834) art. 25 ust. 6 ustaw</w:t>
      </w:r>
      <w:r>
        <w:rPr>
          <w:rFonts w:ascii="Calibri" w:hAnsi="Calibri" w:cs="Calibri"/>
        </w:rPr>
        <w:t>y o samorządzie gminnym, w brzmieniu nadanym niniejszą ustawą ma zastosowanie do ustalania wysokości diet należnych od dnia 1 sierpnia 2021 r. (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nie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od</w:t>
      </w:r>
      <w:r>
        <w:rPr>
          <w:rFonts w:ascii="Calibri" w:hAnsi="Calibri" w:cs="Calibri"/>
        </w:rPr>
        <w:t> d</w:t>
      </w:r>
      <w:r>
        <w:rPr>
          <w:rFonts w:ascii="Calibri" w:hAnsi="Calibri" w:cs="Calibri"/>
        </w:rPr>
        <w:t>nia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grudnia 2021 r.</w:t>
      </w:r>
      <w:r>
        <w:rPr>
          <w:rFonts w:ascii="Calibri" w:hAnsi="Calibri" w:cs="Calibri"/>
        </w:rPr>
        <w:t>).</w:t>
      </w:r>
    </w:p>
    <w:p w:rsidR="0084668F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263257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Jako podstawę prawną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chwały </w:t>
      </w:r>
      <w:r>
        <w:rPr>
          <w:rFonts w:ascii="Calibri" w:hAnsi="Calibri" w:cs="Calibri"/>
        </w:rPr>
        <w:t>Rada Gminy Rościszewo wskazała</w:t>
      </w:r>
      <w:r>
        <w:rPr>
          <w:rFonts w:ascii="Calibri" w:hAnsi="Calibri" w:cs="Calibri"/>
        </w:rPr>
        <w:t xml:space="preserve"> art. 25 ust. 4, 6</w:t>
      </w:r>
      <w:r>
        <w:rPr>
          <w:rFonts w:ascii="Calibri" w:hAnsi="Calibri" w:cs="Calibri"/>
        </w:rPr>
        <w:t>, 7</w:t>
      </w:r>
      <w:r>
        <w:rPr>
          <w:rFonts w:ascii="Calibri" w:hAnsi="Calibri" w:cs="Calibri"/>
        </w:rPr>
        <w:t xml:space="preserve"> i 8 ustawy z dnia 8 marca 1990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r. o samorządzie gminnym (dalej: ustawa)</w:t>
      </w:r>
      <w:r>
        <w:rPr>
          <w:rFonts w:ascii="Calibri" w:hAnsi="Calibri" w:cs="Calibri"/>
        </w:rPr>
        <w:t>, z</w:t>
      </w:r>
      <w:r>
        <w:rPr>
          <w:rFonts w:ascii="Calibri" w:hAnsi="Calibri" w:cs="Calibri"/>
        </w:rPr>
        <w:t>godnie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którym</w:t>
      </w:r>
      <w:r>
        <w:rPr>
          <w:rFonts w:ascii="Calibri" w:hAnsi="Calibri" w:cs="Calibri"/>
        </w:rPr>
        <w:t xml:space="preserve"> na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zasadach ustalonych przez radę gminy, radnemu przysługują diety oraz zwrot kosztów podróży; wysokość diet przysługujących radnemu nie może przekroczyć w ciągu</w:t>
      </w:r>
      <w:r>
        <w:rPr>
          <w:rFonts w:ascii="Calibri" w:hAnsi="Calibri" w:cs="Calibri"/>
        </w:rPr>
        <w:t xml:space="preserve"> miesiąca łącznie 2,4 krotności kwoty bazowej określonej w ustawie budżetowej dla osób zajmujących kierownicze stanowiska państwowe na podstawie przepisów ustawy z dnia 23 grudnia 1999 r. o kształtowaniu wynagrodzeń w państwowej sferze budżetowej oraz o zm</w:t>
      </w:r>
      <w:r>
        <w:rPr>
          <w:rFonts w:ascii="Calibri" w:hAnsi="Calibri" w:cs="Calibri"/>
        </w:rPr>
        <w:t xml:space="preserve">ianie niektórych ustaw (t.j. Dz.U. z 2020 r., </w:t>
      </w:r>
      <w:r>
        <w:rPr>
          <w:rFonts w:ascii="Calibri" w:hAnsi="Calibri" w:cs="Calibri"/>
        </w:rPr>
        <w:lastRenderedPageBreak/>
        <w:t xml:space="preserve">poz. 1658); rada gminy przy ustalaniu wysokości diet bierze pod uwagę funkcje pełnione przez radnego. </w:t>
      </w:r>
    </w:p>
    <w:p w:rsidR="00263257" w:rsidRPr="00CE33E3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63257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ocenie organu nadzoru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chwała Nr </w:t>
      </w:r>
      <w:r>
        <w:rPr>
          <w:rFonts w:ascii="Calibri" w:hAnsi="Calibri" w:cs="Calibri"/>
        </w:rPr>
        <w:t>217/XXXI/2021 z dnia 30</w:t>
      </w:r>
      <w:r>
        <w:rPr>
          <w:rFonts w:ascii="Calibri" w:hAnsi="Calibri" w:cs="Calibri"/>
        </w:rPr>
        <w:t xml:space="preserve"> listopada 2021 r. jest sprzeczna z prawem w za</w:t>
      </w:r>
      <w:r>
        <w:rPr>
          <w:rFonts w:ascii="Calibri" w:hAnsi="Calibri" w:cs="Calibri"/>
        </w:rPr>
        <w:t>kresie niepełnej realizacji upoważnienia zawartego w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art.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25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ust.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ustawy o samorządzie gminnym.</w:t>
      </w:r>
    </w:p>
    <w:p w:rsidR="00263257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Zarówno w doktrynie prawa, jak i orzecznictwie sądów administracyjnych przyjęto, że dieta radnego, o której mowa w wyżej przytoczonych przepisach, stanowi </w:t>
      </w:r>
      <w:r>
        <w:rPr>
          <w:rFonts w:ascii="Calibri" w:hAnsi="Calibri" w:cs="Calibri"/>
        </w:rPr>
        <w:t>jedynie rekompensatę  utraconych przez radnego korzyści i nie posiada charakteru świadczenia pracowniczego. W wyroku Wojewódzkiego Sądu Administracyjnego w Opolu z dnia 7 listopada 2013 r. (sygn.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akt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II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SA/OP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316/13, źródło: orzeczenia.nsa.gov.pl) stwierdz</w:t>
      </w:r>
      <w:r>
        <w:rPr>
          <w:rFonts w:ascii="Calibri" w:hAnsi="Calibri" w:cs="Calibri"/>
        </w:rPr>
        <w:t>ono, że użyte przez ustawodawcę określenie „dieta” należy rozumieć jako zwrot kosztów związanych z pełnieniem funkcji radnego. Istota diety sprowadza się do wyrównania wydatków i strat spowodowanych pełnieniem wskazanej funkcji. Osoba pełniąca daną funkcję</w:t>
      </w:r>
      <w:r>
        <w:rPr>
          <w:rFonts w:ascii="Calibri" w:hAnsi="Calibri" w:cs="Calibri"/>
        </w:rPr>
        <w:t xml:space="preserve"> zachowuje prawo do zwrotu kosztów i wydatków (strat) poniesionych w związku ze sprawowaniem funkcji, a nie jedynie z powodu uzyskania danej funkcji. Dieta powinna być zatem ściśle powiązana z aktywnością radnych w pracach rady i zależna od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rzeczywistego  </w:t>
      </w:r>
      <w:r>
        <w:rPr>
          <w:rFonts w:ascii="Calibri" w:hAnsi="Calibri" w:cs="Calibri"/>
        </w:rPr>
        <w:t>wykonywania obowiązków związanych z pełnioną funkcją (również wyroki WSA w Opolu: z dnia 9 lipca 2015 r., sygn. akt II SA/Op 161/15, z dnia 21 lipca 2015 r., sygn.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akt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II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SA/Op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17</w:t>
      </w:r>
      <w:r>
        <w:rPr>
          <w:rFonts w:ascii="Calibri" w:hAnsi="Calibri" w:cs="Calibri"/>
        </w:rPr>
        <w:t>7/15, z dnia 4 sierpnia 2015 r.</w:t>
      </w:r>
      <w:r>
        <w:rPr>
          <w:rFonts w:ascii="Calibri" w:hAnsi="Calibri" w:cs="Calibri"/>
        </w:rPr>
        <w:t xml:space="preserve"> sygn. akt II SA/Op 252/15, źródło: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orzeczenia</w:t>
      </w:r>
      <w:r>
        <w:rPr>
          <w:rFonts w:ascii="Calibri" w:hAnsi="Calibri" w:cs="Calibri"/>
        </w:rPr>
        <w:t xml:space="preserve">.nsa.gov.pl). </w:t>
      </w:r>
    </w:p>
    <w:p w:rsidR="00500DA7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orzecznictwie podkreślono ponadto, że dopuszczalność wprowadzenia diety o charakterze ryczałtowym nie może prowadzić do sytuacji powstania stałego miesięcznego wynagrodzenia niezależnego od udziału w pracach organów gminy (patrz: Ustawa  o</w:t>
      </w:r>
      <w:r>
        <w:rPr>
          <w:rFonts w:ascii="Calibri" w:hAnsi="Calibri" w:cs="Calibri"/>
        </w:rPr>
        <w:t xml:space="preserve"> samorządzie gminnym. Komentarz, pod red. B. Dolnickiego, WKP 2018). W wyroku z dnia 26 czerwca 2014 r. Naczelny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Sąd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Administracyjny orzekł co następuje: „w sytuacji, gdy ustalenie świadczenia następuje w formie ryczałtu, brak przewidzianych potrąceń diety</w:t>
      </w:r>
      <w:r>
        <w:rPr>
          <w:rFonts w:ascii="Calibri" w:hAnsi="Calibri" w:cs="Calibri"/>
        </w:rPr>
        <w:t xml:space="preserve"> za przypadki nieobecności przewodniczącego na posiedzeniach, czy innych obowiązkowych czynnościach sprawia, że nie mamy już do czynienia ze świadczeniem wyrównawczym (kompensacyjnym)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(sygn. akt II OSK  406/14, źródło: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orzeczenia.nsa.gov.pl). </w:t>
      </w:r>
    </w:p>
    <w:p w:rsidR="00263257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Skoro przys</w:t>
      </w:r>
      <w:r>
        <w:rPr>
          <w:rFonts w:ascii="Calibri" w:hAnsi="Calibri" w:cs="Calibri"/>
        </w:rPr>
        <w:t>ługująca radnym dieta ma charakter kompensacyjny, to ustalając jej miesięczną wysokość, rada gminy powinna określić zasady potrącania diet (w całości) za niestawiennictwo radnego bądź nie branie udziału w posiedzeniach organów gminy i innych czynnościach w</w:t>
      </w:r>
      <w:r>
        <w:rPr>
          <w:rFonts w:ascii="Calibri" w:hAnsi="Calibri" w:cs="Calibri"/>
        </w:rPr>
        <w:t>ynikających ze  sprawowanego mandatu. Brak wprowadzenia takich potrąceń, stanowi zaprzeczenie pojęcia „należnej diety” i tym samym jest sprzeczny z art. 25 ust. 4 ustawy.</w:t>
      </w:r>
    </w:p>
    <w:p w:rsidR="00B64F8A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Wskazany w § 3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sposób pomniejszenia diety za nieusprawiedliwioną nieobecność</w:t>
      </w:r>
      <w:r>
        <w:rPr>
          <w:rFonts w:ascii="Calibri" w:hAnsi="Calibri" w:cs="Calibri"/>
        </w:rPr>
        <w:t xml:space="preserve"> na Sesji lub posiedzeniu komisji o 25%, jest niewystarczający</w:t>
      </w:r>
      <w:r>
        <w:rPr>
          <w:rFonts w:ascii="Calibri" w:hAnsi="Calibri" w:cs="Calibri"/>
        </w:rPr>
        <w:t>, wobec faktu, że dieta ma wyłącznie rekompensować poniesione przez radnego straty, które nie powstaną, ze względu na nieobecność radnego na posiedzeniach organów gminy. Oznacza to, że dieta wyp</w:t>
      </w:r>
      <w:r>
        <w:rPr>
          <w:rFonts w:ascii="Calibri" w:hAnsi="Calibri" w:cs="Calibri"/>
        </w:rPr>
        <w:t xml:space="preserve">łacana zgodnie z postanowieniami </w:t>
      </w:r>
      <w:r>
        <w:rPr>
          <w:rFonts w:ascii="Calibri" w:hAnsi="Calibri" w:cs="Calibri"/>
        </w:rPr>
        <w:t>uchwały będzie miała postać stałego, miesięcznego wynagrodzenia, tylko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pewnego stopnia </w:t>
      </w:r>
      <w:r>
        <w:rPr>
          <w:rFonts w:ascii="Calibri" w:hAnsi="Calibri" w:cs="Calibri"/>
        </w:rPr>
        <w:t>uzależnionego od obecności radnego na Sesji czy posiedzeniu komisji. Będzie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ona należna nawet wówczas, gdy radny nie poniesie żadnego</w:t>
      </w:r>
      <w:r>
        <w:rPr>
          <w:rFonts w:ascii="Calibri" w:hAnsi="Calibri" w:cs="Calibri"/>
        </w:rPr>
        <w:t xml:space="preserve"> wydatku czy straty związanej z </w:t>
      </w:r>
      <w:r>
        <w:rPr>
          <w:rFonts w:ascii="Calibri" w:hAnsi="Calibri" w:cs="Calibri"/>
        </w:rPr>
        <w:t xml:space="preserve">wykonywaniem obowiązków </w:t>
      </w:r>
      <w:r>
        <w:rPr>
          <w:rFonts w:ascii="Calibri" w:hAnsi="Calibri" w:cs="Calibri"/>
        </w:rPr>
        <w:t>(por. wyrok WSA w Opolu z dnia 7 listopada 2013 r., sygn.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akt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II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SA/Op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316/13; wyrok WSA w Białymstoku z dnia 9 marca 2017 r., sygn.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akt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II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SA/Bk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14/17; ww.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wyrok NSA z 26 czerwca 2014 r, sygn. akt II</w:t>
      </w:r>
      <w:r>
        <w:rPr>
          <w:rFonts w:ascii="Calibri" w:hAnsi="Calibri" w:cs="Calibri"/>
        </w:rPr>
        <w:t xml:space="preserve"> OSK 406/14; wyrok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WSA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Opolu 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dnia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marca 2021 r., sygn. akt II SA</w:t>
      </w:r>
      <w:r>
        <w:rPr>
          <w:rFonts w:ascii="Calibri" w:hAnsi="Calibri" w:cs="Calibri"/>
        </w:rPr>
        <w:t>/Op 301/20).</w:t>
      </w:r>
    </w:p>
    <w:p w:rsidR="00263257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Stanowisko </w:t>
      </w:r>
      <w:r>
        <w:rPr>
          <w:rFonts w:ascii="Calibri" w:hAnsi="Calibri" w:cs="Calibri"/>
        </w:rPr>
        <w:t>organu nadzoru znajduje oparcie w wyrokach sądów administracyjnych zapadłych w następstwie rozpoznania skarg Wojewody Mazowieckiego na uchwały w sprawie zasad ust</w:t>
      </w:r>
      <w:r>
        <w:rPr>
          <w:rFonts w:ascii="Calibri" w:hAnsi="Calibri" w:cs="Calibri"/>
        </w:rPr>
        <w:t>alania diet  dla radnych (</w:t>
      </w:r>
      <w:r>
        <w:rPr>
          <w:rFonts w:ascii="Calibri" w:hAnsi="Calibri" w:cs="Calibri"/>
        </w:rPr>
        <w:t xml:space="preserve">zob. </w:t>
      </w:r>
      <w:r>
        <w:rPr>
          <w:rFonts w:ascii="Calibri" w:hAnsi="Calibri" w:cs="Calibri"/>
        </w:rPr>
        <w:t>wyrok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WSA w Warszawie z dnia 25 lutego 2020 r., sygn. akt II SA/Wa 2121/19; </w:t>
      </w:r>
      <w:r>
        <w:rPr>
          <w:rFonts w:ascii="Calibri" w:hAnsi="Calibri" w:cs="Calibri"/>
        </w:rPr>
        <w:t xml:space="preserve">z dnia 24 października 2019 r., sygn. akt II SA/Wa 921/19; </w:t>
      </w:r>
      <w:r>
        <w:rPr>
          <w:rFonts w:ascii="Calibri" w:hAnsi="Calibri" w:cs="Calibri"/>
        </w:rPr>
        <w:t>z dnia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23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października 2019 r., sygn. akt II SA/Wa 978/19).</w:t>
      </w:r>
    </w:p>
    <w:p w:rsidR="00263257" w:rsidRDefault="0065601B" w:rsidP="00263257">
      <w:pPr>
        <w:spacing w:line="276" w:lineRule="auto"/>
        <w:jc w:val="both"/>
        <w:rPr>
          <w:rFonts w:ascii="Calibri" w:hAnsi="Calibri" w:cs="Calibri"/>
        </w:rPr>
      </w:pPr>
    </w:p>
    <w:p w:rsidR="00F41525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powyższe na uwadze, </w:t>
      </w:r>
      <w:r>
        <w:rPr>
          <w:rFonts w:ascii="Calibri" w:hAnsi="Calibri" w:cs="Calibri"/>
        </w:rPr>
        <w:t>organ nadzoru s</w:t>
      </w:r>
      <w:r>
        <w:rPr>
          <w:rFonts w:ascii="Calibri" w:hAnsi="Calibri" w:cs="Calibri"/>
        </w:rPr>
        <w:t>twierdził, że Rada Gminy Rościszewo</w:t>
      </w:r>
      <w:r>
        <w:rPr>
          <w:rFonts w:ascii="Calibri" w:hAnsi="Calibri" w:cs="Calibri"/>
        </w:rPr>
        <w:t xml:space="preserve"> nie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wypełniła prawidłowo delegacji ustawowej z art. 25 ust. 4 ustawy o samorządzie gminnym, w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sposób sprzeczny ustalając z</w:t>
      </w:r>
      <w:r>
        <w:rPr>
          <w:rFonts w:ascii="Calibri" w:hAnsi="Calibri" w:cs="Calibri"/>
        </w:rPr>
        <w:t xml:space="preserve">asady przyznawania diet radnym oraz nie określiła prawidłowo  </w:t>
      </w:r>
      <w:r>
        <w:rPr>
          <w:rFonts w:ascii="Calibri" w:hAnsi="Calibri" w:cs="Calibri"/>
        </w:rPr>
        <w:t>trybu i terminu wejśc</w:t>
      </w:r>
      <w:r>
        <w:rPr>
          <w:rFonts w:ascii="Calibri" w:hAnsi="Calibri" w:cs="Calibri"/>
        </w:rPr>
        <w:t xml:space="preserve">ia w życie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chwały, </w:t>
      </w:r>
      <w:r>
        <w:rPr>
          <w:rFonts w:ascii="Calibri" w:hAnsi="Calibri" w:cs="Calibri"/>
        </w:rPr>
        <w:t xml:space="preserve"> należało zatem orzec jak w petitum rozstrzygnięcia.</w:t>
      </w:r>
    </w:p>
    <w:p w:rsidR="00F41525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Prawidłowe ogłoszenie aktu prawa miejscowego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 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zasadnicze znaczenie dla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jego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obowiązywania, jest bowiem warunkiem jego wejścia w życie. </w:t>
      </w:r>
    </w:p>
    <w:p w:rsidR="00FE475F" w:rsidRDefault="0065601B" w:rsidP="00F4152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 normatywny,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który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nie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został opublikowan</w:t>
      </w:r>
      <w:r>
        <w:rPr>
          <w:rFonts w:ascii="Calibri" w:hAnsi="Calibri" w:cs="Calibri"/>
        </w:rPr>
        <w:t>y (ogłoszony) zgodnie z obowiązującą procedurą i we właściwym trybie nie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może wiązać adresatów utworzonych w nim norm prawnych i nie odnosi skutku prawnego. Dotyczy to całego zakresu normatywnego</w:t>
      </w:r>
      <w:r>
        <w:rPr>
          <w:rFonts w:ascii="Calibri" w:hAnsi="Calibri" w:cs="Calibri"/>
        </w:rPr>
        <w:t xml:space="preserve"> tego aktu, czyli wszystkich norm prawnych w nim zamieszczony</w:t>
      </w:r>
      <w:r>
        <w:rPr>
          <w:rFonts w:ascii="Calibri" w:hAnsi="Calibri" w:cs="Calibri"/>
        </w:rPr>
        <w:t>ch.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Konsekwencją nieprawidłowego ogłoszenia aktu normatywnego jest uznanie, że akt taki nie wiąże w pełnym zakresie, nie posiada mocy obowiązującej i należy stwierdzić jego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nieważność w całości.</w:t>
      </w:r>
    </w:p>
    <w:p w:rsidR="00263257" w:rsidRDefault="0065601B" w:rsidP="00263257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263257" w:rsidRDefault="0065601B" w:rsidP="0026325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 rozstrzygnięcie nadzorcze przysługuje Gminie skarga do </w:t>
      </w:r>
      <w:r>
        <w:rPr>
          <w:rFonts w:ascii="Calibri" w:hAnsi="Calibri" w:cs="Calibri"/>
        </w:rPr>
        <w:t>Wojewódzkiego Sądu Administracyjnego w Warszawie, wnoszona za pośrednictwem Wojewody Mazowieckiego, w terminie 30 dni od daty doręczenia rozstrzygnięcia nadzorczego.</w:t>
      </w:r>
    </w:p>
    <w:p w:rsidR="00263257" w:rsidRPr="00CE33E3" w:rsidRDefault="0065601B" w:rsidP="0026325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Stwierdzenie nieważności uchwały wstrzymuje jej wykonanie z mocy prawa z dniem doręczenia</w:t>
      </w:r>
      <w:r>
        <w:rPr>
          <w:rFonts w:ascii="Calibri" w:hAnsi="Calibri" w:cs="Calibri"/>
        </w:rPr>
        <w:t xml:space="preserve"> rozstrzygnięcia nadzorczego. </w:t>
      </w:r>
    </w:p>
    <w:p w:rsidR="004824F3" w:rsidRDefault="0065601B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65601B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4824F3" w:rsidRDefault="0065601B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2" w:name="ezdPracownikNazwa"/>
      <w:r>
        <w:rPr>
          <w:rFonts w:ascii="Calibri" w:hAnsi="Calibri" w:cs="Calibri"/>
        </w:rPr>
        <w:t>Konstanty Radziwiłł</w:t>
      </w:r>
      <w:bookmarkEnd w:id="2"/>
    </w:p>
    <w:p w:rsidR="00691727" w:rsidRDefault="0065601B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65601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1B"/>
    <w:rsid w:val="006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03B5BEC-1014-496E-B76D-AE56C7A0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1EF5-C910-461A-BD34-524206E9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Paulina Kolaszyńska</cp:lastModifiedBy>
  <cp:revision>2</cp:revision>
  <cp:lastPrinted>2021-12-29T19:36:00Z</cp:lastPrinted>
  <dcterms:created xsi:type="dcterms:W3CDTF">2022-01-03T06:19:00Z</dcterms:created>
  <dcterms:modified xsi:type="dcterms:W3CDTF">2022-01-03T06:19:00Z</dcterms:modified>
</cp:coreProperties>
</file>