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EF4C1" w14:textId="77777777" w:rsidR="00166CD0" w:rsidRDefault="00667D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right"/>
        <w:rPr>
          <w:i/>
          <w:color w:val="000000"/>
        </w:rPr>
      </w:pPr>
      <w:r>
        <w:rPr>
          <w:color w:val="000000"/>
        </w:rPr>
        <w:t xml:space="preserve"> </w:t>
      </w:r>
      <w:r>
        <w:rPr>
          <w:i/>
        </w:rPr>
        <w:t>Warszawa</w:t>
      </w:r>
      <w:r>
        <w:rPr>
          <w:i/>
          <w:color w:val="000000"/>
        </w:rPr>
        <w:t>, 27 września 2022 r.</w:t>
      </w:r>
      <w:r>
        <w:rPr>
          <w:noProof/>
        </w:rPr>
        <w:drawing>
          <wp:anchor distT="0" distB="0" distL="0" distR="0" simplePos="0" relativeHeight="251658240" behindDoc="1" locked="0" layoutInCell="1" hidden="0" allowOverlap="1" wp14:anchorId="75899C14" wp14:editId="3B359344">
            <wp:simplePos x="0" y="0"/>
            <wp:positionH relativeFrom="column">
              <wp:posOffset>0</wp:posOffset>
            </wp:positionH>
            <wp:positionV relativeFrom="paragraph">
              <wp:posOffset>-250189</wp:posOffset>
            </wp:positionV>
            <wp:extent cx="1457325" cy="576152"/>
            <wp:effectExtent l="0" t="0" r="0" b="0"/>
            <wp:wrapNone/>
            <wp:docPr id="3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l="41596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57615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6E05618" w14:textId="77777777" w:rsidR="00166CD0" w:rsidRDefault="00166CD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</w:rPr>
      </w:pPr>
    </w:p>
    <w:p w14:paraId="1753C996" w14:textId="77777777" w:rsidR="00166CD0" w:rsidRDefault="00166CD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b/>
          <w:color w:val="000000"/>
        </w:rPr>
      </w:pPr>
    </w:p>
    <w:p w14:paraId="04694481" w14:textId="77777777" w:rsidR="00166CD0" w:rsidRDefault="00667DC1" w:rsidP="00573E24">
      <w:pPr>
        <w:pStyle w:val="Nagwek2"/>
        <w:keepNext w:val="0"/>
        <w:keepLines w:val="0"/>
        <w:shd w:val="clear" w:color="auto" w:fill="FFFFFF"/>
        <w:spacing w:before="0" w:after="260" w:line="288" w:lineRule="auto"/>
        <w:ind w:left="3" w:hanging="5"/>
        <w:rPr>
          <w:rFonts w:ascii="Arial" w:eastAsia="Arial" w:hAnsi="Arial" w:cs="Arial"/>
          <w:color w:val="1B1B1B"/>
          <w:sz w:val="46"/>
          <w:szCs w:val="46"/>
        </w:rPr>
      </w:pPr>
      <w:bookmarkStart w:id="0" w:name="_heading=h.qv8tbxt2cql9" w:colFirst="0" w:colLast="0"/>
      <w:bookmarkEnd w:id="0"/>
      <w:r>
        <w:rPr>
          <w:rFonts w:ascii="Arial" w:eastAsia="Arial" w:hAnsi="Arial" w:cs="Arial"/>
          <w:color w:val="1B1B1B"/>
          <w:sz w:val="46"/>
          <w:szCs w:val="46"/>
        </w:rPr>
        <w:t>Mobilne Laboratoria Przyszłości – wspólnie podnosimy kompetencje uczniów i nauczycieli</w:t>
      </w:r>
    </w:p>
    <w:p w14:paraId="5575C781" w14:textId="77777777" w:rsidR="00166CD0" w:rsidRDefault="00667DC1">
      <w:pPr>
        <w:shd w:val="clear" w:color="auto" w:fill="FFFFFF"/>
        <w:spacing w:after="220" w:line="276" w:lineRule="auto"/>
        <w:ind w:left="0" w:hanging="2"/>
        <w:jc w:val="both"/>
        <w:rPr>
          <w:rFonts w:ascii="Arial" w:eastAsia="Arial" w:hAnsi="Arial" w:cs="Arial"/>
          <w:b/>
          <w:color w:val="1B1B1B"/>
          <w:sz w:val="20"/>
          <w:szCs w:val="20"/>
        </w:rPr>
      </w:pPr>
      <w:r>
        <w:rPr>
          <w:rFonts w:ascii="Arial" w:eastAsia="Arial" w:hAnsi="Arial" w:cs="Arial"/>
          <w:b/>
          <w:color w:val="1B1B1B"/>
          <w:sz w:val="20"/>
          <w:szCs w:val="20"/>
        </w:rPr>
        <w:t>Na początku września do samorządowych szkół podstawowych wszystkich województw wyruszyły ekipy Mobilnych Laboratoriów Przyszłości. Ich celem jest wspieranie wykorzystywania nowoczesnych rozwiązań edukacyjnych, zapewnionych szkołom podstawowym przez program Laboratoria Przyszłości. To największy w Polsce publiczny projekt edukacyjno-technologiczny o wartości 1 miliarda złotych.</w:t>
      </w:r>
    </w:p>
    <w:p w14:paraId="22737403" w14:textId="77777777" w:rsidR="00166CD0" w:rsidRDefault="00667DC1">
      <w:pPr>
        <w:shd w:val="clear" w:color="auto" w:fill="FFFFFF"/>
        <w:spacing w:after="240" w:line="276" w:lineRule="auto"/>
        <w:ind w:left="0" w:hanging="2"/>
        <w:jc w:val="both"/>
        <w:rPr>
          <w:rFonts w:ascii="Arial" w:eastAsia="Arial" w:hAnsi="Arial" w:cs="Arial"/>
          <w:color w:val="1B1B1B"/>
          <w:sz w:val="20"/>
          <w:szCs w:val="20"/>
        </w:rPr>
      </w:pPr>
      <w:r>
        <w:rPr>
          <w:rFonts w:ascii="Arial" w:eastAsia="Arial" w:hAnsi="Arial" w:cs="Arial"/>
          <w:noProof/>
          <w:color w:val="1B1B1B"/>
          <w:sz w:val="20"/>
          <w:szCs w:val="20"/>
        </w:rPr>
        <w:drawing>
          <wp:inline distT="114300" distB="114300" distL="114300" distR="114300" wp14:anchorId="115F760B" wp14:editId="16402B69">
            <wp:extent cx="5615630" cy="2374900"/>
            <wp:effectExtent l="0" t="0" r="0" b="0"/>
            <wp:docPr id="34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5630" cy="2374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23649E4" w14:textId="77777777" w:rsidR="00166CD0" w:rsidRDefault="00667DC1">
      <w:pPr>
        <w:shd w:val="clear" w:color="auto" w:fill="FFFFFF"/>
        <w:spacing w:after="240" w:line="276" w:lineRule="auto"/>
        <w:ind w:left="0" w:hanging="2"/>
        <w:jc w:val="both"/>
        <w:rPr>
          <w:rFonts w:ascii="Arial" w:eastAsia="Arial" w:hAnsi="Arial" w:cs="Arial"/>
          <w:color w:val="1B1B1B"/>
          <w:sz w:val="20"/>
          <w:szCs w:val="20"/>
        </w:rPr>
      </w:pPr>
      <w:r>
        <w:rPr>
          <w:rFonts w:ascii="Arial" w:eastAsia="Arial" w:hAnsi="Arial" w:cs="Arial"/>
          <w:color w:val="1B1B1B"/>
          <w:sz w:val="20"/>
          <w:szCs w:val="20"/>
        </w:rPr>
        <w:t>Przyspieszenie procesu transformacji cyfrowej to jedna z konsekwencji epidemii COVID-19.</w:t>
      </w:r>
      <w:r w:rsidR="00225348">
        <w:rPr>
          <w:rFonts w:ascii="Arial" w:eastAsia="Arial" w:hAnsi="Arial" w:cs="Arial"/>
          <w:color w:val="1B1B1B"/>
          <w:sz w:val="20"/>
          <w:szCs w:val="20"/>
        </w:rPr>
        <w:t xml:space="preserve"> </w:t>
      </w:r>
      <w:r>
        <w:rPr>
          <w:rFonts w:ascii="Arial" w:eastAsia="Arial" w:hAnsi="Arial" w:cs="Arial"/>
          <w:color w:val="1B1B1B"/>
          <w:sz w:val="20"/>
          <w:szCs w:val="20"/>
        </w:rPr>
        <w:t>Dlatego zmiany w zakresie adaptacji nowych technologii zachodziły nie tylko w obszarze gospodarki, ale również w sektorze oświaty. Unowocześnianie polskich szkół odbywa się w tempie dotąd niespotykanym.</w:t>
      </w:r>
    </w:p>
    <w:p w14:paraId="37BD8F83" w14:textId="77777777" w:rsidR="00166CD0" w:rsidRDefault="00667DC1">
      <w:pPr>
        <w:shd w:val="clear" w:color="auto" w:fill="FFFFFF"/>
        <w:spacing w:after="240" w:line="276" w:lineRule="auto"/>
        <w:ind w:left="0" w:right="2180" w:hanging="2"/>
        <w:rPr>
          <w:rFonts w:ascii="Arial" w:eastAsia="Arial" w:hAnsi="Arial" w:cs="Arial"/>
          <w:i/>
          <w:color w:val="767676"/>
          <w:sz w:val="20"/>
          <w:szCs w:val="20"/>
        </w:rPr>
      </w:pPr>
      <w:r>
        <w:rPr>
          <w:rFonts w:ascii="Arial" w:eastAsia="Arial" w:hAnsi="Arial" w:cs="Arial"/>
          <w:i/>
          <w:color w:val="767676"/>
          <w:sz w:val="20"/>
          <w:szCs w:val="20"/>
        </w:rPr>
        <w:t>Za kwotę jednego miliarda złotych 99% szkół podstawowych wyposażonych zostało w nowoczesny sprzęt edukacyjno-technologiczny. To kluczowy element szeroko zakrojonej cyfrowej transformacji polskiej szkoły, którego budżet potwierdza znaczenie, jakie rząd przypisuje temu obszarowi</w:t>
      </w:r>
    </w:p>
    <w:p w14:paraId="7E376CB4" w14:textId="77777777" w:rsidR="00166CD0" w:rsidRDefault="00667DC1">
      <w:pPr>
        <w:shd w:val="clear" w:color="auto" w:fill="FFFFFF"/>
        <w:spacing w:after="240" w:line="276" w:lineRule="auto"/>
        <w:ind w:left="0" w:hanging="2"/>
        <w:jc w:val="both"/>
        <w:rPr>
          <w:rFonts w:ascii="Arial" w:eastAsia="Arial" w:hAnsi="Arial" w:cs="Arial"/>
          <w:color w:val="1B1B1B"/>
          <w:sz w:val="20"/>
          <w:szCs w:val="20"/>
        </w:rPr>
      </w:pPr>
      <w:r>
        <w:rPr>
          <w:rFonts w:ascii="Arial" w:eastAsia="Arial" w:hAnsi="Arial" w:cs="Arial"/>
          <w:color w:val="1B1B1B"/>
          <w:sz w:val="20"/>
          <w:szCs w:val="20"/>
        </w:rPr>
        <w:lastRenderedPageBreak/>
        <w:t xml:space="preserve">– powiedział minister Przemysław </w:t>
      </w:r>
      <w:proofErr w:type="spellStart"/>
      <w:r>
        <w:rPr>
          <w:rFonts w:ascii="Arial" w:eastAsia="Arial" w:hAnsi="Arial" w:cs="Arial"/>
          <w:color w:val="1B1B1B"/>
          <w:sz w:val="20"/>
          <w:szCs w:val="20"/>
        </w:rPr>
        <w:t>Czarnek</w:t>
      </w:r>
      <w:proofErr w:type="spellEnd"/>
      <w:r>
        <w:rPr>
          <w:rFonts w:ascii="Arial" w:eastAsia="Arial" w:hAnsi="Arial" w:cs="Arial"/>
          <w:color w:val="1B1B1B"/>
          <w:sz w:val="20"/>
          <w:szCs w:val="20"/>
        </w:rPr>
        <w:t xml:space="preserve"> podczas inauguracji Mobilnych Laboratoriów Przyszłości. Podkreślając znaczenie sektora oświaty, szef </w:t>
      </w:r>
      <w:proofErr w:type="spellStart"/>
      <w:r>
        <w:rPr>
          <w:rFonts w:ascii="Arial" w:eastAsia="Arial" w:hAnsi="Arial" w:cs="Arial"/>
          <w:color w:val="1B1B1B"/>
          <w:sz w:val="20"/>
          <w:szCs w:val="20"/>
        </w:rPr>
        <w:t>MEiN</w:t>
      </w:r>
      <w:proofErr w:type="spellEnd"/>
      <w:r>
        <w:rPr>
          <w:rFonts w:ascii="Arial" w:eastAsia="Arial" w:hAnsi="Arial" w:cs="Arial"/>
          <w:color w:val="1B1B1B"/>
          <w:sz w:val="20"/>
          <w:szCs w:val="20"/>
        </w:rPr>
        <w:t xml:space="preserve"> wskazał również na inwestycje w infrastrukturę edukacyjną w ramach Polskiego Ładu:</w:t>
      </w:r>
    </w:p>
    <w:p w14:paraId="2F52269C" w14:textId="77777777" w:rsidR="00166CD0" w:rsidRDefault="00667DC1">
      <w:pPr>
        <w:shd w:val="clear" w:color="auto" w:fill="FFFFFF"/>
        <w:spacing w:after="240" w:line="276" w:lineRule="auto"/>
        <w:ind w:left="0" w:right="2180" w:hanging="2"/>
        <w:rPr>
          <w:rFonts w:ascii="Arial" w:eastAsia="Arial" w:hAnsi="Arial" w:cs="Arial"/>
          <w:i/>
          <w:color w:val="767676"/>
          <w:sz w:val="20"/>
          <w:szCs w:val="20"/>
        </w:rPr>
      </w:pPr>
      <w:r>
        <w:rPr>
          <w:rFonts w:ascii="Arial" w:eastAsia="Arial" w:hAnsi="Arial" w:cs="Arial"/>
          <w:i/>
          <w:color w:val="767676"/>
          <w:sz w:val="20"/>
          <w:szCs w:val="20"/>
        </w:rPr>
        <w:t>To kwota ponad 5 miliardów złotych, zaś sama informatyzacja polskich szkół to kolejne zainwestowane kilkaset milionów złotych</w:t>
      </w:r>
      <w:r>
        <w:rPr>
          <w:noProof/>
        </w:rPr>
        <w:drawing>
          <wp:anchor distT="0" distB="0" distL="0" distR="0" simplePos="0" relativeHeight="251659264" behindDoc="1" locked="0" layoutInCell="1" hidden="0" allowOverlap="1" wp14:anchorId="36CE2374" wp14:editId="1D32D77C">
            <wp:simplePos x="0" y="0"/>
            <wp:positionH relativeFrom="column">
              <wp:posOffset>-1304924</wp:posOffset>
            </wp:positionH>
            <wp:positionV relativeFrom="paragraph">
              <wp:posOffset>58780</wp:posOffset>
            </wp:positionV>
            <wp:extent cx="5615940" cy="7937500"/>
            <wp:effectExtent l="0" t="0" r="0" b="0"/>
            <wp:wrapNone/>
            <wp:docPr id="3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7937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D9FF3D4" w14:textId="77777777" w:rsidR="00166CD0" w:rsidRDefault="00667DC1">
      <w:pPr>
        <w:shd w:val="clear" w:color="auto" w:fill="FFFFFF"/>
        <w:spacing w:after="240" w:line="276" w:lineRule="auto"/>
        <w:ind w:left="0" w:hanging="2"/>
        <w:jc w:val="both"/>
        <w:rPr>
          <w:rFonts w:ascii="Arial" w:eastAsia="Arial" w:hAnsi="Arial" w:cs="Arial"/>
          <w:color w:val="1B1B1B"/>
          <w:sz w:val="20"/>
          <w:szCs w:val="20"/>
        </w:rPr>
      </w:pPr>
      <w:r>
        <w:rPr>
          <w:rFonts w:ascii="Arial" w:eastAsia="Arial" w:hAnsi="Arial" w:cs="Arial"/>
          <w:color w:val="1B1B1B"/>
          <w:sz w:val="20"/>
          <w:szCs w:val="20"/>
        </w:rPr>
        <w:t xml:space="preserve">– powiedział minister. Dzięki tym działaniom wszystkie polskie szkoły są podłączone do szybkiego </w:t>
      </w:r>
      <w:proofErr w:type="spellStart"/>
      <w:r>
        <w:rPr>
          <w:rFonts w:ascii="Arial" w:eastAsia="Arial" w:hAnsi="Arial" w:cs="Arial"/>
          <w:color w:val="1B1B1B"/>
          <w:sz w:val="20"/>
          <w:szCs w:val="20"/>
        </w:rPr>
        <w:t>internetu</w:t>
      </w:r>
      <w:proofErr w:type="spellEnd"/>
      <w:r>
        <w:rPr>
          <w:rFonts w:ascii="Arial" w:eastAsia="Arial" w:hAnsi="Arial" w:cs="Arial"/>
          <w:color w:val="1B1B1B"/>
          <w:sz w:val="20"/>
          <w:szCs w:val="20"/>
        </w:rPr>
        <w:t>.</w:t>
      </w:r>
    </w:p>
    <w:p w14:paraId="7C59FEF4" w14:textId="77777777" w:rsidR="00166CD0" w:rsidRDefault="00667DC1" w:rsidP="00573E24">
      <w:pPr>
        <w:pStyle w:val="Nagwek3"/>
        <w:keepNext w:val="0"/>
        <w:keepLines w:val="0"/>
        <w:shd w:val="clear" w:color="auto" w:fill="FFFFFF"/>
        <w:spacing w:before="480" w:after="160" w:line="312" w:lineRule="auto"/>
        <w:ind w:left="1" w:hanging="3"/>
        <w:rPr>
          <w:rFonts w:ascii="Arial" w:eastAsia="Arial" w:hAnsi="Arial" w:cs="Arial"/>
          <w:color w:val="1B1B1B"/>
        </w:rPr>
      </w:pPr>
      <w:bookmarkStart w:id="1" w:name="_heading=h.l8ur8uhcixee" w:colFirst="0" w:colLast="0"/>
      <w:bookmarkEnd w:id="1"/>
      <w:r>
        <w:rPr>
          <w:rFonts w:ascii="Arial" w:eastAsia="Arial" w:hAnsi="Arial" w:cs="Arial"/>
          <w:color w:val="1B1B1B"/>
        </w:rPr>
        <w:t>Laboratoria Przyszłości to miejsce rozwijania talentów uczniów oraz kuźnia kadr dla nowoczesnej gospodarki</w:t>
      </w:r>
    </w:p>
    <w:p w14:paraId="2396C90F" w14:textId="77777777" w:rsidR="00166CD0" w:rsidRDefault="00667DC1">
      <w:pPr>
        <w:shd w:val="clear" w:color="auto" w:fill="FFFFFF"/>
        <w:spacing w:after="240" w:line="276" w:lineRule="auto"/>
        <w:ind w:left="0" w:hanging="2"/>
        <w:jc w:val="both"/>
        <w:rPr>
          <w:rFonts w:ascii="Arial" w:eastAsia="Arial" w:hAnsi="Arial" w:cs="Arial"/>
          <w:color w:val="1B1B1B"/>
          <w:sz w:val="20"/>
          <w:szCs w:val="20"/>
        </w:rPr>
      </w:pPr>
      <w:r>
        <w:rPr>
          <w:rFonts w:ascii="Arial" w:eastAsia="Arial" w:hAnsi="Arial" w:cs="Arial"/>
          <w:color w:val="1B1B1B"/>
          <w:sz w:val="20"/>
          <w:szCs w:val="20"/>
        </w:rPr>
        <w:t xml:space="preserve">Dzięki tej wyjątkowej – nie tylko w skali krajowej, ale i międzynarodowej – inwestycji w edukację, szkoły podstawowe oraz ogólnokształcące szkoły artystyczne zostały wyposażone w nowoczesny sprzęt. Drukarki 3D, gogle VR, mikrokontrolery czy sprzęt audio wideo już teraz pozwalają uczniom rozwijać kompetencje przyszłości, realizować własne projekty i doskonalić umiejętności przydatne na nowoczesnym rynku pracy. Laboratoria Przyszłości opierają się na tzw. kierunkach STEAM (ang. science, </w:t>
      </w:r>
      <w:proofErr w:type="spellStart"/>
      <w:r>
        <w:rPr>
          <w:rFonts w:ascii="Arial" w:eastAsia="Arial" w:hAnsi="Arial" w:cs="Arial"/>
          <w:color w:val="1B1B1B"/>
          <w:sz w:val="20"/>
          <w:szCs w:val="20"/>
        </w:rPr>
        <w:t>technology</w:t>
      </w:r>
      <w:proofErr w:type="spellEnd"/>
      <w:r>
        <w:rPr>
          <w:rFonts w:ascii="Arial" w:eastAsia="Arial" w:hAnsi="Arial" w:cs="Arial"/>
          <w:color w:val="1B1B1B"/>
          <w:sz w:val="20"/>
          <w:szCs w:val="20"/>
        </w:rPr>
        <w:t xml:space="preserve">, engineering, art, </w:t>
      </w:r>
      <w:proofErr w:type="spellStart"/>
      <w:r>
        <w:rPr>
          <w:rFonts w:ascii="Arial" w:eastAsia="Arial" w:hAnsi="Arial" w:cs="Arial"/>
          <w:color w:val="1B1B1B"/>
          <w:sz w:val="20"/>
          <w:szCs w:val="20"/>
        </w:rPr>
        <w:t>mathematics</w:t>
      </w:r>
      <w:proofErr w:type="spellEnd"/>
      <w:r>
        <w:rPr>
          <w:rFonts w:ascii="Arial" w:eastAsia="Arial" w:hAnsi="Arial" w:cs="Arial"/>
          <w:color w:val="1B1B1B"/>
          <w:sz w:val="20"/>
          <w:szCs w:val="20"/>
        </w:rPr>
        <w:t>, czyli nauka, technologia, inżynieria, sztuka oraz matematyka). Celem projektu jest wyrównanie szans edukacyjnych uczniów w całej Polsce i zapewnienie im warunków do wejścia w przesycony technologią świat z odpowiednimi kompetencjami. Realizację tego celu umożliwi zapewnienie powszechnego dostępu do nowoczesnych technologii oraz wsparcie nauczycieli poprzez m.in. poprowadzenie lekcji pokazowych w szkołach.</w:t>
      </w:r>
    </w:p>
    <w:p w14:paraId="6AAC0602" w14:textId="77777777" w:rsidR="00166CD0" w:rsidRDefault="00667DC1">
      <w:pPr>
        <w:shd w:val="clear" w:color="auto" w:fill="FFFFFF"/>
        <w:spacing w:after="240" w:line="276" w:lineRule="auto"/>
        <w:ind w:left="0" w:right="2180" w:hanging="2"/>
        <w:rPr>
          <w:rFonts w:ascii="Arial" w:eastAsia="Arial" w:hAnsi="Arial" w:cs="Arial"/>
          <w:i/>
          <w:color w:val="767676"/>
          <w:sz w:val="20"/>
          <w:szCs w:val="20"/>
        </w:rPr>
      </w:pPr>
      <w:r>
        <w:rPr>
          <w:rFonts w:ascii="Arial" w:eastAsia="Arial" w:hAnsi="Arial" w:cs="Arial"/>
          <w:i/>
          <w:color w:val="767676"/>
          <w:sz w:val="20"/>
          <w:szCs w:val="20"/>
        </w:rPr>
        <w:t>Efektem uruchomienia programu Laboratoria Przyszłości jest wyposażenie 99% samorządowych szkół podstawowych w Polsce w nowoczesny sprzęt o wartości miliarda złotych oraz stworzenie szansy rozwoju kompetencji jutra dla uczniów. Prawie 12 tysięcy szkół posiada już nowoczesne laboratoria przyszłości z drukarkami 3D, goglami VR, robotami, mikrokontrolerami, nowoczesnymi studiami nagrań i sprzętem technicznym różnego rodzaju, dzięki któremu nauczyciele będą mogli pomagać uczniom w odkrywaniu ich talentów. Pozwoli to lepiej przygotować polską młodzież na wyzwania przyszłości, w szczególności te powiązane z rynkiem pracy i gotowością do pracy w zawodach przyszłości, w tym takich, które według ekspertów jeszcze nie istnieją</w:t>
      </w:r>
      <w:r>
        <w:rPr>
          <w:noProof/>
        </w:rPr>
        <w:drawing>
          <wp:anchor distT="0" distB="0" distL="0" distR="0" simplePos="0" relativeHeight="251660288" behindDoc="1" locked="0" layoutInCell="1" hidden="0" allowOverlap="1" wp14:anchorId="42816851" wp14:editId="798BD512">
            <wp:simplePos x="0" y="0"/>
            <wp:positionH relativeFrom="column">
              <wp:posOffset>-2047874</wp:posOffset>
            </wp:positionH>
            <wp:positionV relativeFrom="paragraph">
              <wp:posOffset>313274</wp:posOffset>
            </wp:positionV>
            <wp:extent cx="4101782" cy="3879850"/>
            <wp:effectExtent l="0" t="0" r="0" b="0"/>
            <wp:wrapNone/>
            <wp:docPr id="3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 t="60840" r="41486"/>
                    <a:stretch>
                      <a:fillRect/>
                    </a:stretch>
                  </pic:blipFill>
                  <pic:spPr>
                    <a:xfrm>
                      <a:off x="0" y="0"/>
                      <a:ext cx="4101782" cy="3879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46F7874" w14:textId="77777777" w:rsidR="00166CD0" w:rsidRDefault="00667DC1">
      <w:pPr>
        <w:shd w:val="clear" w:color="auto" w:fill="FFFFFF"/>
        <w:spacing w:after="240" w:line="276" w:lineRule="auto"/>
        <w:ind w:left="0" w:hanging="2"/>
        <w:jc w:val="both"/>
        <w:rPr>
          <w:rFonts w:ascii="Arial" w:eastAsia="Arial" w:hAnsi="Arial" w:cs="Arial"/>
          <w:color w:val="1B1B1B"/>
          <w:sz w:val="20"/>
          <w:szCs w:val="20"/>
        </w:rPr>
      </w:pPr>
      <w:r>
        <w:rPr>
          <w:rFonts w:ascii="Arial" w:eastAsia="Arial" w:hAnsi="Arial" w:cs="Arial"/>
          <w:color w:val="1B1B1B"/>
          <w:sz w:val="20"/>
          <w:szCs w:val="20"/>
        </w:rPr>
        <w:t xml:space="preserve">– dodaje Justyna Orłowska, Pełnomocnik Ministra Edukacji i Nauki do spraw Transformacji Cyfrowej, Szefowa Centrum </w:t>
      </w:r>
      <w:proofErr w:type="spellStart"/>
      <w:r>
        <w:rPr>
          <w:rFonts w:ascii="Arial" w:eastAsia="Arial" w:hAnsi="Arial" w:cs="Arial"/>
          <w:color w:val="1B1B1B"/>
          <w:sz w:val="20"/>
          <w:szCs w:val="20"/>
        </w:rPr>
        <w:t>GovTech</w:t>
      </w:r>
      <w:proofErr w:type="spellEnd"/>
      <w:r>
        <w:rPr>
          <w:rFonts w:ascii="Arial" w:eastAsia="Arial" w:hAnsi="Arial" w:cs="Arial"/>
          <w:color w:val="1B1B1B"/>
          <w:sz w:val="20"/>
          <w:szCs w:val="20"/>
        </w:rPr>
        <w:t xml:space="preserve">. </w:t>
      </w:r>
    </w:p>
    <w:p w14:paraId="236CF267" w14:textId="77777777" w:rsidR="00166CD0" w:rsidRDefault="00667DC1">
      <w:pPr>
        <w:shd w:val="clear" w:color="auto" w:fill="FFFFFF"/>
        <w:spacing w:after="240" w:line="276" w:lineRule="auto"/>
        <w:ind w:left="0" w:hanging="2"/>
        <w:jc w:val="both"/>
        <w:rPr>
          <w:rFonts w:ascii="Arial" w:eastAsia="Arial" w:hAnsi="Arial" w:cs="Arial"/>
          <w:color w:val="1B1B1B"/>
          <w:sz w:val="20"/>
          <w:szCs w:val="20"/>
        </w:rPr>
      </w:pPr>
      <w:r>
        <w:rPr>
          <w:rFonts w:ascii="Arial" w:eastAsia="Arial" w:hAnsi="Arial" w:cs="Arial"/>
          <w:color w:val="1B1B1B"/>
          <w:sz w:val="20"/>
          <w:szCs w:val="20"/>
        </w:rPr>
        <w:t>Jednocześnie do samorządowych szkół podstawowych z początkiem września wyruszyły ekipy Mobilnych Laboratoriów Przyszłości, aby wspierać proces wykorzystywania nowoczesnych rozwiązań edukacyjnych w każdym województwie.</w:t>
      </w:r>
    </w:p>
    <w:p w14:paraId="259C215A" w14:textId="77777777" w:rsidR="00166CD0" w:rsidRDefault="00667DC1">
      <w:pPr>
        <w:pStyle w:val="Nagwek3"/>
        <w:keepNext w:val="0"/>
        <w:keepLines w:val="0"/>
        <w:shd w:val="clear" w:color="auto" w:fill="FFFFFF"/>
        <w:spacing w:before="480" w:after="160" w:line="312" w:lineRule="auto"/>
        <w:ind w:left="1" w:hanging="3"/>
        <w:rPr>
          <w:rFonts w:ascii="Arial" w:eastAsia="Arial" w:hAnsi="Arial" w:cs="Arial"/>
          <w:color w:val="1B1B1B"/>
        </w:rPr>
      </w:pPr>
      <w:bookmarkStart w:id="2" w:name="_heading=h.a6vjvqbkn5le" w:colFirst="0" w:colLast="0"/>
      <w:bookmarkEnd w:id="2"/>
      <w:r>
        <w:rPr>
          <w:rFonts w:ascii="Arial" w:eastAsia="Arial" w:hAnsi="Arial" w:cs="Arial"/>
          <w:color w:val="1B1B1B"/>
        </w:rPr>
        <w:lastRenderedPageBreak/>
        <w:t>Mobilne Laboratoria Przyszłości ruszyły w Polskę</w:t>
      </w:r>
    </w:p>
    <w:p w14:paraId="71B83B8E" w14:textId="77777777" w:rsidR="00166CD0" w:rsidRDefault="00667DC1">
      <w:pPr>
        <w:shd w:val="clear" w:color="auto" w:fill="FFFFFF"/>
        <w:spacing w:after="240" w:line="276" w:lineRule="auto"/>
        <w:ind w:left="0" w:right="2180" w:hanging="2"/>
        <w:rPr>
          <w:rFonts w:ascii="Arial" w:eastAsia="Arial" w:hAnsi="Arial" w:cs="Arial"/>
          <w:i/>
          <w:color w:val="767676"/>
          <w:sz w:val="20"/>
          <w:szCs w:val="20"/>
        </w:rPr>
      </w:pPr>
      <w:r>
        <w:rPr>
          <w:rFonts w:ascii="Arial" w:eastAsia="Arial" w:hAnsi="Arial" w:cs="Arial"/>
          <w:i/>
          <w:color w:val="767676"/>
          <w:sz w:val="20"/>
          <w:szCs w:val="20"/>
        </w:rPr>
        <w:t>Szkoły, które zakupiły nowoczesny sprzęt, zostaną teraz systemowo wsparte przez naszych specjalistów. Mobilne Laboratoria Przyszłości, czyli 16 busów oznaczonych i wyposażonych w nowoczesny sprzęt wraz z początkiem roku szkolnego wyruszyło na drogi wszystkich województw. Nasi edukatorzy już teraz szkolą nauczycieli oraz prowadzą z uczniami lekcje w formule warsztatowej. Podczas zajęć będziemy rozbudzać w nich zainteresowanie umiejętnościami, które pozwolą im wykorzystać technologię w sposób zgodny z predyspozycjami. Dla jednych będą to pomysły na automatyzację, dla innych - zbudowanie robota, dla jeszcze innych - nauka podstaw programowania. To jednak nie wszystko. Laboratoria Przyszłości stanowią ważny element kompleksowego planu zmian w polskiej edukacji. Pracujemy nad uruchomieniem portalu edukacja.gov.pl, czyli zintegrowanego rozwiązania, które pozwoli objąć wszystkich uczniów kompleksowym programem spersonalizowanej ścieżki edukacyjnej</w:t>
      </w:r>
    </w:p>
    <w:p w14:paraId="43D1A9D3" w14:textId="77777777" w:rsidR="00166CD0" w:rsidRDefault="00667DC1">
      <w:pPr>
        <w:shd w:val="clear" w:color="auto" w:fill="FFFFFF"/>
        <w:spacing w:after="240" w:line="276" w:lineRule="auto"/>
        <w:ind w:left="0" w:hanging="2"/>
        <w:jc w:val="both"/>
        <w:rPr>
          <w:rFonts w:ascii="Arial" w:eastAsia="Arial" w:hAnsi="Arial" w:cs="Arial"/>
          <w:color w:val="1B1B1B"/>
          <w:sz w:val="20"/>
          <w:szCs w:val="20"/>
        </w:rPr>
      </w:pPr>
      <w:r>
        <w:rPr>
          <w:rFonts w:ascii="Arial" w:eastAsia="Arial" w:hAnsi="Arial" w:cs="Arial"/>
          <w:color w:val="1B1B1B"/>
          <w:sz w:val="20"/>
          <w:szCs w:val="20"/>
        </w:rPr>
        <w:t>– podkreśla Michał Przymusiński, Zastępca Dyrektora Instytutu Badań Edukacyjnych ds. Cyfryzacji Nauki i Edukacji.</w:t>
      </w:r>
    </w:p>
    <w:p w14:paraId="5D6CEB94" w14:textId="77777777" w:rsidR="00166CD0" w:rsidRDefault="00667DC1">
      <w:pPr>
        <w:shd w:val="clear" w:color="auto" w:fill="FFFFFF"/>
        <w:spacing w:after="240" w:line="276" w:lineRule="auto"/>
        <w:ind w:left="0" w:hanging="2"/>
        <w:jc w:val="both"/>
        <w:rPr>
          <w:rFonts w:ascii="Arial" w:eastAsia="Arial" w:hAnsi="Arial" w:cs="Arial"/>
          <w:color w:val="1B1B1B"/>
          <w:sz w:val="20"/>
          <w:szCs w:val="20"/>
        </w:rPr>
      </w:pPr>
      <w:r>
        <w:rPr>
          <w:rFonts w:ascii="Arial" w:eastAsia="Arial" w:hAnsi="Arial" w:cs="Arial"/>
          <w:color w:val="1B1B1B"/>
          <w:sz w:val="20"/>
          <w:szCs w:val="20"/>
        </w:rPr>
        <w:t>Program Mobilne Laboratoria Przyszłości ma charakter powszechny, a formuła przedsięwzięcia ma charakter otwarty. Nie ma znaczenia wielkość miejscowości czy liczebność uczniów danej szkoły. Każda szkoła może zgłosić chęć udziału w warsztatach i zaprosić edukatorów na pokazowe warsztaty, które pozwolą jeszcze lepiej wykorzystywać sprzęt, którym dysponują szkoły dzięki Laboratoriom Przyszłości. Wizyty ekipy Mobilnych Laboratoriów nie będą jedynym wsparciem dla szkół.</w:t>
      </w:r>
    </w:p>
    <w:p w14:paraId="36966422" w14:textId="77777777" w:rsidR="00166CD0" w:rsidRDefault="00667DC1">
      <w:pPr>
        <w:shd w:val="clear" w:color="auto" w:fill="FFFFFF"/>
        <w:spacing w:after="240" w:line="276" w:lineRule="auto"/>
        <w:ind w:left="0" w:right="2180" w:hanging="2"/>
        <w:rPr>
          <w:rFonts w:ascii="Arial" w:eastAsia="Arial" w:hAnsi="Arial" w:cs="Arial"/>
          <w:i/>
          <w:color w:val="767676"/>
          <w:sz w:val="20"/>
          <w:szCs w:val="20"/>
        </w:rPr>
      </w:pPr>
      <w:r>
        <w:rPr>
          <w:rFonts w:ascii="Arial" w:eastAsia="Arial" w:hAnsi="Arial" w:cs="Arial"/>
          <w:i/>
          <w:color w:val="767676"/>
          <w:sz w:val="20"/>
          <w:szCs w:val="20"/>
        </w:rPr>
        <w:t>Jednym z najważniejszych celów Laboratoriów Przyszłości jest działanie na rzecz wyrównywania szans edukacyjnych uczniów w całej Polsce. Dzięki programowi niemal wszystkie szkoły podstawowe, a także ogólnokształcące szkoły artystyczne zostały w ciągu jednego tylko roku wyposażone w nowoczesny sprzęt. W związku ze startem Mobilnych Laboratoriów Przyszłości uruchomiliśmy zgłoszenia szkół do udziału w warsztatach. Zgłosić może się każda placówka edukacyjna wyposażona w sprzęt Laboratoriów Przyszłości. Wkrótce uruchomiona zostanie też dedykowana infolinia wspierająca nauczycieli rozwijających Laboratoria Przyszłości w swoich szkołach</w:t>
      </w:r>
    </w:p>
    <w:p w14:paraId="428C3E40" w14:textId="77777777" w:rsidR="00166CD0" w:rsidRDefault="00667DC1">
      <w:pPr>
        <w:shd w:val="clear" w:color="auto" w:fill="FFFFFF"/>
        <w:spacing w:after="240" w:line="276" w:lineRule="auto"/>
        <w:ind w:left="0" w:hanging="2"/>
        <w:jc w:val="both"/>
        <w:rPr>
          <w:rFonts w:ascii="Arial" w:eastAsia="Arial" w:hAnsi="Arial" w:cs="Arial"/>
          <w:color w:val="1B1B1B"/>
          <w:sz w:val="20"/>
          <w:szCs w:val="20"/>
        </w:rPr>
      </w:pPr>
      <w:r>
        <w:rPr>
          <w:rFonts w:ascii="Arial" w:eastAsia="Arial" w:hAnsi="Arial" w:cs="Arial"/>
          <w:color w:val="1B1B1B"/>
          <w:sz w:val="20"/>
          <w:szCs w:val="20"/>
        </w:rPr>
        <w:t xml:space="preserve">– podsumowuje Marta Lewandowska, Wicedyrektorka Ośrodka Rozwoju Edukacji. </w:t>
      </w:r>
    </w:p>
    <w:p w14:paraId="193CE52F" w14:textId="77777777" w:rsidR="00166CD0" w:rsidRDefault="00667DC1">
      <w:pPr>
        <w:shd w:val="clear" w:color="auto" w:fill="FFFFFF"/>
        <w:spacing w:after="240" w:line="276" w:lineRule="auto"/>
        <w:ind w:left="0" w:hanging="2"/>
        <w:jc w:val="both"/>
        <w:rPr>
          <w:rFonts w:ascii="Arial" w:eastAsia="Arial" w:hAnsi="Arial" w:cs="Arial"/>
          <w:color w:val="1B1B1B"/>
          <w:sz w:val="20"/>
          <w:szCs w:val="20"/>
        </w:rPr>
      </w:pPr>
      <w:r>
        <w:rPr>
          <w:rFonts w:ascii="Arial" w:eastAsia="Arial" w:hAnsi="Arial" w:cs="Arial"/>
          <w:color w:val="1B1B1B"/>
          <w:sz w:val="20"/>
          <w:szCs w:val="20"/>
        </w:rPr>
        <w:t>Warsztaty dla uczniów i nauczycieli będą trwać przez cały rok szkolny 2022/2023. To kontynuacja  największego w historii polskiej edukacji projektu edukacyjno-technologicznego Laboratoria Przyszłości, wartego ponad miliard złotych.</w:t>
      </w:r>
    </w:p>
    <w:p w14:paraId="5030FDEF" w14:textId="77777777" w:rsidR="00166CD0" w:rsidRDefault="00667DC1">
      <w:pPr>
        <w:shd w:val="clear" w:color="auto" w:fill="FFFFFF"/>
        <w:spacing w:after="240" w:line="276" w:lineRule="auto"/>
        <w:ind w:left="0" w:hanging="2"/>
        <w:jc w:val="both"/>
        <w:rPr>
          <w:rFonts w:ascii="Arial" w:eastAsia="Arial" w:hAnsi="Arial" w:cs="Arial"/>
          <w:color w:val="1B1B1B"/>
          <w:sz w:val="20"/>
          <w:szCs w:val="20"/>
        </w:rPr>
      </w:pPr>
      <w:r>
        <w:rPr>
          <w:rFonts w:ascii="Arial" w:eastAsia="Arial" w:hAnsi="Arial" w:cs="Arial"/>
          <w:color w:val="1B1B1B"/>
          <w:sz w:val="20"/>
          <w:szCs w:val="20"/>
        </w:rPr>
        <w:lastRenderedPageBreak/>
        <w:t xml:space="preserve">Szczegóły oraz zgłoszenia do Mobilnych Laboratoriów Przyszłości: </w:t>
      </w:r>
    </w:p>
    <w:p w14:paraId="028AAD11" w14:textId="77777777" w:rsidR="00166CD0" w:rsidRDefault="00000000">
      <w:pPr>
        <w:shd w:val="clear" w:color="auto" w:fill="FFFFFF"/>
        <w:spacing w:after="240" w:line="276" w:lineRule="auto"/>
        <w:ind w:left="0" w:hanging="2"/>
        <w:jc w:val="both"/>
        <w:rPr>
          <w:rFonts w:ascii="Arial" w:eastAsia="Arial" w:hAnsi="Arial" w:cs="Arial"/>
          <w:color w:val="0052A5"/>
          <w:sz w:val="20"/>
          <w:szCs w:val="20"/>
          <w:u w:val="single"/>
        </w:rPr>
      </w:pPr>
      <w:hyperlink r:id="rId11">
        <w:r w:rsidR="00667DC1">
          <w:rPr>
            <w:rFonts w:ascii="Arial" w:eastAsia="Arial" w:hAnsi="Arial" w:cs="Arial"/>
            <w:color w:val="0052A5"/>
            <w:sz w:val="20"/>
            <w:szCs w:val="20"/>
            <w:u w:val="single"/>
          </w:rPr>
          <w:t>www.gov.pl/laboratoria/mobilne-laboratoria</w:t>
        </w:r>
      </w:hyperlink>
    </w:p>
    <w:p w14:paraId="1D1E2697" w14:textId="77777777" w:rsidR="00166CD0" w:rsidRDefault="00667DC1">
      <w:pPr>
        <w:pStyle w:val="Nagwek3"/>
        <w:keepNext w:val="0"/>
        <w:keepLines w:val="0"/>
        <w:shd w:val="clear" w:color="auto" w:fill="FFFFFF"/>
        <w:spacing w:before="480" w:after="160" w:line="312" w:lineRule="auto"/>
        <w:ind w:left="1" w:hanging="3"/>
        <w:jc w:val="both"/>
        <w:rPr>
          <w:rFonts w:ascii="Arial" w:eastAsia="Arial" w:hAnsi="Arial" w:cs="Arial"/>
          <w:color w:val="1B1B1B"/>
        </w:rPr>
      </w:pPr>
      <w:bookmarkStart w:id="3" w:name="_heading=h.iijm8kjfa23n" w:colFirst="0" w:colLast="0"/>
      <w:bookmarkEnd w:id="3"/>
      <w:r>
        <w:rPr>
          <w:rFonts w:ascii="Arial" w:eastAsia="Arial" w:hAnsi="Arial" w:cs="Arial"/>
          <w:color w:val="1B1B1B"/>
        </w:rPr>
        <w:t>Partnerzy Mobilnych Laboratoriów Przyszłości</w:t>
      </w:r>
    </w:p>
    <w:p w14:paraId="28BB384A" w14:textId="77777777" w:rsidR="00166CD0" w:rsidRDefault="00667DC1">
      <w:pPr>
        <w:shd w:val="clear" w:color="auto" w:fill="FFFFFF"/>
        <w:spacing w:after="240" w:line="276" w:lineRule="auto"/>
        <w:ind w:left="0" w:hanging="2"/>
        <w:jc w:val="both"/>
        <w:rPr>
          <w:rFonts w:ascii="Arial" w:eastAsia="Arial" w:hAnsi="Arial" w:cs="Arial"/>
          <w:color w:val="1B1B1B"/>
          <w:sz w:val="20"/>
          <w:szCs w:val="20"/>
        </w:rPr>
      </w:pPr>
      <w:r>
        <w:rPr>
          <w:rFonts w:ascii="Arial" w:eastAsia="Arial" w:hAnsi="Arial" w:cs="Arial"/>
          <w:b/>
          <w:color w:val="1B1B1B"/>
          <w:sz w:val="20"/>
          <w:szCs w:val="20"/>
        </w:rPr>
        <w:t>Instytut Badań Edukacyjnych</w:t>
      </w:r>
      <w:r>
        <w:rPr>
          <w:rFonts w:ascii="Arial" w:eastAsia="Arial" w:hAnsi="Arial" w:cs="Arial"/>
          <w:color w:val="1B1B1B"/>
          <w:sz w:val="20"/>
          <w:szCs w:val="20"/>
        </w:rPr>
        <w:t xml:space="preserve"> prowadzi interdyscyplinarne badania naukowe nad funkcjonowaniem i efektywnością systemu edukacji w Polsce. Obecnie Instytut jest wiodącą jednostką w obszarze cyfryzacji polskiej edukacji i nauki, odpowiada m.in. za uruchomienie projektu edukacja.gov.pl. Ten innowacyjny projekt pozwoli wszystkim Polakom na dostęp do informacji o ofercie edukacyjnej i umożliwi tworzenie spersonalizowanej ścieżki nauczania.</w:t>
      </w:r>
    </w:p>
    <w:p w14:paraId="316B39AA" w14:textId="77777777" w:rsidR="00166CD0" w:rsidRDefault="00667DC1">
      <w:pPr>
        <w:shd w:val="clear" w:color="auto" w:fill="FFFFFF"/>
        <w:spacing w:after="240" w:line="276" w:lineRule="auto"/>
        <w:ind w:left="0" w:hanging="2"/>
        <w:jc w:val="both"/>
        <w:rPr>
          <w:rFonts w:ascii="Arial" w:eastAsia="Arial" w:hAnsi="Arial" w:cs="Arial"/>
          <w:color w:val="1B1B1B"/>
          <w:sz w:val="20"/>
          <w:szCs w:val="20"/>
        </w:rPr>
      </w:pPr>
      <w:r>
        <w:rPr>
          <w:rFonts w:ascii="Arial" w:eastAsia="Arial" w:hAnsi="Arial" w:cs="Arial"/>
          <w:b/>
          <w:color w:val="1B1B1B"/>
          <w:sz w:val="20"/>
          <w:szCs w:val="20"/>
        </w:rPr>
        <w:t>Ośrodek Rozwoju Edukacji</w:t>
      </w:r>
      <w:r>
        <w:rPr>
          <w:rFonts w:ascii="Arial" w:eastAsia="Arial" w:hAnsi="Arial" w:cs="Arial"/>
          <w:color w:val="1B1B1B"/>
          <w:sz w:val="20"/>
          <w:szCs w:val="20"/>
        </w:rPr>
        <w:t xml:space="preserve"> jest publiczną placówką doskonalenia nauczycieli o zasięgu ogólnokrajowym prowadzoną przez ministra edukacji i nauki. Powstał 1 stycznia 2010 roku w wyniku połączenia Centralnego Ośrodka Doskonalenia Nauczycieli i Centrum Metodycznego Pomocy Psychologiczno-Pedagogicznej na podstawie zarządzenia Ministra Edukacji Narodowej. Celem Ośrodka jest podejmowanie i realizacja działań na rzecz doskonalenia systemu oświaty i podnoszenia jakości edukacji zgodnie z polityką oświatową państwa w obszarze kształcenia ogólnego i wychowania.</w:t>
      </w:r>
    </w:p>
    <w:p w14:paraId="798FECDF" w14:textId="77777777" w:rsidR="00166CD0" w:rsidRDefault="00667DC1">
      <w:pPr>
        <w:shd w:val="clear" w:color="auto" w:fill="FFFFFF"/>
        <w:spacing w:after="240" w:line="276" w:lineRule="auto"/>
        <w:ind w:left="0" w:hanging="2"/>
        <w:jc w:val="both"/>
        <w:rPr>
          <w:rFonts w:ascii="Arial" w:eastAsia="Arial" w:hAnsi="Arial" w:cs="Arial"/>
          <w:color w:val="1B1B1B"/>
          <w:sz w:val="20"/>
          <w:szCs w:val="20"/>
        </w:rPr>
      </w:pPr>
      <w:r>
        <w:rPr>
          <w:rFonts w:ascii="Arial" w:eastAsia="Arial" w:hAnsi="Arial" w:cs="Arial"/>
          <w:b/>
          <w:color w:val="1B1B1B"/>
          <w:sz w:val="20"/>
          <w:szCs w:val="20"/>
        </w:rPr>
        <w:t xml:space="preserve">Centrum </w:t>
      </w:r>
      <w:proofErr w:type="spellStart"/>
      <w:r>
        <w:rPr>
          <w:rFonts w:ascii="Arial" w:eastAsia="Arial" w:hAnsi="Arial" w:cs="Arial"/>
          <w:b/>
          <w:color w:val="1B1B1B"/>
          <w:sz w:val="20"/>
          <w:szCs w:val="20"/>
        </w:rPr>
        <w:t>GovTech</w:t>
      </w:r>
      <w:proofErr w:type="spellEnd"/>
      <w:r>
        <w:rPr>
          <w:rFonts w:ascii="Arial" w:eastAsia="Arial" w:hAnsi="Arial" w:cs="Arial"/>
          <w:color w:val="1B1B1B"/>
          <w:sz w:val="20"/>
          <w:szCs w:val="20"/>
        </w:rPr>
        <w:t xml:space="preserve"> otwiera sektor publiczny na innowacje. Łączy wszystkich, którzy chcą mierzyć się z wyzwaniem transformacji cyfrowej Polski, usprawniać efektywność działania sfery publicznej i podnosić jakość życia obywateli. Centrum współpracuje z przedsiębiorcami, urzędnikami, organizacjami pozarządowymi, innowatorami i obywatelami. Organizuje </w:t>
      </w:r>
      <w:proofErr w:type="spellStart"/>
      <w:r>
        <w:rPr>
          <w:rFonts w:ascii="Arial" w:eastAsia="Arial" w:hAnsi="Arial" w:cs="Arial"/>
          <w:color w:val="1B1B1B"/>
          <w:sz w:val="20"/>
          <w:szCs w:val="20"/>
        </w:rPr>
        <w:t>hackathony</w:t>
      </w:r>
      <w:proofErr w:type="spellEnd"/>
      <w:r>
        <w:rPr>
          <w:rFonts w:ascii="Arial" w:eastAsia="Arial" w:hAnsi="Arial" w:cs="Arial"/>
          <w:color w:val="1B1B1B"/>
          <w:sz w:val="20"/>
          <w:szCs w:val="20"/>
        </w:rPr>
        <w:t xml:space="preserve"> i </w:t>
      </w:r>
      <w:proofErr w:type="spellStart"/>
      <w:r>
        <w:rPr>
          <w:rFonts w:ascii="Arial" w:eastAsia="Arial" w:hAnsi="Arial" w:cs="Arial"/>
          <w:color w:val="1B1B1B"/>
          <w:sz w:val="20"/>
          <w:szCs w:val="20"/>
        </w:rPr>
        <w:t>game</w:t>
      </w:r>
      <w:proofErr w:type="spellEnd"/>
      <w:r>
        <w:rPr>
          <w:rFonts w:ascii="Arial" w:eastAsia="Arial" w:hAnsi="Arial" w:cs="Arial"/>
          <w:color w:val="1B1B1B"/>
          <w:sz w:val="20"/>
          <w:szCs w:val="20"/>
        </w:rPr>
        <w:t xml:space="preserve">-jamy, koordynuje projekty IT, współtworzy programy publiczne i wspiera ich realizację. Centrum </w:t>
      </w:r>
      <w:proofErr w:type="spellStart"/>
      <w:r>
        <w:rPr>
          <w:rFonts w:ascii="Arial" w:eastAsia="Arial" w:hAnsi="Arial" w:cs="Arial"/>
          <w:color w:val="1B1B1B"/>
          <w:sz w:val="20"/>
          <w:szCs w:val="20"/>
        </w:rPr>
        <w:t>GovTech</w:t>
      </w:r>
      <w:proofErr w:type="spellEnd"/>
      <w:r>
        <w:rPr>
          <w:rFonts w:ascii="Arial" w:eastAsia="Arial" w:hAnsi="Arial" w:cs="Arial"/>
          <w:color w:val="1B1B1B"/>
          <w:sz w:val="20"/>
          <w:szCs w:val="20"/>
        </w:rPr>
        <w:t xml:space="preserve"> współtworzy m.in. Poland. Business Harbour, Laboratoria Przyszłości, Karierę Jutra, IT dla kraju, </w:t>
      </w:r>
      <w:proofErr w:type="spellStart"/>
      <w:r>
        <w:rPr>
          <w:rFonts w:ascii="Arial" w:eastAsia="Arial" w:hAnsi="Arial" w:cs="Arial"/>
          <w:color w:val="1B1B1B"/>
          <w:sz w:val="20"/>
          <w:szCs w:val="20"/>
        </w:rPr>
        <w:t>HackYeah</w:t>
      </w:r>
      <w:proofErr w:type="spellEnd"/>
      <w:r>
        <w:rPr>
          <w:rFonts w:ascii="Arial" w:eastAsia="Arial" w:hAnsi="Arial" w:cs="Arial"/>
          <w:color w:val="1B1B1B"/>
          <w:sz w:val="20"/>
          <w:szCs w:val="20"/>
        </w:rPr>
        <w:t xml:space="preserve"> (największy </w:t>
      </w:r>
      <w:proofErr w:type="spellStart"/>
      <w:r>
        <w:rPr>
          <w:rFonts w:ascii="Arial" w:eastAsia="Arial" w:hAnsi="Arial" w:cs="Arial"/>
          <w:color w:val="1B1B1B"/>
          <w:sz w:val="20"/>
          <w:szCs w:val="20"/>
        </w:rPr>
        <w:t>hackathon</w:t>
      </w:r>
      <w:proofErr w:type="spellEnd"/>
      <w:r>
        <w:rPr>
          <w:rFonts w:ascii="Arial" w:eastAsia="Arial" w:hAnsi="Arial" w:cs="Arial"/>
          <w:color w:val="1B1B1B"/>
          <w:sz w:val="20"/>
          <w:szCs w:val="20"/>
        </w:rPr>
        <w:t xml:space="preserve"> w Europie), czy </w:t>
      </w:r>
      <w:proofErr w:type="spellStart"/>
      <w:r>
        <w:rPr>
          <w:rFonts w:ascii="Arial" w:eastAsia="Arial" w:hAnsi="Arial" w:cs="Arial"/>
          <w:color w:val="1B1B1B"/>
          <w:sz w:val="20"/>
          <w:szCs w:val="20"/>
        </w:rPr>
        <w:t>Klimaton</w:t>
      </w:r>
      <w:proofErr w:type="spellEnd"/>
      <w:r>
        <w:rPr>
          <w:rFonts w:ascii="Arial" w:eastAsia="Arial" w:hAnsi="Arial" w:cs="Arial"/>
          <w:color w:val="1B1B1B"/>
          <w:sz w:val="20"/>
          <w:szCs w:val="20"/>
        </w:rPr>
        <w:t xml:space="preserve"> dla miast. Działa również na arenie międzynarodowej, wspierając m.in. działania na rzecz ochrony klimatu w ramach The </w:t>
      </w:r>
      <w:proofErr w:type="spellStart"/>
      <w:r>
        <w:rPr>
          <w:rFonts w:ascii="Arial" w:eastAsia="Arial" w:hAnsi="Arial" w:cs="Arial"/>
          <w:color w:val="1B1B1B"/>
          <w:sz w:val="20"/>
          <w:szCs w:val="20"/>
        </w:rPr>
        <w:t>CivTech</w:t>
      </w:r>
      <w:proofErr w:type="spellEnd"/>
      <w:r>
        <w:rPr>
          <w:rFonts w:ascii="Arial" w:eastAsia="Arial" w:hAnsi="Arial" w:cs="Arial"/>
          <w:color w:val="1B1B1B"/>
          <w:sz w:val="20"/>
          <w:szCs w:val="20"/>
        </w:rPr>
        <w:t xml:space="preserve"> Alliance Global </w:t>
      </w:r>
      <w:proofErr w:type="spellStart"/>
      <w:r>
        <w:rPr>
          <w:rFonts w:ascii="Arial" w:eastAsia="Arial" w:hAnsi="Arial" w:cs="Arial"/>
          <w:color w:val="1B1B1B"/>
          <w:sz w:val="20"/>
          <w:szCs w:val="20"/>
        </w:rPr>
        <w:t>Scale-Up</w:t>
      </w:r>
      <w:proofErr w:type="spellEnd"/>
      <w:r>
        <w:rPr>
          <w:rFonts w:ascii="Arial" w:eastAsia="Arial" w:hAnsi="Arial" w:cs="Arial"/>
          <w:color w:val="1B1B1B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B1B1B"/>
          <w:sz w:val="20"/>
          <w:szCs w:val="20"/>
        </w:rPr>
        <w:t>Programme</w:t>
      </w:r>
      <w:proofErr w:type="spellEnd"/>
      <w:r>
        <w:rPr>
          <w:rFonts w:ascii="Arial" w:eastAsia="Arial" w:hAnsi="Arial" w:cs="Arial"/>
          <w:color w:val="1B1B1B"/>
          <w:sz w:val="20"/>
          <w:szCs w:val="20"/>
        </w:rPr>
        <w:t>.</w:t>
      </w:r>
    </w:p>
    <w:p w14:paraId="217F171B" w14:textId="77777777" w:rsidR="00166CD0" w:rsidRDefault="00166CD0">
      <w:pPr>
        <w:spacing w:line="276" w:lineRule="auto"/>
        <w:ind w:left="0" w:hanging="2"/>
        <w:jc w:val="right"/>
        <w:rPr>
          <w:b/>
        </w:rPr>
      </w:pPr>
    </w:p>
    <w:p w14:paraId="23A63676" w14:textId="77777777" w:rsidR="00166CD0" w:rsidRDefault="00166CD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</w:rPr>
      </w:pPr>
    </w:p>
    <w:p w14:paraId="3A840391" w14:textId="77777777" w:rsidR="00166CD0" w:rsidRDefault="00166CD0">
      <w:pPr>
        <w:spacing w:line="276" w:lineRule="auto"/>
        <w:ind w:left="0" w:hanging="2"/>
      </w:pPr>
    </w:p>
    <w:sectPr w:rsidR="00166CD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843" w:right="1531" w:bottom="1701" w:left="1531" w:header="454" w:footer="198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A4DB9" w14:textId="77777777" w:rsidR="00013E0A" w:rsidRDefault="00013E0A">
      <w:pPr>
        <w:spacing w:line="240" w:lineRule="auto"/>
        <w:ind w:left="0" w:hanging="2"/>
      </w:pPr>
      <w:r>
        <w:separator/>
      </w:r>
    </w:p>
  </w:endnote>
  <w:endnote w:type="continuationSeparator" w:id="0">
    <w:p w14:paraId="2025F88A" w14:textId="77777777" w:rsidR="00013E0A" w:rsidRDefault="00013E0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306B1" w14:textId="77777777" w:rsidR="00166CD0" w:rsidRDefault="00166CD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7D0F2" w14:textId="77777777" w:rsidR="00166CD0" w:rsidRDefault="00667DC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Arial" w:eastAsia="Arial" w:hAnsi="Arial" w:cs="Arial"/>
        <w:color w:val="666666"/>
        <w:sz w:val="16"/>
        <w:szCs w:val="16"/>
      </w:rPr>
    </w:pPr>
    <w:r>
      <w:rPr>
        <w:rFonts w:ascii="Arial" w:eastAsia="Arial" w:hAnsi="Arial" w:cs="Arial"/>
        <w:b/>
        <w:color w:val="666666"/>
        <w:sz w:val="16"/>
        <w:szCs w:val="16"/>
      </w:rPr>
      <w:t>Instytut Badań Edukacyjnych</w:t>
    </w:r>
  </w:p>
  <w:p w14:paraId="4E57A9A2" w14:textId="77777777" w:rsidR="00166CD0" w:rsidRDefault="00667DC1">
    <w:pPr>
      <w:pBdr>
        <w:top w:val="nil"/>
        <w:left w:val="nil"/>
        <w:bottom w:val="nil"/>
        <w:right w:val="nil"/>
        <w:between w:val="nil"/>
      </w:pBdr>
      <w:spacing w:line="288" w:lineRule="auto"/>
      <w:ind w:left="0" w:hanging="2"/>
      <w:rPr>
        <w:rFonts w:ascii="Open Sans" w:eastAsia="Open Sans" w:hAnsi="Open Sans" w:cs="Open Sans"/>
        <w:color w:val="404040"/>
        <w:sz w:val="16"/>
        <w:szCs w:val="16"/>
      </w:rPr>
    </w:pPr>
    <w:r>
      <w:rPr>
        <w:rFonts w:ascii="Arial" w:eastAsia="Arial" w:hAnsi="Arial" w:cs="Arial"/>
        <w:color w:val="666666"/>
        <w:sz w:val="16"/>
        <w:szCs w:val="16"/>
      </w:rPr>
      <w:t xml:space="preserve">ul. Górczewska 8, 01-180 Warszawa | +48 22 241 71 00 </w:t>
    </w:r>
    <w:r>
      <w:rPr>
        <w:rFonts w:ascii="Arial" w:eastAsia="Arial" w:hAnsi="Arial" w:cs="Arial"/>
        <w:color w:val="000000"/>
        <w:sz w:val="16"/>
        <w:szCs w:val="16"/>
      </w:rPr>
      <w:t xml:space="preserve">| </w:t>
    </w:r>
    <w:r>
      <w:rPr>
        <w:rFonts w:ascii="Arial" w:eastAsia="Arial" w:hAnsi="Arial" w:cs="Arial"/>
        <w:color w:val="0070C0"/>
        <w:sz w:val="16"/>
        <w:szCs w:val="16"/>
      </w:rPr>
      <w:t>ibe@ibe.edu.pl</w:t>
    </w:r>
    <w:r>
      <w:rPr>
        <w:rFonts w:ascii="Arial" w:eastAsia="Arial" w:hAnsi="Arial" w:cs="Arial"/>
        <w:color w:val="000000"/>
        <w:sz w:val="16"/>
        <w:szCs w:val="16"/>
      </w:rPr>
      <w:t xml:space="preserve"> | </w:t>
    </w:r>
    <w:hyperlink r:id="rId1">
      <w:r>
        <w:rPr>
          <w:rFonts w:ascii="Arial" w:eastAsia="Arial" w:hAnsi="Arial" w:cs="Arial"/>
          <w:color w:val="0000FF"/>
          <w:sz w:val="16"/>
          <w:szCs w:val="16"/>
          <w:u w:val="single"/>
        </w:rPr>
        <w:t>www.ibe.edu.pl</w:t>
      </w:r>
    </w:hyperlink>
    <w:r>
      <w:rPr>
        <w:rFonts w:ascii="Arial" w:eastAsia="Arial" w:hAnsi="Arial" w:cs="Arial"/>
        <w:color w:val="0070C0"/>
        <w:sz w:val="16"/>
        <w:szCs w:val="16"/>
      </w:rPr>
      <w:t xml:space="preserve"> </w:t>
    </w:r>
  </w:p>
  <w:p w14:paraId="14137DE7" w14:textId="77777777" w:rsidR="00166CD0" w:rsidRDefault="00667DC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Arial" w:eastAsia="Arial" w:hAnsi="Arial" w:cs="Arial"/>
        <w:color w:val="666666"/>
        <w:sz w:val="16"/>
        <w:szCs w:val="16"/>
      </w:rPr>
    </w:pPr>
    <w:r>
      <w:rPr>
        <w:rFonts w:ascii="Arial" w:eastAsia="Arial" w:hAnsi="Arial" w:cs="Arial"/>
        <w:color w:val="666666"/>
        <w:sz w:val="16"/>
        <w:szCs w:val="16"/>
      </w:rPr>
      <w:t xml:space="preserve">NIP 525-000-86-95  </w:t>
    </w:r>
  </w:p>
  <w:p w14:paraId="4AD1B66C" w14:textId="77777777" w:rsidR="00166CD0" w:rsidRDefault="00667DC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BC7FACC" wp14:editId="61ED3003">
          <wp:simplePos x="0" y="0"/>
          <wp:positionH relativeFrom="column">
            <wp:posOffset>-48259</wp:posOffset>
          </wp:positionH>
          <wp:positionV relativeFrom="paragraph">
            <wp:posOffset>306070</wp:posOffset>
          </wp:positionV>
          <wp:extent cx="5614670" cy="882015"/>
          <wp:effectExtent l="0" t="0" r="0" b="0"/>
          <wp:wrapSquare wrapText="bothSides" distT="0" distB="0" distL="114300" distR="114300"/>
          <wp:docPr id="3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l="3694" r="3693"/>
                  <a:stretch>
                    <a:fillRect/>
                  </a:stretch>
                </pic:blipFill>
                <pic:spPr>
                  <a:xfrm>
                    <a:off x="0" y="0"/>
                    <a:ext cx="5614670" cy="882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F8799" w14:textId="77777777" w:rsidR="00166CD0" w:rsidRDefault="00166CD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9968E" w14:textId="77777777" w:rsidR="00013E0A" w:rsidRDefault="00013E0A">
      <w:pPr>
        <w:spacing w:line="240" w:lineRule="auto"/>
        <w:ind w:left="0" w:hanging="2"/>
      </w:pPr>
      <w:r>
        <w:separator/>
      </w:r>
    </w:p>
  </w:footnote>
  <w:footnote w:type="continuationSeparator" w:id="0">
    <w:p w14:paraId="10E8F7C7" w14:textId="77777777" w:rsidR="00013E0A" w:rsidRDefault="00013E0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33C1C" w14:textId="77777777" w:rsidR="00166CD0" w:rsidRDefault="00166CD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0B4AD" w14:textId="77777777" w:rsidR="00166CD0" w:rsidRDefault="00667DC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AEAD5C5" wp14:editId="6E17A2A8">
          <wp:simplePos x="0" y="0"/>
          <wp:positionH relativeFrom="column">
            <wp:posOffset>5084445</wp:posOffset>
          </wp:positionH>
          <wp:positionV relativeFrom="paragraph">
            <wp:posOffset>-295927</wp:posOffset>
          </wp:positionV>
          <wp:extent cx="3524265" cy="3437940"/>
          <wp:effectExtent l="0" t="0" r="0" b="0"/>
          <wp:wrapNone/>
          <wp:docPr id="29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t="61792" r="44641"/>
                  <a:stretch>
                    <a:fillRect/>
                  </a:stretch>
                </pic:blipFill>
                <pic:spPr>
                  <a:xfrm rot="5400000">
                    <a:off x="0" y="0"/>
                    <a:ext cx="3524265" cy="34379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38AF9" w14:textId="77777777" w:rsidR="00166CD0" w:rsidRDefault="00166CD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CD0"/>
    <w:rsid w:val="00013E0A"/>
    <w:rsid w:val="00166CD0"/>
    <w:rsid w:val="00225348"/>
    <w:rsid w:val="00573E24"/>
    <w:rsid w:val="00667DC1"/>
    <w:rsid w:val="00EE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AA801"/>
  <w15:docId w15:val="{3F800825-ACDF-4ABA-AA9D-6C570C5B8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pt-PT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</w:style>
  <w:style w:type="paragraph" w:styleId="Stopka">
    <w:name w:val="footer"/>
    <w:basedOn w:val="Normalny"/>
  </w:style>
  <w:style w:type="paragraph" w:styleId="NormalnyWeb">
    <w:name w:val="Normal (Web)"/>
    <w:basedOn w:val="Normalny"/>
    <w:uiPriority w:val="99"/>
    <w:pPr>
      <w:spacing w:before="100" w:beforeAutospacing="1" w:after="100" w:afterAutospacing="1"/>
    </w:pPr>
  </w:style>
  <w:style w:type="character" w:styleId="Hipercz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rPr>
      <w:rFonts w:ascii="Lucida Grande CE" w:hAnsi="Lucida Grande CE"/>
      <w:w w:val="100"/>
      <w:position w:val="-1"/>
      <w:sz w:val="18"/>
      <w:szCs w:val="18"/>
      <w:effect w:val="none"/>
      <w:vertAlign w:val="baseline"/>
      <w:cs w:val="0"/>
      <w:em w:val="none"/>
      <w:lang w:val="pt-PT" w:eastAsia="pt-PT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23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gov.pl/web/laboratoria/mobilne-laboratoria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hyperlink" Target="http://www.ibe.edu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z2zlzmEfGZi9yE2YjnUkGAAAZg==">AMUW2mUsW8nA56vI2+hUicPEzOFO2jYoMkg+KAFsKZQHqfXegQYJPkYmigDAZnpAuuMxsfZDKBQG75vmPGQO3Hq8ngFtmgzFnSf6WOFpI70OAWuyoZ1fQ1erHdeRlHnttBFz1J8QyzMUbUNfX4IvK5IFDhdCoe7pmwUNlBnGGWg9msc9yEcYF0WDAVmScXl3G6UbtQTn6Zyh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1170</Words>
  <Characters>7023</Characters>
  <Application>Microsoft Office Word</Application>
  <DocSecurity>0</DocSecurity>
  <Lines>58</Lines>
  <Paragraphs>16</Paragraphs>
  <ScaleCrop>false</ScaleCrop>
  <Company/>
  <LinksUpToDate>false</LinksUpToDate>
  <CharactersWithSpaces>8177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Pawlus Julia</dc:creator>
  <cp:lastModifiedBy>Marcin Broniszewski</cp:lastModifiedBy>
  <cp:revision>4</cp:revision>
  <dcterms:created xsi:type="dcterms:W3CDTF">2022-08-31T13:28:00Z</dcterms:created>
  <dcterms:modified xsi:type="dcterms:W3CDTF">2022-09-27T07:31:00Z</dcterms:modified>
</cp:coreProperties>
</file>