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39B" w14:textId="77777777" w:rsidR="00A610A1" w:rsidRDefault="00704047">
      <w:pPr>
        <w:spacing w:line="1" w:lineRule="exact"/>
      </w:pPr>
      <w:r>
        <w:rPr>
          <w:noProof/>
        </w:rPr>
        <w:drawing>
          <wp:anchor distT="0" distB="388620" distL="459740" distR="459740" simplePos="0" relativeHeight="125829378" behindDoc="0" locked="0" layoutInCell="1" allowOverlap="1" wp14:anchorId="3A214F6A" wp14:editId="2AF05AE5">
            <wp:simplePos x="0" y="0"/>
            <wp:positionH relativeFrom="page">
              <wp:posOffset>772160</wp:posOffset>
            </wp:positionH>
            <wp:positionV relativeFrom="paragraph">
              <wp:posOffset>12700</wp:posOffset>
            </wp:positionV>
            <wp:extent cx="1688465" cy="54864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884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DBBE4F" wp14:editId="4620C29A">
                <wp:simplePos x="0" y="0"/>
                <wp:positionH relativeFrom="page">
                  <wp:posOffset>426720</wp:posOffset>
                </wp:positionH>
                <wp:positionV relativeFrom="paragraph">
                  <wp:posOffset>614680</wp:posOffset>
                </wp:positionV>
                <wp:extent cx="2377440" cy="3327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2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9280E3" w14:textId="77777777" w:rsidR="008F381C" w:rsidRPr="00E844FF" w:rsidRDefault="008F381C">
                            <w:pPr>
                              <w:pStyle w:val="Podpisobrazu0"/>
                              <w:spacing w:line="305" w:lineRule="auto"/>
                              <w:rPr>
                                <w:lang w:val="fr-FR"/>
                              </w:rPr>
                            </w:pPr>
                            <w:r w:rsidRPr="00E844FF">
                              <w:rPr>
                                <w:rStyle w:val="Podpisobrazu"/>
                                <w:lang w:val="fr-FR"/>
                              </w:rPr>
                              <w:t>EUROPEJSKI TRYBUNAŁ PRAW CZŁOWIEKA</w:t>
                            </w:r>
                            <w:r w:rsidRPr="00E844FF">
                              <w:rPr>
                                <w:rStyle w:val="Podpisobrazu"/>
                                <w:lang w:val="fr-FR"/>
                              </w:rPr>
                              <w:br/>
                              <w:t>COUR EUROPEENNE DES DROITS DE L'HOMME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DBBE4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3.6pt;margin-top:48.4pt;width:187.2pt;height:26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" filled="f" stroked="f">
                <v:textbox inset="0,0,0,0">
                  <w:txbxContent>
                    <w:p w14:paraId="7D9280E3" w14:textId="77777777" w:rsidR="008F381C" w:rsidRPr="00E844FF" w:rsidRDefault="008F381C">
                      <w:pPr>
                        <w:pStyle w:val="Podpisobrazu0"/>
                        <w:spacing w:line="305" w:lineRule="auto"/>
                        <w:rPr>
                          <w:lang w:val="fr-FR"/>
                        </w:rPr>
                      </w:pPr>
                      <w:r w:rsidRPr="00E844FF">
                        <w:rPr>
                          <w:rStyle w:val="Podpisobrazu"/>
                          <w:lang w:val="fr-FR"/>
                        </w:rPr>
                        <w:t>EUROPEJSKI TRYBUNAŁ PRAW CZŁOWIEKA</w:t>
                      </w:r>
                      <w:r w:rsidRPr="00E844FF">
                        <w:rPr>
                          <w:rStyle w:val="Podpisobrazu"/>
                          <w:lang w:val="fr-FR"/>
                        </w:rPr>
                        <w:br/>
                        <w:t>COUR EUROPEENNE DES DROITS DE L'HOMME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9592A7" w14:textId="2CFFF7B3" w:rsidR="00A610A1" w:rsidRDefault="002419A5">
      <w:pPr>
        <w:pStyle w:val="Teksttreci0"/>
        <w:pBdr>
          <w:bottom w:val="single" w:sz="4" w:space="0" w:color="auto"/>
        </w:pBdr>
        <w:spacing w:after="320"/>
        <w:ind w:firstLine="600"/>
      </w:pPr>
      <w:r>
        <w:rPr>
          <w:rStyle w:val="Teksttreci"/>
          <w:color w:val="000000"/>
        </w:rPr>
        <w:t>Zestawienie</w:t>
      </w:r>
      <w:r w:rsidR="00704047">
        <w:rPr>
          <w:rStyle w:val="Teksttreci"/>
          <w:color w:val="000000"/>
        </w:rPr>
        <w:t xml:space="preserve"> -</w:t>
      </w:r>
      <w:r>
        <w:rPr>
          <w:rStyle w:val="Teksttreci"/>
          <w:color w:val="000000"/>
        </w:rPr>
        <w:t xml:space="preserve"> </w:t>
      </w:r>
      <w:r w:rsidR="00704047">
        <w:rPr>
          <w:rStyle w:val="Teksttreci"/>
          <w:color w:val="000000"/>
        </w:rPr>
        <w:t>COVID-19</w:t>
      </w:r>
      <w:r>
        <w:rPr>
          <w:rStyle w:val="Teksttreci"/>
          <w:color w:val="000000"/>
        </w:rPr>
        <w:t xml:space="preserve"> kryzys zdrowotny</w:t>
      </w:r>
    </w:p>
    <w:p w14:paraId="2C27E3FD" w14:textId="72CE4CAA" w:rsidR="00A610A1" w:rsidRDefault="00641D95">
      <w:pPr>
        <w:pStyle w:val="Teksttreci20"/>
        <w:spacing w:line="240" w:lineRule="auto"/>
        <w:jc w:val="right"/>
      </w:pPr>
      <w:r>
        <w:rPr>
          <w:rStyle w:val="Teksttreci2"/>
          <w:color w:val="EC7E12"/>
        </w:rPr>
        <w:t xml:space="preserve">Czerwiec </w:t>
      </w:r>
      <w:r w:rsidR="00704047">
        <w:rPr>
          <w:rStyle w:val="Teksttreci2"/>
          <w:color w:val="EC7E12"/>
        </w:rPr>
        <w:t>2021 r.</w:t>
      </w:r>
    </w:p>
    <w:p w14:paraId="1F732588" w14:textId="2C21D947" w:rsidR="00641D95" w:rsidRDefault="00704047">
      <w:pPr>
        <w:pStyle w:val="Teksttreci20"/>
        <w:spacing w:after="220" w:line="240" w:lineRule="auto"/>
        <w:jc w:val="right"/>
      </w:pPr>
      <w:r>
        <w:rPr>
          <w:rStyle w:val="Teksttreci2"/>
          <w:color w:val="EC7E12"/>
        </w:rPr>
        <w:t>Niniejsz</w:t>
      </w:r>
      <w:r w:rsidR="00641D95">
        <w:rPr>
          <w:rStyle w:val="Teksttreci2"/>
          <w:color w:val="EC7E12"/>
        </w:rPr>
        <w:t>e zestawienie</w:t>
      </w:r>
      <w:r>
        <w:rPr>
          <w:rStyle w:val="Teksttreci2"/>
          <w:color w:val="EC7E12"/>
        </w:rPr>
        <w:t xml:space="preserve"> nie jest wiążąc</w:t>
      </w:r>
      <w:r w:rsidR="00641D95">
        <w:rPr>
          <w:rStyle w:val="Teksttreci2"/>
          <w:color w:val="EC7E12"/>
        </w:rPr>
        <w:t>e</w:t>
      </w:r>
      <w:r>
        <w:rPr>
          <w:rStyle w:val="Teksttreci2"/>
          <w:color w:val="EC7E12"/>
        </w:rPr>
        <w:t xml:space="preserve"> dla Trybunału i</w:t>
      </w:r>
      <w:r w:rsidR="00623731">
        <w:rPr>
          <w:rStyle w:val="Teksttreci2"/>
          <w:color w:val="EC7E12"/>
        </w:rPr>
        <w:t> </w:t>
      </w:r>
      <w:r>
        <w:rPr>
          <w:rStyle w:val="Teksttreci2"/>
          <w:color w:val="EC7E12"/>
        </w:rPr>
        <w:t>nie ma charakteru wyczerpującego</w:t>
      </w:r>
    </w:p>
    <w:p w14:paraId="005DAA76" w14:textId="1E21A581" w:rsidR="00A610A1" w:rsidRDefault="00641D95" w:rsidP="00692D31">
      <w:pPr>
        <w:pStyle w:val="Teksttreci20"/>
        <w:spacing w:after="220" w:line="240" w:lineRule="auto"/>
        <w:jc w:val="right"/>
      </w:pPr>
      <w:bookmarkStart w:id="0" w:name="bookmark0"/>
      <w:r>
        <w:rPr>
          <w:rStyle w:val="Nagwek1"/>
        </w:rPr>
        <w:t>Zestawienie</w:t>
      </w:r>
      <w:r w:rsidR="00704047">
        <w:rPr>
          <w:rStyle w:val="Nagwek1"/>
        </w:rPr>
        <w:t xml:space="preserve"> </w:t>
      </w:r>
      <w:r>
        <w:rPr>
          <w:rStyle w:val="Nagwek1"/>
        </w:rPr>
        <w:t>–</w:t>
      </w:r>
      <w:r w:rsidR="00704047">
        <w:rPr>
          <w:rStyle w:val="Nagwek1"/>
        </w:rPr>
        <w:t xml:space="preserve"> </w:t>
      </w:r>
      <w:r w:rsidR="0005151E">
        <w:rPr>
          <w:rStyle w:val="Nagwek1"/>
        </w:rPr>
        <w:br/>
      </w:r>
      <w:r>
        <w:rPr>
          <w:rStyle w:val="Nagwek1"/>
        </w:rPr>
        <w:t>COVID – 19 k</w:t>
      </w:r>
      <w:r w:rsidR="00704047">
        <w:rPr>
          <w:rStyle w:val="Nagwek1"/>
        </w:rPr>
        <w:t>ryzys zdrowotny</w:t>
      </w:r>
      <w:bookmarkEnd w:id="0"/>
    </w:p>
    <w:p w14:paraId="24611E80" w14:textId="13E7DFB7" w:rsidR="00A610A1" w:rsidRDefault="00704047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80"/>
        <w:jc w:val="both"/>
      </w:pPr>
      <w:r>
        <w:rPr>
          <w:rStyle w:val="Teksttreci"/>
          <w:color w:val="404040"/>
        </w:rPr>
        <w:t>Skargi dotyczące kryzysu zdrowotnego związanego z Covid-19 wniesione do Europejskiego Trybunału Praw Człowieka</w:t>
      </w:r>
      <w:r w:rsidR="00641D95">
        <w:rPr>
          <w:rStyle w:val="Teksttreci"/>
          <w:color w:val="404040"/>
        </w:rPr>
        <w:t xml:space="preserve"> podnoszą kwestie</w:t>
      </w:r>
      <w:r>
        <w:rPr>
          <w:rStyle w:val="Teksttreci"/>
          <w:color w:val="404040"/>
        </w:rPr>
        <w:t xml:space="preserve"> </w:t>
      </w:r>
      <w:r w:rsidR="009F1330">
        <w:rPr>
          <w:rStyle w:val="Teksttreci"/>
          <w:color w:val="404040"/>
        </w:rPr>
        <w:t xml:space="preserve">związane z </w:t>
      </w:r>
      <w:r>
        <w:rPr>
          <w:rStyle w:val="Teksttreci"/>
          <w:color w:val="404040"/>
        </w:rPr>
        <w:t>szereg</w:t>
      </w:r>
      <w:r w:rsidR="009F1330">
        <w:rPr>
          <w:rStyle w:val="Teksttreci"/>
          <w:color w:val="404040"/>
        </w:rPr>
        <w:t>iem</w:t>
      </w:r>
      <w:r>
        <w:rPr>
          <w:rStyle w:val="Teksttreci"/>
          <w:color w:val="404040"/>
        </w:rPr>
        <w:t xml:space="preserve"> przepisów </w:t>
      </w:r>
      <w:r>
        <w:rPr>
          <w:rStyle w:val="Teksttreci"/>
          <w:u w:val="single"/>
        </w:rPr>
        <w:t>Europejskiej Konwencji Praw Człowieka</w:t>
      </w:r>
      <w:r>
        <w:rPr>
          <w:rStyle w:val="Teksttreci"/>
        </w:rPr>
        <w:t xml:space="preserve">, </w:t>
      </w:r>
      <w:r w:rsidRPr="00066BA2">
        <w:rPr>
          <w:rStyle w:val="Teksttreci"/>
          <w:color w:val="auto"/>
        </w:rPr>
        <w:t xml:space="preserve">w </w:t>
      </w:r>
      <w:r>
        <w:rPr>
          <w:rStyle w:val="Teksttreci"/>
          <w:color w:val="404040"/>
        </w:rPr>
        <w:t>szczególności w zakresie prawa do życia, zakazu tortur i</w:t>
      </w:r>
      <w:r w:rsidR="007B1076">
        <w:rPr>
          <w:rStyle w:val="Teksttreci"/>
          <w:color w:val="404040"/>
        </w:rPr>
        <w:t> </w:t>
      </w:r>
      <w:r>
        <w:rPr>
          <w:rStyle w:val="Teksttreci"/>
          <w:color w:val="404040"/>
        </w:rPr>
        <w:t>nieludzkiego lub poniżającego traktowania, prawa do wolności i bezpieczeństwa osobistego, prawa do rzetelnego procesu sądowego, prawa do poszanowania życia prywatnego i rodzinnego, wolności wyznania, wolności wypowiedzi, wolności zrzeszania się, ochrony własności i swobody przemieszczania się.</w:t>
      </w:r>
    </w:p>
    <w:p w14:paraId="3CDBDFBB" w14:textId="77777777" w:rsidR="00A610A1" w:rsidRPr="00BF4C58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1" w:name="bookmark2"/>
      <w:r>
        <w:rPr>
          <w:rStyle w:val="Nagwek2"/>
        </w:rPr>
        <w:t>Status ofiary</w:t>
      </w:r>
      <w:bookmarkEnd w:id="1"/>
    </w:p>
    <w:p w14:paraId="5A22D8E1" w14:textId="77777777" w:rsidR="00A610A1" w:rsidRPr="00BF4C58" w:rsidRDefault="00704047">
      <w:pPr>
        <w:pStyle w:val="Nagwek30"/>
        <w:keepNext/>
        <w:keepLines/>
        <w:jc w:val="both"/>
      </w:pPr>
      <w:bookmarkStart w:id="2" w:name="bookmark4"/>
      <w:r>
        <w:rPr>
          <w:rStyle w:val="Nagwek3"/>
          <w:b/>
          <w:bCs/>
        </w:rPr>
        <w:t xml:space="preserve">Le </w:t>
      </w:r>
      <w:proofErr w:type="spellStart"/>
      <w:r>
        <w:rPr>
          <w:rStyle w:val="Nagwek3"/>
          <w:b/>
          <w:bCs/>
        </w:rPr>
        <w:t>Mailloux</w:t>
      </w:r>
      <w:proofErr w:type="spellEnd"/>
      <w:r>
        <w:rPr>
          <w:rStyle w:val="Nagwek3"/>
          <w:b/>
          <w:bCs/>
        </w:rPr>
        <w:t xml:space="preserve"> przeciwko Francji</w:t>
      </w:r>
      <w:bookmarkEnd w:id="2"/>
    </w:p>
    <w:p w14:paraId="05E728AD" w14:textId="77777777" w:rsidR="00A610A1" w:rsidRDefault="00704047">
      <w:pPr>
        <w:pStyle w:val="Teksttreci20"/>
        <w:jc w:val="both"/>
      </w:pPr>
      <w:r>
        <w:rPr>
          <w:rStyle w:val="Teksttreci2"/>
        </w:rPr>
        <w:t>5 listopada 2020 r. (decyzja - niedopuszczalność)</w:t>
      </w:r>
    </w:p>
    <w:p w14:paraId="10102EC5" w14:textId="1D1F53C9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Sprawa ta dotyczyła zastrzeżeń skarżącego </w:t>
      </w:r>
      <w:r w:rsidR="00CF6A05">
        <w:rPr>
          <w:rStyle w:val="Teksttreci"/>
          <w:color w:val="000000"/>
        </w:rPr>
        <w:t>co do radzenia sobie przez</w:t>
      </w:r>
      <w:r>
        <w:rPr>
          <w:rStyle w:val="Teksttreci"/>
          <w:color w:val="000000"/>
        </w:rPr>
        <w:t xml:space="preserve"> państwo francuskie </w:t>
      </w:r>
      <w:r w:rsidR="00CF6A05">
        <w:rPr>
          <w:rStyle w:val="Teksttreci"/>
          <w:color w:val="000000"/>
        </w:rPr>
        <w:t>z</w:t>
      </w:r>
      <w:r>
        <w:rPr>
          <w:rStyle w:val="Teksttreci"/>
          <w:color w:val="000000"/>
        </w:rPr>
        <w:t xml:space="preserve"> kryzys</w:t>
      </w:r>
      <w:r w:rsidR="00CF6A05">
        <w:rPr>
          <w:rStyle w:val="Teksttreci"/>
          <w:color w:val="000000"/>
        </w:rPr>
        <w:t>em</w:t>
      </w:r>
      <w:r>
        <w:rPr>
          <w:rStyle w:val="Teksttreci"/>
          <w:color w:val="000000"/>
        </w:rPr>
        <w:t xml:space="preserve"> zdrowotny</w:t>
      </w:r>
      <w:r w:rsidR="00CF6A05">
        <w:rPr>
          <w:rStyle w:val="Teksttreci"/>
          <w:color w:val="000000"/>
        </w:rPr>
        <w:t>m</w:t>
      </w:r>
      <w:r>
        <w:rPr>
          <w:rStyle w:val="Teksttreci"/>
          <w:color w:val="000000"/>
        </w:rPr>
        <w:t xml:space="preserve"> związany</w:t>
      </w:r>
      <w:r w:rsidR="00CF6A05">
        <w:rPr>
          <w:rStyle w:val="Teksttreci"/>
          <w:color w:val="000000"/>
        </w:rPr>
        <w:t>m</w:t>
      </w:r>
      <w:r>
        <w:rPr>
          <w:rStyle w:val="Teksttreci"/>
          <w:color w:val="000000"/>
        </w:rPr>
        <w:t xml:space="preserve"> z Covid-19. Powołując się na art. 2 (prawo do życia), art. 3 (zakaz nieludzkiego lub poniżającego traktowania), art. 8 (prawo do poszanowania życia prywatnego i rodzinnego) oraz art. 10 (prawo do wolności wypowiedzi) Europejskiej Konwencji Praw Człowieka, skarżący zarzucił państwu niewypełnienie pozytywnych obowiązków w zakresie ochrony życia i integralności fizycznej osób podlegających jego jurysdykcji. Skarżył się on w szczególności na ograniczenia w dostępie do badań diagnostycznych, środków i </w:t>
      </w:r>
      <w:r w:rsidR="00CF6A05">
        <w:rPr>
          <w:rStyle w:val="Teksttreci"/>
          <w:color w:val="000000"/>
        </w:rPr>
        <w:t>po</w:t>
      </w:r>
      <w:r>
        <w:rPr>
          <w:rStyle w:val="Teksttreci"/>
          <w:color w:val="000000"/>
        </w:rPr>
        <w:t>szczególnych rodzajów leczenia, a także na ingerencję w życie prywatne osób, które same umiera</w:t>
      </w:r>
      <w:r w:rsidR="00595691">
        <w:rPr>
          <w:rStyle w:val="Teksttreci"/>
          <w:color w:val="000000"/>
        </w:rPr>
        <w:t>ły</w:t>
      </w:r>
      <w:r>
        <w:rPr>
          <w:rStyle w:val="Teksttreci"/>
          <w:color w:val="000000"/>
        </w:rPr>
        <w:t xml:space="preserve"> z powodu wirusa.</w:t>
      </w:r>
    </w:p>
    <w:p w14:paraId="57DEFEB3" w14:textId="788BB863" w:rsidR="00A610A1" w:rsidRDefault="00704047">
      <w:pPr>
        <w:pStyle w:val="Teksttreci0"/>
        <w:spacing w:after="0"/>
        <w:jc w:val="both"/>
      </w:pPr>
      <w:r>
        <w:rPr>
          <w:rStyle w:val="Teksttreci"/>
        </w:rPr>
        <w:t>Po pierwsze Trybunał przypomniał, że chociaż prawo do zdrowia samo w sobie nie należy do praw gwarantowanych Europejsk</w:t>
      </w:r>
      <w:r w:rsidR="00595691">
        <w:rPr>
          <w:rStyle w:val="Teksttreci"/>
        </w:rPr>
        <w:t>ą</w:t>
      </w:r>
      <w:r>
        <w:rPr>
          <w:rStyle w:val="Teksttreci"/>
        </w:rPr>
        <w:t xml:space="preserve"> Konwencj</w:t>
      </w:r>
      <w:r w:rsidR="00595691">
        <w:rPr>
          <w:rStyle w:val="Teksttreci"/>
        </w:rPr>
        <w:t>ą</w:t>
      </w:r>
      <w:r>
        <w:rPr>
          <w:rStyle w:val="Teksttreci"/>
        </w:rPr>
        <w:t xml:space="preserve"> Praw Człowieka i jej Protokoła</w:t>
      </w:r>
      <w:r w:rsidR="00595691">
        <w:rPr>
          <w:rStyle w:val="Teksttreci"/>
        </w:rPr>
        <w:t>mi</w:t>
      </w:r>
      <w:r>
        <w:rPr>
          <w:rStyle w:val="Teksttreci"/>
        </w:rPr>
        <w:t>, to na państwach ciąży pozytywny obowiązek podjęcia odpowiednich kroków w celu zabezpieczenia życia osób podlegających jego jurysdykcji oraz ochrony ich integralności fizycznej, w tym w sferze zdrowia publicznego. W niniejszej sprawie Trybunał uznał jednak, że nie musi</w:t>
      </w:r>
      <w:r w:rsidR="00595691">
        <w:rPr>
          <w:rStyle w:val="Teksttreci"/>
        </w:rPr>
        <w:t>ał</w:t>
      </w:r>
      <w:r>
        <w:rPr>
          <w:rStyle w:val="Teksttreci"/>
        </w:rPr>
        <w:t xml:space="preserve"> ustalać, czy państwo uchybiło tym pozytywnym obowiązkom ze względu na </w:t>
      </w:r>
      <w:r>
        <w:rPr>
          <w:rStyle w:val="Teksttreci"/>
          <w:b/>
          <w:bCs/>
        </w:rPr>
        <w:t xml:space="preserve">niedopuszczalność </w:t>
      </w:r>
      <w:r>
        <w:rPr>
          <w:rStyle w:val="Teksttreci"/>
        </w:rPr>
        <w:t xml:space="preserve">skargi. Trybunał zauważył, że skarżący skarżył się na środki podjęte przez państwo francuskie w celu ograniczenia rozprzestrzeniania się wirusa Covid-19 wśród całej populacji Francji, ale nie wykazał, w jaki sposób został </w:t>
      </w:r>
      <w:r w:rsidR="00F6231D">
        <w:rPr>
          <w:rStyle w:val="Teksttreci"/>
        </w:rPr>
        <w:t xml:space="preserve">nimi </w:t>
      </w:r>
      <w:r>
        <w:rPr>
          <w:rStyle w:val="Teksttreci"/>
        </w:rPr>
        <w:t xml:space="preserve">osobiście dotknięty. </w:t>
      </w:r>
      <w:r w:rsidR="00F6231D">
        <w:rPr>
          <w:rStyle w:val="Teksttreci"/>
        </w:rPr>
        <w:t>Trybunał przypomniał</w:t>
      </w:r>
      <w:r>
        <w:rPr>
          <w:rStyle w:val="Teksttreci"/>
        </w:rPr>
        <w:t xml:space="preserve">, że nie </w:t>
      </w:r>
      <w:r w:rsidR="00F6231D">
        <w:rPr>
          <w:rStyle w:val="Teksttreci"/>
        </w:rPr>
        <w:t xml:space="preserve">rozpoznaje </w:t>
      </w:r>
      <w:proofErr w:type="spellStart"/>
      <w:r>
        <w:rPr>
          <w:rStyle w:val="Teksttreci"/>
          <w:i/>
          <w:iCs/>
        </w:rPr>
        <w:t>actio</w:t>
      </w:r>
      <w:proofErr w:type="spellEnd"/>
      <w:r>
        <w:rPr>
          <w:rStyle w:val="Teksttreci"/>
          <w:i/>
          <w:iCs/>
        </w:rPr>
        <w:t xml:space="preserve"> </w:t>
      </w:r>
      <w:proofErr w:type="spellStart"/>
      <w:r>
        <w:rPr>
          <w:rStyle w:val="Teksttreci"/>
          <w:i/>
          <w:iCs/>
        </w:rPr>
        <w:t>popularis</w:t>
      </w:r>
      <w:proofErr w:type="spellEnd"/>
      <w:r>
        <w:rPr>
          <w:rStyle w:val="Teksttreci"/>
        </w:rPr>
        <w:t xml:space="preserve">: oznacza to, że skarżący nie mogą skarżyć się na przepis prawa krajowego, praktykę krajową lub akty publiczne tylko dlatego, że wydają się one sprzeczne z Konwencją Europejską. Aby dana osoba mogła twierdzić, że jest ofiarą naruszenia Konwencji w rozumieniu art. 34 (skargi indywidualne), musi być w stanie wykazać, że została „bezpośrednio dotknięta” przez środek będący przedmiotem skargi, tj. musi przedstawić rozsądne i przekonujące dowody świadczące o prawdopodobieństwie wystąpienia naruszenia, które dotknie ją osobiście. W </w:t>
      </w:r>
      <w:r w:rsidR="00EF6774">
        <w:rPr>
          <w:rStyle w:val="Teksttreci"/>
        </w:rPr>
        <w:t xml:space="preserve">niniejszej </w:t>
      </w:r>
      <w:r>
        <w:rPr>
          <w:rStyle w:val="Teksttreci"/>
        </w:rPr>
        <w:t>sprawie Trybunał stwierdził jednak, że skarżący skarżył się na środki podjęte przez rząd francuski w celu zwalczania wirusa Covid-19</w:t>
      </w:r>
      <w:r w:rsidR="00EF6774">
        <w:rPr>
          <w:rStyle w:val="Teksttreci"/>
        </w:rPr>
        <w:t xml:space="preserve"> </w:t>
      </w:r>
      <w:r w:rsidR="00EF6774" w:rsidRPr="00692D31">
        <w:rPr>
          <w:rStyle w:val="Teksttreci"/>
          <w:i/>
          <w:iCs/>
        </w:rPr>
        <w:t>in</w:t>
      </w:r>
      <w:r w:rsidR="00EF6774">
        <w:rPr>
          <w:rStyle w:val="Teksttreci"/>
        </w:rPr>
        <w:t xml:space="preserve"> </w:t>
      </w:r>
      <w:proofErr w:type="spellStart"/>
      <w:r w:rsidR="00EF6774">
        <w:rPr>
          <w:rStyle w:val="Teksttreci"/>
          <w:i/>
          <w:iCs/>
        </w:rPr>
        <w:t>abstracto</w:t>
      </w:r>
      <w:proofErr w:type="spellEnd"/>
      <w:r>
        <w:rPr>
          <w:rStyle w:val="Teksttreci"/>
        </w:rPr>
        <w:t>. Poza tym</w:t>
      </w:r>
      <w:r w:rsidR="00433694">
        <w:rPr>
          <w:rStyle w:val="Teksttreci"/>
        </w:rPr>
        <w:t xml:space="preserve"> tylko</w:t>
      </w:r>
      <w:r>
        <w:rPr>
          <w:rStyle w:val="Teksttreci"/>
        </w:rPr>
        <w:t xml:space="preserve">, że podniósł te zarzuty w ramach interwencji na poparcie niecierpiącego zwłoki wniosku do </w:t>
      </w:r>
      <w:proofErr w:type="spellStart"/>
      <w:r>
        <w:rPr>
          <w:rStyle w:val="Teksttreci"/>
          <w:i/>
          <w:iCs/>
        </w:rPr>
        <w:t>Conseil</w:t>
      </w:r>
      <w:proofErr w:type="spellEnd"/>
      <w:r>
        <w:rPr>
          <w:rStyle w:val="Teksttreci"/>
          <w:i/>
          <w:iCs/>
        </w:rPr>
        <w:t xml:space="preserve"> </w:t>
      </w:r>
      <w:proofErr w:type="spellStart"/>
      <w:r>
        <w:rPr>
          <w:rStyle w:val="Teksttreci"/>
          <w:i/>
          <w:iCs/>
        </w:rPr>
        <w:t>d'Etat</w:t>
      </w:r>
      <w:proofErr w:type="spellEnd"/>
      <w:r>
        <w:rPr>
          <w:rStyle w:val="Teksttreci"/>
        </w:rPr>
        <w:t>, nie przedstawił również żadnych informacji na temat swojego stanu zdrowia i nie wyjaśnił, w jaki sposób zarzucane władzom krajowym uchybienia mogły wpłynąć na jego zdrowie i życie prywatne. Trybunał uznał ponadto, że jeśli skarżąc</w:t>
      </w:r>
      <w:r w:rsidR="00433694">
        <w:rPr>
          <w:rStyle w:val="Teksttreci"/>
        </w:rPr>
        <w:t>y</w:t>
      </w:r>
      <w:r>
        <w:rPr>
          <w:rStyle w:val="Teksttreci"/>
        </w:rPr>
        <w:t xml:space="preserve"> kiedykolwiek </w:t>
      </w:r>
      <w:r w:rsidR="00433694">
        <w:rPr>
          <w:rStyle w:val="Teksttreci"/>
        </w:rPr>
        <w:t>został pozbawiony</w:t>
      </w:r>
      <w:r w:rsidR="00433694">
        <w:rPr>
          <w:rStyle w:val="Teksttreci"/>
        </w:rPr>
        <w:br/>
      </w:r>
      <w:r>
        <w:rPr>
          <w:rStyle w:val="Teksttreci"/>
        </w:rPr>
        <w:t>pomocy lub opieki w ramach</w:t>
      </w:r>
    </w:p>
    <w:p w14:paraId="20DE0FA4" w14:textId="77777777" w:rsidR="00A610A1" w:rsidRDefault="00704047">
      <w:pPr>
        <w:pStyle w:val="Podpisobrazu0"/>
        <w:spacing w:line="240" w:lineRule="auto"/>
        <w:rPr>
          <w:sz w:val="10"/>
          <w:szCs w:val="10"/>
        </w:rPr>
      </w:pPr>
      <w:r>
        <w:rPr>
          <w:rStyle w:val="Podpisobrazu"/>
          <w:rFonts w:ascii="Arial" w:hAnsi="Arial"/>
          <w:b/>
          <w:bCs/>
          <w:sz w:val="10"/>
          <w:szCs w:val="10"/>
        </w:rPr>
        <w:t>RADA EUROPY</w:t>
      </w:r>
    </w:p>
    <w:p w14:paraId="020ACEAA" w14:textId="77777777" w:rsidR="00A610A1" w:rsidRDefault="0070404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1D668FB" wp14:editId="4986599F">
            <wp:extent cx="749935" cy="4451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499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F931" w14:textId="77777777" w:rsidR="00A610A1" w:rsidRDefault="00704047">
      <w:pPr>
        <w:pStyle w:val="Podpisobrazu0"/>
        <w:spacing w:line="240" w:lineRule="auto"/>
        <w:rPr>
          <w:sz w:val="10"/>
          <w:szCs w:val="10"/>
        </w:rPr>
        <w:sectPr w:rsidR="00A610A1">
          <w:headerReference w:type="default" r:id="rId10"/>
          <w:pgSz w:w="11900" w:h="16840"/>
          <w:pgMar w:top="1256" w:right="1392" w:bottom="476" w:left="1412" w:header="0" w:footer="48" w:gutter="0"/>
          <w:pgNumType w:start="1"/>
          <w:cols w:space="720"/>
          <w:noEndnote/>
          <w:docGrid w:linePitch="360"/>
        </w:sectPr>
      </w:pPr>
      <w:r>
        <w:rPr>
          <w:rStyle w:val="Podpisobrazu"/>
          <w:rFonts w:ascii="Arial" w:hAnsi="Arial"/>
          <w:b/>
          <w:bCs/>
          <w:sz w:val="10"/>
          <w:szCs w:val="10"/>
        </w:rPr>
        <w:t>CONSEIL DE L'EUROPE</w:t>
      </w:r>
    </w:p>
    <w:p w14:paraId="67B2B7CC" w14:textId="55959ACA" w:rsidR="00A610A1" w:rsidRDefault="00704047">
      <w:pPr>
        <w:pStyle w:val="Teksttreci0"/>
        <w:spacing w:after="220"/>
        <w:jc w:val="both"/>
      </w:pPr>
      <w:r>
        <w:rPr>
          <w:rStyle w:val="Teksttreci"/>
        </w:rPr>
        <w:lastRenderedPageBreak/>
        <w:t xml:space="preserve">ogólnych środków zdrowotnych, na które się skarżył, to miał możliwość zakwestionowania zgodności takiej odmowy z Konwencją przed sądami krajowymi. W tych okolicznościach Trybunał uznał, że skarga ma charakter </w:t>
      </w:r>
      <w:proofErr w:type="spellStart"/>
      <w:r>
        <w:rPr>
          <w:rStyle w:val="Teksttreci"/>
          <w:i/>
          <w:iCs/>
        </w:rPr>
        <w:t>actio</w:t>
      </w:r>
      <w:proofErr w:type="spellEnd"/>
      <w:r>
        <w:rPr>
          <w:rStyle w:val="Teksttreci"/>
          <w:i/>
          <w:iCs/>
        </w:rPr>
        <w:t xml:space="preserve"> </w:t>
      </w:r>
      <w:proofErr w:type="spellStart"/>
      <w:r>
        <w:rPr>
          <w:rStyle w:val="Teksttreci"/>
          <w:i/>
          <w:iCs/>
        </w:rPr>
        <w:t>popularis</w:t>
      </w:r>
      <w:proofErr w:type="spellEnd"/>
      <w:r>
        <w:rPr>
          <w:rStyle w:val="Teksttreci"/>
        </w:rPr>
        <w:t xml:space="preserve">, a skarżącego nie można uznać za ofiarę </w:t>
      </w:r>
      <w:r w:rsidR="00024B30">
        <w:rPr>
          <w:rStyle w:val="Teksttreci"/>
        </w:rPr>
        <w:t xml:space="preserve">zarzucanych </w:t>
      </w:r>
      <w:r>
        <w:rPr>
          <w:rStyle w:val="Teksttreci"/>
        </w:rPr>
        <w:t>narusze</w:t>
      </w:r>
      <w:r w:rsidR="00024B30">
        <w:rPr>
          <w:rStyle w:val="Teksttreci"/>
        </w:rPr>
        <w:t>ń</w:t>
      </w:r>
      <w:r>
        <w:rPr>
          <w:rStyle w:val="Teksttreci"/>
        </w:rPr>
        <w:t xml:space="preserve"> w rozumieniu art. 34 Konwencji.</w:t>
      </w:r>
    </w:p>
    <w:p w14:paraId="4E420CB6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3" w:name="bookmark6"/>
      <w:r>
        <w:rPr>
          <w:rStyle w:val="Nagwek2"/>
        </w:rPr>
        <w:t>Prawo do życia i zakaz tortur oraz nieludzkiego lub poniżającego traktowania</w:t>
      </w:r>
      <w:bookmarkEnd w:id="3"/>
    </w:p>
    <w:p w14:paraId="56EE88C5" w14:textId="77777777" w:rsidR="00A610A1" w:rsidRDefault="00704047">
      <w:pPr>
        <w:pStyle w:val="Nagwek30"/>
        <w:keepNext/>
        <w:keepLines/>
        <w:jc w:val="both"/>
      </w:pPr>
      <w:bookmarkStart w:id="4" w:name="bookmark8"/>
      <w:proofErr w:type="spellStart"/>
      <w:r>
        <w:rPr>
          <w:rStyle w:val="Nagwek3"/>
          <w:b/>
          <w:bCs/>
        </w:rPr>
        <w:t>Feilazoo</w:t>
      </w:r>
      <w:proofErr w:type="spellEnd"/>
      <w:r>
        <w:rPr>
          <w:rStyle w:val="Nagwek3"/>
          <w:b/>
          <w:bCs/>
        </w:rPr>
        <w:t xml:space="preserve"> przeciwko Malcie</w:t>
      </w:r>
      <w:bookmarkEnd w:id="4"/>
    </w:p>
    <w:p w14:paraId="1801C190" w14:textId="77777777" w:rsidR="00A610A1" w:rsidRDefault="00704047">
      <w:pPr>
        <w:pStyle w:val="Teksttreci20"/>
        <w:jc w:val="both"/>
      </w:pPr>
      <w:r>
        <w:rPr>
          <w:rStyle w:val="Teksttreci2"/>
        </w:rPr>
        <w:t>11 marca 2021 r. (wyrok Izby)</w:t>
      </w:r>
      <w:r>
        <w:rPr>
          <w:rStyle w:val="Teksttreci2"/>
          <w:color w:val="7E7E7E"/>
          <w:vertAlign w:val="superscript"/>
        </w:rPr>
        <w:footnoteReference w:id="1"/>
      </w:r>
    </w:p>
    <w:p w14:paraId="166B7C8B" w14:textId="5229246E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Sprawa ta dotyczyła, między innymi, warunków zatrzymania imigracyjnego obywatela Nigerii, w tym czasu pozostawania </w:t>
      </w:r>
      <w:r w:rsidR="00024B30" w:rsidRPr="00692D31">
        <w:rPr>
          <w:rStyle w:val="Teksttreci"/>
          <w:i/>
          <w:iCs/>
          <w:color w:val="000000"/>
        </w:rPr>
        <w:t>de facto</w:t>
      </w:r>
      <w:r w:rsidR="00024B30">
        <w:rPr>
          <w:rStyle w:val="Teksttreci"/>
          <w:color w:val="000000"/>
        </w:rPr>
        <w:t xml:space="preserve"> w </w:t>
      </w:r>
      <w:r>
        <w:rPr>
          <w:rStyle w:val="Teksttreci"/>
          <w:color w:val="000000"/>
        </w:rPr>
        <w:t>izolacji oraz późniejszego okresu, w</w:t>
      </w:r>
      <w:r w:rsidR="00E66748">
        <w:rPr>
          <w:rStyle w:val="Teksttreci"/>
          <w:color w:val="000000"/>
        </w:rPr>
        <w:t> </w:t>
      </w:r>
      <w:r>
        <w:rPr>
          <w:rStyle w:val="Teksttreci"/>
          <w:color w:val="000000"/>
        </w:rPr>
        <w:t xml:space="preserve">którym skarżący został umieszczony wraz z nowo przybyłymi </w:t>
      </w:r>
      <w:r w:rsidR="00024B30">
        <w:rPr>
          <w:rStyle w:val="Teksttreci"/>
          <w:color w:val="000000"/>
        </w:rPr>
        <w:t>na</w:t>
      </w:r>
      <w:r>
        <w:rPr>
          <w:rStyle w:val="Teksttreci"/>
          <w:color w:val="000000"/>
        </w:rPr>
        <w:t xml:space="preserve"> kwarantann</w:t>
      </w:r>
      <w:r w:rsidR="00024B30">
        <w:rPr>
          <w:rStyle w:val="Teksttreci"/>
          <w:color w:val="000000"/>
        </w:rPr>
        <w:t>ie</w:t>
      </w:r>
      <w:r>
        <w:rPr>
          <w:rStyle w:val="Teksttreci"/>
          <w:color w:val="000000"/>
        </w:rPr>
        <w:t xml:space="preserve"> Covid-19.</w:t>
      </w:r>
    </w:p>
    <w:p w14:paraId="3495A20F" w14:textId="71F46461" w:rsidR="00A610A1" w:rsidRDefault="00704047">
      <w:pPr>
        <w:pStyle w:val="Teksttreci0"/>
        <w:jc w:val="both"/>
      </w:pPr>
      <w:r>
        <w:rPr>
          <w:rStyle w:val="Teksttreci"/>
        </w:rPr>
        <w:t xml:space="preserve">Trybunał uznał, że doszło do </w:t>
      </w:r>
      <w:r>
        <w:rPr>
          <w:rStyle w:val="Teksttreci"/>
          <w:b/>
          <w:bCs/>
        </w:rPr>
        <w:t>naruszenia art. 3</w:t>
      </w:r>
      <w:r>
        <w:rPr>
          <w:rStyle w:val="Teksttreci"/>
        </w:rPr>
        <w:t xml:space="preserve"> (zakaz nieludzkiego lub poniżającego traktowania) Konwencji ze względu na nieodpowiednie warunki osadzenia skarżącego. W</w:t>
      </w:r>
      <w:r w:rsidR="00E66748">
        <w:rPr>
          <w:rStyle w:val="Teksttreci"/>
        </w:rPr>
        <w:t> </w:t>
      </w:r>
      <w:r>
        <w:rPr>
          <w:rStyle w:val="Teksttreci"/>
        </w:rPr>
        <w:t xml:space="preserve">szczególności Trybunał był zaniepokojony </w:t>
      </w:r>
      <w:r w:rsidR="00C97D6E">
        <w:rPr>
          <w:rStyle w:val="Teksttreci"/>
        </w:rPr>
        <w:t>s</w:t>
      </w:r>
      <w:r>
        <w:rPr>
          <w:rStyle w:val="Teksttreci"/>
        </w:rPr>
        <w:t xml:space="preserve">twierdzeniem skarżącego, którego rząd maltański nie </w:t>
      </w:r>
      <w:r w:rsidR="00C97D6E">
        <w:rPr>
          <w:rStyle w:val="Teksttreci"/>
        </w:rPr>
        <w:t>obalił</w:t>
      </w:r>
      <w:r>
        <w:rPr>
          <w:rStyle w:val="Teksttreci"/>
        </w:rPr>
        <w:t>, że po okresie izolacji skarżąc</w:t>
      </w:r>
      <w:r w:rsidR="00444F25">
        <w:rPr>
          <w:rStyle w:val="Teksttreci"/>
        </w:rPr>
        <w:t>y został</w:t>
      </w:r>
      <w:r>
        <w:rPr>
          <w:rStyle w:val="Teksttreci"/>
        </w:rPr>
        <w:t xml:space="preserve"> przeniesion</w:t>
      </w:r>
      <w:r w:rsidR="00444F25">
        <w:rPr>
          <w:rStyle w:val="Teksttreci"/>
        </w:rPr>
        <w:t>y</w:t>
      </w:r>
      <w:r>
        <w:rPr>
          <w:rStyle w:val="Teksttreci"/>
        </w:rPr>
        <w:t xml:space="preserve"> do innych pomieszczeń mieszkalnych, w których osoby nowo przybyłe (ubiegające się o azyl) </w:t>
      </w:r>
      <w:r w:rsidR="00444F25">
        <w:rPr>
          <w:rStyle w:val="Teksttreci"/>
        </w:rPr>
        <w:t xml:space="preserve">były przetrzymywane w </w:t>
      </w:r>
      <w:r>
        <w:rPr>
          <w:rStyle w:val="Teksttreci"/>
        </w:rPr>
        <w:t xml:space="preserve">kwarantannie ze względu na Covid-19. Nic nie wskazywało na to, by skarżący potrzebował takiej kwarantanny </w:t>
      </w:r>
      <w:r w:rsidR="00C834A4">
        <w:rPr>
          <w:rStyle w:val="Teksttreci"/>
        </w:rPr>
        <w:t>–</w:t>
      </w:r>
      <w:r>
        <w:rPr>
          <w:rStyle w:val="Teksttreci"/>
        </w:rPr>
        <w:t xml:space="preserve"> zwłaszcza po okresie izolacji, który dodatkowo trwał prawie siedem tygodni. </w:t>
      </w:r>
      <w:r w:rsidR="00444F25">
        <w:rPr>
          <w:rStyle w:val="Teksttreci"/>
        </w:rPr>
        <w:t>Zatem</w:t>
      </w:r>
      <w:r>
        <w:rPr>
          <w:rStyle w:val="Teksttreci"/>
        </w:rPr>
        <w:t xml:space="preserve"> środek polegający na umieszczeniu go na kilka tygodni z innymi osobami, które mogły stanowić zagrożenie dla jego zdrowia, przy braku jakichkolwiek istotnych okoliczności w tym zakresie, nie mógł być uznany za środek zgodny z podstawowymi wymogami sanitarnymi.</w:t>
      </w:r>
    </w:p>
    <w:p w14:paraId="6B76F0D0" w14:textId="47BBDF77" w:rsidR="00A610A1" w:rsidRDefault="00704047">
      <w:pPr>
        <w:pStyle w:val="Teksttreci0"/>
        <w:jc w:val="both"/>
      </w:pPr>
      <w:r>
        <w:rPr>
          <w:rStyle w:val="Teksttreci"/>
          <w:b/>
          <w:bCs/>
          <w:color w:val="5F5F5F"/>
        </w:rPr>
        <w:t xml:space="preserve">Sprawy </w:t>
      </w:r>
      <w:r w:rsidR="00D51ED3">
        <w:rPr>
          <w:rStyle w:val="Teksttreci"/>
          <w:b/>
          <w:bCs/>
          <w:color w:val="5F5F5F"/>
        </w:rPr>
        <w:t>w toku</w:t>
      </w:r>
    </w:p>
    <w:p w14:paraId="4D0153D2" w14:textId="77777777" w:rsidR="00A610A1" w:rsidRDefault="00704047">
      <w:pPr>
        <w:pStyle w:val="Teksttreci0"/>
        <w:spacing w:after="40"/>
        <w:jc w:val="both"/>
      </w:pPr>
      <w:proofErr w:type="spellStart"/>
      <w:r>
        <w:rPr>
          <w:rStyle w:val="Teksttreci"/>
          <w:b/>
          <w:bCs/>
          <w:u w:val="single"/>
        </w:rPr>
        <w:t>Hafeez</w:t>
      </w:r>
      <w:proofErr w:type="spellEnd"/>
      <w:r>
        <w:rPr>
          <w:rStyle w:val="Teksttreci"/>
          <w:b/>
          <w:bCs/>
          <w:u w:val="single"/>
        </w:rPr>
        <w:t xml:space="preserve"> przeciwko Zjednoczonemu Królestwu (nr 30379/20)</w:t>
      </w:r>
    </w:p>
    <w:p w14:paraId="46F98DA9" w14:textId="77777777" w:rsidR="00A610A1" w:rsidRDefault="00704047">
      <w:pPr>
        <w:pStyle w:val="Teksttreci20"/>
        <w:spacing w:line="269" w:lineRule="auto"/>
        <w:jc w:val="both"/>
      </w:pPr>
      <w:r>
        <w:rPr>
          <w:rStyle w:val="Teksttreci2"/>
        </w:rPr>
        <w:t>Skarga zakomunikowana rządowi Zjednoczonego Królestwa w dniu 24 marca 2020 r.</w:t>
      </w:r>
    </w:p>
    <w:p w14:paraId="6EBC5539" w14:textId="6893C262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Skarga ta dotyczy ryzyka dożywotniego pozbawienia wolności bez możliwości zwolnienia warunkowego oraz nieodpowiednich warunków </w:t>
      </w:r>
      <w:r w:rsidR="00D51ED3">
        <w:rPr>
          <w:rStyle w:val="Teksttreci"/>
          <w:color w:val="000000"/>
        </w:rPr>
        <w:t xml:space="preserve">osadzenia </w:t>
      </w:r>
      <w:r>
        <w:rPr>
          <w:rStyle w:val="Teksttreci"/>
          <w:color w:val="000000"/>
        </w:rPr>
        <w:t xml:space="preserve">w związku z pandemią Covid-19 w </w:t>
      </w:r>
      <w:r w:rsidR="00D51ED3">
        <w:rPr>
          <w:rStyle w:val="Teksttreci"/>
          <w:color w:val="000000"/>
        </w:rPr>
        <w:t xml:space="preserve">przypadku </w:t>
      </w:r>
      <w:r>
        <w:rPr>
          <w:rStyle w:val="Teksttreci"/>
          <w:color w:val="000000"/>
        </w:rPr>
        <w:t>ekstradycji do Stanów Zjednoczonych sześćdziesięcioletniego mężczyzny cierpiącego na liczne schorzenia, w tym cukrzycę i astmę.</w:t>
      </w:r>
    </w:p>
    <w:p w14:paraId="4A1E5AD3" w14:textId="20BFAFD5" w:rsidR="00A610A1" w:rsidRDefault="00704047">
      <w:pPr>
        <w:pStyle w:val="Teksttreci0"/>
        <w:jc w:val="both"/>
      </w:pPr>
      <w:r>
        <w:rPr>
          <w:rStyle w:val="Teksttreci"/>
        </w:rPr>
        <w:t xml:space="preserve">Trybunał </w:t>
      </w:r>
      <w:r w:rsidR="00D51ED3">
        <w:rPr>
          <w:rStyle w:val="Teksttreci"/>
        </w:rPr>
        <w:t xml:space="preserve">zakomunikował </w:t>
      </w:r>
      <w:r>
        <w:rPr>
          <w:rStyle w:val="Teksttreci"/>
        </w:rPr>
        <w:t>skar</w:t>
      </w:r>
      <w:r w:rsidR="00D51ED3">
        <w:rPr>
          <w:rStyle w:val="Teksttreci"/>
        </w:rPr>
        <w:t>gę</w:t>
      </w:r>
      <w:r>
        <w:rPr>
          <w:rStyle w:val="Teksttreci"/>
        </w:rPr>
        <w:t xml:space="preserve"> rząd</w:t>
      </w:r>
      <w:r w:rsidR="00D51ED3">
        <w:rPr>
          <w:rStyle w:val="Teksttreci"/>
        </w:rPr>
        <w:t>owi</w:t>
      </w:r>
      <w:r>
        <w:rPr>
          <w:rStyle w:val="Teksttreci"/>
        </w:rPr>
        <w:t xml:space="preserve"> Zjednoczonego Królestwa i przedstawił stronom pytania na podstawie art. 3 (zakaz nieludzkiego i poniżającego traktowania lub karania) Konwencji.</w:t>
      </w:r>
    </w:p>
    <w:p w14:paraId="098F38E2" w14:textId="77777777" w:rsidR="00A610A1" w:rsidRDefault="00704047">
      <w:pPr>
        <w:pStyle w:val="Nagwek30"/>
        <w:keepNext/>
        <w:keepLines/>
        <w:jc w:val="both"/>
      </w:pPr>
      <w:bookmarkStart w:id="5" w:name="bookmark10"/>
      <w:proofErr w:type="spellStart"/>
      <w:r>
        <w:rPr>
          <w:rStyle w:val="Nagwek3"/>
          <w:b/>
          <w:bCs/>
        </w:rPr>
        <w:t>Maratsis</w:t>
      </w:r>
      <w:proofErr w:type="spellEnd"/>
      <w:r>
        <w:rPr>
          <w:rStyle w:val="Nagwek3"/>
          <w:b/>
          <w:bCs/>
        </w:rPr>
        <w:t xml:space="preserve"> i Inni przeciwko Grecji (nr 30335/20) oraz </w:t>
      </w:r>
      <w:proofErr w:type="spellStart"/>
      <w:r>
        <w:rPr>
          <w:rStyle w:val="Nagwek3"/>
          <w:b/>
          <w:bCs/>
        </w:rPr>
        <w:t>Vasilakis</w:t>
      </w:r>
      <w:proofErr w:type="spellEnd"/>
      <w:r>
        <w:rPr>
          <w:rStyle w:val="Nagwek3"/>
          <w:b/>
          <w:bCs/>
        </w:rPr>
        <w:t xml:space="preserve"> i Inni przeciwko Grecji (nr 30379/20)</w:t>
      </w:r>
      <w:bookmarkEnd w:id="5"/>
    </w:p>
    <w:p w14:paraId="5685DC9D" w14:textId="77777777" w:rsidR="00A610A1" w:rsidRDefault="00704047">
      <w:pPr>
        <w:pStyle w:val="Teksttreci20"/>
        <w:jc w:val="both"/>
      </w:pPr>
      <w:r>
        <w:rPr>
          <w:rStyle w:val="Teksttreci2"/>
        </w:rPr>
        <w:t>Sprawa została zakomunikowana rządowi greckiemu w dniu 25 lutego 2021 r.</w:t>
      </w:r>
    </w:p>
    <w:p w14:paraId="686D5ACF" w14:textId="526C2265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>Niniejsza sprawa dotyczy głównie warunków osadzenia więźniów będących nosicielami wirusa HIV, a w szczególności podnosi kwestię, czy władze podjęły odpowiednie kroki w</w:t>
      </w:r>
      <w:r w:rsidR="00C834A4">
        <w:rPr>
          <w:rStyle w:val="Teksttreci"/>
          <w:color w:val="000000"/>
        </w:rPr>
        <w:t> </w:t>
      </w:r>
      <w:r>
        <w:rPr>
          <w:rStyle w:val="Teksttreci"/>
          <w:color w:val="000000"/>
        </w:rPr>
        <w:t>celu ochrony zdrowia skarżących, jako osób żyjących z wirusem HIV, w kontekście kryzysu zdrowotnego wywołanego Covid-19.</w:t>
      </w:r>
    </w:p>
    <w:p w14:paraId="4641A6FE" w14:textId="6802D3C7" w:rsidR="00A610A1" w:rsidRDefault="00704047">
      <w:pPr>
        <w:pStyle w:val="Teksttreci0"/>
        <w:jc w:val="both"/>
      </w:pPr>
      <w:r>
        <w:rPr>
          <w:rStyle w:val="Teksttreci"/>
        </w:rPr>
        <w:t xml:space="preserve">Trybunał </w:t>
      </w:r>
      <w:r w:rsidR="00C175CF">
        <w:rPr>
          <w:rStyle w:val="Teksttreci"/>
        </w:rPr>
        <w:t>zakomunikował skargę</w:t>
      </w:r>
      <w:r>
        <w:rPr>
          <w:rStyle w:val="Teksttreci"/>
        </w:rPr>
        <w:t xml:space="preserve"> rząd</w:t>
      </w:r>
      <w:r w:rsidR="00C175CF">
        <w:rPr>
          <w:rStyle w:val="Teksttreci"/>
        </w:rPr>
        <w:t>owi</w:t>
      </w:r>
      <w:r>
        <w:rPr>
          <w:rStyle w:val="Teksttreci"/>
        </w:rPr>
        <w:t xml:space="preserve"> grecki</w:t>
      </w:r>
      <w:r w:rsidR="00C175CF">
        <w:rPr>
          <w:rStyle w:val="Teksttreci"/>
        </w:rPr>
        <w:t>emu</w:t>
      </w:r>
      <w:r>
        <w:rPr>
          <w:rStyle w:val="Teksttreci"/>
        </w:rPr>
        <w:t xml:space="preserve"> i przedstawił stronom pytania na podstawie art. 3 (zakaz nieludzkiego lub poniżającego traktowania), art. 5 (prawo do wolności i</w:t>
      </w:r>
      <w:r w:rsidR="00BE1763">
        <w:rPr>
          <w:rStyle w:val="Teksttreci"/>
        </w:rPr>
        <w:t> </w:t>
      </w:r>
      <w:r>
        <w:rPr>
          <w:rStyle w:val="Teksttreci"/>
        </w:rPr>
        <w:t>bezpieczeństwa osobistego) oraz art. 13 (prawo do skutecznego środka odwoławczego) Konwencji.</w:t>
      </w:r>
    </w:p>
    <w:p w14:paraId="5FB03869" w14:textId="05417641" w:rsidR="00A610A1" w:rsidRDefault="00704047">
      <w:pPr>
        <w:pStyle w:val="Teksttreci30"/>
        <w:jc w:val="both"/>
      </w:pPr>
      <w:proofErr w:type="spellStart"/>
      <w:r>
        <w:rPr>
          <w:rStyle w:val="Teksttreci3"/>
          <w:b/>
          <w:bCs/>
          <w:color w:val="0071BC"/>
          <w:sz w:val="20"/>
          <w:szCs w:val="20"/>
          <w:u w:val="single"/>
        </w:rPr>
        <w:t>Fenech</w:t>
      </w:r>
      <w:proofErr w:type="spellEnd"/>
      <w:r>
        <w:rPr>
          <w:rStyle w:val="Teksttreci3"/>
          <w:b/>
          <w:bCs/>
          <w:color w:val="0071BC"/>
          <w:sz w:val="20"/>
          <w:szCs w:val="20"/>
          <w:u w:val="single"/>
        </w:rPr>
        <w:t xml:space="preserve"> przeciwko Malcie (nr 19090/20)</w:t>
      </w:r>
      <w:r>
        <w:rPr>
          <w:rStyle w:val="Teksttreci3"/>
          <w:b/>
          <w:bCs/>
          <w:color w:val="0071BC"/>
          <w:sz w:val="20"/>
          <w:szCs w:val="20"/>
        </w:rPr>
        <w:t xml:space="preserve"> </w:t>
      </w:r>
      <w:r>
        <w:rPr>
          <w:rStyle w:val="Teksttreci3"/>
          <w:sz w:val="16"/>
          <w:szCs w:val="16"/>
        </w:rPr>
        <w:t>(</w:t>
      </w:r>
      <w:r>
        <w:rPr>
          <w:rStyle w:val="Teksttreci3"/>
        </w:rPr>
        <w:t>zob. również poniżej, w części „Prawo do wolności i</w:t>
      </w:r>
      <w:r w:rsidR="00BE1763">
        <w:rPr>
          <w:rStyle w:val="Teksttreci3"/>
        </w:rPr>
        <w:t> </w:t>
      </w:r>
      <w:r>
        <w:rPr>
          <w:rStyle w:val="Teksttreci3"/>
        </w:rPr>
        <w:t>bezpieczeństwa osobistego”)</w:t>
      </w:r>
    </w:p>
    <w:p w14:paraId="067101B2" w14:textId="77777777" w:rsidR="00A610A1" w:rsidRDefault="00704047">
      <w:pPr>
        <w:pStyle w:val="Teksttreci20"/>
        <w:spacing w:line="269" w:lineRule="auto"/>
        <w:jc w:val="both"/>
      </w:pPr>
      <w:r>
        <w:rPr>
          <w:rStyle w:val="Teksttreci2"/>
        </w:rPr>
        <w:t>Skargi zakomunikowane rządowi maltańskiemu w marcu 2021 r.</w:t>
      </w:r>
    </w:p>
    <w:p w14:paraId="385AAC35" w14:textId="2B4B0874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>W listopadzie 2019 r. skarżący został zatrzymany i tymczasowo aresztowany w związku z</w:t>
      </w:r>
      <w:r w:rsidR="00BE1763">
        <w:rPr>
          <w:rStyle w:val="Teksttreci"/>
          <w:color w:val="000000"/>
        </w:rPr>
        <w:t> </w:t>
      </w:r>
      <w:r>
        <w:rPr>
          <w:rStyle w:val="Teksttreci"/>
          <w:color w:val="000000"/>
        </w:rPr>
        <w:t>podejrzeniem o udział w zabójstwie. Skarży się on w szczególności na warunki</w:t>
      </w:r>
      <w:r w:rsidR="00C175CF">
        <w:rPr>
          <w:rStyle w:val="Teksttreci"/>
          <w:color w:val="000000"/>
        </w:rPr>
        <w:t xml:space="preserve"> osadzenia </w:t>
      </w:r>
      <w:r>
        <w:rPr>
          <w:rStyle w:val="Teksttreci"/>
          <w:color w:val="000000"/>
        </w:rPr>
        <w:t xml:space="preserve">oraz na brak ochrony jego zdrowia przez państwo w związku z pandemią wirusa Covid-19 </w:t>
      </w:r>
      <w:r>
        <w:rPr>
          <w:rStyle w:val="Teksttreci"/>
          <w:color w:val="000000"/>
        </w:rPr>
        <w:lastRenderedPageBreak/>
        <w:t>i jego szczegól</w:t>
      </w:r>
      <w:r w:rsidR="00C175CF">
        <w:rPr>
          <w:rStyle w:val="Teksttreci"/>
          <w:color w:val="000000"/>
        </w:rPr>
        <w:t>nym statusem</w:t>
      </w:r>
      <w:r>
        <w:rPr>
          <w:rStyle w:val="Teksttreci"/>
          <w:color w:val="000000"/>
        </w:rPr>
        <w:t>.</w:t>
      </w:r>
    </w:p>
    <w:p w14:paraId="098D3CFB" w14:textId="38B09571" w:rsidR="00A610A1" w:rsidRDefault="00704047">
      <w:pPr>
        <w:pStyle w:val="Teksttreci0"/>
        <w:jc w:val="both"/>
      </w:pPr>
      <w:r>
        <w:rPr>
          <w:rStyle w:val="Teksttreci"/>
        </w:rPr>
        <w:t xml:space="preserve">W swojej </w:t>
      </w:r>
      <w:r>
        <w:rPr>
          <w:rStyle w:val="Teksttreci"/>
          <w:u w:val="single"/>
        </w:rPr>
        <w:t>decyzji</w:t>
      </w:r>
      <w:r>
        <w:rPr>
          <w:rStyle w:val="Teksttreci"/>
        </w:rPr>
        <w:t xml:space="preserve"> </w:t>
      </w:r>
      <w:r w:rsidR="00C175CF">
        <w:rPr>
          <w:rStyle w:val="Teksttreci"/>
          <w:u w:val="single"/>
        </w:rPr>
        <w:t xml:space="preserve">częściowej </w:t>
      </w:r>
      <w:r>
        <w:rPr>
          <w:rStyle w:val="Teksttreci"/>
        </w:rPr>
        <w:t xml:space="preserve">z dnia 23 marca 2021 r. Trybunał uznał, że nie może na podstawie akt sprawy rozstrzygnąć </w:t>
      </w:r>
      <w:r w:rsidR="00FE6EC7">
        <w:rPr>
          <w:rStyle w:val="Teksttreci"/>
        </w:rPr>
        <w:t>w przedmiocie</w:t>
      </w:r>
      <w:r>
        <w:rPr>
          <w:rStyle w:val="Teksttreci"/>
        </w:rPr>
        <w:t xml:space="preserve"> dopuszczalności </w:t>
      </w:r>
      <w:r w:rsidR="00FE6EC7">
        <w:rPr>
          <w:rStyle w:val="Teksttreci"/>
        </w:rPr>
        <w:t xml:space="preserve">zarzutów </w:t>
      </w:r>
      <w:r>
        <w:rPr>
          <w:rStyle w:val="Teksttreci"/>
        </w:rPr>
        <w:t xml:space="preserve">skarżącego </w:t>
      </w:r>
      <w:r w:rsidR="00FE6EC7">
        <w:rPr>
          <w:rStyle w:val="Teksttreci"/>
        </w:rPr>
        <w:t xml:space="preserve">podniesionych </w:t>
      </w:r>
      <w:r>
        <w:rPr>
          <w:rStyle w:val="Teksttreci"/>
        </w:rPr>
        <w:t>na podstawie art. 2 (prawo do życia) i art. 3 (zakaz nieludzkiego lub poniżającego traktowania) Konwencji, w związku z czym konieczne było</w:t>
      </w:r>
      <w:r w:rsidR="00FE6EC7">
        <w:rPr>
          <w:rStyle w:val="Teksttreci"/>
        </w:rPr>
        <w:t xml:space="preserve"> ich zakomunikowanie</w:t>
      </w:r>
      <w:r>
        <w:rPr>
          <w:rStyle w:val="Teksttreci"/>
        </w:rPr>
        <w:t xml:space="preserve"> rząd</w:t>
      </w:r>
      <w:r w:rsidR="00FE6EC7">
        <w:rPr>
          <w:rStyle w:val="Teksttreci"/>
        </w:rPr>
        <w:t>owi</w:t>
      </w:r>
      <w:r>
        <w:rPr>
          <w:rStyle w:val="Teksttreci"/>
        </w:rPr>
        <w:t xml:space="preserve"> maltańskie</w:t>
      </w:r>
      <w:r w:rsidR="00FE6EC7">
        <w:rPr>
          <w:rStyle w:val="Teksttreci"/>
        </w:rPr>
        <w:t>mu</w:t>
      </w:r>
      <w:r>
        <w:rPr>
          <w:rStyle w:val="Teksttreci"/>
        </w:rPr>
        <w:t xml:space="preserve"> wraz z </w:t>
      </w:r>
      <w:r>
        <w:rPr>
          <w:rStyle w:val="Teksttreci"/>
          <w:u w:val="single"/>
        </w:rPr>
        <w:t>pytaniami</w:t>
      </w:r>
      <w:r>
        <w:rPr>
          <w:rStyle w:val="Teksttreci"/>
        </w:rPr>
        <w:t>. W związku z tym Trybunał postanowił odroczyć rozp</w:t>
      </w:r>
      <w:r w:rsidR="00FE6EC7">
        <w:rPr>
          <w:rStyle w:val="Teksttreci"/>
        </w:rPr>
        <w:t>oznanie zarzutów</w:t>
      </w:r>
      <w:r>
        <w:rPr>
          <w:rStyle w:val="Teksttreci"/>
        </w:rPr>
        <w:t xml:space="preserve"> skarżącego </w:t>
      </w:r>
      <w:r w:rsidR="00FE6EC7">
        <w:rPr>
          <w:rStyle w:val="Teksttreci"/>
        </w:rPr>
        <w:t xml:space="preserve">co do </w:t>
      </w:r>
      <w:r>
        <w:rPr>
          <w:rStyle w:val="Teksttreci"/>
        </w:rPr>
        <w:t>warunków osadzenia oraz zagrożenia jego życia z powodu pandemii i jego szczegól</w:t>
      </w:r>
      <w:r w:rsidR="00C175CF">
        <w:rPr>
          <w:rStyle w:val="Teksttreci"/>
        </w:rPr>
        <w:t>n</w:t>
      </w:r>
      <w:r w:rsidR="00FE6EC7">
        <w:rPr>
          <w:rStyle w:val="Teksttreci"/>
        </w:rPr>
        <w:t>ego</w:t>
      </w:r>
      <w:r w:rsidR="00C175CF">
        <w:rPr>
          <w:rStyle w:val="Teksttreci"/>
        </w:rPr>
        <w:t xml:space="preserve"> status</w:t>
      </w:r>
      <w:r w:rsidR="00FE6EC7">
        <w:rPr>
          <w:rStyle w:val="Teksttreci"/>
        </w:rPr>
        <w:t>u</w:t>
      </w:r>
      <w:r>
        <w:rPr>
          <w:rStyle w:val="Teksttreci"/>
        </w:rPr>
        <w:t>.</w:t>
      </w:r>
    </w:p>
    <w:p w14:paraId="0A6926DA" w14:textId="77777777" w:rsidR="00A610A1" w:rsidRDefault="00704047">
      <w:pPr>
        <w:pStyle w:val="Teksttreci0"/>
        <w:spacing w:after="40"/>
        <w:jc w:val="both"/>
      </w:pPr>
      <w:bookmarkStart w:id="6" w:name="_Hlk76374746"/>
      <w:proofErr w:type="spellStart"/>
      <w:r>
        <w:rPr>
          <w:rStyle w:val="Teksttreci"/>
          <w:b/>
          <w:bCs/>
          <w:u w:val="single"/>
        </w:rPr>
        <w:t>Vlamis</w:t>
      </w:r>
      <w:proofErr w:type="spellEnd"/>
      <w:r>
        <w:rPr>
          <w:rStyle w:val="Teksttreci"/>
          <w:b/>
          <w:bCs/>
          <w:u w:val="single"/>
        </w:rPr>
        <w:t xml:space="preserve"> </w:t>
      </w:r>
      <w:bookmarkEnd w:id="6"/>
      <w:r>
        <w:rPr>
          <w:rStyle w:val="Teksttreci"/>
          <w:b/>
          <w:bCs/>
          <w:u w:val="single"/>
        </w:rPr>
        <w:t>i Inni przeciwko Grecji (nr 29655/20) oraz cztery inne skargi (nr 29689/20, 30240/20, 30418/20 oraz 30574/20)</w:t>
      </w:r>
    </w:p>
    <w:p w14:paraId="7F043F79" w14:textId="0E87F828" w:rsidR="00A610A1" w:rsidRDefault="00704047">
      <w:pPr>
        <w:pStyle w:val="Teksttreci20"/>
        <w:jc w:val="both"/>
      </w:pPr>
      <w:bookmarkStart w:id="7" w:name="_Hlk76374802"/>
      <w:r>
        <w:rPr>
          <w:rStyle w:val="Teksttreci2"/>
        </w:rPr>
        <w:t>S</w:t>
      </w:r>
      <w:r w:rsidR="00FE6EC7">
        <w:rPr>
          <w:rStyle w:val="Teksttreci2"/>
        </w:rPr>
        <w:t>kargi</w:t>
      </w:r>
      <w:r>
        <w:rPr>
          <w:rStyle w:val="Teksttreci2"/>
        </w:rPr>
        <w:t xml:space="preserve"> </w:t>
      </w:r>
      <w:bookmarkEnd w:id="7"/>
      <w:r>
        <w:rPr>
          <w:rStyle w:val="Teksttreci2"/>
        </w:rPr>
        <w:t>został</w:t>
      </w:r>
      <w:r w:rsidR="00FE6EC7">
        <w:rPr>
          <w:rStyle w:val="Teksttreci2"/>
        </w:rPr>
        <w:t>y</w:t>
      </w:r>
      <w:r>
        <w:rPr>
          <w:rStyle w:val="Teksttreci2"/>
        </w:rPr>
        <w:t xml:space="preserve"> zakomunikowan</w:t>
      </w:r>
      <w:r w:rsidR="00FE6EC7">
        <w:rPr>
          <w:rStyle w:val="Teksttreci2"/>
        </w:rPr>
        <w:t>e</w:t>
      </w:r>
      <w:r>
        <w:rPr>
          <w:rStyle w:val="Teksttreci2"/>
        </w:rPr>
        <w:t xml:space="preserve"> rządowi greckiemu w dniu 16 kwietnia 2021 r.</w:t>
      </w:r>
    </w:p>
    <w:p w14:paraId="610413B2" w14:textId="77777777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Sprawy te dotyczą warunków osadzenia skarżących w zakładzie karnym </w:t>
      </w:r>
      <w:proofErr w:type="spellStart"/>
      <w:r>
        <w:rPr>
          <w:rStyle w:val="Teksttreci"/>
          <w:color w:val="000000"/>
        </w:rPr>
        <w:t>Korydallos</w:t>
      </w:r>
      <w:proofErr w:type="spellEnd"/>
      <w:r>
        <w:rPr>
          <w:rStyle w:val="Teksttreci"/>
          <w:color w:val="000000"/>
        </w:rPr>
        <w:t xml:space="preserve"> (Grecja). Skarżący zarzucają w szczególności brak środków ochrony przed rozprzestrzenianiem się wirusa Covid-19.</w:t>
      </w:r>
    </w:p>
    <w:p w14:paraId="7613B5C5" w14:textId="1C907E51" w:rsidR="00EC0A41" w:rsidRDefault="00704047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 xml:space="preserve">Trybunał </w:t>
      </w:r>
      <w:r w:rsidR="00EC0A41">
        <w:rPr>
          <w:rStyle w:val="Teksttreci"/>
        </w:rPr>
        <w:t>zakomunikował</w:t>
      </w:r>
      <w:r>
        <w:rPr>
          <w:rStyle w:val="Teksttreci"/>
        </w:rPr>
        <w:t xml:space="preserve"> skarg</w:t>
      </w:r>
      <w:r w:rsidR="00EC0A41">
        <w:rPr>
          <w:rStyle w:val="Teksttreci"/>
        </w:rPr>
        <w:t>i</w:t>
      </w:r>
      <w:r>
        <w:rPr>
          <w:rStyle w:val="Teksttreci"/>
        </w:rPr>
        <w:t xml:space="preserve"> rząd</w:t>
      </w:r>
      <w:r w:rsidR="00EC0A41">
        <w:rPr>
          <w:rStyle w:val="Teksttreci"/>
        </w:rPr>
        <w:t>owi</w:t>
      </w:r>
      <w:r>
        <w:rPr>
          <w:rStyle w:val="Teksttreci"/>
        </w:rPr>
        <w:t xml:space="preserve"> grecki</w:t>
      </w:r>
      <w:r w:rsidR="00EC0A41">
        <w:rPr>
          <w:rStyle w:val="Teksttreci"/>
        </w:rPr>
        <w:t>emu</w:t>
      </w:r>
      <w:r>
        <w:rPr>
          <w:rStyle w:val="Teksttreci"/>
        </w:rPr>
        <w:t xml:space="preserve"> i przedstawił stronom pytania na podstawie art. 3 (zakaz nieludzkiego lub poniżającego traktowania), art. 5 (prawo do wolności i bezpieczeństwa osobistego) oraz art. 13 (prawo do skutecznego środka odwoławczego) Konwencji.</w:t>
      </w:r>
    </w:p>
    <w:p w14:paraId="1C5FE6F8" w14:textId="6D312A5E" w:rsidR="00EC0A41" w:rsidRDefault="00EC0A41" w:rsidP="00692D31">
      <w:pPr>
        <w:pStyle w:val="Teksttreci0"/>
        <w:spacing w:after="0"/>
        <w:jc w:val="both"/>
        <w:rPr>
          <w:rStyle w:val="Teksttreci"/>
          <w:b/>
          <w:bCs/>
          <w:u w:val="single"/>
        </w:rPr>
      </w:pPr>
      <w:r>
        <w:rPr>
          <w:rStyle w:val="Teksttreci"/>
          <w:b/>
          <w:bCs/>
          <w:u w:val="single"/>
        </w:rPr>
        <w:t>Rus przeciwko Rumunii (nr 2621/21)</w:t>
      </w:r>
    </w:p>
    <w:p w14:paraId="12335642" w14:textId="1E51D1A2" w:rsidR="00EC0A41" w:rsidRDefault="00EC0A41" w:rsidP="00766457">
      <w:pPr>
        <w:pStyle w:val="Teksttreci0"/>
        <w:spacing w:after="0"/>
        <w:jc w:val="both"/>
        <w:rPr>
          <w:rStyle w:val="Teksttreci2"/>
        </w:rPr>
      </w:pPr>
      <w:r>
        <w:rPr>
          <w:rStyle w:val="Teksttreci2"/>
        </w:rPr>
        <w:t>Skarga została zakomunikowana rządowi rumuńskiemu w dniu 11 czerwca 2021 r.</w:t>
      </w:r>
    </w:p>
    <w:p w14:paraId="4EC549F0" w14:textId="07057C2D" w:rsidR="00EC0A41" w:rsidRDefault="00766457" w:rsidP="00692D31">
      <w:pPr>
        <w:pStyle w:val="Teksttreci0"/>
        <w:spacing w:after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Skarżący zarzucił, że został zarażony wirusem Covid-19 podczas osadzenia w zakładzie karnym. Powód powyższego widzi w jego warunkach osadzenia, w szczególności w przeludnieniu.</w:t>
      </w:r>
    </w:p>
    <w:p w14:paraId="78799187" w14:textId="785A63DC" w:rsidR="00766457" w:rsidRDefault="00766457" w:rsidP="00766457">
      <w:pPr>
        <w:pStyle w:val="Teksttreci0"/>
        <w:spacing w:after="0"/>
        <w:jc w:val="both"/>
        <w:rPr>
          <w:rStyle w:val="Teksttreci"/>
        </w:rPr>
      </w:pPr>
      <w:r>
        <w:rPr>
          <w:rStyle w:val="Teksttreci"/>
        </w:rPr>
        <w:t>Trybunał zakomunikował skargę rządowi rumuńskiemu i przedstawił stronom pytania na podstawie art. 3 (zakaz nieludzkiego lub poniżającego traktowania i art. 35 (kryteria dopuszczal</w:t>
      </w:r>
      <w:r w:rsidR="00122CC2">
        <w:rPr>
          <w:rStyle w:val="Teksttreci"/>
        </w:rPr>
        <w:t>n</w:t>
      </w:r>
      <w:r>
        <w:rPr>
          <w:rStyle w:val="Teksttreci"/>
        </w:rPr>
        <w:t>ości) Konwencji.</w:t>
      </w:r>
    </w:p>
    <w:p w14:paraId="3EB5D74C" w14:textId="77777777" w:rsidR="00122CC2" w:rsidRDefault="00122CC2" w:rsidP="00692D31">
      <w:pPr>
        <w:pStyle w:val="Teksttreci0"/>
        <w:spacing w:after="0"/>
        <w:jc w:val="both"/>
      </w:pPr>
    </w:p>
    <w:p w14:paraId="31C1FDBA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8" w:name="bookmark12"/>
      <w:r>
        <w:rPr>
          <w:rStyle w:val="Nagwek2"/>
        </w:rPr>
        <w:t>Prawo do wolności i bezpieczeństwa osobistego</w:t>
      </w:r>
      <w:bookmarkEnd w:id="8"/>
    </w:p>
    <w:p w14:paraId="7A2F8EA0" w14:textId="77777777" w:rsidR="00A610A1" w:rsidRDefault="00704047">
      <w:pPr>
        <w:pStyle w:val="Teksttreci30"/>
        <w:jc w:val="both"/>
      </w:pPr>
      <w:proofErr w:type="spellStart"/>
      <w:r>
        <w:rPr>
          <w:rStyle w:val="Teksttreci3"/>
          <w:b/>
          <w:bCs/>
          <w:color w:val="0071BC"/>
          <w:sz w:val="20"/>
          <w:szCs w:val="20"/>
          <w:u w:val="single"/>
        </w:rPr>
        <w:t>Fenech</w:t>
      </w:r>
      <w:proofErr w:type="spellEnd"/>
      <w:r>
        <w:rPr>
          <w:rStyle w:val="Teksttreci3"/>
          <w:b/>
          <w:bCs/>
          <w:color w:val="0071BC"/>
          <w:sz w:val="20"/>
          <w:szCs w:val="20"/>
          <w:u w:val="single"/>
        </w:rPr>
        <w:t xml:space="preserve"> przeciwko Malcie</w:t>
      </w:r>
      <w:r>
        <w:rPr>
          <w:rStyle w:val="Teksttreci3"/>
          <w:b/>
          <w:bCs/>
          <w:color w:val="0071BC"/>
          <w:sz w:val="20"/>
          <w:szCs w:val="20"/>
        </w:rPr>
        <w:t xml:space="preserve"> </w:t>
      </w:r>
      <w:r>
        <w:rPr>
          <w:rStyle w:val="Teksttreci3"/>
          <w:sz w:val="16"/>
          <w:szCs w:val="16"/>
        </w:rPr>
        <w:t>(</w:t>
      </w:r>
      <w:r>
        <w:rPr>
          <w:rStyle w:val="Teksttreci3"/>
        </w:rPr>
        <w:t>zob. również powyżej, pod „Prawo do życia i zakaz nieludzkiego lub poniżającego traktowania”)</w:t>
      </w:r>
    </w:p>
    <w:p w14:paraId="0D7F89F6" w14:textId="6B464955" w:rsidR="00A610A1" w:rsidRDefault="00704047">
      <w:pPr>
        <w:pStyle w:val="Teksttreci20"/>
        <w:jc w:val="both"/>
      </w:pPr>
      <w:r>
        <w:rPr>
          <w:rStyle w:val="Teksttreci2"/>
        </w:rPr>
        <w:t>23 marca 2021 r. (</w:t>
      </w:r>
      <w:r w:rsidR="001E1420">
        <w:rPr>
          <w:rStyle w:val="Teksttreci2"/>
        </w:rPr>
        <w:t xml:space="preserve">decyzja </w:t>
      </w:r>
      <w:r>
        <w:rPr>
          <w:rStyle w:val="Teksttreci2"/>
        </w:rPr>
        <w:t xml:space="preserve">częściowa </w:t>
      </w:r>
      <w:r w:rsidR="001E1420">
        <w:rPr>
          <w:rStyle w:val="Teksttreci2"/>
        </w:rPr>
        <w:t>w przedmiocie</w:t>
      </w:r>
      <w:r>
        <w:rPr>
          <w:rStyle w:val="Teksttreci2"/>
        </w:rPr>
        <w:t xml:space="preserve"> dopuszczalności)</w:t>
      </w:r>
    </w:p>
    <w:p w14:paraId="70DC6354" w14:textId="0531BD85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>W listopadzie 2019 r. skarżący został zatrzymany i tymczasowo aresztowany w związku z</w:t>
      </w:r>
      <w:r w:rsidR="00043145">
        <w:rPr>
          <w:rStyle w:val="Teksttreci"/>
          <w:color w:val="000000"/>
        </w:rPr>
        <w:t> </w:t>
      </w:r>
      <w:r>
        <w:rPr>
          <w:rStyle w:val="Teksttreci"/>
          <w:color w:val="000000"/>
        </w:rPr>
        <w:t>podejrzeniem o udział w zabójstwie. Ze względu na rozprzestrzenianie się wirusa Covid-19 wprowadzono środki krajowe, które doprowadziły do zawieszenia postępowa</w:t>
      </w:r>
      <w:r w:rsidR="001E1420">
        <w:rPr>
          <w:rStyle w:val="Teksttreci"/>
          <w:color w:val="000000"/>
        </w:rPr>
        <w:t>ń</w:t>
      </w:r>
      <w:r>
        <w:rPr>
          <w:rStyle w:val="Teksttreci"/>
          <w:color w:val="000000"/>
        </w:rPr>
        <w:t xml:space="preserve"> karn</w:t>
      </w:r>
      <w:r w:rsidR="001E1420">
        <w:rPr>
          <w:rStyle w:val="Teksttreci"/>
          <w:color w:val="000000"/>
        </w:rPr>
        <w:t>ych</w:t>
      </w:r>
      <w:r>
        <w:rPr>
          <w:rStyle w:val="Teksttreci"/>
          <w:color w:val="000000"/>
        </w:rPr>
        <w:t xml:space="preserve"> i które miały obowiązywać do czasu ich uchylenia na podstawie decyzji właściwego organu. Sądy krajowe zachowały swobodę decydowania </w:t>
      </w:r>
      <w:r w:rsidR="001E1420">
        <w:rPr>
          <w:rStyle w:val="Teksttreci"/>
          <w:color w:val="000000"/>
        </w:rPr>
        <w:t>c</w:t>
      </w:r>
      <w:r>
        <w:rPr>
          <w:rStyle w:val="Teksttreci"/>
          <w:color w:val="000000"/>
        </w:rPr>
        <w:t>o</w:t>
      </w:r>
      <w:r w:rsidR="001E1420">
        <w:rPr>
          <w:rStyle w:val="Teksttreci"/>
          <w:color w:val="000000"/>
        </w:rPr>
        <w:t xml:space="preserve"> do rozpoznawania spraw </w:t>
      </w:r>
      <w:r>
        <w:rPr>
          <w:rStyle w:val="Teksttreci"/>
          <w:color w:val="000000"/>
        </w:rPr>
        <w:t>pilnych lub spraw powiązanych. Postępowani</w:t>
      </w:r>
      <w:r w:rsidR="001E1420">
        <w:rPr>
          <w:rStyle w:val="Teksttreci"/>
          <w:color w:val="000000"/>
        </w:rPr>
        <w:t>a</w:t>
      </w:r>
      <w:r>
        <w:rPr>
          <w:rStyle w:val="Teksttreci"/>
          <w:color w:val="000000"/>
        </w:rPr>
        <w:t xml:space="preserve"> wznowiono trzy miesiące później. Skarżący kilkakrotnie bezskutecznie wnioskował o zwolnienie za poręczeniem majątkowym.</w:t>
      </w:r>
    </w:p>
    <w:p w14:paraId="51DB79DC" w14:textId="73DB9D80" w:rsidR="00A610A1" w:rsidRDefault="00704047">
      <w:pPr>
        <w:pStyle w:val="Teksttreci0"/>
        <w:jc w:val="both"/>
      </w:pPr>
      <w:r>
        <w:rPr>
          <w:rStyle w:val="Teksttreci"/>
        </w:rPr>
        <w:t xml:space="preserve">Trybunał uznał za </w:t>
      </w:r>
      <w:r>
        <w:rPr>
          <w:rStyle w:val="Teksttreci"/>
          <w:b/>
          <w:bCs/>
        </w:rPr>
        <w:t>niedopuszczalne</w:t>
      </w:r>
      <w:r>
        <w:rPr>
          <w:rStyle w:val="Teksttreci"/>
        </w:rPr>
        <w:t>, jako oczywi</w:t>
      </w:r>
      <w:r w:rsidR="001E1420">
        <w:rPr>
          <w:rStyle w:val="Teksttreci"/>
        </w:rPr>
        <w:t>ście</w:t>
      </w:r>
      <w:r>
        <w:rPr>
          <w:rStyle w:val="Teksttreci"/>
        </w:rPr>
        <w:t xml:space="preserve"> nieuzasadnione, </w:t>
      </w:r>
      <w:r w:rsidR="001E1420">
        <w:rPr>
          <w:rStyle w:val="Teksttreci"/>
        </w:rPr>
        <w:t xml:space="preserve">zarzuty </w:t>
      </w:r>
      <w:r>
        <w:rPr>
          <w:rStyle w:val="Teksttreci"/>
        </w:rPr>
        <w:t xml:space="preserve">skarżącego </w:t>
      </w:r>
      <w:r w:rsidR="00727DC3">
        <w:rPr>
          <w:rStyle w:val="Teksttreci"/>
        </w:rPr>
        <w:t>pod</w:t>
      </w:r>
      <w:r>
        <w:rPr>
          <w:rStyle w:val="Teksttreci"/>
        </w:rPr>
        <w:t xml:space="preserve">niesione na podstawie art. 5 (prawo do wolności i bezpieczeństwa osobistego) Konwencji. W szczególności, w odniesieniu do kwestii, czy władze działały z należytą starannością, Trybunał zauważył, że skarżący nie powołał się na żadne uchybienia, opóźnienia czy zaniechania ze strony władz, poza okresem, w którym doszło do zawieszenia postępowania z powodu środków nadzwyczajnych. To tymczasowe zawieszenie było spowodowane wyjątkowymi okolicznościami związanymi z globalną pandemią, które, jak orzekł Trybunał Konstytucyjny, uzasadniały takie zgodne z prawem środki w interesie zdrowia publicznego, jak również zdrowia skarżącego. Wynikało z tego, że nie można było stwierdzić, iż nie </w:t>
      </w:r>
      <w:r w:rsidR="00727DC3">
        <w:rPr>
          <w:rStyle w:val="Teksttreci"/>
        </w:rPr>
        <w:t>dopełniono</w:t>
      </w:r>
      <w:r>
        <w:rPr>
          <w:rStyle w:val="Teksttreci"/>
        </w:rPr>
        <w:t xml:space="preserve"> obowiązku szczególnej staranności.</w:t>
      </w:r>
    </w:p>
    <w:p w14:paraId="6BDEDFEF" w14:textId="63BA04F8" w:rsidR="00A610A1" w:rsidRDefault="00043145">
      <w:pPr>
        <w:pStyle w:val="Nagwek30"/>
        <w:keepNext/>
        <w:keepLines/>
        <w:jc w:val="both"/>
      </w:pPr>
      <w:bookmarkStart w:id="9" w:name="bookmark14"/>
      <w:proofErr w:type="spellStart"/>
      <w:r>
        <w:rPr>
          <w:rStyle w:val="Nagwek3"/>
          <w:b/>
          <w:bCs/>
        </w:rPr>
        <w:t>Terhes</w:t>
      </w:r>
      <w:proofErr w:type="spellEnd"/>
      <w:r>
        <w:rPr>
          <w:rStyle w:val="Nagwek3"/>
          <w:b/>
          <w:bCs/>
        </w:rPr>
        <w:t xml:space="preserve"> </w:t>
      </w:r>
      <w:r w:rsidR="00704047">
        <w:rPr>
          <w:rStyle w:val="Nagwek3"/>
          <w:b/>
          <w:bCs/>
        </w:rPr>
        <w:t>przeciwko Rumunii</w:t>
      </w:r>
      <w:bookmarkEnd w:id="9"/>
    </w:p>
    <w:p w14:paraId="6041CD0E" w14:textId="4B3629FD" w:rsidR="00A610A1" w:rsidRDefault="00704047">
      <w:pPr>
        <w:pStyle w:val="Teksttreci20"/>
        <w:jc w:val="both"/>
      </w:pPr>
      <w:r>
        <w:rPr>
          <w:rStyle w:val="Teksttreci2"/>
        </w:rPr>
        <w:t xml:space="preserve">20 maja 2021 r. (decyzja </w:t>
      </w:r>
      <w:r w:rsidR="00897B5A">
        <w:rPr>
          <w:rStyle w:val="Teksttreci2"/>
        </w:rPr>
        <w:t>w przedmiocie</w:t>
      </w:r>
      <w:r>
        <w:rPr>
          <w:rStyle w:val="Teksttreci2"/>
        </w:rPr>
        <w:t xml:space="preserve"> dopuszczalności)</w:t>
      </w:r>
    </w:p>
    <w:p w14:paraId="57648E64" w14:textId="6A512346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Skarżący, który został wybrany na </w:t>
      </w:r>
      <w:r w:rsidR="00897B5A">
        <w:rPr>
          <w:rStyle w:val="Teksttreci"/>
          <w:color w:val="000000"/>
        </w:rPr>
        <w:t>członka</w:t>
      </w:r>
      <w:r>
        <w:rPr>
          <w:rStyle w:val="Teksttreci"/>
          <w:color w:val="000000"/>
        </w:rPr>
        <w:t xml:space="preserve"> Parlamentu Europejskiego w 2019 r., w czasie wydarzeń przebywał w Rumunii. Sprawa dotyczyła blokady zarządzonej przez rząd rumuński </w:t>
      </w:r>
      <w:r w:rsidR="00897B5A">
        <w:rPr>
          <w:rStyle w:val="Teksttreci"/>
          <w:color w:val="000000"/>
        </w:rPr>
        <w:t>w</w:t>
      </w:r>
      <w:r>
        <w:rPr>
          <w:rStyle w:val="Teksttreci"/>
          <w:color w:val="000000"/>
        </w:rPr>
        <w:t xml:space="preserve"> okres</w:t>
      </w:r>
      <w:r w:rsidR="00897B5A">
        <w:rPr>
          <w:rStyle w:val="Teksttreci"/>
          <w:color w:val="000000"/>
        </w:rPr>
        <w:t>ie</w:t>
      </w:r>
      <w:r>
        <w:rPr>
          <w:rStyle w:val="Teksttreci"/>
          <w:color w:val="000000"/>
        </w:rPr>
        <w:t xml:space="preserve"> od 24 marca do 14 maja 2020 r. w celu zwalczania pandemii Covid-19, </w:t>
      </w:r>
      <w:r>
        <w:rPr>
          <w:rStyle w:val="Teksttreci"/>
          <w:color w:val="000000"/>
        </w:rPr>
        <w:lastRenderedPageBreak/>
        <w:t xml:space="preserve">która wiązała się z ograniczeniami w zakresie opuszczania miejsca zamieszkania. Skarżący twierdził, że </w:t>
      </w:r>
      <w:r w:rsidR="00897B5A">
        <w:rPr>
          <w:rStyle w:val="Teksttreci"/>
          <w:color w:val="000000"/>
        </w:rPr>
        <w:t>blokada wprowadzona</w:t>
      </w:r>
      <w:r>
        <w:rPr>
          <w:rStyle w:val="Teksttreci"/>
          <w:color w:val="000000"/>
        </w:rPr>
        <w:t xml:space="preserve"> w Rumunii, do które</w:t>
      </w:r>
      <w:r w:rsidR="00897B5A">
        <w:rPr>
          <w:rStyle w:val="Teksttreci"/>
          <w:color w:val="000000"/>
        </w:rPr>
        <w:t>j</w:t>
      </w:r>
      <w:r>
        <w:rPr>
          <w:rStyle w:val="Teksttreci"/>
          <w:color w:val="000000"/>
        </w:rPr>
        <w:t xml:space="preserve"> musiał się stosować, </w:t>
      </w:r>
      <w:r w:rsidR="00897B5A">
        <w:rPr>
          <w:rStyle w:val="Teksttreci"/>
          <w:color w:val="000000"/>
        </w:rPr>
        <w:t>stanowiła p</w:t>
      </w:r>
      <w:r>
        <w:rPr>
          <w:rStyle w:val="Teksttreci"/>
          <w:color w:val="000000"/>
        </w:rPr>
        <w:t>ozbawienie wolności.</w:t>
      </w:r>
    </w:p>
    <w:p w14:paraId="47B77948" w14:textId="67921AAC" w:rsidR="00A610A1" w:rsidRDefault="00704047">
      <w:pPr>
        <w:pStyle w:val="Teksttreci0"/>
        <w:jc w:val="both"/>
      </w:pPr>
      <w:r>
        <w:rPr>
          <w:rStyle w:val="Teksttreci"/>
        </w:rPr>
        <w:t xml:space="preserve">Trybunał uznał skargę za </w:t>
      </w:r>
      <w:r>
        <w:rPr>
          <w:rStyle w:val="Teksttreci"/>
          <w:b/>
          <w:bCs/>
        </w:rPr>
        <w:t>niedopuszczalną</w:t>
      </w:r>
      <w:r>
        <w:rPr>
          <w:rStyle w:val="Teksttreci"/>
        </w:rPr>
        <w:t>, stwierdzając, że jest ona niezgodna z</w:t>
      </w:r>
      <w:r w:rsidR="00043145">
        <w:rPr>
          <w:rStyle w:val="Teksttreci"/>
        </w:rPr>
        <w:t> </w:t>
      </w:r>
      <w:r>
        <w:rPr>
          <w:rStyle w:val="Teksttreci"/>
        </w:rPr>
        <w:t xml:space="preserve">postanowieniami Konwencji. W szczególności uznał, że spornego środka nie można utożsamiać z aresztem domowym. Ponadto, poziom ograniczeń swobody poruszania się skarżącego nie </w:t>
      </w:r>
      <w:r w:rsidR="00897B5A">
        <w:rPr>
          <w:rStyle w:val="Teksttreci"/>
        </w:rPr>
        <w:t xml:space="preserve">był taki, by </w:t>
      </w:r>
      <w:r>
        <w:rPr>
          <w:rStyle w:val="Teksttreci"/>
        </w:rPr>
        <w:t>pozwala</w:t>
      </w:r>
      <w:r w:rsidR="00CA5FFB">
        <w:rPr>
          <w:rStyle w:val="Teksttreci"/>
        </w:rPr>
        <w:t>ł</w:t>
      </w:r>
      <w:r>
        <w:rPr>
          <w:rStyle w:val="Teksttreci"/>
        </w:rPr>
        <w:t xml:space="preserve"> na uznanie ogólne</w:t>
      </w:r>
      <w:r w:rsidR="00CA5FFB">
        <w:rPr>
          <w:rStyle w:val="Teksttreci"/>
        </w:rPr>
        <w:t>j blokady</w:t>
      </w:r>
      <w:r>
        <w:rPr>
          <w:rStyle w:val="Teksttreci"/>
        </w:rPr>
        <w:t xml:space="preserve"> zarządzone</w:t>
      </w:r>
      <w:r w:rsidR="00CA5FFB">
        <w:rPr>
          <w:rStyle w:val="Teksttreci"/>
        </w:rPr>
        <w:t>j</w:t>
      </w:r>
      <w:r>
        <w:rPr>
          <w:rStyle w:val="Teksttreci"/>
        </w:rPr>
        <w:t xml:space="preserve"> przez władze za</w:t>
      </w:r>
      <w:r w:rsidR="00CA5FFB">
        <w:rPr>
          <w:rStyle w:val="Teksttreci"/>
        </w:rPr>
        <w:t xml:space="preserve"> stanowiący</w:t>
      </w:r>
      <w:r>
        <w:rPr>
          <w:rStyle w:val="Teksttreci"/>
        </w:rPr>
        <w:t xml:space="preserve"> pozbawienie wolności. W ocenie Trybunału </w:t>
      </w:r>
      <w:r w:rsidR="00CA5FFB">
        <w:rPr>
          <w:rStyle w:val="Teksttreci"/>
        </w:rPr>
        <w:t>skarżący nie mógł być zatem uznawany za</w:t>
      </w:r>
      <w:r>
        <w:rPr>
          <w:rStyle w:val="Teksttreci"/>
        </w:rPr>
        <w:t xml:space="preserve"> pozbawion</w:t>
      </w:r>
      <w:r w:rsidR="00CA5FFB">
        <w:rPr>
          <w:rStyle w:val="Teksttreci"/>
        </w:rPr>
        <w:t>ego</w:t>
      </w:r>
      <w:r>
        <w:rPr>
          <w:rStyle w:val="Teksttreci"/>
        </w:rPr>
        <w:t xml:space="preserve"> wolności w rozumieniu art. 5 ust. 1 (prawo do wolności i bezpieczeństwa osobistego) Konwencji. W </w:t>
      </w:r>
      <w:r w:rsidR="00CA5FFB">
        <w:rPr>
          <w:rStyle w:val="Teksttreci"/>
        </w:rPr>
        <w:t>niniejszej sprawie</w:t>
      </w:r>
      <w:r>
        <w:rPr>
          <w:rStyle w:val="Teksttreci"/>
        </w:rPr>
        <w:t xml:space="preserve"> Trybunał przywiązał również wagę do faktu, że skarżący nie wyjaśnił, jaki konkretnie wpływ na jego sytuację osobistą miał zaskarżony środek. Nie </w:t>
      </w:r>
      <w:r w:rsidR="00CA5FFB">
        <w:rPr>
          <w:rStyle w:val="Teksttreci"/>
        </w:rPr>
        <w:t>zarzucał</w:t>
      </w:r>
      <w:r>
        <w:rPr>
          <w:rStyle w:val="Teksttreci"/>
        </w:rPr>
        <w:t>, że przebywał w pomieszczeniach zamkniętych przez cały okres trwania stanu wyjątkowego. Bardziej ogólnie, Trybunał zauważył, że skarżący nie przedstawił żadnych konkretnych informacji opisujących jego rzeczywiste doświadczenia związane z ograniczeniami.</w:t>
      </w:r>
    </w:p>
    <w:p w14:paraId="64B488A9" w14:textId="6B163191" w:rsidR="00A610A1" w:rsidRDefault="00704047">
      <w:pPr>
        <w:pStyle w:val="Teksttreci0"/>
        <w:jc w:val="both"/>
      </w:pPr>
      <w:r>
        <w:rPr>
          <w:rStyle w:val="Teksttreci"/>
          <w:b/>
          <w:bCs/>
          <w:color w:val="5F5F5F"/>
        </w:rPr>
        <w:t>Skarg</w:t>
      </w:r>
      <w:r w:rsidR="00F12DD8">
        <w:rPr>
          <w:rStyle w:val="Teksttreci"/>
          <w:b/>
          <w:bCs/>
          <w:color w:val="5F5F5F"/>
        </w:rPr>
        <w:t>a</w:t>
      </w:r>
      <w:r w:rsidR="00CA5FFB">
        <w:rPr>
          <w:rStyle w:val="Teksttreci"/>
          <w:b/>
          <w:bCs/>
          <w:color w:val="5F5F5F"/>
        </w:rPr>
        <w:t xml:space="preserve"> w toku</w:t>
      </w:r>
    </w:p>
    <w:p w14:paraId="7CEB9C80" w14:textId="77777777" w:rsidR="00A610A1" w:rsidRDefault="00704047">
      <w:pPr>
        <w:pStyle w:val="Teksttreci0"/>
        <w:spacing w:after="40"/>
        <w:jc w:val="both"/>
      </w:pPr>
      <w:proofErr w:type="spellStart"/>
      <w:r>
        <w:rPr>
          <w:rStyle w:val="Teksttreci"/>
          <w:b/>
          <w:bCs/>
          <w:u w:val="single"/>
        </w:rPr>
        <w:t>Khokhlov</w:t>
      </w:r>
      <w:proofErr w:type="spellEnd"/>
      <w:r>
        <w:rPr>
          <w:rStyle w:val="Teksttreci"/>
          <w:b/>
          <w:bCs/>
          <w:u w:val="single"/>
        </w:rPr>
        <w:t xml:space="preserve"> przeciwko Cyprowi (nr 53114/20)</w:t>
      </w:r>
    </w:p>
    <w:p w14:paraId="75DFC3EC" w14:textId="77777777" w:rsidR="00A610A1" w:rsidRDefault="00704047">
      <w:pPr>
        <w:pStyle w:val="Teksttreci20"/>
        <w:jc w:val="both"/>
      </w:pPr>
      <w:r>
        <w:rPr>
          <w:rStyle w:val="Teksttreci2"/>
        </w:rPr>
        <w:t>Skarga została zakomunikowana rządowi cypryjskiemu w dniu 10 lutego 2021 r.</w:t>
      </w:r>
    </w:p>
    <w:p w14:paraId="246C2474" w14:textId="2F892C09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Niniejsza skarga dotyczy trwającego od października 2018 r. </w:t>
      </w:r>
      <w:r w:rsidR="003130D5">
        <w:rPr>
          <w:rStyle w:val="Teksttreci"/>
          <w:color w:val="000000"/>
        </w:rPr>
        <w:t xml:space="preserve">osadzenia </w:t>
      </w:r>
      <w:r>
        <w:rPr>
          <w:rStyle w:val="Teksttreci"/>
          <w:color w:val="000000"/>
        </w:rPr>
        <w:t xml:space="preserve">skarżącego w celu jego ekstradycji do Rosji </w:t>
      </w:r>
      <w:r w:rsidR="003130D5">
        <w:rPr>
          <w:rStyle w:val="Teksttreci"/>
          <w:color w:val="000000"/>
        </w:rPr>
        <w:t>by postawić go przed sądem</w:t>
      </w:r>
      <w:r>
        <w:rPr>
          <w:rStyle w:val="Teksttreci"/>
          <w:color w:val="000000"/>
        </w:rPr>
        <w:t xml:space="preserve">. W październiku 2020 r. poinformowano go, że ze względu na środki ograniczające </w:t>
      </w:r>
      <w:r w:rsidR="003130D5">
        <w:rPr>
          <w:rStyle w:val="Teksttreci"/>
          <w:color w:val="000000"/>
        </w:rPr>
        <w:t>związane z</w:t>
      </w:r>
      <w:r>
        <w:rPr>
          <w:rStyle w:val="Teksttreci"/>
          <w:color w:val="000000"/>
        </w:rPr>
        <w:t xml:space="preserve"> Covid-19 zastosowane zarówno przez Cypr, jak i Rosję, oba państwa podjęły decyzję o zawieszeniu jego ekstradycji. Skarżący zarzuca w szczególności, że został bezprawnie i arbitralnie pozbawiony wolności z powodu nieuzasadnionych opóźnień ze strony </w:t>
      </w:r>
      <w:r w:rsidR="003130D5">
        <w:rPr>
          <w:rStyle w:val="Teksttreci"/>
          <w:color w:val="000000"/>
        </w:rPr>
        <w:t xml:space="preserve">organów </w:t>
      </w:r>
      <w:r>
        <w:rPr>
          <w:rStyle w:val="Teksttreci"/>
          <w:color w:val="000000"/>
        </w:rPr>
        <w:t>krajowych w przeprowadzeniu jego ekstradycji.</w:t>
      </w:r>
    </w:p>
    <w:p w14:paraId="63BF4962" w14:textId="7CA46478" w:rsidR="00A610A1" w:rsidRDefault="00704047">
      <w:pPr>
        <w:pStyle w:val="Teksttreci0"/>
        <w:spacing w:after="220"/>
        <w:jc w:val="both"/>
      </w:pPr>
      <w:r>
        <w:rPr>
          <w:rStyle w:val="Teksttreci"/>
        </w:rPr>
        <w:t xml:space="preserve">Trybunał </w:t>
      </w:r>
      <w:r w:rsidR="003130D5">
        <w:rPr>
          <w:rStyle w:val="Teksttreci"/>
        </w:rPr>
        <w:t xml:space="preserve">zakomunikował skargę </w:t>
      </w:r>
      <w:r>
        <w:rPr>
          <w:rStyle w:val="Teksttreci"/>
        </w:rPr>
        <w:t>rząd</w:t>
      </w:r>
      <w:r w:rsidR="003130D5">
        <w:rPr>
          <w:rStyle w:val="Teksttreci"/>
        </w:rPr>
        <w:t>owi</w:t>
      </w:r>
      <w:r>
        <w:rPr>
          <w:rStyle w:val="Teksttreci"/>
        </w:rPr>
        <w:t xml:space="preserve"> </w:t>
      </w:r>
      <w:r w:rsidR="003130D5">
        <w:rPr>
          <w:rStyle w:val="Teksttreci"/>
        </w:rPr>
        <w:t>Cypru</w:t>
      </w:r>
      <w:r>
        <w:rPr>
          <w:rStyle w:val="Teksttreci"/>
        </w:rPr>
        <w:t xml:space="preserve"> i przedstawił stronom pytania na podstawie art. 5 (prawo do wolności i bezpieczeństwa osobistego) Konwencji.</w:t>
      </w:r>
    </w:p>
    <w:p w14:paraId="3C6F2D3D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10" w:name="bookmark16"/>
      <w:r>
        <w:rPr>
          <w:rStyle w:val="Nagwek2"/>
        </w:rPr>
        <w:t>Prawo do rzetelnego procesu sądowego</w:t>
      </w:r>
      <w:bookmarkEnd w:id="10"/>
    </w:p>
    <w:p w14:paraId="10274193" w14:textId="49AF4E72" w:rsidR="00A610A1" w:rsidRDefault="00704047">
      <w:pPr>
        <w:pStyle w:val="Nagwek30"/>
        <w:keepNext/>
        <w:keepLines/>
        <w:spacing w:after="100"/>
        <w:jc w:val="both"/>
      </w:pPr>
      <w:bookmarkStart w:id="11" w:name="bookmark18"/>
      <w:r>
        <w:rPr>
          <w:rStyle w:val="Nagwek3"/>
          <w:b/>
          <w:bCs/>
          <w:color w:val="5F5F5F"/>
          <w:u w:val="none"/>
        </w:rPr>
        <w:t xml:space="preserve">Skargi </w:t>
      </w:r>
      <w:bookmarkEnd w:id="11"/>
      <w:r w:rsidR="00F12DD8">
        <w:rPr>
          <w:rStyle w:val="Nagwek3"/>
          <w:b/>
          <w:bCs/>
          <w:color w:val="5F5F5F"/>
          <w:u w:val="none"/>
        </w:rPr>
        <w:t>w toku</w:t>
      </w:r>
    </w:p>
    <w:p w14:paraId="4D0B51A9" w14:textId="77777777" w:rsidR="00A610A1" w:rsidRPr="00E844FF" w:rsidRDefault="00704047">
      <w:pPr>
        <w:pStyle w:val="Nagwek30"/>
        <w:keepNext/>
        <w:keepLines/>
        <w:jc w:val="both"/>
        <w:rPr>
          <w:lang w:val="en-US"/>
        </w:rPr>
      </w:pPr>
      <w:r w:rsidRPr="00E844FF">
        <w:rPr>
          <w:rStyle w:val="Nagwek3"/>
          <w:b/>
          <w:bCs/>
          <w:lang w:val="en-US"/>
        </w:rPr>
        <w:t xml:space="preserve">Association of orthodox ecclesiastical obedience </w:t>
      </w:r>
      <w:proofErr w:type="spellStart"/>
      <w:r w:rsidRPr="00E844FF">
        <w:rPr>
          <w:rStyle w:val="Nagwek3"/>
          <w:b/>
          <w:bCs/>
          <w:lang w:val="en-US"/>
        </w:rPr>
        <w:t>przeciwko</w:t>
      </w:r>
      <w:proofErr w:type="spellEnd"/>
      <w:r w:rsidRPr="00E844FF">
        <w:rPr>
          <w:rStyle w:val="Nagwek3"/>
          <w:b/>
          <w:bCs/>
          <w:lang w:val="en-US"/>
        </w:rPr>
        <w:t xml:space="preserve"> </w:t>
      </w:r>
      <w:proofErr w:type="spellStart"/>
      <w:r w:rsidRPr="00E844FF">
        <w:rPr>
          <w:rStyle w:val="Nagwek3"/>
          <w:b/>
          <w:bCs/>
          <w:lang w:val="en-US"/>
        </w:rPr>
        <w:t>Grecji</w:t>
      </w:r>
      <w:proofErr w:type="spellEnd"/>
      <w:r w:rsidRPr="00E844FF">
        <w:rPr>
          <w:rStyle w:val="Nagwek3"/>
          <w:b/>
          <w:bCs/>
          <w:lang w:val="en-US"/>
        </w:rPr>
        <w:t xml:space="preserve"> (nr 52104/20)</w:t>
      </w:r>
    </w:p>
    <w:p w14:paraId="46488F25" w14:textId="2A651FA6" w:rsidR="00A610A1" w:rsidRDefault="001C694D">
      <w:pPr>
        <w:pStyle w:val="Teksttreci20"/>
        <w:jc w:val="both"/>
      </w:pPr>
      <w:r>
        <w:rPr>
          <w:rStyle w:val="Teksttreci2"/>
        </w:rPr>
        <w:t xml:space="preserve">Skarga </w:t>
      </w:r>
      <w:r w:rsidR="00704047">
        <w:rPr>
          <w:rStyle w:val="Teksttreci2"/>
        </w:rPr>
        <w:t>została zakomunikowana rządowi greckiemu w dniu 25 lutego 2021 r.</w:t>
      </w:r>
    </w:p>
    <w:p w14:paraId="68A8549B" w14:textId="748F1699" w:rsidR="00A610A1" w:rsidRDefault="00704047">
      <w:pPr>
        <w:pStyle w:val="Teksttreci0"/>
        <w:jc w:val="both"/>
      </w:pPr>
      <w:r>
        <w:rPr>
          <w:rStyle w:val="Teksttreci"/>
          <w:color w:val="000000"/>
        </w:rPr>
        <w:t>Zobacz poniżej</w:t>
      </w:r>
      <w:r w:rsidR="005B0892">
        <w:rPr>
          <w:rStyle w:val="Teksttreci"/>
          <w:color w:val="000000"/>
        </w:rPr>
        <w:t>,</w:t>
      </w:r>
      <w:r>
        <w:rPr>
          <w:rStyle w:val="Teksttreci"/>
          <w:color w:val="000000"/>
        </w:rPr>
        <w:t xml:space="preserve"> pod „Wolność wyznania”.</w:t>
      </w:r>
    </w:p>
    <w:p w14:paraId="1CC2BA2B" w14:textId="77777777" w:rsidR="00A610A1" w:rsidRDefault="00704047">
      <w:pPr>
        <w:pStyle w:val="Nagwek30"/>
        <w:keepNext/>
        <w:keepLines/>
        <w:jc w:val="both"/>
      </w:pPr>
      <w:bookmarkStart w:id="12" w:name="bookmark21"/>
      <w:proofErr w:type="spellStart"/>
      <w:r>
        <w:rPr>
          <w:rStyle w:val="Nagwek3"/>
          <w:b/>
          <w:bCs/>
        </w:rPr>
        <w:t>Avagyan</w:t>
      </w:r>
      <w:proofErr w:type="spellEnd"/>
      <w:r>
        <w:rPr>
          <w:rStyle w:val="Nagwek3"/>
          <w:b/>
          <w:bCs/>
        </w:rPr>
        <w:t xml:space="preserve"> przeciwko Rosji (nr 36911/20)</w:t>
      </w:r>
      <w:bookmarkEnd w:id="12"/>
    </w:p>
    <w:p w14:paraId="756CC0C2" w14:textId="047BE4B9" w:rsidR="00A610A1" w:rsidRDefault="001C694D">
      <w:pPr>
        <w:pStyle w:val="Teksttreci20"/>
        <w:jc w:val="both"/>
      </w:pPr>
      <w:r>
        <w:rPr>
          <w:rStyle w:val="Teksttreci2"/>
        </w:rPr>
        <w:t xml:space="preserve">Skarga </w:t>
      </w:r>
      <w:r w:rsidR="00704047">
        <w:rPr>
          <w:rStyle w:val="Teksttreci2"/>
        </w:rPr>
        <w:t>została zakomunikowana rządowi rosyjskiemu w dniu 4 listopada 2020 r.</w:t>
      </w:r>
    </w:p>
    <w:p w14:paraId="682BDB12" w14:textId="3062EA10" w:rsidR="00A610A1" w:rsidRDefault="00704047">
      <w:pPr>
        <w:pStyle w:val="Teksttreci0"/>
        <w:spacing w:after="220"/>
        <w:jc w:val="both"/>
      </w:pPr>
      <w:r>
        <w:rPr>
          <w:rStyle w:val="Teksttreci"/>
          <w:color w:val="000000"/>
        </w:rPr>
        <w:t>Zobacz poniżej</w:t>
      </w:r>
      <w:r w:rsidR="005B0892">
        <w:rPr>
          <w:rStyle w:val="Teksttreci"/>
          <w:color w:val="000000"/>
        </w:rPr>
        <w:t>,</w:t>
      </w:r>
      <w:r>
        <w:rPr>
          <w:rStyle w:val="Teksttreci"/>
          <w:color w:val="000000"/>
        </w:rPr>
        <w:t xml:space="preserve"> pod „Wolność wyznania”.</w:t>
      </w:r>
    </w:p>
    <w:p w14:paraId="75802078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13" w:name="bookmark23"/>
      <w:r>
        <w:rPr>
          <w:rStyle w:val="Nagwek2"/>
        </w:rPr>
        <w:t>Prawo do poszanowania życia prywatnego i rodzinnego</w:t>
      </w:r>
      <w:bookmarkEnd w:id="13"/>
    </w:p>
    <w:p w14:paraId="4F6AA11E" w14:textId="77777777" w:rsidR="00A610A1" w:rsidRDefault="00704047">
      <w:pPr>
        <w:pStyle w:val="Nagwek30"/>
        <w:keepNext/>
        <w:keepLines/>
        <w:jc w:val="both"/>
      </w:pPr>
      <w:bookmarkStart w:id="14" w:name="bookmark25"/>
      <w:r>
        <w:rPr>
          <w:rStyle w:val="Nagwek3"/>
          <w:b/>
          <w:bCs/>
        </w:rPr>
        <w:t>D.C. przeciwko Włochom (nr 17289/20)</w:t>
      </w:r>
      <w:bookmarkEnd w:id="14"/>
    </w:p>
    <w:p w14:paraId="48B3C9C0" w14:textId="77777777" w:rsidR="00A610A1" w:rsidRDefault="00704047">
      <w:pPr>
        <w:pStyle w:val="Teksttreci20"/>
        <w:jc w:val="both"/>
      </w:pPr>
      <w:r>
        <w:rPr>
          <w:rStyle w:val="Teksttreci2"/>
        </w:rPr>
        <w:t>15 października 2020 r. (decyzja – skreślenie skargi)</w:t>
      </w:r>
    </w:p>
    <w:p w14:paraId="344F9A06" w14:textId="20023047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Skarżący zarzucił, że władze włoskie nie podjęły tymczasowych i pilnych środków w celu zapewnienia utrzymania więzi rodzinnej z jego pięcioletnią córką podczas jego </w:t>
      </w:r>
      <w:r w:rsidR="005B0892">
        <w:rPr>
          <w:rStyle w:val="Teksttreci"/>
          <w:color w:val="000000"/>
        </w:rPr>
        <w:t>uwięzienia</w:t>
      </w:r>
      <w:r>
        <w:rPr>
          <w:rStyle w:val="Teksttreci"/>
          <w:color w:val="000000"/>
        </w:rPr>
        <w:t>. We wrześniu 2020 r. skarżący poinformował Kancelarię Trybunału, że nie zamierza dłużej podtrzymywać swojej skargi, ponieważ rząd włoski przewidział pierwszą rozprawę w czerwcu 2020 r. w celu podjęcia pilnych środków tymczasowych w interesie dziecka.</w:t>
      </w:r>
    </w:p>
    <w:p w14:paraId="6CD4B8C3" w14:textId="6AB59A9C" w:rsidR="00A610A1" w:rsidRDefault="00704047">
      <w:pPr>
        <w:pStyle w:val="Teksttreci0"/>
        <w:spacing w:after="220"/>
        <w:jc w:val="both"/>
      </w:pPr>
      <w:r>
        <w:rPr>
          <w:rStyle w:val="Teksttreci"/>
        </w:rPr>
        <w:t xml:space="preserve">W świetle dostępnych informacji oraz wobec braku szczególnych okoliczności wpływających na przestrzeganie praw gwarantowanych przez Konwencję i </w:t>
      </w:r>
      <w:r w:rsidR="00B148C5">
        <w:rPr>
          <w:rStyle w:val="Teksttreci"/>
        </w:rPr>
        <w:t xml:space="preserve">jej </w:t>
      </w:r>
      <w:r>
        <w:rPr>
          <w:rStyle w:val="Teksttreci"/>
        </w:rPr>
        <w:t xml:space="preserve">Protokoły, Trybunał uznał, że nie ma już </w:t>
      </w:r>
      <w:r w:rsidR="00B148C5">
        <w:rPr>
          <w:rStyle w:val="Teksttreci"/>
        </w:rPr>
        <w:t xml:space="preserve">jakiegokolwiek </w:t>
      </w:r>
      <w:r>
        <w:rPr>
          <w:rStyle w:val="Teksttreci"/>
        </w:rPr>
        <w:t xml:space="preserve">uzasadnienia dla </w:t>
      </w:r>
      <w:r w:rsidR="00B148C5">
        <w:rPr>
          <w:rStyle w:val="Teksttreci"/>
        </w:rPr>
        <w:t>kontynuowania badania</w:t>
      </w:r>
      <w:r>
        <w:rPr>
          <w:rStyle w:val="Teksttreci"/>
        </w:rPr>
        <w:t xml:space="preserve"> skargi i postanowił </w:t>
      </w:r>
      <w:r>
        <w:rPr>
          <w:rStyle w:val="Teksttreci"/>
          <w:b/>
          <w:bCs/>
        </w:rPr>
        <w:t xml:space="preserve">skreślić </w:t>
      </w:r>
      <w:r>
        <w:rPr>
          <w:rStyle w:val="Teksttreci"/>
        </w:rPr>
        <w:t>ją ze swojej listy spraw.</w:t>
      </w:r>
    </w:p>
    <w:p w14:paraId="37C0EFDA" w14:textId="53F948D5" w:rsidR="00A610A1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15" w:name="bookmark27"/>
      <w:r>
        <w:rPr>
          <w:rStyle w:val="Nagwek2"/>
        </w:rPr>
        <w:lastRenderedPageBreak/>
        <w:t xml:space="preserve">Wolność myśli, sumienia i </w:t>
      </w:r>
      <w:bookmarkEnd w:id="15"/>
      <w:r w:rsidR="00B148C5">
        <w:rPr>
          <w:rStyle w:val="Nagwek2"/>
        </w:rPr>
        <w:t>wyznania</w:t>
      </w:r>
    </w:p>
    <w:p w14:paraId="7FBE3DF5" w14:textId="53B89FC4" w:rsidR="00A610A1" w:rsidRDefault="00704047">
      <w:pPr>
        <w:pStyle w:val="Nagwek30"/>
        <w:keepNext/>
        <w:keepLines/>
        <w:spacing w:after="100"/>
        <w:jc w:val="both"/>
      </w:pPr>
      <w:bookmarkStart w:id="16" w:name="bookmark29"/>
      <w:r>
        <w:rPr>
          <w:rStyle w:val="Nagwek3"/>
          <w:b/>
          <w:bCs/>
          <w:color w:val="5F5F5F"/>
          <w:u w:val="none"/>
        </w:rPr>
        <w:t xml:space="preserve">Skargi </w:t>
      </w:r>
      <w:bookmarkEnd w:id="16"/>
      <w:r w:rsidR="00B148C5">
        <w:rPr>
          <w:rStyle w:val="Nagwek3"/>
          <w:b/>
          <w:bCs/>
          <w:color w:val="5F5F5F"/>
          <w:u w:val="none"/>
        </w:rPr>
        <w:t>w toku</w:t>
      </w:r>
    </w:p>
    <w:p w14:paraId="405BCFF2" w14:textId="77777777" w:rsidR="00A610A1" w:rsidRDefault="00704047">
      <w:pPr>
        <w:pStyle w:val="Nagwek30"/>
        <w:keepNext/>
        <w:keepLines/>
        <w:jc w:val="both"/>
      </w:pPr>
      <w:proofErr w:type="spellStart"/>
      <w:r>
        <w:rPr>
          <w:rStyle w:val="Nagwek3"/>
          <w:b/>
          <w:bCs/>
        </w:rPr>
        <w:t>Spinu</w:t>
      </w:r>
      <w:proofErr w:type="spellEnd"/>
      <w:r>
        <w:rPr>
          <w:rStyle w:val="Nagwek3"/>
          <w:b/>
          <w:bCs/>
        </w:rPr>
        <w:t xml:space="preserve"> przeciwko Rumunii (nr 29443/20)</w:t>
      </w:r>
    </w:p>
    <w:p w14:paraId="1D455F24" w14:textId="2B7BE738" w:rsidR="00A610A1" w:rsidRDefault="001C694D">
      <w:pPr>
        <w:pStyle w:val="Teksttreci20"/>
        <w:jc w:val="both"/>
      </w:pPr>
      <w:r>
        <w:rPr>
          <w:rStyle w:val="Teksttreci2"/>
        </w:rPr>
        <w:t xml:space="preserve">Skarga </w:t>
      </w:r>
      <w:r w:rsidR="00704047">
        <w:rPr>
          <w:rStyle w:val="Teksttreci2"/>
        </w:rPr>
        <w:t>została zakomunikowana rządowi rumuńskiemu w dniu 1 października 2020 r.</w:t>
      </w:r>
    </w:p>
    <w:p w14:paraId="095FB4F5" w14:textId="187C1A01" w:rsidR="00A610A1" w:rsidRDefault="00704047">
      <w:pPr>
        <w:pStyle w:val="Teksttreci0"/>
        <w:jc w:val="both"/>
      </w:pPr>
      <w:r>
        <w:rPr>
          <w:rStyle w:val="Teksttreci"/>
          <w:color w:val="000000"/>
        </w:rPr>
        <w:t xml:space="preserve">Sprawa dotyczy odmowy przez władze rumuńskie </w:t>
      </w:r>
      <w:r w:rsidR="00CC1091">
        <w:rPr>
          <w:rStyle w:val="Teksttreci"/>
          <w:color w:val="000000"/>
        </w:rPr>
        <w:t>ze</w:t>
      </w:r>
      <w:r>
        <w:rPr>
          <w:rStyle w:val="Teksttreci"/>
          <w:color w:val="000000"/>
        </w:rPr>
        <w:t>zwolenia skarżącemu, więźniowi, członkowi Kościoła Adwentystów Dnia Siódmego, na udanie się do kościoła w Bukareszcie na nabożeństwa szabatowe. Sąd pierwszej instancji odrzucił jego wniosek</w:t>
      </w:r>
      <w:r w:rsidR="00CC1091">
        <w:rPr>
          <w:rStyle w:val="Teksttreci"/>
          <w:color w:val="000000"/>
        </w:rPr>
        <w:t xml:space="preserve"> na tej podstawie, że</w:t>
      </w:r>
      <w:r>
        <w:rPr>
          <w:rStyle w:val="Teksttreci"/>
          <w:color w:val="000000"/>
        </w:rPr>
        <w:t xml:space="preserve"> z powodu epidemii Covid-19 poza więzieniem można było wykonywać tylko absolutnie </w:t>
      </w:r>
      <w:r w:rsidR="00CC1091">
        <w:rPr>
          <w:rStyle w:val="Teksttreci"/>
          <w:color w:val="000000"/>
        </w:rPr>
        <w:t xml:space="preserve">konieczne </w:t>
      </w:r>
      <w:r>
        <w:rPr>
          <w:rStyle w:val="Teksttreci"/>
          <w:color w:val="000000"/>
        </w:rPr>
        <w:t xml:space="preserve">czynności, a </w:t>
      </w:r>
      <w:r w:rsidR="00CC1091">
        <w:rPr>
          <w:rStyle w:val="Teksttreci"/>
          <w:color w:val="000000"/>
        </w:rPr>
        <w:t xml:space="preserve">posługa </w:t>
      </w:r>
      <w:r>
        <w:rPr>
          <w:rStyle w:val="Teksttreci"/>
          <w:color w:val="000000"/>
        </w:rPr>
        <w:t xml:space="preserve">moralna i religijna dla więźniów została </w:t>
      </w:r>
      <w:r w:rsidR="00CC1091">
        <w:rPr>
          <w:rStyle w:val="Teksttreci"/>
          <w:color w:val="000000"/>
        </w:rPr>
        <w:t>wstrzymana</w:t>
      </w:r>
      <w:r>
        <w:rPr>
          <w:rStyle w:val="Teksttreci"/>
          <w:color w:val="000000"/>
        </w:rPr>
        <w:t xml:space="preserve">. </w:t>
      </w:r>
      <w:r>
        <w:rPr>
          <w:rStyle w:val="Teksttreci"/>
        </w:rPr>
        <w:t xml:space="preserve">Trybunał </w:t>
      </w:r>
      <w:r w:rsidR="00CC1091">
        <w:rPr>
          <w:rStyle w:val="Teksttreci"/>
        </w:rPr>
        <w:t>zakomunikował skargę</w:t>
      </w:r>
      <w:r>
        <w:rPr>
          <w:rStyle w:val="Teksttreci"/>
        </w:rPr>
        <w:t xml:space="preserve"> rząd</w:t>
      </w:r>
      <w:r w:rsidR="00CC1091">
        <w:rPr>
          <w:rStyle w:val="Teksttreci"/>
        </w:rPr>
        <w:t>owi</w:t>
      </w:r>
      <w:r>
        <w:rPr>
          <w:rStyle w:val="Teksttreci"/>
        </w:rPr>
        <w:t xml:space="preserve"> rumuński</w:t>
      </w:r>
      <w:r w:rsidR="00CC1091">
        <w:rPr>
          <w:rStyle w:val="Teksttreci"/>
        </w:rPr>
        <w:t>emu</w:t>
      </w:r>
      <w:r>
        <w:rPr>
          <w:rStyle w:val="Teksttreci"/>
        </w:rPr>
        <w:t xml:space="preserve"> i przedstawił stronom pytania na podstawie art. 9 (wolność religii) Konwencji.</w:t>
      </w:r>
    </w:p>
    <w:p w14:paraId="37ADDC6B" w14:textId="77777777" w:rsidR="00A610A1" w:rsidRPr="00E844FF" w:rsidRDefault="00704047">
      <w:pPr>
        <w:pStyle w:val="Nagwek30"/>
        <w:keepNext/>
        <w:keepLines/>
        <w:jc w:val="both"/>
        <w:rPr>
          <w:lang w:val="en-US"/>
        </w:rPr>
      </w:pPr>
      <w:bookmarkStart w:id="17" w:name="bookmark32"/>
      <w:r w:rsidRPr="00E844FF">
        <w:rPr>
          <w:rStyle w:val="Nagwek3"/>
          <w:b/>
          <w:bCs/>
          <w:lang w:val="en-US"/>
        </w:rPr>
        <w:t xml:space="preserve">Association of orthodox ecclesiastical obedience </w:t>
      </w:r>
      <w:proofErr w:type="spellStart"/>
      <w:r w:rsidRPr="00E844FF">
        <w:rPr>
          <w:rStyle w:val="Nagwek3"/>
          <w:b/>
          <w:bCs/>
          <w:lang w:val="en-US"/>
        </w:rPr>
        <w:t>przeciwko</w:t>
      </w:r>
      <w:proofErr w:type="spellEnd"/>
      <w:r w:rsidRPr="00E844FF">
        <w:rPr>
          <w:rStyle w:val="Nagwek3"/>
          <w:b/>
          <w:bCs/>
          <w:lang w:val="en-US"/>
        </w:rPr>
        <w:t xml:space="preserve"> </w:t>
      </w:r>
      <w:proofErr w:type="spellStart"/>
      <w:r w:rsidRPr="00E844FF">
        <w:rPr>
          <w:rStyle w:val="Nagwek3"/>
          <w:b/>
          <w:bCs/>
          <w:lang w:val="en-US"/>
        </w:rPr>
        <w:t>Grecji</w:t>
      </w:r>
      <w:proofErr w:type="spellEnd"/>
      <w:r w:rsidRPr="00E844FF">
        <w:rPr>
          <w:rStyle w:val="Nagwek3"/>
          <w:b/>
          <w:bCs/>
          <w:lang w:val="en-US"/>
        </w:rPr>
        <w:t xml:space="preserve"> (nr 52104/20)</w:t>
      </w:r>
      <w:bookmarkEnd w:id="17"/>
    </w:p>
    <w:p w14:paraId="23EDBE4E" w14:textId="6BFE5919" w:rsidR="00A610A1" w:rsidRDefault="001C694D">
      <w:pPr>
        <w:pStyle w:val="Teksttreci20"/>
        <w:jc w:val="both"/>
      </w:pPr>
      <w:r>
        <w:rPr>
          <w:rStyle w:val="Teksttreci2"/>
        </w:rPr>
        <w:t xml:space="preserve">Skarga </w:t>
      </w:r>
      <w:r w:rsidR="00704047">
        <w:rPr>
          <w:rStyle w:val="Teksttreci2"/>
        </w:rPr>
        <w:t>została zakomunikowana rządowi greckiemu w dniu 25 lutego 2021 r.</w:t>
      </w:r>
    </w:p>
    <w:p w14:paraId="72AA6A1C" w14:textId="77777777" w:rsidR="00A610A1" w:rsidRDefault="00704047">
      <w:pPr>
        <w:pStyle w:val="Teksttreci0"/>
        <w:spacing w:after="0"/>
        <w:jc w:val="both"/>
      </w:pPr>
      <w:bookmarkStart w:id="18" w:name="_Hlk76381105"/>
      <w:r>
        <w:rPr>
          <w:rStyle w:val="Teksttreci"/>
          <w:color w:val="000000"/>
        </w:rPr>
        <w:t xml:space="preserve">Sprawa </w:t>
      </w:r>
      <w:bookmarkEnd w:id="18"/>
      <w:r>
        <w:rPr>
          <w:rStyle w:val="Teksttreci"/>
          <w:color w:val="000000"/>
        </w:rPr>
        <w:t>ta dotyczy zakazu kultu zbiorowego w związku z COVID-19.</w:t>
      </w:r>
    </w:p>
    <w:p w14:paraId="0EB5A1B8" w14:textId="65940A67" w:rsidR="00A610A1" w:rsidRDefault="00704047">
      <w:pPr>
        <w:pStyle w:val="Teksttreci0"/>
        <w:spacing w:after="220"/>
        <w:jc w:val="both"/>
        <w:rPr>
          <w:rStyle w:val="Teksttreci"/>
        </w:rPr>
      </w:pPr>
      <w:bookmarkStart w:id="19" w:name="_Hlk76381288"/>
      <w:r>
        <w:rPr>
          <w:rStyle w:val="Teksttreci"/>
        </w:rPr>
        <w:t xml:space="preserve">Trybunał </w:t>
      </w:r>
      <w:bookmarkEnd w:id="19"/>
      <w:r w:rsidR="001C694D">
        <w:rPr>
          <w:rStyle w:val="Teksttreci"/>
        </w:rPr>
        <w:t>zakomunikował skargę</w:t>
      </w:r>
      <w:r>
        <w:rPr>
          <w:rStyle w:val="Teksttreci"/>
        </w:rPr>
        <w:t xml:space="preserve"> rząd</w:t>
      </w:r>
      <w:r w:rsidR="001C694D">
        <w:rPr>
          <w:rStyle w:val="Teksttreci"/>
        </w:rPr>
        <w:t>owi</w:t>
      </w:r>
      <w:r>
        <w:rPr>
          <w:rStyle w:val="Teksttreci"/>
        </w:rPr>
        <w:t xml:space="preserve"> grecki</w:t>
      </w:r>
      <w:r w:rsidR="001C694D">
        <w:rPr>
          <w:rStyle w:val="Teksttreci"/>
        </w:rPr>
        <w:t>emu</w:t>
      </w:r>
      <w:r>
        <w:rPr>
          <w:rStyle w:val="Teksttreci"/>
        </w:rPr>
        <w:t xml:space="preserve"> i przedstawił stronom pytania na podstawie art. 6 (prawo do rzetelnego procesu sądowego) i art. 9 (wolność religii) Konwencji.</w:t>
      </w:r>
    </w:p>
    <w:p w14:paraId="7F9C0E0B" w14:textId="368DB4EF" w:rsidR="001C694D" w:rsidRDefault="001C694D" w:rsidP="00692D31">
      <w:pPr>
        <w:pStyle w:val="Teksttreci0"/>
        <w:spacing w:after="0"/>
        <w:jc w:val="both"/>
        <w:rPr>
          <w:rStyle w:val="Nagwek3"/>
          <w:lang w:val="en-US"/>
        </w:rPr>
      </w:pPr>
      <w:proofErr w:type="spellStart"/>
      <w:r>
        <w:rPr>
          <w:rStyle w:val="Nagwek3"/>
          <w:lang w:val="en-US"/>
        </w:rPr>
        <w:t>Magdić</w:t>
      </w:r>
      <w:proofErr w:type="spellEnd"/>
      <w:r>
        <w:rPr>
          <w:rStyle w:val="Nagwek3"/>
          <w:lang w:val="en-US"/>
        </w:rPr>
        <w:t xml:space="preserve"> </w:t>
      </w:r>
      <w:proofErr w:type="spellStart"/>
      <w:r>
        <w:rPr>
          <w:rStyle w:val="Nagwek3"/>
          <w:lang w:val="en-US"/>
        </w:rPr>
        <w:t>przeciwko</w:t>
      </w:r>
      <w:proofErr w:type="spellEnd"/>
      <w:r>
        <w:rPr>
          <w:rStyle w:val="Nagwek3"/>
          <w:lang w:val="en-US"/>
        </w:rPr>
        <w:t xml:space="preserve"> </w:t>
      </w:r>
      <w:proofErr w:type="spellStart"/>
      <w:r>
        <w:rPr>
          <w:rStyle w:val="Nagwek3"/>
          <w:lang w:val="en-US"/>
        </w:rPr>
        <w:t>Chorwacji</w:t>
      </w:r>
      <w:proofErr w:type="spellEnd"/>
      <w:r>
        <w:rPr>
          <w:rStyle w:val="Nagwek3"/>
          <w:lang w:val="en-US"/>
        </w:rPr>
        <w:t xml:space="preserve"> (nr 17578/20)</w:t>
      </w:r>
    </w:p>
    <w:p w14:paraId="756310AF" w14:textId="0F7FB807" w:rsidR="001C694D" w:rsidRDefault="001C694D" w:rsidP="00692D31">
      <w:pPr>
        <w:pStyle w:val="Teksttreci0"/>
        <w:spacing w:after="0"/>
        <w:jc w:val="both"/>
        <w:rPr>
          <w:rStyle w:val="Teksttreci2"/>
        </w:rPr>
      </w:pPr>
      <w:r>
        <w:rPr>
          <w:rStyle w:val="Teksttreci2"/>
        </w:rPr>
        <w:t>Skarga została zakomunikowana rządowi chorwackiemu w dniu 31 maja 2021 r.</w:t>
      </w:r>
    </w:p>
    <w:p w14:paraId="31C38F54" w14:textId="31C0AB88" w:rsidR="001C694D" w:rsidRDefault="001C694D" w:rsidP="00692D31">
      <w:pPr>
        <w:pStyle w:val="Teksttreci0"/>
        <w:spacing w:after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Sprawa ta dotyczy środków wprowadzonych przez władze chorwackie w związku z </w:t>
      </w:r>
      <w:r w:rsidR="002E4025">
        <w:rPr>
          <w:rStyle w:val="Teksttreci"/>
          <w:color w:val="000000"/>
        </w:rPr>
        <w:t xml:space="preserve">zapobieganiem rozprzestrzeniania się wirusa </w:t>
      </w:r>
      <w:proofErr w:type="spellStart"/>
      <w:r w:rsidR="002E4025">
        <w:rPr>
          <w:rStyle w:val="Teksttreci"/>
          <w:color w:val="000000"/>
        </w:rPr>
        <w:t>Covid</w:t>
      </w:r>
      <w:proofErr w:type="spellEnd"/>
      <w:r w:rsidR="002E4025">
        <w:rPr>
          <w:rStyle w:val="Teksttreci"/>
          <w:color w:val="000000"/>
        </w:rPr>
        <w:t>–19. Skarżący zarzuca, że przedmiotowe środki naruszyły jego prawo do wolności wyznania, wolności stowarzyszania się i wolności przemieszczania się.</w:t>
      </w:r>
    </w:p>
    <w:p w14:paraId="47814BDC" w14:textId="05292BA9" w:rsidR="002E4025" w:rsidRDefault="002E4025" w:rsidP="002E4025">
      <w:pPr>
        <w:pStyle w:val="Teksttreci0"/>
        <w:spacing w:after="0"/>
        <w:jc w:val="both"/>
        <w:rPr>
          <w:rStyle w:val="Teksttreci"/>
        </w:rPr>
      </w:pPr>
      <w:r>
        <w:rPr>
          <w:rStyle w:val="Teksttreci"/>
        </w:rPr>
        <w:t>Trybunał zakomunikował sprawę rządowi chorwackiemu i przedstawił stronom pytania na podstawie art. 9 (wolność wyznania) i art. 11 (wolność przemieszczania się) Protokołu nr 4 do Konwencji.</w:t>
      </w:r>
    </w:p>
    <w:p w14:paraId="177C92FE" w14:textId="77777777" w:rsidR="002E4025" w:rsidRDefault="002E4025" w:rsidP="00692D31">
      <w:pPr>
        <w:pStyle w:val="Teksttreci0"/>
        <w:spacing w:after="0"/>
        <w:jc w:val="both"/>
      </w:pPr>
    </w:p>
    <w:p w14:paraId="6909D8E6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20" w:name="bookmark34"/>
      <w:r>
        <w:rPr>
          <w:rStyle w:val="Nagwek2"/>
        </w:rPr>
        <w:t>Wolność wypowiedzi</w:t>
      </w:r>
      <w:bookmarkEnd w:id="20"/>
    </w:p>
    <w:p w14:paraId="39D2CD37" w14:textId="21B21595" w:rsidR="00A610A1" w:rsidRDefault="00704047">
      <w:pPr>
        <w:pStyle w:val="Nagwek30"/>
        <w:keepNext/>
        <w:keepLines/>
        <w:spacing w:after="100"/>
        <w:jc w:val="both"/>
      </w:pPr>
      <w:bookmarkStart w:id="21" w:name="bookmark36"/>
      <w:r>
        <w:rPr>
          <w:rStyle w:val="Nagwek3"/>
          <w:b/>
          <w:bCs/>
          <w:color w:val="5F5F5F"/>
          <w:u w:val="none"/>
        </w:rPr>
        <w:t>Skarga</w:t>
      </w:r>
      <w:r w:rsidR="002E4025">
        <w:rPr>
          <w:rStyle w:val="Nagwek3"/>
          <w:b/>
          <w:bCs/>
          <w:color w:val="5F5F5F"/>
          <w:u w:val="none"/>
        </w:rPr>
        <w:t xml:space="preserve"> w toku</w:t>
      </w:r>
      <w:bookmarkEnd w:id="21"/>
    </w:p>
    <w:p w14:paraId="671792C4" w14:textId="77777777" w:rsidR="00A610A1" w:rsidRDefault="00704047">
      <w:pPr>
        <w:pStyle w:val="Nagwek30"/>
        <w:keepNext/>
        <w:keepLines/>
        <w:jc w:val="both"/>
      </w:pPr>
      <w:proofErr w:type="spellStart"/>
      <w:r>
        <w:rPr>
          <w:rStyle w:val="Nagwek3"/>
          <w:b/>
          <w:bCs/>
        </w:rPr>
        <w:t>Avagyan</w:t>
      </w:r>
      <w:proofErr w:type="spellEnd"/>
      <w:r>
        <w:rPr>
          <w:rStyle w:val="Nagwek3"/>
          <w:b/>
          <w:bCs/>
        </w:rPr>
        <w:t xml:space="preserve"> przeciwko Rosji (nr 36911/20)</w:t>
      </w:r>
    </w:p>
    <w:p w14:paraId="0E66569A" w14:textId="3C7E9439" w:rsidR="00A610A1" w:rsidRDefault="005831A5">
      <w:pPr>
        <w:pStyle w:val="Teksttreci20"/>
        <w:jc w:val="both"/>
      </w:pPr>
      <w:r>
        <w:rPr>
          <w:rStyle w:val="Teksttreci2"/>
        </w:rPr>
        <w:t xml:space="preserve">Skarga </w:t>
      </w:r>
      <w:r w:rsidR="00704047">
        <w:rPr>
          <w:rStyle w:val="Teksttreci2"/>
        </w:rPr>
        <w:t>została zakomunikowana rządowi rosyjskiemu w dniu 4 listopada 2020 r.</w:t>
      </w:r>
    </w:p>
    <w:p w14:paraId="07150CEB" w14:textId="259C0DEC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 xml:space="preserve">W maju 2020 r. skarżąca zamieściła komentarz online na </w:t>
      </w:r>
      <w:r>
        <w:rPr>
          <w:rStyle w:val="Teksttreci"/>
          <w:i/>
          <w:iCs/>
          <w:color w:val="000000"/>
        </w:rPr>
        <w:t>Instagramie</w:t>
      </w:r>
      <w:r>
        <w:rPr>
          <w:rStyle w:val="Teksttreci"/>
          <w:color w:val="000000"/>
        </w:rPr>
        <w:t>, zarzucając między innymi, że w Kraju Krasnodarskim w Rosji nie było żadnych faktycznych przypadków COVID-19. Następnie została skazana za rozpowszechnianie nieprawdziwych informacji w Internecie i ukarana grzywną w wysokości 30.000 rubli rosyjskich (około 390 euro), któr</w:t>
      </w:r>
      <w:r w:rsidR="005831A5">
        <w:rPr>
          <w:rStyle w:val="Teksttreci"/>
          <w:color w:val="000000"/>
        </w:rPr>
        <w:t>e to orzeczenie</w:t>
      </w:r>
      <w:r>
        <w:rPr>
          <w:rStyle w:val="Teksttreci"/>
          <w:color w:val="000000"/>
        </w:rPr>
        <w:t xml:space="preserve"> bezskutecznie zaskarżyła.</w:t>
      </w:r>
    </w:p>
    <w:p w14:paraId="4D9D44F9" w14:textId="12A857D2" w:rsidR="00A610A1" w:rsidRDefault="00704047">
      <w:pPr>
        <w:pStyle w:val="Teksttreci0"/>
        <w:spacing w:after="220"/>
        <w:jc w:val="both"/>
      </w:pPr>
      <w:r>
        <w:rPr>
          <w:rStyle w:val="Teksttreci"/>
        </w:rPr>
        <w:t xml:space="preserve">Trybunał </w:t>
      </w:r>
      <w:r w:rsidR="005831A5">
        <w:rPr>
          <w:rStyle w:val="Teksttreci"/>
        </w:rPr>
        <w:t xml:space="preserve">zakomunikował skargę </w:t>
      </w:r>
      <w:r>
        <w:rPr>
          <w:rStyle w:val="Teksttreci"/>
        </w:rPr>
        <w:t>rząd</w:t>
      </w:r>
      <w:r w:rsidR="005831A5">
        <w:rPr>
          <w:rStyle w:val="Teksttreci"/>
        </w:rPr>
        <w:t>owi</w:t>
      </w:r>
      <w:r>
        <w:rPr>
          <w:rStyle w:val="Teksttreci"/>
        </w:rPr>
        <w:t xml:space="preserve"> rosyjski</w:t>
      </w:r>
      <w:r w:rsidR="005831A5">
        <w:rPr>
          <w:rStyle w:val="Teksttreci"/>
        </w:rPr>
        <w:t>emu</w:t>
      </w:r>
      <w:r>
        <w:rPr>
          <w:rStyle w:val="Teksttreci"/>
        </w:rPr>
        <w:t xml:space="preserve"> i przedstawił stronom pytania na podstawie art. 6 ust. 1 (prawo do rzetelnego procesu sądowego) i art. 10 (wolność wypowiedzi) Konwencji.</w:t>
      </w:r>
    </w:p>
    <w:p w14:paraId="256BE7BD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</w:pPr>
      <w:bookmarkStart w:id="22" w:name="bookmark39"/>
      <w:r>
        <w:rPr>
          <w:rStyle w:val="Nagwek2"/>
        </w:rPr>
        <w:t>Wolność zrzeszania się i zgromadzeń</w:t>
      </w:r>
      <w:bookmarkEnd w:id="22"/>
    </w:p>
    <w:p w14:paraId="37A60AFD" w14:textId="5F3DCFC1" w:rsidR="00A610A1" w:rsidRDefault="00704047">
      <w:pPr>
        <w:pStyle w:val="Teksttreci0"/>
        <w:jc w:val="both"/>
      </w:pPr>
      <w:r>
        <w:rPr>
          <w:rStyle w:val="Teksttreci"/>
          <w:b/>
          <w:bCs/>
          <w:color w:val="5F5F5F"/>
        </w:rPr>
        <w:t xml:space="preserve">Skarga </w:t>
      </w:r>
      <w:r w:rsidR="005831A5">
        <w:rPr>
          <w:rStyle w:val="Teksttreci"/>
          <w:b/>
          <w:bCs/>
          <w:color w:val="5F5F5F"/>
        </w:rPr>
        <w:t>w toku</w:t>
      </w:r>
    </w:p>
    <w:p w14:paraId="780050C4" w14:textId="006F5541" w:rsidR="00A610A1" w:rsidRPr="00E844FF" w:rsidRDefault="00704047">
      <w:pPr>
        <w:pStyle w:val="Nagwek30"/>
        <w:keepNext/>
        <w:keepLines/>
        <w:jc w:val="both"/>
        <w:rPr>
          <w:lang w:val="fr-FR"/>
        </w:rPr>
      </w:pPr>
      <w:bookmarkStart w:id="23" w:name="bookmark41"/>
      <w:r w:rsidRPr="00E844FF">
        <w:rPr>
          <w:rStyle w:val="Nagwek3"/>
          <w:b/>
          <w:bCs/>
          <w:lang w:val="fr-FR"/>
        </w:rPr>
        <w:t>Communaute genevoise d'action syndicale (CGAS) przeciwko Szwajcarii (nr</w:t>
      </w:r>
      <w:r w:rsidR="000375EE">
        <w:rPr>
          <w:rStyle w:val="Nagwek3"/>
          <w:b/>
          <w:bCs/>
          <w:lang w:val="fr-FR"/>
        </w:rPr>
        <w:t> </w:t>
      </w:r>
      <w:r w:rsidRPr="00E844FF">
        <w:rPr>
          <w:rStyle w:val="Nagwek3"/>
          <w:b/>
          <w:bCs/>
          <w:lang w:val="fr-FR"/>
        </w:rPr>
        <w:t xml:space="preserve"> 21881/20)</w:t>
      </w:r>
      <w:bookmarkEnd w:id="23"/>
    </w:p>
    <w:p w14:paraId="3F276CA2" w14:textId="61580F5B" w:rsidR="00A610A1" w:rsidRDefault="005831A5">
      <w:pPr>
        <w:pStyle w:val="Teksttreci20"/>
        <w:jc w:val="both"/>
      </w:pPr>
      <w:r>
        <w:rPr>
          <w:rStyle w:val="Teksttreci2"/>
        </w:rPr>
        <w:t xml:space="preserve">Skarga </w:t>
      </w:r>
      <w:r w:rsidR="00704047">
        <w:rPr>
          <w:rStyle w:val="Teksttreci2"/>
        </w:rPr>
        <w:t>została zakomunikowana rządowi szwajcarskiemu w dniu 11 września 2020 r.</w:t>
      </w:r>
    </w:p>
    <w:p w14:paraId="667F5F63" w14:textId="0A51F3A6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>Sprawa ta dotyczy zakazu demonstracji w związku z pandemią Covid-19.</w:t>
      </w:r>
    </w:p>
    <w:p w14:paraId="3F7B3F51" w14:textId="72A164FD" w:rsidR="00A610A1" w:rsidRDefault="00704047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 xml:space="preserve">Trybunał </w:t>
      </w:r>
      <w:r w:rsidR="005831A5">
        <w:rPr>
          <w:rStyle w:val="Teksttreci"/>
        </w:rPr>
        <w:t>zakomunikował skargę</w:t>
      </w:r>
      <w:r>
        <w:rPr>
          <w:rStyle w:val="Teksttreci"/>
        </w:rPr>
        <w:t xml:space="preserve"> rząd</w:t>
      </w:r>
      <w:r w:rsidR="005831A5">
        <w:rPr>
          <w:rStyle w:val="Teksttreci"/>
        </w:rPr>
        <w:t>owi</w:t>
      </w:r>
      <w:r>
        <w:rPr>
          <w:rStyle w:val="Teksttreci"/>
        </w:rPr>
        <w:t xml:space="preserve"> szwajcarski</w:t>
      </w:r>
      <w:r w:rsidR="005831A5">
        <w:rPr>
          <w:rStyle w:val="Teksttreci"/>
        </w:rPr>
        <w:t>emu</w:t>
      </w:r>
      <w:r>
        <w:rPr>
          <w:rStyle w:val="Teksttreci"/>
        </w:rPr>
        <w:t xml:space="preserve"> i przedstawił stronom pytania na podstawie art. 11 (wolność zgromadzeń) Konwencji, wraz z pytaniami wstępnymi dotyczącymi statusu ofiary i wyczerpania krajowych środków odwoławczych.</w:t>
      </w:r>
    </w:p>
    <w:p w14:paraId="7E6C97E8" w14:textId="77777777" w:rsidR="005831A5" w:rsidRDefault="005831A5" w:rsidP="005831A5">
      <w:pPr>
        <w:pStyle w:val="Teksttreci0"/>
        <w:spacing w:after="0"/>
        <w:jc w:val="both"/>
        <w:rPr>
          <w:rStyle w:val="Nagwek3"/>
          <w:lang w:val="en-US"/>
        </w:rPr>
      </w:pPr>
      <w:proofErr w:type="spellStart"/>
      <w:r>
        <w:rPr>
          <w:rStyle w:val="Nagwek3"/>
          <w:lang w:val="en-US"/>
        </w:rPr>
        <w:lastRenderedPageBreak/>
        <w:t>Magdić</w:t>
      </w:r>
      <w:proofErr w:type="spellEnd"/>
      <w:r>
        <w:rPr>
          <w:rStyle w:val="Nagwek3"/>
          <w:lang w:val="en-US"/>
        </w:rPr>
        <w:t xml:space="preserve"> </w:t>
      </w:r>
      <w:proofErr w:type="spellStart"/>
      <w:r>
        <w:rPr>
          <w:rStyle w:val="Nagwek3"/>
          <w:lang w:val="en-US"/>
        </w:rPr>
        <w:t>przeciwko</w:t>
      </w:r>
      <w:proofErr w:type="spellEnd"/>
      <w:r>
        <w:rPr>
          <w:rStyle w:val="Nagwek3"/>
          <w:lang w:val="en-US"/>
        </w:rPr>
        <w:t xml:space="preserve"> </w:t>
      </w:r>
      <w:proofErr w:type="spellStart"/>
      <w:r>
        <w:rPr>
          <w:rStyle w:val="Nagwek3"/>
          <w:lang w:val="en-US"/>
        </w:rPr>
        <w:t>Chorwacji</w:t>
      </w:r>
      <w:proofErr w:type="spellEnd"/>
      <w:r>
        <w:rPr>
          <w:rStyle w:val="Nagwek3"/>
          <w:lang w:val="en-US"/>
        </w:rPr>
        <w:t xml:space="preserve"> (nr 17578/20)</w:t>
      </w:r>
    </w:p>
    <w:p w14:paraId="270C9B24" w14:textId="3E0F3372" w:rsidR="005831A5" w:rsidRDefault="005831A5" w:rsidP="005831A5">
      <w:pPr>
        <w:pStyle w:val="Teksttreci0"/>
        <w:spacing w:after="0"/>
        <w:jc w:val="both"/>
        <w:rPr>
          <w:rStyle w:val="Teksttreci2"/>
        </w:rPr>
      </w:pPr>
      <w:r>
        <w:rPr>
          <w:rStyle w:val="Teksttreci2"/>
        </w:rPr>
        <w:t>Skarga została zakomunikowana rządowi chorwackiemu w dniu 31 maja 2021 r.</w:t>
      </w:r>
    </w:p>
    <w:p w14:paraId="26E370D6" w14:textId="0BFC04A8" w:rsidR="005831A5" w:rsidRDefault="005831A5">
      <w:pPr>
        <w:pStyle w:val="Teksttreci0"/>
        <w:spacing w:after="220"/>
        <w:jc w:val="both"/>
      </w:pPr>
      <w:r>
        <w:rPr>
          <w:rStyle w:val="Teksttreci"/>
          <w:color w:val="000000"/>
        </w:rPr>
        <w:t>Zobacz powyżej,</w:t>
      </w:r>
      <w:r w:rsidR="00916625">
        <w:rPr>
          <w:rStyle w:val="Teksttreci"/>
          <w:color w:val="000000"/>
        </w:rPr>
        <w:t xml:space="preserve"> pod ”Wolność wyznania”.</w:t>
      </w:r>
    </w:p>
    <w:p w14:paraId="7638E4E8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  <w:jc w:val="both"/>
      </w:pPr>
      <w:bookmarkStart w:id="24" w:name="bookmark43"/>
      <w:r>
        <w:rPr>
          <w:rStyle w:val="Nagwek2"/>
        </w:rPr>
        <w:t>Ochrona własności</w:t>
      </w:r>
      <w:bookmarkEnd w:id="24"/>
    </w:p>
    <w:p w14:paraId="7FB29A5A" w14:textId="34AC453B" w:rsidR="00A610A1" w:rsidRDefault="00704047">
      <w:pPr>
        <w:pStyle w:val="Teksttreci0"/>
        <w:jc w:val="both"/>
      </w:pPr>
      <w:r>
        <w:rPr>
          <w:rStyle w:val="Teksttreci"/>
          <w:b/>
          <w:bCs/>
          <w:color w:val="5F5F5F"/>
        </w:rPr>
        <w:t xml:space="preserve">Skargi </w:t>
      </w:r>
      <w:r w:rsidR="00916625">
        <w:rPr>
          <w:rStyle w:val="Teksttreci"/>
          <w:b/>
          <w:bCs/>
          <w:color w:val="5F5F5F"/>
        </w:rPr>
        <w:t>w toku</w:t>
      </w:r>
    </w:p>
    <w:p w14:paraId="01D87B7D" w14:textId="4FE8C412" w:rsidR="00A610A1" w:rsidRDefault="00704047">
      <w:pPr>
        <w:pStyle w:val="Nagwek30"/>
        <w:keepNext/>
        <w:keepLines/>
        <w:spacing w:line="233" w:lineRule="auto"/>
        <w:jc w:val="both"/>
      </w:pPr>
      <w:bookmarkStart w:id="25" w:name="bookmark45"/>
      <w:proofErr w:type="spellStart"/>
      <w:r>
        <w:rPr>
          <w:rStyle w:val="Nagwek3"/>
          <w:b/>
          <w:bCs/>
        </w:rPr>
        <w:t>Toromag</w:t>
      </w:r>
      <w:proofErr w:type="spellEnd"/>
      <w:r>
        <w:rPr>
          <w:rStyle w:val="Nagwek3"/>
          <w:b/>
          <w:bCs/>
        </w:rPr>
        <w:t xml:space="preserve">, </w:t>
      </w:r>
      <w:proofErr w:type="spellStart"/>
      <w:r>
        <w:rPr>
          <w:rStyle w:val="Nagwek3"/>
          <w:b/>
          <w:bCs/>
        </w:rPr>
        <w:t>s.r.o</w:t>
      </w:r>
      <w:proofErr w:type="spellEnd"/>
      <w:r>
        <w:rPr>
          <w:rStyle w:val="Nagwek3"/>
          <w:b/>
          <w:bCs/>
        </w:rPr>
        <w:t xml:space="preserve">. przeciwko Słowacji i cztery inne skargi (nr 41217/20, 41253/20, 41263/20, 41271/20 </w:t>
      </w:r>
      <w:r w:rsidR="00916625">
        <w:rPr>
          <w:rStyle w:val="Nagwek3"/>
          <w:b/>
          <w:bCs/>
        </w:rPr>
        <w:t xml:space="preserve">i </w:t>
      </w:r>
      <w:r>
        <w:rPr>
          <w:rStyle w:val="Nagwek3"/>
          <w:b/>
          <w:bCs/>
        </w:rPr>
        <w:t>49716/20)</w:t>
      </w:r>
      <w:bookmarkEnd w:id="25"/>
    </w:p>
    <w:p w14:paraId="69062993" w14:textId="6AB945EA" w:rsidR="00A610A1" w:rsidRDefault="00916625">
      <w:pPr>
        <w:pStyle w:val="Teksttreci20"/>
        <w:jc w:val="both"/>
      </w:pPr>
      <w:r>
        <w:rPr>
          <w:rStyle w:val="Teksttreci2"/>
        </w:rPr>
        <w:t xml:space="preserve">Skarga </w:t>
      </w:r>
      <w:r w:rsidR="00704047">
        <w:rPr>
          <w:rStyle w:val="Teksttreci2"/>
        </w:rPr>
        <w:t>została zakomunikowana rządowi słowackiemu w dniu 5 grudnia 2020 r.</w:t>
      </w:r>
    </w:p>
    <w:p w14:paraId="2C75CAF7" w14:textId="60BC025D" w:rsidR="00A610A1" w:rsidRDefault="00704047">
      <w:pPr>
        <w:pStyle w:val="Teksttreci0"/>
        <w:spacing w:after="0"/>
        <w:jc w:val="both"/>
      </w:pPr>
      <w:r>
        <w:rPr>
          <w:rStyle w:val="Teksttreci"/>
          <w:color w:val="000000"/>
        </w:rPr>
        <w:t>Skarżący są właścicielami klubów fitness, które zostały zamknięte</w:t>
      </w:r>
      <w:r w:rsidR="00916625">
        <w:rPr>
          <w:rStyle w:val="Teksttreci"/>
          <w:color w:val="000000"/>
        </w:rPr>
        <w:t xml:space="preserve"> na mocy</w:t>
      </w:r>
      <w:r>
        <w:rPr>
          <w:rStyle w:val="Teksttreci"/>
          <w:color w:val="000000"/>
        </w:rPr>
        <w:t xml:space="preserve"> środków podjętych przez Urząd Zdrowia Publicznego Republiki Słowackiej od marca do czerwca 2020 r. w ramach zapobiegania rozprzestrzenianiu się wirusa Covid-19. Skarżą się oni w</w:t>
      </w:r>
      <w:r w:rsidR="000375EE">
        <w:rPr>
          <w:rStyle w:val="Teksttreci"/>
          <w:color w:val="000000"/>
        </w:rPr>
        <w:t> </w:t>
      </w:r>
      <w:r>
        <w:rPr>
          <w:rStyle w:val="Teksttreci"/>
          <w:color w:val="000000"/>
        </w:rPr>
        <w:t>szczególności na rzekomo poniesioną szkodę majątkową oraz utratę przyszłych dochodów, jak również klientów.</w:t>
      </w:r>
    </w:p>
    <w:p w14:paraId="3DF8390D" w14:textId="30317BBE" w:rsidR="00A610A1" w:rsidRDefault="00704047">
      <w:pPr>
        <w:pStyle w:val="Teksttreci0"/>
        <w:jc w:val="both"/>
        <w:rPr>
          <w:rStyle w:val="Teksttreci"/>
        </w:rPr>
      </w:pPr>
      <w:r>
        <w:rPr>
          <w:rStyle w:val="Teksttreci"/>
        </w:rPr>
        <w:t xml:space="preserve">Trybunał </w:t>
      </w:r>
      <w:r w:rsidR="00916625">
        <w:rPr>
          <w:rStyle w:val="Teksttreci"/>
        </w:rPr>
        <w:t>zakomunikował skargę</w:t>
      </w:r>
      <w:r>
        <w:rPr>
          <w:rStyle w:val="Teksttreci"/>
        </w:rPr>
        <w:t xml:space="preserve"> rząd</w:t>
      </w:r>
      <w:r w:rsidR="00916625">
        <w:rPr>
          <w:rStyle w:val="Teksttreci"/>
        </w:rPr>
        <w:t>owi</w:t>
      </w:r>
      <w:r>
        <w:rPr>
          <w:rStyle w:val="Teksttreci"/>
        </w:rPr>
        <w:t xml:space="preserve"> słowacki</w:t>
      </w:r>
      <w:r w:rsidR="00916625">
        <w:rPr>
          <w:rStyle w:val="Teksttreci"/>
        </w:rPr>
        <w:t>emu</w:t>
      </w:r>
      <w:r>
        <w:rPr>
          <w:rStyle w:val="Teksttreci"/>
        </w:rPr>
        <w:t xml:space="preserve"> i przedstawił stronom pytania na podstawie art. 1 (ochrona własności) Protokołu Nr 1 do Konwencji, wraz z pytaniami wstępnymi dotyczącymi wyczerpania krajowych środków odwoławczych.</w:t>
      </w:r>
    </w:p>
    <w:p w14:paraId="3FA1D2A8" w14:textId="77777777" w:rsidR="00916625" w:rsidRDefault="00916625">
      <w:pPr>
        <w:pStyle w:val="Teksttreci0"/>
        <w:jc w:val="both"/>
        <w:rPr>
          <w:rStyle w:val="Teksttreci"/>
        </w:rPr>
      </w:pPr>
    </w:p>
    <w:p w14:paraId="48C5F9ED" w14:textId="597953F9" w:rsidR="00916625" w:rsidRDefault="00916625" w:rsidP="00916625">
      <w:pPr>
        <w:pStyle w:val="Nagwek20"/>
        <w:keepNext/>
        <w:keepLines/>
        <w:pBdr>
          <w:bottom w:val="single" w:sz="4" w:space="0" w:color="auto"/>
        </w:pBdr>
        <w:jc w:val="both"/>
      </w:pPr>
      <w:r>
        <w:rPr>
          <w:rStyle w:val="Nagwek2"/>
        </w:rPr>
        <w:t>Wolność przemieszczania się</w:t>
      </w:r>
    </w:p>
    <w:p w14:paraId="48D2B6A6" w14:textId="77777777" w:rsidR="00481821" w:rsidRDefault="00481821" w:rsidP="00481821">
      <w:pPr>
        <w:pStyle w:val="Teksttreci0"/>
        <w:jc w:val="both"/>
      </w:pPr>
      <w:r>
        <w:rPr>
          <w:rStyle w:val="Teksttreci"/>
          <w:b/>
          <w:bCs/>
          <w:color w:val="5F5F5F"/>
        </w:rPr>
        <w:t>Skargi w toku</w:t>
      </w:r>
    </w:p>
    <w:p w14:paraId="64002AE7" w14:textId="77777777" w:rsidR="00481821" w:rsidRDefault="00481821" w:rsidP="00481821">
      <w:pPr>
        <w:pStyle w:val="Teksttreci0"/>
        <w:spacing w:after="0"/>
        <w:jc w:val="both"/>
        <w:rPr>
          <w:rStyle w:val="Nagwek3"/>
          <w:lang w:val="en-US"/>
        </w:rPr>
      </w:pPr>
      <w:proofErr w:type="spellStart"/>
      <w:r>
        <w:rPr>
          <w:rStyle w:val="Nagwek3"/>
          <w:lang w:val="en-US"/>
        </w:rPr>
        <w:t>Magdić</w:t>
      </w:r>
      <w:proofErr w:type="spellEnd"/>
      <w:r>
        <w:rPr>
          <w:rStyle w:val="Nagwek3"/>
          <w:lang w:val="en-US"/>
        </w:rPr>
        <w:t xml:space="preserve"> </w:t>
      </w:r>
      <w:proofErr w:type="spellStart"/>
      <w:r>
        <w:rPr>
          <w:rStyle w:val="Nagwek3"/>
          <w:lang w:val="en-US"/>
        </w:rPr>
        <w:t>przeciwko</w:t>
      </w:r>
      <w:proofErr w:type="spellEnd"/>
      <w:r>
        <w:rPr>
          <w:rStyle w:val="Nagwek3"/>
          <w:lang w:val="en-US"/>
        </w:rPr>
        <w:t xml:space="preserve"> </w:t>
      </w:r>
      <w:proofErr w:type="spellStart"/>
      <w:r>
        <w:rPr>
          <w:rStyle w:val="Nagwek3"/>
          <w:lang w:val="en-US"/>
        </w:rPr>
        <w:t>Chorwacji</w:t>
      </w:r>
      <w:proofErr w:type="spellEnd"/>
      <w:r>
        <w:rPr>
          <w:rStyle w:val="Nagwek3"/>
          <w:lang w:val="en-US"/>
        </w:rPr>
        <w:t xml:space="preserve"> (nr 17578/20)</w:t>
      </w:r>
    </w:p>
    <w:p w14:paraId="757AC452" w14:textId="77777777" w:rsidR="00481821" w:rsidRDefault="00481821" w:rsidP="00481821">
      <w:pPr>
        <w:pStyle w:val="Teksttreci0"/>
        <w:spacing w:after="0"/>
        <w:jc w:val="both"/>
        <w:rPr>
          <w:rStyle w:val="Teksttreci2"/>
        </w:rPr>
      </w:pPr>
      <w:r>
        <w:rPr>
          <w:rStyle w:val="Teksttreci2"/>
        </w:rPr>
        <w:t>Skarga została zakomunikowana rządowi chorwackiemu w dniu 31 maja 2021 r.</w:t>
      </w:r>
    </w:p>
    <w:p w14:paraId="01CA66EB" w14:textId="45EDC0A3" w:rsidR="00481821" w:rsidRDefault="00481821" w:rsidP="00481821">
      <w:pPr>
        <w:pStyle w:val="Teksttreci0"/>
        <w:spacing w:after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Zobacz powyżej, pod ”Wolność wyznania”.</w:t>
      </w:r>
    </w:p>
    <w:p w14:paraId="4D03FC7D" w14:textId="2CFA27FF" w:rsidR="00481821" w:rsidRDefault="00481821" w:rsidP="00481821">
      <w:pPr>
        <w:pStyle w:val="Teksttreci0"/>
        <w:spacing w:after="0"/>
        <w:jc w:val="both"/>
        <w:rPr>
          <w:rStyle w:val="Teksttreci"/>
          <w:color w:val="000000"/>
        </w:rPr>
      </w:pPr>
    </w:p>
    <w:p w14:paraId="13DD1A49" w14:textId="77777777" w:rsidR="00481821" w:rsidRDefault="00481821" w:rsidP="00692D31">
      <w:pPr>
        <w:pStyle w:val="Teksttreci0"/>
        <w:spacing w:after="0"/>
        <w:jc w:val="both"/>
      </w:pPr>
    </w:p>
    <w:p w14:paraId="76B180F6" w14:textId="06A378DB" w:rsidR="00A610A1" w:rsidRDefault="00704047" w:rsidP="00692D31">
      <w:pPr>
        <w:pStyle w:val="Nagwek20"/>
        <w:keepNext/>
        <w:keepLines/>
        <w:pBdr>
          <w:bottom w:val="single" w:sz="4" w:space="0" w:color="auto"/>
        </w:pBdr>
        <w:spacing w:after="0"/>
      </w:pPr>
      <w:bookmarkStart w:id="26" w:name="bookmark47"/>
      <w:r>
        <w:rPr>
          <w:rStyle w:val="Nagwek2"/>
        </w:rPr>
        <w:t>Środki tymczasowe</w:t>
      </w:r>
      <w:r>
        <w:rPr>
          <w:rStyle w:val="Nagwek2"/>
          <w:sz w:val="18"/>
          <w:szCs w:val="18"/>
          <w:vertAlign w:val="superscript"/>
        </w:rPr>
        <w:footnoteReference w:id="2"/>
      </w:r>
      <w:r>
        <w:rPr>
          <w:rStyle w:val="Nagwek2"/>
        </w:rPr>
        <w:t xml:space="preserve"> na podstawie Reguły 39 Regulaminu Trybunału</w:t>
      </w:r>
      <w:bookmarkEnd w:id="26"/>
    </w:p>
    <w:p w14:paraId="12AD4406" w14:textId="78F0D7F8" w:rsidR="00A610A1" w:rsidRDefault="00704047">
      <w:pPr>
        <w:pStyle w:val="Teksttreci0"/>
        <w:jc w:val="both"/>
      </w:pPr>
      <w:r>
        <w:rPr>
          <w:rStyle w:val="Teksttreci"/>
          <w:color w:val="000000"/>
        </w:rPr>
        <w:t xml:space="preserve">Do Trybunału wpłynęło około 350 wniosków o zastosowanie środków tymczasowych związanych z kryzysem zdrowotnym </w:t>
      </w:r>
      <w:r w:rsidR="00481821">
        <w:rPr>
          <w:rStyle w:val="Teksttreci"/>
          <w:color w:val="000000"/>
        </w:rPr>
        <w:t xml:space="preserve">wynikającym </w:t>
      </w:r>
      <w:r>
        <w:rPr>
          <w:rStyle w:val="Teksttreci"/>
          <w:color w:val="000000"/>
        </w:rPr>
        <w:t xml:space="preserve">z Covid-19, które zostały złożone głównie przez osoby </w:t>
      </w:r>
      <w:r w:rsidR="00481821">
        <w:rPr>
          <w:rStyle w:val="Teksttreci"/>
          <w:color w:val="000000"/>
        </w:rPr>
        <w:t xml:space="preserve">przebywające </w:t>
      </w:r>
      <w:r>
        <w:rPr>
          <w:rStyle w:val="Teksttreci"/>
          <w:color w:val="000000"/>
        </w:rPr>
        <w:t xml:space="preserve">w zakładach karnych lub </w:t>
      </w:r>
      <w:r w:rsidR="00481821">
        <w:rPr>
          <w:rStyle w:val="Teksttreci"/>
          <w:color w:val="000000"/>
        </w:rPr>
        <w:t xml:space="preserve">osadzone </w:t>
      </w:r>
      <w:r>
        <w:rPr>
          <w:rStyle w:val="Teksttreci"/>
          <w:color w:val="000000"/>
        </w:rPr>
        <w:t xml:space="preserve">w ośrodkach </w:t>
      </w:r>
      <w:r w:rsidR="00481821">
        <w:rPr>
          <w:rStyle w:val="Teksttreci"/>
          <w:color w:val="000000"/>
        </w:rPr>
        <w:t>i/lub centrach pobytu</w:t>
      </w:r>
      <w:r w:rsidR="00A05CA2">
        <w:rPr>
          <w:rStyle w:val="Teksttreci"/>
          <w:color w:val="000000"/>
        </w:rPr>
        <w:t xml:space="preserve"> dla</w:t>
      </w:r>
      <w:r>
        <w:rPr>
          <w:rStyle w:val="Teksttreci"/>
          <w:color w:val="000000"/>
        </w:rPr>
        <w:t xml:space="preserve"> osób ubiegających się o azyl i migrantów, a skierowanych w szczególności przeciwko Grecji, Włochom, Francji i Turcji, ale także przeciwko innym państwom, takim jak Zjednoczone Królestwo i Hiszpania. Wnioski te były bardzo zróżnicowane. Podczas gdy wnioski na podstawie Reguły 39 Regulaminu Trybunału </w:t>
      </w:r>
      <w:r w:rsidR="00A05CA2">
        <w:rPr>
          <w:rStyle w:val="Teksttreci"/>
          <w:color w:val="000000"/>
        </w:rPr>
        <w:t xml:space="preserve"> dotyczą </w:t>
      </w:r>
      <w:r>
        <w:rPr>
          <w:rStyle w:val="Teksttreci"/>
          <w:color w:val="000000"/>
        </w:rPr>
        <w:t xml:space="preserve">zazwyczaj deportacji lub ekstradycji, te otrzymane od połowy marca 2020 r. pochodzą głównie od skarżących, którzy zwracają się do Trybunału o podjęcie środków tymczasowych w celu </w:t>
      </w:r>
      <w:r w:rsidR="00A05CA2">
        <w:rPr>
          <w:rStyle w:val="Teksttreci"/>
          <w:color w:val="000000"/>
        </w:rPr>
        <w:t xml:space="preserve">przeniesienia </w:t>
      </w:r>
      <w:r>
        <w:rPr>
          <w:rStyle w:val="Teksttreci"/>
          <w:color w:val="000000"/>
        </w:rPr>
        <w:t xml:space="preserve">ich z miejsca </w:t>
      </w:r>
      <w:r w:rsidR="00A05CA2">
        <w:rPr>
          <w:rStyle w:val="Teksttreci"/>
          <w:color w:val="000000"/>
        </w:rPr>
        <w:t xml:space="preserve">osadzenia </w:t>
      </w:r>
      <w:r>
        <w:rPr>
          <w:rStyle w:val="Teksttreci"/>
          <w:color w:val="000000"/>
        </w:rPr>
        <w:t>i/lub wskazania środków ochrony ich zdrowia przed ryzykiem zakażenia Covid-19.</w:t>
      </w:r>
    </w:p>
    <w:p w14:paraId="1C1747F7" w14:textId="4A9A35B6" w:rsidR="00A610A1" w:rsidRDefault="00704047">
      <w:pPr>
        <w:pStyle w:val="Teksttreci0"/>
        <w:jc w:val="both"/>
      </w:pPr>
      <w:r>
        <w:rPr>
          <w:rStyle w:val="Teksttreci"/>
          <w:color w:val="000000"/>
        </w:rPr>
        <w:t xml:space="preserve">W zdecydowanej większości przypadków są to wnioski indywidualne. Wiele z nich odrzucono. W kilku innych przypadkach Trybunał odroczył wydanie decyzji i zwrócił się do </w:t>
      </w:r>
      <w:r w:rsidR="00A05CA2">
        <w:rPr>
          <w:rStyle w:val="Teksttreci"/>
          <w:color w:val="000000"/>
        </w:rPr>
        <w:t xml:space="preserve">danych </w:t>
      </w:r>
      <w:r>
        <w:rPr>
          <w:rStyle w:val="Teksttreci"/>
          <w:color w:val="000000"/>
        </w:rPr>
        <w:t>rząd</w:t>
      </w:r>
      <w:r w:rsidR="008F381C">
        <w:rPr>
          <w:rStyle w:val="Teksttreci"/>
          <w:color w:val="000000"/>
        </w:rPr>
        <w:t>ó</w:t>
      </w:r>
      <w:r w:rsidR="00A05CA2">
        <w:rPr>
          <w:rStyle w:val="Teksttreci"/>
          <w:color w:val="000000"/>
        </w:rPr>
        <w:t>w</w:t>
      </w:r>
      <w:r>
        <w:rPr>
          <w:rStyle w:val="Teksttreci"/>
          <w:color w:val="000000"/>
        </w:rPr>
        <w:t xml:space="preserve"> o przekazanie informacji. W niektórych przypadkach, w odniesieniu do osób znajdujących się w szczególnej sytuacji (małoletnich niemających opiekunów lub osób z</w:t>
      </w:r>
      <w:r w:rsidR="000375EE">
        <w:rPr>
          <w:rStyle w:val="Teksttreci"/>
          <w:color w:val="000000"/>
        </w:rPr>
        <w:t> </w:t>
      </w:r>
      <w:r>
        <w:rPr>
          <w:rStyle w:val="Teksttreci"/>
          <w:color w:val="000000"/>
        </w:rPr>
        <w:t>poważnymi schorzeniami, w szczególności kobiet w ciąży), Regułę 39 zastosowano zgodnie ze zwykłymi kryteriami.</w:t>
      </w:r>
    </w:p>
    <w:p w14:paraId="44308188" w14:textId="5AB9110F" w:rsidR="00A610A1" w:rsidRDefault="00085A21">
      <w:pPr>
        <w:pStyle w:val="Teksttreci0"/>
        <w:spacing w:after="220"/>
        <w:jc w:val="both"/>
      </w:pPr>
      <w:r>
        <w:rPr>
          <w:rStyle w:val="Teksttreci"/>
          <w:color w:val="000000"/>
        </w:rPr>
        <w:t>Mała liczba</w:t>
      </w:r>
      <w:r w:rsidR="00704047">
        <w:rPr>
          <w:rStyle w:val="Teksttreci"/>
          <w:color w:val="000000"/>
        </w:rPr>
        <w:t xml:space="preserve"> wniosków</w:t>
      </w:r>
      <w:r>
        <w:rPr>
          <w:rStyle w:val="Teksttreci"/>
          <w:color w:val="000000"/>
        </w:rPr>
        <w:t>, które wpłynęły do Trybunału, dotyczyła</w:t>
      </w:r>
      <w:r w:rsidR="00704047">
        <w:rPr>
          <w:rStyle w:val="Teksttreci"/>
          <w:color w:val="000000"/>
        </w:rPr>
        <w:t xml:space="preserve"> zastosowani</w:t>
      </w:r>
      <w:r>
        <w:rPr>
          <w:rStyle w:val="Teksttreci"/>
          <w:color w:val="000000"/>
        </w:rPr>
        <w:t>a</w:t>
      </w:r>
      <w:r w:rsidR="00704047">
        <w:rPr>
          <w:rStyle w:val="Teksttreci"/>
          <w:color w:val="000000"/>
        </w:rPr>
        <w:t xml:space="preserve"> środków ogólnych (na przykład: całkowit</w:t>
      </w:r>
      <w:r>
        <w:rPr>
          <w:rStyle w:val="Teksttreci"/>
          <w:color w:val="000000"/>
        </w:rPr>
        <w:t>y</w:t>
      </w:r>
      <w:r w:rsidR="00704047">
        <w:rPr>
          <w:rStyle w:val="Teksttreci"/>
          <w:color w:val="000000"/>
        </w:rPr>
        <w:t xml:space="preserve"> </w:t>
      </w:r>
      <w:proofErr w:type="spellStart"/>
      <w:r w:rsidR="00704047">
        <w:rPr>
          <w:rStyle w:val="Teksttreci"/>
          <w:color w:val="000000"/>
        </w:rPr>
        <w:t>lockdown</w:t>
      </w:r>
      <w:proofErr w:type="spellEnd"/>
      <w:r w:rsidR="00704047">
        <w:rPr>
          <w:rStyle w:val="Teksttreci"/>
          <w:color w:val="000000"/>
        </w:rPr>
        <w:t xml:space="preserve"> w niektórych miast</w:t>
      </w:r>
      <w:r>
        <w:rPr>
          <w:rStyle w:val="Teksttreci"/>
          <w:color w:val="000000"/>
        </w:rPr>
        <w:t>ach</w:t>
      </w:r>
      <w:r w:rsidR="00704047">
        <w:rPr>
          <w:rStyle w:val="Teksttreci"/>
          <w:color w:val="000000"/>
        </w:rPr>
        <w:t>). Wnioski te odrzucono.</w:t>
      </w:r>
    </w:p>
    <w:p w14:paraId="13E61E18" w14:textId="77777777" w:rsidR="00A610A1" w:rsidRDefault="00704047">
      <w:pPr>
        <w:pStyle w:val="Nagwek20"/>
        <w:keepNext/>
        <w:keepLines/>
        <w:pBdr>
          <w:bottom w:val="single" w:sz="4" w:space="0" w:color="auto"/>
        </w:pBdr>
        <w:spacing w:after="340"/>
        <w:jc w:val="both"/>
      </w:pPr>
      <w:bookmarkStart w:id="27" w:name="bookmark49"/>
      <w:r>
        <w:rPr>
          <w:rStyle w:val="Nagwek2"/>
        </w:rPr>
        <w:lastRenderedPageBreak/>
        <w:t>Dalsza lektura</w:t>
      </w:r>
      <w:bookmarkEnd w:id="27"/>
    </w:p>
    <w:p w14:paraId="7E1D3078" w14:textId="77777777" w:rsidR="00A610A1" w:rsidRDefault="00704047">
      <w:pPr>
        <w:pStyle w:val="Teksttreci0"/>
        <w:jc w:val="both"/>
      </w:pPr>
      <w:r>
        <w:rPr>
          <w:rStyle w:val="Teksttreci"/>
          <w:color w:val="000000"/>
        </w:rPr>
        <w:t>Zobacz w szczególności:</w:t>
      </w:r>
    </w:p>
    <w:p w14:paraId="40D95CD0" w14:textId="645290CA" w:rsidR="00A610A1" w:rsidRDefault="00704047">
      <w:pPr>
        <w:pStyle w:val="Teksttreci0"/>
        <w:numPr>
          <w:ilvl w:val="0"/>
          <w:numId w:val="1"/>
        </w:numPr>
        <w:tabs>
          <w:tab w:val="left" w:pos="569"/>
        </w:tabs>
        <w:spacing w:after="0"/>
        <w:ind w:firstLine="300"/>
        <w:jc w:val="both"/>
      </w:pPr>
      <w:r>
        <w:rPr>
          <w:rStyle w:val="Teksttreci"/>
          <w:u w:val="single"/>
        </w:rPr>
        <w:t>„Zdrowie”</w:t>
      </w:r>
      <w:r>
        <w:rPr>
          <w:rStyle w:val="Teksttreci"/>
        </w:rPr>
        <w:t xml:space="preserve"> </w:t>
      </w:r>
      <w:r w:rsidR="00E844FF">
        <w:rPr>
          <w:rStyle w:val="Teksttreci"/>
        </w:rPr>
        <w:t xml:space="preserve">– </w:t>
      </w:r>
      <w:r w:rsidR="00085A21">
        <w:rPr>
          <w:rStyle w:val="Teksttreci"/>
          <w:color w:val="000000"/>
        </w:rPr>
        <w:t>Zestawienie</w:t>
      </w:r>
    </w:p>
    <w:p w14:paraId="6DCA5CB8" w14:textId="4E897032" w:rsidR="00A610A1" w:rsidRDefault="00704047">
      <w:pPr>
        <w:pStyle w:val="Teksttreci0"/>
        <w:numPr>
          <w:ilvl w:val="0"/>
          <w:numId w:val="1"/>
        </w:numPr>
        <w:tabs>
          <w:tab w:val="left" w:pos="569"/>
        </w:tabs>
        <w:spacing w:after="0"/>
        <w:ind w:left="580" w:hanging="280"/>
        <w:jc w:val="both"/>
      </w:pPr>
      <w:r>
        <w:rPr>
          <w:rStyle w:val="Teksttreci"/>
          <w:u w:val="single"/>
        </w:rPr>
        <w:t>Powiadomienia na mocy art. 15 („Odstępstwa w sytuacjach wyjątkowych”) Europejskiej Konwencji Praw Człowieka</w:t>
      </w:r>
      <w:r>
        <w:rPr>
          <w:rStyle w:val="Teksttreci"/>
        </w:rPr>
        <w:t xml:space="preserve"> </w:t>
      </w:r>
      <w:r>
        <w:rPr>
          <w:rStyle w:val="Teksttreci"/>
          <w:color w:val="000000"/>
        </w:rPr>
        <w:t>w kontekście pandemii Covid-19</w:t>
      </w:r>
    </w:p>
    <w:p w14:paraId="0753F1CA" w14:textId="09A20DB4" w:rsidR="00A610A1" w:rsidRDefault="00704047">
      <w:pPr>
        <w:pStyle w:val="Teksttreci0"/>
        <w:numPr>
          <w:ilvl w:val="0"/>
          <w:numId w:val="1"/>
        </w:numPr>
        <w:tabs>
          <w:tab w:val="left" w:pos="569"/>
        </w:tabs>
        <w:spacing w:after="0"/>
        <w:ind w:firstLine="300"/>
        <w:jc w:val="both"/>
      </w:pPr>
      <w:r>
        <w:rPr>
          <w:rStyle w:val="Teksttreci"/>
          <w:u w:val="single"/>
        </w:rPr>
        <w:t>„Rada Europy i Covid-19”,</w:t>
      </w:r>
      <w:r>
        <w:rPr>
          <w:rStyle w:val="Teksttreci"/>
        </w:rPr>
        <w:t xml:space="preserve"> </w:t>
      </w:r>
      <w:r w:rsidR="00085A21">
        <w:rPr>
          <w:rStyle w:val="Teksttreci"/>
          <w:color w:val="000000"/>
        </w:rPr>
        <w:t>s</w:t>
      </w:r>
      <w:r>
        <w:rPr>
          <w:rStyle w:val="Teksttreci"/>
          <w:color w:val="000000"/>
        </w:rPr>
        <w:t>pecjalna strona poświęcona Covid-19</w:t>
      </w:r>
    </w:p>
    <w:p w14:paraId="3A6F7813" w14:textId="77777777" w:rsidR="00A610A1" w:rsidRDefault="00704047">
      <w:pPr>
        <w:pStyle w:val="Teksttreci0"/>
        <w:numPr>
          <w:ilvl w:val="0"/>
          <w:numId w:val="1"/>
        </w:numPr>
        <w:tabs>
          <w:tab w:val="left" w:pos="569"/>
        </w:tabs>
        <w:spacing w:after="0"/>
        <w:ind w:firstLine="300"/>
        <w:jc w:val="both"/>
      </w:pPr>
      <w:r>
        <w:rPr>
          <w:rStyle w:val="Teksttreci"/>
          <w:color w:val="000000"/>
        </w:rPr>
        <w:t xml:space="preserve">Komisarz Praw Człowieka Rady Europy, Praca tematyczna, </w:t>
      </w:r>
      <w:r>
        <w:rPr>
          <w:rStyle w:val="Teksttreci"/>
          <w:u w:val="single"/>
        </w:rPr>
        <w:t>„Covid-19”</w:t>
      </w:r>
    </w:p>
    <w:p w14:paraId="615E3263" w14:textId="5D141D62" w:rsidR="00A610A1" w:rsidRDefault="00704047">
      <w:pPr>
        <w:pStyle w:val="Teksttreci0"/>
        <w:numPr>
          <w:ilvl w:val="0"/>
          <w:numId w:val="1"/>
        </w:numPr>
        <w:pBdr>
          <w:bottom w:val="single" w:sz="4" w:space="0" w:color="auto"/>
        </w:pBdr>
        <w:tabs>
          <w:tab w:val="left" w:pos="569"/>
        </w:tabs>
        <w:spacing w:after="620"/>
        <w:ind w:left="580" w:hanging="280"/>
        <w:jc w:val="both"/>
      </w:pPr>
      <w:r>
        <w:rPr>
          <w:rStyle w:val="Teksttreci"/>
          <w:u w:val="single"/>
        </w:rPr>
        <w:t>Zgromadzenie Parlamentarne Rady Europy i Covid-19 | Ochrona zdrowia demokratycznego w czasach kryzysu zdrowotnego</w:t>
      </w:r>
      <w:r w:rsidR="00085A21">
        <w:rPr>
          <w:rStyle w:val="Teksttreci"/>
          <w:u w:val="single"/>
        </w:rPr>
        <w:t>,</w:t>
      </w:r>
      <w:r>
        <w:rPr>
          <w:rStyle w:val="Teksttreci"/>
        </w:rPr>
        <w:t xml:space="preserve"> </w:t>
      </w:r>
      <w:r>
        <w:rPr>
          <w:rStyle w:val="Teksttreci"/>
          <w:color w:val="000000"/>
        </w:rPr>
        <w:t>specjalna strona poświęcona Covid-19</w:t>
      </w:r>
    </w:p>
    <w:p w14:paraId="75BFF6B9" w14:textId="77777777" w:rsidR="00A610A1" w:rsidRDefault="00704047">
      <w:pPr>
        <w:pStyle w:val="Nagwek30"/>
        <w:keepNext/>
        <w:keepLines/>
        <w:spacing w:after="0"/>
        <w:jc w:val="center"/>
      </w:pPr>
      <w:bookmarkStart w:id="28" w:name="bookmark51"/>
      <w:r>
        <w:rPr>
          <w:rStyle w:val="Nagwek3"/>
          <w:b/>
          <w:bCs/>
          <w:color w:val="808080"/>
          <w:u w:val="none"/>
        </w:rPr>
        <w:t>Kontakt z mediami:</w:t>
      </w:r>
      <w:bookmarkEnd w:id="28"/>
    </w:p>
    <w:p w14:paraId="60691396" w14:textId="77777777" w:rsidR="00A610A1" w:rsidRDefault="00704047">
      <w:pPr>
        <w:pStyle w:val="Teksttreci0"/>
        <w:spacing w:after="220"/>
        <w:jc w:val="center"/>
      </w:pPr>
      <w:r>
        <w:rPr>
          <w:rStyle w:val="Teksttreci"/>
          <w:color w:val="808080"/>
        </w:rPr>
        <w:t>Tel.: +33 (0)3 90 21 42 08</w:t>
      </w:r>
    </w:p>
    <w:sectPr w:rsidR="00A610A1">
      <w:headerReference w:type="default" r:id="rId11"/>
      <w:footerReference w:type="default" r:id="rId12"/>
      <w:pgSz w:w="11900" w:h="16840"/>
      <w:pgMar w:top="1700" w:right="1392" w:bottom="1407" w:left="1402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212E" w14:textId="77777777" w:rsidR="000B0790" w:rsidRDefault="000B0790">
      <w:r>
        <w:separator/>
      </w:r>
    </w:p>
  </w:endnote>
  <w:endnote w:type="continuationSeparator" w:id="0">
    <w:p w14:paraId="3BF8BFB2" w14:textId="77777777" w:rsidR="000B0790" w:rsidRDefault="000B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A651" w14:textId="77777777" w:rsidR="008F381C" w:rsidRDefault="008F38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9E09161" wp14:editId="67362FB2">
              <wp:simplePos x="0" y="0"/>
              <wp:positionH relativeFrom="page">
                <wp:posOffset>3749040</wp:posOffset>
              </wp:positionH>
              <wp:positionV relativeFrom="page">
                <wp:posOffset>10281285</wp:posOffset>
              </wp:positionV>
              <wp:extent cx="64135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3253D6" w14:textId="77777777" w:rsidR="008F381C" w:rsidRDefault="008F381C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Verdana" w:eastAsia="Verdana" w:hAnsi="Verdana" w:cs="Verdana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Verdana" w:eastAsia="Verdana" w:hAnsi="Verdana" w:cs="Verda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09161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295.2pt;margin-top:809.55pt;width:5.05pt;height:7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" filled="f" stroked="f">
              <v:textbox style="mso-fit-shape-to-text:t" inset="0,0,0,0">
                <w:txbxContent>
                  <w:p w14:paraId="3F3253D6" w14:textId="77777777" w:rsidR="008F381C" w:rsidRDefault="008F381C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Verdana" w:eastAsia="Verdana" w:hAnsi="Verdana" w:cs="Verdana"/>
                      </w:rPr>
                      <w:t>#</w:t>
                    </w:r>
                    <w:r>
                      <w:rPr>
                        <w:rStyle w:val="Nagweklubstopka2"/>
                        <w:rFonts w:ascii="Verdana" w:eastAsia="Verdana" w:hAnsi="Verdana" w:cs="Verda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8393" w14:textId="77777777" w:rsidR="000B0790" w:rsidRDefault="000B0790">
      <w:r>
        <w:separator/>
      </w:r>
    </w:p>
  </w:footnote>
  <w:footnote w:type="continuationSeparator" w:id="0">
    <w:p w14:paraId="3ABF0C4F" w14:textId="77777777" w:rsidR="000B0790" w:rsidRDefault="000B0790">
      <w:r>
        <w:continuationSeparator/>
      </w:r>
    </w:p>
  </w:footnote>
  <w:footnote w:id="1">
    <w:p w14:paraId="24D0AA5D" w14:textId="77777777" w:rsidR="008F381C" w:rsidRDefault="008F381C">
      <w:pPr>
        <w:pStyle w:val="Stopka1"/>
        <w:jc w:val="both"/>
      </w:pPr>
      <w:r>
        <w:rPr>
          <w:rStyle w:val="Stopka"/>
          <w:vertAlign w:val="superscript"/>
        </w:rPr>
        <w:footnoteRef/>
      </w:r>
      <w:r>
        <w:rPr>
          <w:rStyle w:val="Stopka"/>
        </w:rPr>
        <w:t>. Wyrok ten stanie się ostateczny na zasadach określonych w art. 44 ust. 2 (wyroki ostateczne)</w:t>
      </w:r>
      <w:r>
        <w:rPr>
          <w:rStyle w:val="Stopka"/>
          <w:color w:val="0071BC"/>
          <w:u w:val="single"/>
        </w:rPr>
        <w:t xml:space="preserve"> Europejskiej Konwencji Praw Człowieka</w:t>
      </w:r>
      <w:r>
        <w:rPr>
          <w:rStyle w:val="Stopka"/>
        </w:rPr>
        <w:t>.</w:t>
      </w:r>
    </w:p>
  </w:footnote>
  <w:footnote w:id="2">
    <w:p w14:paraId="74247E6F" w14:textId="41D4AC15" w:rsidR="008F381C" w:rsidRDefault="008F381C">
      <w:pPr>
        <w:pStyle w:val="Stopka1"/>
        <w:jc w:val="both"/>
      </w:pPr>
      <w:r>
        <w:rPr>
          <w:rStyle w:val="Stopka"/>
          <w:sz w:val="10"/>
          <w:szCs w:val="10"/>
        </w:rPr>
        <w:footnoteRef/>
      </w:r>
      <w:r>
        <w:rPr>
          <w:rStyle w:val="Stopka"/>
        </w:rPr>
        <w:t xml:space="preserve"> Są to środki przyjmowane w ramach postępowania przed Trybunałem, zgodnie z Regułą 39 </w:t>
      </w:r>
      <w:r>
        <w:rPr>
          <w:rStyle w:val="Stopka"/>
          <w:color w:val="0071BC"/>
          <w:u w:val="single"/>
        </w:rPr>
        <w:t xml:space="preserve">Regulaminu </w:t>
      </w:r>
      <w:r>
        <w:rPr>
          <w:rStyle w:val="Stopka"/>
        </w:rPr>
        <w:t xml:space="preserve">Trybunału, na wniosek strony lub jakiejkolwiek innej zainteresowanej osoby, lub z urzędu, w interesie stron lub prawidłowego toku postępowania. Zobacz również zestawienie pt. </w:t>
      </w:r>
      <w:r>
        <w:rPr>
          <w:rStyle w:val="Stopka"/>
          <w:color w:val="0071BC"/>
          <w:u w:val="single"/>
        </w:rPr>
        <w:t>„Środki tymczasowe”</w:t>
      </w:r>
      <w:r>
        <w:rPr>
          <w:rStyle w:val="Stopk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DC81" w14:textId="77777777" w:rsidR="008F381C" w:rsidRDefault="008F38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1A4337" wp14:editId="4F913786">
              <wp:simplePos x="0" y="0"/>
              <wp:positionH relativeFrom="page">
                <wp:posOffset>5961380</wp:posOffset>
              </wp:positionH>
              <wp:positionV relativeFrom="page">
                <wp:posOffset>500380</wp:posOffset>
              </wp:positionV>
              <wp:extent cx="1219200" cy="2971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CB18D2" w14:textId="77777777" w:rsidR="008F381C" w:rsidRPr="00E844FF" w:rsidRDefault="008F381C">
                          <w:pPr>
                            <w:pStyle w:val="Nagweklubstopka20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E844FF">
                            <w:rPr>
                              <w:rStyle w:val="Nagweklubstopka2"/>
                              <w:rFonts w:ascii="Arial" w:hAnsi="Arial"/>
                              <w:i/>
                              <w:iCs/>
                              <w:color w:val="3278B8"/>
                              <w:sz w:val="22"/>
                              <w:szCs w:val="22"/>
                              <w:lang w:val="fr-FR"/>
                            </w:rPr>
                            <w:t>Press Unit</w:t>
                          </w:r>
                        </w:p>
                        <w:p w14:paraId="0A83F214" w14:textId="77777777" w:rsidR="008F381C" w:rsidRPr="00E844FF" w:rsidRDefault="008F381C">
                          <w:pPr>
                            <w:pStyle w:val="Nagweklubstopka20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E844FF">
                            <w:rPr>
                              <w:rStyle w:val="Nagweklubstopka2"/>
                              <w:rFonts w:ascii="Arial" w:hAnsi="Arial"/>
                              <w:i/>
                              <w:iCs/>
                              <w:color w:val="0071BC"/>
                              <w:sz w:val="22"/>
                              <w:szCs w:val="22"/>
                              <w:lang w:val="fr-FR"/>
                            </w:rPr>
                            <w:t>Unite de la Presse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A4337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469.4pt;margin-top:39.4pt;width:96pt;height:23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" filled="f" stroked="f">
              <v:textbox style="mso-fit-shape-to-text:t" inset="0,0,0,0">
                <w:txbxContent>
                  <w:p w14:paraId="00CB18D2" w14:textId="77777777" w:rsidR="008F381C" w:rsidRPr="00E844FF" w:rsidRDefault="008F381C">
                    <w:pPr>
                      <w:pStyle w:val="Nagweklubstopka20"/>
                      <w:rPr>
                        <w:sz w:val="22"/>
                        <w:szCs w:val="22"/>
                        <w:lang w:val="fr-FR"/>
                      </w:rPr>
                    </w:pPr>
                    <w:r w:rsidRPr="00E844FF">
                      <w:rPr>
                        <w:rStyle w:val="Nagweklubstopka2"/>
                        <w:rFonts w:ascii="Arial" w:hAnsi="Arial"/>
                        <w:i/>
                        <w:iCs/>
                        <w:color w:val="3278B8"/>
                        <w:sz w:val="22"/>
                        <w:szCs w:val="22"/>
                        <w:lang w:val="fr-FR"/>
                      </w:rPr>
                      <w:t>Press Unit</w:t>
                    </w:r>
                  </w:p>
                  <w:p w14:paraId="0A83F214" w14:textId="77777777" w:rsidR="008F381C" w:rsidRPr="00E844FF" w:rsidRDefault="008F381C">
                    <w:pPr>
                      <w:pStyle w:val="Nagweklubstopka20"/>
                      <w:rPr>
                        <w:sz w:val="22"/>
                        <w:szCs w:val="22"/>
                        <w:lang w:val="fr-FR"/>
                      </w:rPr>
                    </w:pPr>
                    <w:r w:rsidRPr="00E844FF">
                      <w:rPr>
                        <w:rStyle w:val="Nagweklubstopka2"/>
                        <w:rFonts w:ascii="Arial" w:hAnsi="Arial"/>
                        <w:i/>
                        <w:iCs/>
                        <w:color w:val="0071BC"/>
                        <w:sz w:val="22"/>
                        <w:szCs w:val="22"/>
                        <w:lang w:val="fr-FR"/>
                      </w:rPr>
                      <w:t>Unite de la Presse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E3EA" w14:textId="77777777" w:rsidR="008F381C" w:rsidRDefault="008F38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10BDF68" wp14:editId="0F865673">
              <wp:simplePos x="0" y="0"/>
              <wp:positionH relativeFrom="page">
                <wp:posOffset>5998845</wp:posOffset>
              </wp:positionH>
              <wp:positionV relativeFrom="page">
                <wp:posOffset>488315</wp:posOffset>
              </wp:positionV>
              <wp:extent cx="1219200" cy="2959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4F2263" w14:textId="77777777" w:rsidR="008F381C" w:rsidRPr="00E844FF" w:rsidRDefault="008F381C">
                          <w:pPr>
                            <w:pStyle w:val="Nagweklubstopka20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E844FF">
                            <w:rPr>
                              <w:rStyle w:val="Nagweklubstopka2"/>
                              <w:rFonts w:ascii="Arial" w:hAnsi="Arial"/>
                              <w:i/>
                              <w:iCs/>
                              <w:color w:val="3278B8"/>
                              <w:sz w:val="22"/>
                              <w:szCs w:val="22"/>
                              <w:lang w:val="fr-FR"/>
                            </w:rPr>
                            <w:t>Press Unit</w:t>
                          </w:r>
                        </w:p>
                        <w:p w14:paraId="76E6E14E" w14:textId="77777777" w:rsidR="008F381C" w:rsidRPr="00E844FF" w:rsidRDefault="008F381C">
                          <w:pPr>
                            <w:pStyle w:val="Nagweklubstopka20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E844FF">
                            <w:rPr>
                              <w:rStyle w:val="Nagweklubstopka2"/>
                              <w:rFonts w:ascii="Arial" w:hAnsi="Arial"/>
                              <w:i/>
                              <w:iCs/>
                              <w:color w:val="0071BC"/>
                              <w:sz w:val="22"/>
                              <w:szCs w:val="22"/>
                              <w:lang w:val="fr-FR"/>
                            </w:rPr>
                            <w:t>Unite de la Presse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BDF68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72.35pt;margin-top:38.45pt;width:96pt;height:23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" filled="f" stroked="f">
              <v:textbox style="mso-fit-shape-to-text:t" inset="0,0,0,0">
                <w:txbxContent>
                  <w:p w14:paraId="004F2263" w14:textId="77777777" w:rsidR="008F381C" w:rsidRPr="00E844FF" w:rsidRDefault="008F381C">
                    <w:pPr>
                      <w:pStyle w:val="Nagweklubstopka20"/>
                      <w:rPr>
                        <w:sz w:val="22"/>
                        <w:szCs w:val="22"/>
                        <w:lang w:val="fr-FR"/>
                      </w:rPr>
                    </w:pPr>
                    <w:r w:rsidRPr="00E844FF">
                      <w:rPr>
                        <w:rStyle w:val="Nagweklubstopka2"/>
                        <w:rFonts w:ascii="Arial" w:hAnsi="Arial"/>
                        <w:i/>
                        <w:iCs/>
                        <w:color w:val="3278B8"/>
                        <w:sz w:val="22"/>
                        <w:szCs w:val="22"/>
                        <w:lang w:val="fr-FR"/>
                      </w:rPr>
                      <w:t>Press Unit</w:t>
                    </w:r>
                  </w:p>
                  <w:p w14:paraId="76E6E14E" w14:textId="77777777" w:rsidR="008F381C" w:rsidRPr="00E844FF" w:rsidRDefault="008F381C">
                    <w:pPr>
                      <w:pStyle w:val="Nagweklubstopka20"/>
                      <w:rPr>
                        <w:sz w:val="22"/>
                        <w:szCs w:val="22"/>
                        <w:lang w:val="fr-FR"/>
                      </w:rPr>
                    </w:pPr>
                    <w:r w:rsidRPr="00E844FF">
                      <w:rPr>
                        <w:rStyle w:val="Nagweklubstopka2"/>
                        <w:rFonts w:ascii="Arial" w:hAnsi="Arial"/>
                        <w:i/>
                        <w:iCs/>
                        <w:color w:val="0071BC"/>
                        <w:sz w:val="22"/>
                        <w:szCs w:val="22"/>
                        <w:lang w:val="fr-FR"/>
                      </w:rPr>
                      <w:t>Unite de la Presse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FAF4010" wp14:editId="713967D2">
              <wp:simplePos x="0" y="0"/>
              <wp:positionH relativeFrom="page">
                <wp:posOffset>463550</wp:posOffset>
              </wp:positionH>
              <wp:positionV relativeFrom="page">
                <wp:posOffset>744220</wp:posOffset>
              </wp:positionV>
              <wp:extent cx="221869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F2056D" w14:textId="3BD442EB" w:rsidR="008F381C" w:rsidRDefault="008F381C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Verdana" w:hAnsi="Verdana"/>
                            </w:rPr>
                            <w:t xml:space="preserve">Zestawienie – COVID-19 kryzys zdrowotny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AF4010" id="Shape 10" o:spid="_x0000_s1029" type="#_x0000_t202" style="position:absolute;margin-left:36.5pt;margin-top:58.6pt;width:174.7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" filled="f" stroked="f">
              <v:textbox style="mso-fit-shape-to-text:t" inset="0,0,0,0">
                <w:txbxContent>
                  <w:p w14:paraId="49F2056D" w14:textId="3BD442EB" w:rsidR="008F381C" w:rsidRDefault="008F381C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Verdana" w:hAnsi="Verdana"/>
                      </w:rPr>
                      <w:t xml:space="preserve">Zestawienie – COVID-19 kryzys zdrowotny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250E477" wp14:editId="345988C4">
              <wp:simplePos x="0" y="0"/>
              <wp:positionH relativeFrom="page">
                <wp:posOffset>436245</wp:posOffset>
              </wp:positionH>
              <wp:positionV relativeFrom="page">
                <wp:posOffset>895350</wp:posOffset>
              </wp:positionV>
              <wp:extent cx="679704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350000000000001pt;margin-top:70.5pt;width:535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3A54"/>
    <w:multiLevelType w:val="multilevel"/>
    <w:tmpl w:val="DC74E56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610A1"/>
    <w:rsid w:val="00024B30"/>
    <w:rsid w:val="000375EE"/>
    <w:rsid w:val="00043145"/>
    <w:rsid w:val="0005151E"/>
    <w:rsid w:val="00066BA2"/>
    <w:rsid w:val="00085A21"/>
    <w:rsid w:val="000B0790"/>
    <w:rsid w:val="00122CC2"/>
    <w:rsid w:val="001C5183"/>
    <w:rsid w:val="001C694D"/>
    <w:rsid w:val="001E1420"/>
    <w:rsid w:val="002419A5"/>
    <w:rsid w:val="002E4025"/>
    <w:rsid w:val="003130D5"/>
    <w:rsid w:val="003365BA"/>
    <w:rsid w:val="00433694"/>
    <w:rsid w:val="00444F25"/>
    <w:rsid w:val="00481821"/>
    <w:rsid w:val="005004AD"/>
    <w:rsid w:val="005831A5"/>
    <w:rsid w:val="00595691"/>
    <w:rsid w:val="005B0892"/>
    <w:rsid w:val="005D0E9D"/>
    <w:rsid w:val="00623731"/>
    <w:rsid w:val="00641D95"/>
    <w:rsid w:val="00692D31"/>
    <w:rsid w:val="006A4450"/>
    <w:rsid w:val="00704047"/>
    <w:rsid w:val="00727DC3"/>
    <w:rsid w:val="00766457"/>
    <w:rsid w:val="00782AC5"/>
    <w:rsid w:val="007B1076"/>
    <w:rsid w:val="007E43EB"/>
    <w:rsid w:val="00872BFC"/>
    <w:rsid w:val="00897B5A"/>
    <w:rsid w:val="008F381C"/>
    <w:rsid w:val="00916625"/>
    <w:rsid w:val="009F1330"/>
    <w:rsid w:val="00A05CA2"/>
    <w:rsid w:val="00A0719C"/>
    <w:rsid w:val="00A610A1"/>
    <w:rsid w:val="00B148C5"/>
    <w:rsid w:val="00B45DFB"/>
    <w:rsid w:val="00B649AD"/>
    <w:rsid w:val="00BC7E5E"/>
    <w:rsid w:val="00BE1763"/>
    <w:rsid w:val="00BF4C58"/>
    <w:rsid w:val="00C042F5"/>
    <w:rsid w:val="00C175CF"/>
    <w:rsid w:val="00C2609A"/>
    <w:rsid w:val="00C834A4"/>
    <w:rsid w:val="00C97D6E"/>
    <w:rsid w:val="00CA5FFB"/>
    <w:rsid w:val="00CC1091"/>
    <w:rsid w:val="00CF6A05"/>
    <w:rsid w:val="00D47E63"/>
    <w:rsid w:val="00D51ED3"/>
    <w:rsid w:val="00DC5642"/>
    <w:rsid w:val="00E66748"/>
    <w:rsid w:val="00E723BA"/>
    <w:rsid w:val="00E844FF"/>
    <w:rsid w:val="00EC0A41"/>
    <w:rsid w:val="00EF6774"/>
    <w:rsid w:val="00F12DD8"/>
    <w:rsid w:val="00F6231D"/>
    <w:rsid w:val="00FE200A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8201F"/>
  <w15:docId w15:val="{83709627-9E73-4CB1-BF30-169FE5E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71BC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71BC"/>
      <w:sz w:val="48"/>
      <w:szCs w:val="48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71BC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color w:val="0071BC"/>
      <w:sz w:val="20"/>
      <w:szCs w:val="2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E7E7E"/>
      <w:sz w:val="14"/>
      <w:szCs w:val="14"/>
      <w:u w:val="none"/>
    </w:rPr>
  </w:style>
  <w:style w:type="paragraph" w:customStyle="1" w:styleId="Stopka1">
    <w:name w:val="Stopka1"/>
    <w:basedOn w:val="Normalny"/>
    <w:link w:val="Stopka"/>
    <w:rPr>
      <w:rFonts w:ascii="Verdana" w:eastAsia="Verdana" w:hAnsi="Verdana" w:cs="Verdana"/>
      <w:sz w:val="16"/>
      <w:szCs w:val="16"/>
    </w:rPr>
  </w:style>
  <w:style w:type="paragraph" w:customStyle="1" w:styleId="Podpisobrazu0">
    <w:name w:val="Podpis obrazu"/>
    <w:basedOn w:val="Normalny"/>
    <w:link w:val="Podpisobrazu"/>
    <w:pPr>
      <w:spacing w:line="271" w:lineRule="auto"/>
      <w:jc w:val="center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Verdana" w:eastAsia="Verdana" w:hAnsi="Verdana" w:cs="Verdana"/>
      <w:color w:val="0071B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66" w:lineRule="auto"/>
    </w:pPr>
    <w:rPr>
      <w:rFonts w:ascii="Verdana" w:eastAsia="Verdana" w:hAnsi="Verdana" w:cs="Verdana"/>
      <w:color w:val="808080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460"/>
      <w:outlineLvl w:val="0"/>
    </w:pPr>
    <w:rPr>
      <w:rFonts w:ascii="Verdana" w:eastAsia="Verdana" w:hAnsi="Verdana" w:cs="Verdana"/>
      <w:color w:val="0071BC"/>
      <w:sz w:val="48"/>
      <w:szCs w:val="48"/>
    </w:rPr>
  </w:style>
  <w:style w:type="paragraph" w:customStyle="1" w:styleId="Nagwek20">
    <w:name w:val="Nagłówek #2"/>
    <w:basedOn w:val="Normalny"/>
    <w:link w:val="Nagwek2"/>
    <w:pPr>
      <w:spacing w:after="220"/>
      <w:outlineLvl w:val="1"/>
    </w:pPr>
    <w:rPr>
      <w:rFonts w:ascii="Verdana" w:eastAsia="Verdana" w:hAnsi="Verdana" w:cs="Verdana"/>
      <w:color w:val="0071BC"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after="40"/>
      <w:outlineLvl w:val="2"/>
    </w:pPr>
    <w:rPr>
      <w:rFonts w:ascii="Verdana" w:eastAsia="Verdana" w:hAnsi="Verdana" w:cs="Verdana"/>
      <w:b/>
      <w:bCs/>
      <w:color w:val="0071BC"/>
      <w:sz w:val="20"/>
      <w:szCs w:val="20"/>
      <w:u w:val="single"/>
    </w:rPr>
  </w:style>
  <w:style w:type="paragraph" w:customStyle="1" w:styleId="Teksttreci30">
    <w:name w:val="Tekst treści (3)"/>
    <w:basedOn w:val="Normalny"/>
    <w:link w:val="Teksttreci3"/>
    <w:pPr>
      <w:spacing w:after="40"/>
    </w:pPr>
    <w:rPr>
      <w:rFonts w:ascii="Verdana" w:eastAsia="Verdana" w:hAnsi="Verdana" w:cs="Verdana"/>
      <w:color w:val="7E7E7E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433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69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33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336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894E-45F4-478E-A841-09AC77F4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FS_Covid_ENG</vt:lpstr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FS_Covid_ENG</dc:title>
  <dc:subject>FS_Covid_ENG</dc:subject>
  <dc:creator>ECHR/CEDH</dc:creator>
  <cp:keywords/>
  <cp:lastModifiedBy>Podwysocka Wioleta  (DWMPC)</cp:lastModifiedBy>
  <cp:revision>3</cp:revision>
  <dcterms:created xsi:type="dcterms:W3CDTF">2021-07-06T08:47:00Z</dcterms:created>
  <dcterms:modified xsi:type="dcterms:W3CDTF">2021-07-07T10:02:00Z</dcterms:modified>
</cp:coreProperties>
</file>