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0B17" w14:textId="77777777" w:rsidR="00144A99" w:rsidRPr="00144A99" w:rsidRDefault="00144A99" w:rsidP="00144A99">
      <w:r w:rsidRPr="00144A99">
        <w:rPr>
          <w:b/>
          <w:bCs/>
        </w:rPr>
        <w:t>Petycja</w:t>
      </w:r>
    </w:p>
    <w:p w14:paraId="212C280E" w14:textId="77777777" w:rsidR="00144A99" w:rsidRPr="00144A99" w:rsidRDefault="00144A99" w:rsidP="00144A99">
      <w:r w:rsidRPr="00144A99">
        <w:rPr>
          <w:i/>
          <w:iCs/>
        </w:rPr>
        <w:t>w trybie Ustawy o petycjach z dnia 11 lipca 2014 roku (tj. Dz. U. 2018 poz. 870) składam</w:t>
      </w:r>
      <w:r w:rsidRPr="00144A99">
        <w:rPr>
          <w:b/>
          <w:bCs/>
        </w:rPr>
        <w:t> postulat:</w:t>
      </w:r>
    </w:p>
    <w:p w14:paraId="36096B7E" w14:textId="77777777" w:rsidR="00144A99" w:rsidRPr="00144A99" w:rsidRDefault="00144A99" w:rsidP="00144A99"/>
    <w:p w14:paraId="226D826A" w14:textId="77777777" w:rsidR="00144A99" w:rsidRPr="00144A99" w:rsidRDefault="00144A99" w:rsidP="00144A99">
      <w:r w:rsidRPr="00144A99">
        <w:t>• 226 § 4 kk „Jeśli funkcjonariusz publiczny, czuje się znieważony (urażony), sprawca podlega karze do 3 lat pozbawienia wolności" </w:t>
      </w:r>
    </w:p>
    <w:p w14:paraId="5E30D47A" w14:textId="77777777" w:rsidR="00144A99" w:rsidRPr="00144A99" w:rsidRDefault="00144A99" w:rsidP="00144A99"/>
    <w:p w14:paraId="12544076" w14:textId="77777777" w:rsidR="00144A99" w:rsidRPr="00144A99" w:rsidRDefault="00144A99" w:rsidP="00144A99">
      <w:r w:rsidRPr="00144A99">
        <w:t xml:space="preserve">• 226 § 5 kk „Znieważenie dotyczy też czasu prywatnego, rodzinnego funkcjonariusza publicznego, jeśli sprawca wie lub dowiedział się, że pokrzywdzony jest funkcjonariuszem publicznym (widok, informacja pokrzywdzonego, pouczenie do zachowania zgodnego </w:t>
      </w:r>
      <w:proofErr w:type="spellStart"/>
      <w:r w:rsidRPr="00144A99">
        <w:t>itd</w:t>
      </w:r>
      <w:proofErr w:type="spellEnd"/>
      <w:r w:rsidRPr="00144A99">
        <w:t>" </w:t>
      </w:r>
    </w:p>
    <w:p w14:paraId="4539B72C" w14:textId="77777777" w:rsidR="00144A99" w:rsidRPr="00144A99" w:rsidRDefault="00144A99" w:rsidP="00144A99"/>
    <w:p w14:paraId="5234F7B0" w14:textId="77777777" w:rsidR="00144A99" w:rsidRPr="00144A99" w:rsidRDefault="00144A99" w:rsidP="00144A99">
      <w:r w:rsidRPr="00144A99">
        <w:t>• w celu zminimalizowania zmęczenia sędziów sprawozdawców, odczytywanie dokumentu, uzasadnienia wyroku itd. dokonuje translator</w:t>
      </w:r>
    </w:p>
    <w:p w14:paraId="550EF992" w14:textId="77777777" w:rsidR="00144A99" w:rsidRPr="00144A99" w:rsidRDefault="00144A99" w:rsidP="00144A99"/>
    <w:p w14:paraId="3A893FB0" w14:textId="77777777" w:rsidR="00144A99" w:rsidRPr="00144A99" w:rsidRDefault="00144A99" w:rsidP="00144A99">
      <w:r w:rsidRPr="00144A99">
        <w:t>• protokolant nadzoruje tylko transkrypcję głosu na tekst pisany. W związku z tym, że na sali sądowej są mikrofony, automatycznie głos jest zapisywany w formie pisemnej</w:t>
      </w:r>
    </w:p>
    <w:p w14:paraId="6E2AAC0F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99"/>
    <w:rsid w:val="00144A99"/>
    <w:rsid w:val="004323F4"/>
    <w:rsid w:val="00674BA2"/>
    <w:rsid w:val="006F3CDA"/>
    <w:rsid w:val="007F0F44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DE6F"/>
  <w15:chartTrackingRefBased/>
  <w15:docId w15:val="{BA11946B-7C5F-4A39-9DF4-4D2109F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4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A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A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A99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A99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A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A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A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A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A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A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A9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A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A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A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4A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A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A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2026-07-30T12:27:00Z</dcterms:created>
  <dcterms:modified xsi:type="dcterms:W3CDTF">2026-07-30T12:28:00Z</dcterms:modified>
</cp:coreProperties>
</file>