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Pr="002759FF" w:rsidRDefault="00BD2BA1" w:rsidP="002759FF">
      <w:pPr>
        <w:pStyle w:val="NormalnyWeb"/>
        <w:spacing w:before="0" w:beforeAutospacing="0" w:after="0"/>
      </w:pPr>
      <w:r w:rsidRPr="002759FF"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81581740" r:id="rId9"/>
        </w:object>
      </w:r>
    </w:p>
    <w:p w14:paraId="518ABE2C" w14:textId="71CA4DE6" w:rsidR="002759FF" w:rsidRPr="00F37717" w:rsidRDefault="00E263A9" w:rsidP="002759FF">
      <w:pPr>
        <w:rPr>
          <w:sz w:val="28"/>
        </w:rPr>
      </w:pPr>
      <w:r w:rsidRPr="00F37717">
        <w:rPr>
          <w:sz w:val="28"/>
        </w:rPr>
        <w:t xml:space="preserve">Warszawa, </w:t>
      </w:r>
      <w:r w:rsidR="00FF22F2" w:rsidRPr="00F37717">
        <w:rPr>
          <w:sz w:val="28"/>
        </w:rPr>
        <w:t>27 czerwca 2024</w:t>
      </w:r>
    </w:p>
    <w:p w14:paraId="52AE7427" w14:textId="099FCFE0" w:rsidR="002759FF" w:rsidRPr="00F37717" w:rsidRDefault="00FF22F2" w:rsidP="002759FF">
      <w:pPr>
        <w:rPr>
          <w:sz w:val="28"/>
        </w:rPr>
      </w:pPr>
      <w:r w:rsidRPr="00F37717">
        <w:rPr>
          <w:sz w:val="28"/>
        </w:rPr>
        <w:t>DOOŚ-WDŚZOO.420.46.2022.KN.MRO.13</w:t>
      </w:r>
    </w:p>
    <w:p w14:paraId="6338DAE8" w14:textId="1D2FAA36" w:rsidR="00E263A9" w:rsidRPr="00E263A9" w:rsidRDefault="00E263A9" w:rsidP="00E263A9">
      <w:pPr>
        <w:spacing w:after="240" w:line="312" w:lineRule="auto"/>
        <w:rPr>
          <w:color w:val="000000"/>
          <w:sz w:val="28"/>
          <w:szCs w:val="28"/>
        </w:rPr>
      </w:pPr>
    </w:p>
    <w:p w14:paraId="1732DF7C" w14:textId="77777777" w:rsidR="00E263A9" w:rsidRPr="00E263A9" w:rsidRDefault="00E263A9" w:rsidP="00E263A9">
      <w:pPr>
        <w:spacing w:after="240" w:line="312" w:lineRule="auto"/>
        <w:rPr>
          <w:color w:val="000000"/>
          <w:sz w:val="28"/>
          <w:szCs w:val="28"/>
        </w:rPr>
      </w:pPr>
      <w:r w:rsidRPr="00E263A9">
        <w:rPr>
          <w:color w:val="000000"/>
          <w:sz w:val="28"/>
          <w:szCs w:val="28"/>
        </w:rPr>
        <w:t>DECYZJA</w:t>
      </w:r>
    </w:p>
    <w:p w14:paraId="0D72FF80" w14:textId="77777777" w:rsidR="00FF22F2" w:rsidRPr="00767808" w:rsidRDefault="00FF22F2" w:rsidP="00FF22F2">
      <w:pPr>
        <w:spacing w:after="120" w:line="312" w:lineRule="auto"/>
      </w:pPr>
      <w:r w:rsidRPr="00767808">
        <w:rPr>
          <w:color w:val="000000"/>
        </w:rPr>
        <w:t xml:space="preserve">Generalny Dyrektor Ochrony Środowiska, po rozpatrzeniu odwołania Prezydenta </w:t>
      </w:r>
      <w:r>
        <w:rPr>
          <w:color w:val="000000"/>
        </w:rPr>
        <w:t>m</w:t>
      </w:r>
      <w:r w:rsidRPr="00767808">
        <w:rPr>
          <w:color w:val="000000"/>
        </w:rPr>
        <w:t xml:space="preserve">iasta </w:t>
      </w:r>
      <w:r>
        <w:rPr>
          <w:color w:val="000000"/>
        </w:rPr>
        <w:t>s</w:t>
      </w:r>
      <w:r w:rsidRPr="00767808">
        <w:rPr>
          <w:color w:val="000000"/>
        </w:rPr>
        <w:t>tołecznego Warszawy z 9 czerwca 2022 r. od decyzji Regionalnego Dyrektora Ochrony Środowiska w Warszawie z 25 maja 2022 r., znak: WOOŚ-II.420.1.2021.PT.16, umarzającej w całości postępowanie w sprawie wydania decyzji o środowiskowych uwarunkowaniach</w:t>
      </w:r>
      <w:r w:rsidRPr="00767808">
        <w:rPr>
          <w:rFonts w:eastAsia="Garamond"/>
          <w:color w:val="000000"/>
          <w:kern w:val="3"/>
        </w:rPr>
        <w:t>,</w:t>
      </w:r>
      <w:r w:rsidRPr="00767808">
        <w:rPr>
          <w:color w:val="000000"/>
        </w:rPr>
        <w:t xml:space="preserve"> na podstawie </w:t>
      </w:r>
      <w:r w:rsidRPr="00767808">
        <w:t xml:space="preserve">art. 138 § 2 ustawy z dnia 14 czerwca 1960 r. – Kodeks postępowania </w:t>
      </w:r>
      <w:r>
        <w:t>administracyjnego (Dz. U. z 2024 r. poz. 572</w:t>
      </w:r>
      <w:r w:rsidRPr="00767808">
        <w:t>), dalej k.p.a.,</w:t>
      </w:r>
    </w:p>
    <w:p w14:paraId="40E4A3CD" w14:textId="77777777" w:rsidR="00E263A9" w:rsidRPr="00E263A9" w:rsidRDefault="00E263A9" w:rsidP="00E263A9">
      <w:pPr>
        <w:spacing w:after="240" w:line="312" w:lineRule="auto"/>
        <w:rPr>
          <w:sz w:val="28"/>
          <w:szCs w:val="28"/>
        </w:rPr>
      </w:pPr>
      <w:r w:rsidRPr="00E263A9">
        <w:rPr>
          <w:color w:val="000000"/>
          <w:sz w:val="28"/>
          <w:szCs w:val="28"/>
        </w:rPr>
        <w:t>uchyla powyższą decyzję w całości i przekazuje sprawę do ponownego rozpatrzenia organow</w:t>
      </w:r>
      <w:bookmarkStart w:id="0" w:name="_GoBack"/>
      <w:bookmarkEnd w:id="0"/>
      <w:r w:rsidRPr="00E263A9">
        <w:rPr>
          <w:color w:val="000000"/>
          <w:sz w:val="28"/>
          <w:szCs w:val="28"/>
        </w:rPr>
        <w:t>i pierwszej instancji.</w:t>
      </w:r>
    </w:p>
    <w:p w14:paraId="1E6CBDC6" w14:textId="77777777" w:rsidR="00E263A9" w:rsidRPr="00E263A9" w:rsidRDefault="00E263A9" w:rsidP="00E263A9">
      <w:pPr>
        <w:keepNext/>
        <w:spacing w:after="120" w:line="312" w:lineRule="auto"/>
        <w:rPr>
          <w:color w:val="000000"/>
          <w:sz w:val="28"/>
          <w:szCs w:val="28"/>
        </w:rPr>
      </w:pPr>
      <w:r w:rsidRPr="00E263A9">
        <w:rPr>
          <w:color w:val="000000"/>
          <w:sz w:val="28"/>
          <w:szCs w:val="28"/>
        </w:rPr>
        <w:t>Uzasadnienie</w:t>
      </w:r>
    </w:p>
    <w:p w14:paraId="0A29F3F3" w14:textId="77777777" w:rsidR="00FF22F2" w:rsidRPr="00FF22F2" w:rsidRDefault="00FF22F2" w:rsidP="00FF22F2">
      <w:pPr>
        <w:spacing w:line="312" w:lineRule="auto"/>
        <w:rPr>
          <w:color w:val="000000"/>
          <w:sz w:val="28"/>
        </w:rPr>
      </w:pPr>
      <w:r w:rsidRPr="00FF22F2">
        <w:rPr>
          <w:color w:val="000000"/>
          <w:sz w:val="28"/>
        </w:rPr>
        <w:t xml:space="preserve">30 stycznia 2017 r. Prezydent miasta stołecznego Warszawy złożył do RDOŚ w Warszawie wniosek o wydanie decyzji o środowiskowych uwarunkowaniach dla przedsięwzięcia </w:t>
      </w:r>
      <w:r w:rsidRPr="00FF22F2">
        <w:rPr>
          <w:rFonts w:eastAsia="Garamond"/>
          <w:color w:val="000000"/>
          <w:kern w:val="3"/>
          <w:sz w:val="28"/>
        </w:rPr>
        <w:t>pn.: „</w:t>
      </w:r>
      <w:r w:rsidRPr="00FF22F2">
        <w:rPr>
          <w:sz w:val="28"/>
        </w:rPr>
        <w:t>Budowa ul. Nowolazurowej na odcinku od Al. Jerozolimskich do Trasy AK, w tym zadanie C. odcinek od ul. Sterniczej do ul. Górczewskiej w zakresie wykonania nawierzchni twardej drogi o długości ok. 1,9 km w związku ze zmianą elementów służących ochronie środowiska oraz innych elementów związanych z funkcjonowaniem drogi</w:t>
      </w:r>
      <w:r w:rsidRPr="00FF22F2">
        <w:rPr>
          <w:rFonts w:eastAsia="Garamond"/>
          <w:color w:val="000000"/>
          <w:kern w:val="3"/>
          <w:sz w:val="28"/>
        </w:rPr>
        <w:t>”</w:t>
      </w:r>
      <w:r w:rsidRPr="00FF22F2">
        <w:rPr>
          <w:color w:val="000000"/>
          <w:sz w:val="28"/>
        </w:rPr>
        <w:t>.</w:t>
      </w:r>
    </w:p>
    <w:p w14:paraId="068067D4" w14:textId="0310038A" w:rsidR="00FF22F2" w:rsidRPr="00FF22F2" w:rsidRDefault="00FF22F2" w:rsidP="00FF22F2">
      <w:pPr>
        <w:spacing w:line="312" w:lineRule="auto"/>
        <w:rPr>
          <w:color w:val="000000"/>
          <w:sz w:val="28"/>
        </w:rPr>
      </w:pPr>
      <w:r w:rsidRPr="00FF22F2">
        <w:rPr>
          <w:color w:val="000000"/>
          <w:sz w:val="28"/>
        </w:rPr>
        <w:t>Pismem z  23 marca 2017 r., znak: WOOŚ-II.4207.33.2017.TR.3, RDOŚ w Warszawie wezwał wnioskodawcę do złożenia wyjaśnień w sprawie dopuszczalności wniosku o wydanie decyzji o środowiskowych uwarunkowaniach dla inwestycji będącej w trakcie realizacji. Prezydent miasta stołecznego Warszawy pismami z 29 marca 2017 r., znak: ZMID-PI.4101.61.2017.DMO, oraz z 21 kwietnia 2017 r., znak: ZMID-PI.4101.61.2017.DMO, wyjaśnił, że wniosek ten jest zasadny.</w:t>
      </w:r>
    </w:p>
    <w:p w14:paraId="071BEC7D" w14:textId="4CA79E12" w:rsidR="00FF22F2" w:rsidRPr="00FF22F2" w:rsidRDefault="00FF22F2" w:rsidP="00FF22F2">
      <w:pPr>
        <w:spacing w:line="312" w:lineRule="auto"/>
        <w:rPr>
          <w:color w:val="000000"/>
          <w:sz w:val="28"/>
        </w:rPr>
      </w:pPr>
      <w:r w:rsidRPr="00FF22F2">
        <w:rPr>
          <w:color w:val="000000"/>
          <w:sz w:val="28"/>
        </w:rPr>
        <w:t>Postanowieniem z 20 listopada 2017 r., znak: WOOŚ-II.4207.33.2017.TR.12, RDOŚ w Warszawie stwierdził obowiązek przeprowadzenia oceny oddziaływania przedmiotowego przedsięwzięcia na środowisko oraz ustalił zakres raportu o oddziaływaniu przedsięwzięcia na środowisko.</w:t>
      </w:r>
    </w:p>
    <w:p w14:paraId="554C1AED" w14:textId="3444FDA9" w:rsidR="00FF22F2" w:rsidRPr="00FF22F2" w:rsidRDefault="00FF22F2" w:rsidP="00FF22F2">
      <w:pPr>
        <w:spacing w:line="312" w:lineRule="auto"/>
        <w:rPr>
          <w:color w:val="000000"/>
          <w:sz w:val="28"/>
        </w:rPr>
      </w:pPr>
      <w:r w:rsidRPr="00FF22F2">
        <w:rPr>
          <w:color w:val="000000"/>
          <w:sz w:val="28"/>
        </w:rPr>
        <w:lastRenderedPageBreak/>
        <w:t>Decyzją z 18 lutego 2019 r., znak: WOOŚ-II.4207.33.2017.TR.36, RDOŚ w Warszawie umorzył w całości postępowanie w sprawie wydania decyzji o środowiskowych uwarunkowaniach dla ww. przedsięwzięcia. 7 marca 2019 r. Prezydent miasta stołecznego Warszawy wniósł odwołanie od ww. decyzji. Decyzją z 9 października 2019 r., znak: DOOŚ-WDŚ/ZIL.420.137.2019.EK.6, GDOŚ utrzymał w mocy decyzję RDOŚ w Warszawie z 18 lutego 2019 r.</w:t>
      </w:r>
    </w:p>
    <w:p w14:paraId="63B1D3AE" w14:textId="436956C8" w:rsidR="00FF22F2" w:rsidRPr="00FF22F2" w:rsidRDefault="00FF22F2" w:rsidP="00FF22F2">
      <w:pPr>
        <w:spacing w:line="312" w:lineRule="auto"/>
        <w:rPr>
          <w:color w:val="000000"/>
          <w:sz w:val="28"/>
        </w:rPr>
      </w:pPr>
      <w:r w:rsidRPr="00FF22F2">
        <w:rPr>
          <w:color w:val="000000"/>
          <w:sz w:val="28"/>
        </w:rPr>
        <w:t xml:space="preserve">Pismem z 14 listopada 2019 r. Prezydent miasta stołecznego Warszawy wniósł do Wojewódzkiego Sądu Administracyjnego w Warszawie skargę na ww. decyzję GDOŚ. Wyrokiem z 30 lipca 2020 r., sygn. akt IV SA/Wa 26/20, WSA w Warszawie uchylił decyzję GDOŚ z 9 października 2019 r. oraz decyzję RDOŚ w Warszawie z 18 lutego 2019 r. </w:t>
      </w:r>
    </w:p>
    <w:p w14:paraId="3812B565" w14:textId="77777777" w:rsidR="00FF22F2" w:rsidRPr="00FF22F2" w:rsidRDefault="00FF22F2" w:rsidP="00FF22F2">
      <w:pPr>
        <w:spacing w:line="312" w:lineRule="auto"/>
        <w:rPr>
          <w:color w:val="000000"/>
          <w:sz w:val="28"/>
        </w:rPr>
      </w:pPr>
      <w:r w:rsidRPr="00FF22F2">
        <w:rPr>
          <w:color w:val="000000"/>
          <w:sz w:val="28"/>
        </w:rPr>
        <w:t>Po zwrocie akt z Sądu, pismem z 12 lipca 2021 r., znak: WOOŚ-II.420.1.2021.PT.4, RDOŚ w Warszawie wezwał wnioskodawcę do złożenia wyjaśnień w sprawie kwalifikacji prawnej omawianego przedsięwzięcia. Prezydent miasta stołecznego Warszawy pismem z 13 sierpnia 2021 r., znak: ZMID-PL.4100.6.2021.MAR, podtrzymał wcześniej prezentowane stanowisko w sprawie.</w:t>
      </w:r>
    </w:p>
    <w:p w14:paraId="40C5AED8" w14:textId="77777777" w:rsidR="00FF22F2" w:rsidRPr="00FF22F2" w:rsidRDefault="00FF22F2" w:rsidP="00FF22F2">
      <w:pPr>
        <w:spacing w:line="312" w:lineRule="auto"/>
        <w:rPr>
          <w:rFonts w:eastAsia="Garamond"/>
          <w:iCs/>
          <w:color w:val="000000"/>
          <w:kern w:val="3"/>
          <w:sz w:val="28"/>
        </w:rPr>
      </w:pPr>
      <w:r w:rsidRPr="00FF22F2">
        <w:rPr>
          <w:color w:val="000000"/>
          <w:sz w:val="28"/>
        </w:rPr>
        <w:t xml:space="preserve">Cytowaną w sentencji decyzją z 25 maja 2022 r. RDOŚ w Warszawie, </w:t>
      </w:r>
      <w:r w:rsidRPr="00FF22F2">
        <w:rPr>
          <w:rFonts w:eastAsia="Garamond"/>
          <w:color w:val="000000"/>
          <w:kern w:val="3"/>
          <w:sz w:val="28"/>
        </w:rPr>
        <w:t>na podstawie art. 105 § 1 k.p.a., umorzył postępowanie w sprawie wydania decyzji o środowiskowych uwarunkowaniach dla przedmiotowego przedsięwzięcia.</w:t>
      </w:r>
    </w:p>
    <w:p w14:paraId="7AD1756C" w14:textId="77777777" w:rsidR="00FF22F2" w:rsidRPr="00FF22F2" w:rsidRDefault="00FF22F2" w:rsidP="00FF22F2">
      <w:pPr>
        <w:spacing w:line="312" w:lineRule="auto"/>
        <w:rPr>
          <w:sz w:val="28"/>
        </w:rPr>
      </w:pPr>
      <w:r w:rsidRPr="00FF22F2">
        <w:rPr>
          <w:sz w:val="28"/>
        </w:rPr>
        <w:t>9 czerwca 2022 r. Prezydent miasta stołecznego Warszawy wniósł odwołanie od decyzji RDOŚ w Warszawie z 25 maja 2022 r. Skarżący podniósł zarzuty naruszenia:</w:t>
      </w:r>
    </w:p>
    <w:p w14:paraId="5092B216" w14:textId="77777777" w:rsidR="00FF22F2" w:rsidRPr="00FF22F2" w:rsidRDefault="00FF22F2" w:rsidP="00FF22F2">
      <w:pPr>
        <w:pStyle w:val="Akapitzlist"/>
        <w:numPr>
          <w:ilvl w:val="0"/>
          <w:numId w:val="22"/>
        </w:numPr>
        <w:spacing w:line="312" w:lineRule="auto"/>
        <w:ind w:left="709" w:hanging="425"/>
        <w:rPr>
          <w:sz w:val="28"/>
        </w:rPr>
      </w:pPr>
      <w:r w:rsidRPr="00FF22F2">
        <w:rPr>
          <w:sz w:val="28"/>
        </w:rPr>
        <w:t>wyroku WSA w Warszawie z 30 lipca 2020 r., sygn. akt: IV SA/Wa 26/20 – przez nieuwzględnienie jego treści;</w:t>
      </w:r>
    </w:p>
    <w:p w14:paraId="26C6C797" w14:textId="77777777" w:rsidR="00FF22F2" w:rsidRPr="00FF22F2" w:rsidRDefault="00FF22F2" w:rsidP="00FF22F2">
      <w:pPr>
        <w:pStyle w:val="Akapitzlist"/>
        <w:numPr>
          <w:ilvl w:val="0"/>
          <w:numId w:val="22"/>
        </w:numPr>
        <w:spacing w:line="312" w:lineRule="auto"/>
        <w:ind w:left="709" w:hanging="425"/>
        <w:rPr>
          <w:sz w:val="28"/>
        </w:rPr>
      </w:pPr>
      <w:r w:rsidRPr="00FF22F2">
        <w:rPr>
          <w:sz w:val="28"/>
        </w:rPr>
        <w:t>art. 7, art. 77 i art. 107 § 3 k.p.a. – przez nieuwzględnienie materiału dowodowego do wyjaśnienia istotnych okoliczności dla podjęcia rozstrzygnięcia dotyczącego wydania decyzji o środowiskowych uwarunkowaniach, a w szczególności nieuwzględnienie posiadanych przez organ pierwszej instancji dokumentów i wyjaśnień umożliwiających podjęcie rozstrzygnięcia w sprawie;</w:t>
      </w:r>
    </w:p>
    <w:p w14:paraId="32E3BE47" w14:textId="77777777" w:rsidR="00FF22F2" w:rsidRPr="00FF22F2" w:rsidRDefault="00FF22F2" w:rsidP="00FF22F2">
      <w:pPr>
        <w:pStyle w:val="Akapitzlist"/>
        <w:numPr>
          <w:ilvl w:val="0"/>
          <w:numId w:val="22"/>
        </w:numPr>
        <w:spacing w:line="312" w:lineRule="auto"/>
        <w:ind w:left="709" w:hanging="425"/>
        <w:rPr>
          <w:sz w:val="28"/>
        </w:rPr>
      </w:pPr>
      <w:r w:rsidRPr="00FF22F2">
        <w:rPr>
          <w:sz w:val="28"/>
        </w:rPr>
        <w:t xml:space="preserve">art. 8 § 1 k.p.a. – przez zakończenie postępowania po ponad 5 latach od daty złożenia wniosku o wydanie decyzji o środowiskowych </w:t>
      </w:r>
      <w:r w:rsidRPr="00FF22F2">
        <w:rPr>
          <w:sz w:val="28"/>
        </w:rPr>
        <w:lastRenderedPageBreak/>
        <w:t>uwarunkowaniach orzeczeniem umarzającym postępowanie w całości jako bezprzedmiotowe;</w:t>
      </w:r>
    </w:p>
    <w:p w14:paraId="66077C23" w14:textId="77777777" w:rsidR="00FF22F2" w:rsidRPr="00FF22F2" w:rsidRDefault="00FF22F2" w:rsidP="00FF22F2">
      <w:pPr>
        <w:pStyle w:val="Akapitzlist"/>
        <w:numPr>
          <w:ilvl w:val="0"/>
          <w:numId w:val="22"/>
        </w:numPr>
        <w:spacing w:line="312" w:lineRule="auto"/>
        <w:ind w:left="709" w:hanging="425"/>
        <w:rPr>
          <w:sz w:val="28"/>
        </w:rPr>
      </w:pPr>
      <w:r w:rsidRPr="00FF22F2">
        <w:rPr>
          <w:sz w:val="28"/>
        </w:rPr>
        <w:t>art. 105 § 1 k.p.a. – przez umorzenie postępowania w sytuacji, kiedy nie było ku temu przesłanek.</w:t>
      </w:r>
    </w:p>
    <w:p w14:paraId="48323C75" w14:textId="77777777" w:rsidR="00FF22F2" w:rsidRPr="00FF22F2" w:rsidRDefault="00FF22F2" w:rsidP="00FF22F2">
      <w:pPr>
        <w:spacing w:line="312" w:lineRule="auto"/>
        <w:ind w:firstLine="708"/>
        <w:rPr>
          <w:bCs/>
          <w:sz w:val="28"/>
        </w:rPr>
      </w:pPr>
      <w:r w:rsidRPr="00FF22F2">
        <w:rPr>
          <w:bCs/>
          <w:sz w:val="28"/>
        </w:rPr>
        <w:t>Odwołujący się wniósł również o uchylenie zaskarżonej decyzji w całości i przekazanie sprawy do ponownego rozpatrzenia organowi pierwszej instancji.</w:t>
      </w:r>
    </w:p>
    <w:p w14:paraId="4A462401" w14:textId="77777777" w:rsidR="00FF22F2" w:rsidRPr="00FF22F2" w:rsidRDefault="00FF22F2" w:rsidP="00FF22F2">
      <w:pPr>
        <w:keepNext/>
        <w:spacing w:before="120" w:after="120" w:line="312" w:lineRule="auto"/>
        <w:rPr>
          <w:color w:val="000000"/>
          <w:sz w:val="28"/>
        </w:rPr>
      </w:pPr>
      <w:r w:rsidRPr="00FF22F2">
        <w:rPr>
          <w:color w:val="000000"/>
          <w:sz w:val="28"/>
        </w:rPr>
        <w:t>GDOŚ ustalił i zważył co następuje.</w:t>
      </w:r>
    </w:p>
    <w:p w14:paraId="7FE0097C" w14:textId="77777777" w:rsidR="00FF22F2" w:rsidRPr="00FF22F2" w:rsidRDefault="00FF22F2" w:rsidP="00FF22F2">
      <w:pPr>
        <w:spacing w:line="312" w:lineRule="auto"/>
        <w:rPr>
          <w:bCs/>
          <w:sz w:val="28"/>
        </w:rPr>
      </w:pPr>
      <w:bookmarkStart w:id="1" w:name="_Hlk126659402"/>
      <w:r w:rsidRPr="00FF22F2">
        <w:rPr>
          <w:bCs/>
          <w:sz w:val="28"/>
        </w:rPr>
        <w:t xml:space="preserve">Jak wynika z art. 127 ust. 3 ustawy z dnia 3 października 2008 r. o udostępnianiu informacji o środowisku i jego ochronie, udziale społeczeństwa w ochronie środowiska oraz o ocenach oddziaływania na środowisko (Dz. U. z 2023 r. poz. 1094, ze zm.), dalej u.o.o.ś., </w:t>
      </w:r>
      <w:bookmarkEnd w:id="1"/>
      <w:r w:rsidRPr="00FF22F2">
        <w:rPr>
          <w:bCs/>
          <w:sz w:val="28"/>
        </w:rPr>
        <w:t>GDOŚ pełni funkcję organu wyższego stopnia w rozumieniu Kodeksu postępowania administracyjnego w stosunku do regionalnych dyrektorów ochrony środowiska, zatem, zgodnie z art. 127 § 2 k.p.a., jest organem właściwym do rozpatrzenia odwołania od decyzji RDOŚ w Warszawie.</w:t>
      </w:r>
    </w:p>
    <w:p w14:paraId="50D8D30E" w14:textId="440C33C9" w:rsidR="00FF22F2" w:rsidRPr="00FF22F2" w:rsidRDefault="00FF22F2" w:rsidP="00FF22F2">
      <w:pPr>
        <w:spacing w:line="312" w:lineRule="auto"/>
        <w:rPr>
          <w:bCs/>
          <w:sz w:val="28"/>
        </w:rPr>
      </w:pPr>
      <w:r w:rsidRPr="00FF22F2">
        <w:rPr>
          <w:bCs/>
          <w:sz w:val="28"/>
        </w:rPr>
        <w:t>Odwołanie zostało wniesione z zachowaniem terminu przewidzianego w art. 129 § 2 k.p.a. – decyzja RDOŚ w Warszawie z 25 maja 2022 r. została doręczona skarżącemu 30 maja 2022 r., natomiast odwołanie wniósł 9 czerwca 2022 r.</w:t>
      </w:r>
    </w:p>
    <w:p w14:paraId="2925A76A" w14:textId="0428B0E0" w:rsidR="00FF22F2" w:rsidRPr="00FF22F2" w:rsidRDefault="00FF22F2" w:rsidP="00FF22F2">
      <w:pPr>
        <w:spacing w:line="312" w:lineRule="auto"/>
        <w:rPr>
          <w:bCs/>
          <w:sz w:val="28"/>
        </w:rPr>
      </w:pPr>
      <w:r w:rsidRPr="00FF22F2">
        <w:rPr>
          <w:bCs/>
          <w:sz w:val="28"/>
        </w:rPr>
        <w:t xml:space="preserve">W karcie informacyjnej przedsięwzięcia oraz w raporcie o oddziaływaniu przedsięwzięcia na środowisko wnioskodawca przedstawił informacje, że </w:t>
      </w:r>
      <w:r w:rsidRPr="00FF22F2">
        <w:rPr>
          <w:bCs/>
          <w:i/>
          <w:sz w:val="28"/>
        </w:rPr>
        <w:t>w ramach inwestycji planuje się wykonanie nawierzchni. Nawierzchnia zostanie wykonana w technologii na gorąco z mieszanki mineralno-bitumicznej. Na przedmiotowym odcinku drogi zastosowana będzie nawierzchnia drogowa ograniczająca emisję hałasu o nie mniej niż 5dB oraz wykonane zostaną nasadzenia drzew, krzewów i trawników. Projektowany odcinek drogi będzie posiadać długość ok. 1,9 km (4+450-6+340 km). Całkowita powierzchnia terenu inwestycji wynosić będzie ok. 9,6 ha.</w:t>
      </w:r>
    </w:p>
    <w:p w14:paraId="2494537E" w14:textId="2AA1FA67" w:rsidR="00FF22F2" w:rsidRPr="00FF22F2" w:rsidRDefault="00FF22F2" w:rsidP="00FF22F2">
      <w:pPr>
        <w:spacing w:line="312" w:lineRule="auto"/>
        <w:rPr>
          <w:color w:val="000000"/>
          <w:sz w:val="28"/>
        </w:rPr>
      </w:pPr>
      <w:r w:rsidRPr="00FF22F2">
        <w:rPr>
          <w:color w:val="000000"/>
          <w:sz w:val="28"/>
        </w:rPr>
        <w:t xml:space="preserve">W przedmiotowym postępowaniu przy ocenie kwalifikacji omawianego przedsięwzięcia należy uwzględnić przepis § 4 </w:t>
      </w:r>
      <w:r w:rsidRPr="00FF22F2">
        <w:rPr>
          <w:iCs/>
          <w:color w:val="000000"/>
          <w:sz w:val="28"/>
        </w:rPr>
        <w:t>rozporządzenia Rady Ministrów z dnia 10 września 2019 r.</w:t>
      </w:r>
      <w:r w:rsidRPr="00FF22F2">
        <w:rPr>
          <w:color w:val="000000"/>
          <w:sz w:val="28"/>
        </w:rPr>
        <w:t xml:space="preserve"> w sprawie przedsięwzięć mogących znacząco oddziaływać na środowisko </w:t>
      </w:r>
      <w:r w:rsidRPr="00FF22F2">
        <w:rPr>
          <w:color w:val="000000"/>
          <w:spacing w:val="-4"/>
          <w:sz w:val="28"/>
        </w:rPr>
        <w:t>(Dz. U. poz. 1839)</w:t>
      </w:r>
      <w:r w:rsidRPr="00FF22F2">
        <w:rPr>
          <w:color w:val="000000"/>
          <w:sz w:val="28"/>
        </w:rPr>
        <w:t xml:space="preserve">, zgodnie z którym do przedsięwzięć, w przypadku których przed dniem wejścia w życie </w:t>
      </w:r>
      <w:r w:rsidRPr="00FF22F2">
        <w:rPr>
          <w:color w:val="000000"/>
          <w:sz w:val="28"/>
        </w:rPr>
        <w:lastRenderedPageBreak/>
        <w:t>rozporządzenia wszczęto i nie zakończono przynajmniej jednego z postępowań w sprawie decyzji, zgłoszeń lub uchwał, o których mowa w art. 71 ust. 1 oraz art. 72 ust. 1-1b u.o.o.ś., stosuje się przepisy dotychczasowe</w:t>
      </w:r>
      <w:r w:rsidRPr="00FF22F2">
        <w:rPr>
          <w:i/>
          <w:iCs/>
          <w:color w:val="000000"/>
          <w:sz w:val="28"/>
        </w:rPr>
        <w:t>.</w:t>
      </w:r>
      <w:r w:rsidRPr="00FF22F2">
        <w:rPr>
          <w:color w:val="000000"/>
          <w:sz w:val="28"/>
        </w:rPr>
        <w:t xml:space="preserve"> W związku z powyższym w postępowaniu zastosowanie znajdują przepisy rozporządzenia </w:t>
      </w:r>
      <w:r w:rsidRPr="00FF22F2">
        <w:rPr>
          <w:sz w:val="28"/>
        </w:rPr>
        <w:t>Rady Ministrów z dnia 9 listopada 2010 r. w sprawie przedsięwzięć mogących znacząco oddziaływać na środowisko (Dz. U. z 2016 r. poz. 71), dalej r.o.o.ś</w:t>
      </w:r>
      <w:r w:rsidRPr="00FF22F2">
        <w:rPr>
          <w:color w:val="000000"/>
          <w:sz w:val="28"/>
        </w:rPr>
        <w:t>.</w:t>
      </w:r>
    </w:p>
    <w:p w14:paraId="6953D546" w14:textId="77777777" w:rsidR="00FF22F2" w:rsidRPr="00FF22F2" w:rsidRDefault="00FF22F2" w:rsidP="00FF22F2">
      <w:pPr>
        <w:spacing w:line="312" w:lineRule="auto"/>
        <w:rPr>
          <w:sz w:val="28"/>
        </w:rPr>
      </w:pPr>
      <w:r w:rsidRPr="00FF22F2">
        <w:rPr>
          <w:bCs/>
          <w:sz w:val="28"/>
        </w:rPr>
        <w:t xml:space="preserve">Pismem z 28 grudnia 2022 r., znak: DOOŚ-WDŚZOO.420.46.2022.KN.1, GDOŚ zwrócił się do Powiatowego Inspektora Nadzoru Budowlanego dla m.st. Warszawy z prośbą o stanowisko dotyczące statusu prawnego decyzji PINB dla m.st. Warszawy z 10 września 2018 r., nr: IOT/117/U/2018, oraz oceny, czy przedsięwzięcie zostało już zrealizowane. </w:t>
      </w:r>
      <w:r w:rsidRPr="00FF22F2">
        <w:rPr>
          <w:sz w:val="28"/>
        </w:rPr>
        <w:t xml:space="preserve">Organ ten, pismem z 18 stycznia 2023 r., znak: PINB.IOT.5121.74.2018.API, wyjaśnił, że </w:t>
      </w:r>
    </w:p>
    <w:p w14:paraId="5029C9BA" w14:textId="77777777" w:rsidR="00FF22F2" w:rsidRPr="00FF22F2" w:rsidRDefault="00FF22F2" w:rsidP="00FF22F2">
      <w:pPr>
        <w:pStyle w:val="Akapitzlist"/>
        <w:numPr>
          <w:ilvl w:val="0"/>
          <w:numId w:val="21"/>
        </w:numPr>
        <w:spacing w:line="312" w:lineRule="auto"/>
        <w:ind w:left="709" w:hanging="425"/>
        <w:rPr>
          <w:sz w:val="28"/>
        </w:rPr>
      </w:pPr>
      <w:r w:rsidRPr="00FF22F2">
        <w:rPr>
          <w:sz w:val="28"/>
        </w:rPr>
        <w:t>decyzja PINB dla m.st. Warszawy z 10 września 2018 r. udzielająca Prezydentowi miasta stołecznego Warszawy pozwolenia na użytkowanie ulicy Nowolazurowej na odcinku od Al. Jerozolimskich do Trasy AK, zadanie C na odcinku od ul. Sterniczej do ul. Górczewskiej pod warunkiem przedłożenia decyzji o środowiskowych uwarunkowaniach w sprawie wykonania ekranów akustycznych od strony wschodniej i zachodniej oraz przedłożenia pozytywnej opinii Państwowego Powiatowego Inspektora Sanitarnego w m.st. Warszawie znajduje się w obrocie prawnym;</w:t>
      </w:r>
    </w:p>
    <w:p w14:paraId="6E2CC29A" w14:textId="77777777" w:rsidR="00FF22F2" w:rsidRPr="00FF22F2" w:rsidRDefault="00FF22F2" w:rsidP="00FF22F2">
      <w:pPr>
        <w:pStyle w:val="Akapitzlist"/>
        <w:numPr>
          <w:ilvl w:val="0"/>
          <w:numId w:val="21"/>
        </w:numPr>
        <w:spacing w:line="312" w:lineRule="auto"/>
        <w:ind w:left="709" w:hanging="425"/>
        <w:rPr>
          <w:sz w:val="28"/>
        </w:rPr>
      </w:pPr>
      <w:r w:rsidRPr="00FF22F2">
        <w:rPr>
          <w:sz w:val="28"/>
        </w:rPr>
        <w:t>przedmiotowa inwestycja nie została całkowicie zrealizowana pod względem faktycznym i prawnym.</w:t>
      </w:r>
    </w:p>
    <w:p w14:paraId="46328C93" w14:textId="77777777" w:rsidR="00FF22F2" w:rsidRPr="00FF22F2" w:rsidRDefault="00FF22F2" w:rsidP="00FF22F2">
      <w:pPr>
        <w:spacing w:line="312" w:lineRule="auto"/>
        <w:ind w:firstLine="708"/>
        <w:rPr>
          <w:sz w:val="28"/>
        </w:rPr>
      </w:pPr>
      <w:r w:rsidRPr="00FF22F2">
        <w:rPr>
          <w:bCs/>
          <w:sz w:val="28"/>
        </w:rPr>
        <w:t xml:space="preserve">Organ odwoławczy dokonał analizy całości dokumentacji niniejszej sprawy i stwierdził, że omawiana inwestycja, zgodnie z przedstawioną charakterystyką przedsięwzięcia, należy do przedsięwzięć mogących potencjalnie znacząco oddziaływać na środowisko, a tym samym wymaga uzyskania decyzji o środowiskowych uwarunkowaniach. </w:t>
      </w:r>
      <w:r w:rsidRPr="00FF22F2">
        <w:rPr>
          <w:sz w:val="28"/>
        </w:rPr>
        <w:t xml:space="preserve">Zgodnie bowiem z § 3 ust. 2 pkt 2 r.o.o.ś. do przedsięwzięć mogących potencjalnie znacząco oddziaływać na środowisko zalicza się również przedsięwzięcia polegające na rozbudowie, przebudowie lub montażu realizowanego lub zrealizowanego przedsięwzięcia wymienionego w ust. 1, z wyłączeniem przypadków, w których ulegająca zmianie lub powstająca w wyniku rozbudowy, przebudowy lub montażu część realizowanego lub zrealizowanego przedsięwzięcia nie osiąga </w:t>
      </w:r>
      <w:r w:rsidRPr="00FF22F2">
        <w:rPr>
          <w:sz w:val="28"/>
        </w:rPr>
        <w:lastRenderedPageBreak/>
        <w:t>progów określonych w ust. 1, o ile progi te zostały określone. W ocenie organu odwoławczego przedmiotowe przedsięwzięcie spełnia przesłanki „przebudowy” określone w art. 3 pkt 7a ustawy z dnia 7 lipca 1994 r. – Prawo budowlane (Dz. U. z 2024 r. poz. 725), dalej p.b., a także „przebudowy drogi”, o której mowa w art. 4 pkt 18 ustawy z dnia 21 marca 1985 r. o drogach publicznych (Dz. U. z 2022 r. poz. 1783, ze zm.), dalej u.d.p. Zgodnie z art. 3 pkt 7a p.b. przebudowę należy rozumieć jako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kondygnacji; w przypadku dróg są dopuszczalne zmiany charakterystycznych parametrów w zakresie niewymagającym zmiany granic pasa drogowego. Natomiast w art. 4 pkt 18 u.d.p. określono, iż przebudowa drogi oznacza wykonywanie robót, w których wyniku następuje podwyższenie parametrów technicznych i eksploatacyjnych istniejącej drogi, niewymagających zmiany granic pasa drogowego.</w:t>
      </w:r>
    </w:p>
    <w:p w14:paraId="1C47BC58" w14:textId="77777777" w:rsidR="00FF22F2" w:rsidRPr="00FF22F2" w:rsidRDefault="00FF22F2" w:rsidP="00FF22F2">
      <w:pPr>
        <w:spacing w:line="312" w:lineRule="auto"/>
        <w:rPr>
          <w:sz w:val="28"/>
        </w:rPr>
      </w:pPr>
      <w:r w:rsidRPr="00FF22F2">
        <w:rPr>
          <w:sz w:val="28"/>
        </w:rPr>
        <w:t xml:space="preserve">Należy wskazać, że odtworzenie nawierzchni o odmiennych parametrach akustycznych prowadzi do przebudowy istniejącej drogi, a nie jedynie do jej remontu, ponieważ dochodzi wówczas do zmiany istotnego parametru użytkowego, jakim jest zdolność do emisji akustycznej na styku jezdni i opony pojazdu. Pogląd, iż roboty budowlane prowadzące do zmiany właściwości akustycznych obiektu budowlanego stanowią o przebudowie tego obiektu (a nie jedynie o jego remoncie) wyraził Naczelny Sąd Administracyjny w wyroku z 10 czerwca 2019  r., sygn. akt: II OSK 1416/18: </w:t>
      </w:r>
      <w:r w:rsidRPr="00FF22F2">
        <w:rPr>
          <w:i/>
          <w:iCs/>
          <w:sz w:val="28"/>
        </w:rPr>
        <w:t xml:space="preserve">Rację ma Sąd wojewódzki twierdząc, że wykonywanie robót budowlanych, w wyniku których następuje zmiana parametrów akustycznych podłogi, nawet jeśli nie wiązało się to z ingerencją w konstrukcję nośną budynku spełnia definicję „przebudowy”. Nie można zatem zrealizowanych robót budowlanych zakwalifikować jako „remont” w rozumieniu art. 3 pkt 8 Pr. bud. Z przebudową mamy do czynienia wówczas, gdy wykonywane są roboty budowlane, w wyniku których następuje zmiana parametrów użytkowych lub technicznych istniejącego obiektu budowlanego, z wyjątkiem charakterystycznych parametrów, jak: kubatura, powierzchnia zabudowy, wysokość, długość, szerokość bądź liczba kondygnacji. Zrealizowane przez skarżących kasacyjnie roboty ingerujące w strop w zakresie izolacyjności </w:t>
      </w:r>
      <w:r w:rsidRPr="00FF22F2">
        <w:rPr>
          <w:i/>
          <w:iCs/>
          <w:sz w:val="28"/>
        </w:rPr>
        <w:lastRenderedPageBreak/>
        <w:t>akustycznej doprowadziły do zmiany parametrów technicznych budynku</w:t>
      </w:r>
      <w:r w:rsidRPr="00FF22F2">
        <w:rPr>
          <w:sz w:val="28"/>
        </w:rPr>
        <w:t>. Zdaniem organu odwoławczego pogląd ten zachowuje swoją aktualność również w odniesieniu do zmiany dotychczasowej nawierzchni drogi na nawierzchnię charakteryzującą się niższą emisją hałasu. Ponadto w ocenie GDOŚ obniżenie poziomu emisji akustycznej stanowi o podwyższeniu parametrów technicznych i eksploatacyjnych istniejącej drogi, co świadczy o jej przebudowie w myśl art. 4 pkt 18 u.d.p. Zgodnie natomiast z art. 3 § 2 pkt 2 w związku z art. 3 § 1 pkt 60 r.o.o.ś. przebudowa drogi o nawierzchni twardej na odcinku dłuższym niż 1 km stanowi przedsięwzięcie mogące potencjalnie znacząco oddziaływać na środowisko. Z tego też względu GDOŚ nie podziela stanowiska RDOŚ w Warszawie przedstawionego w uzasadnieniu zaskarżonej decyzji, że analizowane przedsięwzięcie nie stanowi przedsięwzięcia mogącego znacząco oddziaływać na środowisko oraz że nie wymaga uzyskania decyzji o środowiskowych uwarunkowaniach.</w:t>
      </w:r>
    </w:p>
    <w:p w14:paraId="071146C0" w14:textId="77777777" w:rsidR="00FF22F2" w:rsidRPr="00FF22F2" w:rsidRDefault="00FF22F2" w:rsidP="00FF22F2">
      <w:pPr>
        <w:spacing w:line="312" w:lineRule="auto"/>
        <w:rPr>
          <w:sz w:val="28"/>
        </w:rPr>
      </w:pPr>
      <w:r w:rsidRPr="00FF22F2">
        <w:rPr>
          <w:sz w:val="28"/>
        </w:rPr>
        <w:t xml:space="preserve">Mając na uwadze powyższe, GDOŚ przychyla się zarzutu skarżącego odnośnie naruszenia przez RDOŚ w Warszawie art. 105 § 1 k.p.a. </w:t>
      </w:r>
      <w:r w:rsidRPr="00FF22F2">
        <w:rPr>
          <w:bCs/>
          <w:sz w:val="28"/>
        </w:rPr>
        <w:t xml:space="preserve">Zgodnie z tym przepisem, gdy postępowanie z jakiejkolwiek przyczyny stało się bezprzedmiotowe w całości albo w części, organ administracji publicznej wydaje decyzję o umorzeniu postępowania odpowiednio w całości albo w części. Bezprzedmiotowość postępowania wynikać będzie z kilku różnych przyczyn, które można podzielić na podmiotowe oraz przedmiotowe (por. B Adamiak, J. Borkowski, </w:t>
      </w:r>
      <w:r w:rsidRPr="00FF22F2">
        <w:rPr>
          <w:bCs/>
          <w:i/>
          <w:sz w:val="28"/>
        </w:rPr>
        <w:t>Kodeks postępowania administracyjnego. Komentarz</w:t>
      </w:r>
      <w:r w:rsidRPr="00FF22F2">
        <w:rPr>
          <w:bCs/>
          <w:sz w:val="28"/>
        </w:rPr>
        <w:t>, Warszawa 2021, str. 664). Bezprzedmiotowość postępowania o charakterze przedmiotowym ma miejsce m.in. w sytuacji braku podstaw prawnych lub faktycznych do prowadzenia postępowania administracyjnego oraz wydania decyzji merytorycznie rozstrzygającej sprawę. Wbrew twierdzeniu organu pierwszej instancji, w</w:t>
      </w:r>
      <w:r w:rsidRPr="00FF22F2">
        <w:rPr>
          <w:sz w:val="28"/>
        </w:rPr>
        <w:t xml:space="preserve"> toku prowadzenia postępowania pierwszoinstancyjnego nie wystąpiły przesłanki bezprzedmiotowości, które uzasadniałyby umorzenie postępowania w przedmiotowej sprawie.</w:t>
      </w:r>
    </w:p>
    <w:p w14:paraId="3CD3F1DE" w14:textId="77777777" w:rsidR="00FF22F2" w:rsidRPr="00FF22F2" w:rsidRDefault="00FF22F2" w:rsidP="00FF22F2">
      <w:pPr>
        <w:spacing w:line="312" w:lineRule="auto"/>
        <w:rPr>
          <w:sz w:val="28"/>
        </w:rPr>
      </w:pPr>
      <w:r w:rsidRPr="00FF22F2">
        <w:rPr>
          <w:sz w:val="28"/>
        </w:rPr>
        <w:t>W konsekwencji przyjąć należy, że uzasadnienie decyzji RDOŚ w Warszawie z 25 maja 2022 r. jest wadliwe, bowiem nie zawiera przekonujących argumentów na poparcie podjętego w sprawie rozstrzygnięcia o konieczności umorzenia postępowania w sprawie, ze względu na bezprzedmiotowość postępowania. Tym samym zasadny jest również zarzut naruszenia art. 107 § 3 k.p.a.</w:t>
      </w:r>
    </w:p>
    <w:p w14:paraId="29F29B61" w14:textId="77777777" w:rsidR="00FF22F2" w:rsidRPr="00FF22F2" w:rsidRDefault="00FF22F2" w:rsidP="00FF22F2">
      <w:pPr>
        <w:spacing w:line="312" w:lineRule="auto"/>
        <w:rPr>
          <w:sz w:val="28"/>
        </w:rPr>
      </w:pPr>
      <w:r w:rsidRPr="00FF22F2">
        <w:rPr>
          <w:sz w:val="28"/>
        </w:rPr>
        <w:lastRenderedPageBreak/>
        <w:t xml:space="preserve">Zdaniem GDOŚ zarzut skarżącego dotyczący nieuwzględnienia przez RDOŚ w Warszawie wyroku WSA w Warszawie z 30 lipca 2020 r., sygn. akt: IV SA/Wa 26/20, w toku prowadzonego postępowania pierwszoinstancyjnego jest nietrafiony. Przedmiotem kontrolowanego postępowania administracyjnego przez WSA w Warszawie była decyzja GDOŚ z 9 października 2019 r., znak: DOOŚ-WDŚ/ZIL.420.137.2019.EK.6, która utrzymywała w mocy decyzję RDOŚ w Warszawie z 18 lutego 2019 r., znak: WOOŚ-II-4207.33.2017.TR.36. Oba organy w swoich decyzjach zajęły stanowisko, że należy umorzyć postępowanie administracyjne w sytuacji, gdy brak jest możliwości wydania decyzji o środowiskowych uwarunkowaniach dla inwestycji, która jest w trakcie realizacji bądź jest już zrealizowana. Z treści uzasadnienia wyroku WSA w Warszawie z 30 lipca 2020 r. wynika, że kontrola sądowa była prowadzona w ramach zbadania możliwości wydania decyzji o środowiskowych uwarunkowaniach dla inwestycji w trakcie realizacji bądź zrealizowanej. WSA w Warszawie wyrokiem z 30 lipca 2020 r. uchylił zarówno decyzję GDOŚ z 9 października 2019 r., jak i decyzję RDOŚ w Warszawie z 18 lutego 2019 r., argumentując w uzasadnieniu wyroku, że </w:t>
      </w:r>
      <w:r w:rsidRPr="00FF22F2">
        <w:rPr>
          <w:color w:val="000000"/>
          <w:sz w:val="28"/>
          <w:lang w:bidi="pl-PL"/>
        </w:rPr>
        <w:t xml:space="preserve">w praktyce stosowania art. 71 u.o.o.ś. występują sytuacje, wywołujące konieczność rozważenia dopuszczalności określenia środowiskowych uwarunkowań dla przedsięwzięć, których realizację już rozpoczęto czy wręcz dla przedsięwzięć już zrealizowanych. Z treści uzasadnienia wyroku WSA w Warszawie z 30 lipca 2020 r. wynika, że nie zbadał on klasyfikacji przedmiotowego przedsięwzięcia zgodnie z r.o.o.ś. ani nie przesądził, czy analizowane przedsięwzięci należy do przedsięwzięć mogących znacząco oddziaływać na środowisko, a w konsekwencji nie zawarł w wyroku wiążącej oceny prawnej i wskazań co do dalszego postępowania w tej kwestii. </w:t>
      </w:r>
    </w:p>
    <w:p w14:paraId="5B3FA7E3" w14:textId="77777777" w:rsidR="00FF22F2" w:rsidRPr="00FF22F2" w:rsidRDefault="00FF22F2" w:rsidP="00FF22F2">
      <w:pPr>
        <w:spacing w:line="312" w:lineRule="auto"/>
        <w:rPr>
          <w:sz w:val="28"/>
        </w:rPr>
      </w:pPr>
      <w:r w:rsidRPr="00FF22F2">
        <w:rPr>
          <w:sz w:val="28"/>
        </w:rPr>
        <w:t>Podsumowując, treść uzasadnienia wyroku WSA w Warszawie z 30 lipca 2020 r. nie wskazuje na to, aby kontrola sądowa obejmowała analizę klasyfikacji przedsięwzięcia ujętego we wniosku inwestora o wydanie decyzji o środowiskowych uwarunkowaniach, więc z uwagi na to RDOŚ w Warszawie miał prawo zbadać tę kwestię (chociaż zrobił to błędnie), tym samym zarzut nieuwzględnienia ww. wyroku WSA w Warszawie w toczącym się postępowaniu jest niezasadny.</w:t>
      </w:r>
    </w:p>
    <w:p w14:paraId="34188C87" w14:textId="77777777" w:rsidR="00FF22F2" w:rsidRPr="00FF22F2" w:rsidRDefault="00FF22F2" w:rsidP="00FF22F2">
      <w:pPr>
        <w:spacing w:line="312" w:lineRule="auto"/>
        <w:rPr>
          <w:color w:val="FF0000"/>
          <w:sz w:val="28"/>
        </w:rPr>
      </w:pPr>
      <w:r w:rsidRPr="00FF22F2">
        <w:rPr>
          <w:sz w:val="28"/>
        </w:rPr>
        <w:lastRenderedPageBreak/>
        <w:t>GDOŚ zgadza się z zarzutem skarżącego, że RDOŚ w Warszawie naruszył art. 7 i art. 77 § 1 k.p.a.</w:t>
      </w:r>
      <w:r w:rsidRPr="00FF22F2">
        <w:rPr>
          <w:color w:val="000000" w:themeColor="text1"/>
          <w:sz w:val="28"/>
        </w:rPr>
        <w:t xml:space="preserve"> </w:t>
      </w:r>
      <w:r w:rsidRPr="00FF22F2">
        <w:rPr>
          <w:sz w:val="28"/>
        </w:rPr>
        <w:t xml:space="preserve">przez nieuwzględnienie materiału dowodowego niezbędnego do wyjaśnienia istotnych okoliczności dla podjęcia rozstrzygnięcia dotyczącego wydania decyzji o środowiskowych uwarunkowaniach. RDOŚ w Warszawie przed wydaniem decyzji z 25 maja 2022 r. nie podjął wszelkich niezbędnych czynności do dokładnego wyjaśnienia stanu faktycznego oraz do załatwienia sprawy, mając na względzie interes społeczny i słuszny interes obywateli, bowiem nie przeprowadził postępowania wyjaśniającego w celu określenia środowiskowych uwarunkowań realizacji przedsięwzięcia, w szczególności nie dokonał weryfikacji raportu o oddziaływaniu przedsięwzięcia na środowisko ani nie wystąpił na podstawie art. 77 ust. 1 u.o.o.ś. o opinię do Państwowego Powiatowego Inspektora Sanitarnego w Warszawie. </w:t>
      </w:r>
    </w:p>
    <w:p w14:paraId="2CD3E173" w14:textId="77777777" w:rsidR="00FF22F2" w:rsidRPr="00FF22F2" w:rsidRDefault="00FF22F2" w:rsidP="00FF22F2">
      <w:pPr>
        <w:spacing w:line="312" w:lineRule="auto"/>
        <w:rPr>
          <w:color w:val="000000"/>
          <w:sz w:val="28"/>
          <w:lang w:bidi="pl-PL"/>
        </w:rPr>
      </w:pPr>
      <w:r w:rsidRPr="00FF22F2">
        <w:rPr>
          <w:color w:val="000000"/>
          <w:sz w:val="28"/>
          <w:lang w:bidi="pl-PL"/>
        </w:rPr>
        <w:t>Należy również zgodzić się ze skarżącym, że organ pierwszej instancji naruszył wyrażoną w art. 8 k.p.a. zasadę zaufania do władzy publicznej, a ponadto wynikającą z art. 11 k.p.a. zasadę przekonywania stron. Jak wskazuje się w orzecznictwie sądów administracyjnych, zasada przekonywania sprowadza się do wyjaśnienia stronie, że adresowana do niej decyzja wynika z racjonalnych przesłanek i jest oparta o przepisy obowiązującego prawa, to znaczy, że w istniejącym stanie prawnym i faktycznym sprawy wydanie innej decyzji było niemożliwe. Organ odpowiada za naruszenie tej zasady, jeżeli nie podejmie lub bezpodstawnie odstąpi od czynności mających przekonać stronę o zasadności decyzji, np. odstąpi od uzasadnienia decyzji. Zasada ta nakłada na organ obowiązek dołożenia należytej staranności w wyjaśnieniu stronie zasadności podjętego rozstrzygnięcia. Nie wymaga się zaś od niego osiągnięcia rezultatu, to znaczy przekonania strony o tym, że adresowana do niej decyzji jest słuszna i zgodna z prawem (por. wyrok NSA z 29 czerwca 2010 r., sygn. akt: I OSK 124/10).</w:t>
      </w:r>
    </w:p>
    <w:p w14:paraId="577CBA6A" w14:textId="77777777" w:rsidR="00FF22F2" w:rsidRPr="00FF22F2" w:rsidRDefault="00FF22F2" w:rsidP="00FF22F2">
      <w:pPr>
        <w:spacing w:line="312" w:lineRule="auto"/>
        <w:rPr>
          <w:color w:val="000000"/>
          <w:sz w:val="28"/>
          <w:lang w:bidi="pl-PL"/>
        </w:rPr>
      </w:pPr>
      <w:r w:rsidRPr="00FF22F2">
        <w:rPr>
          <w:color w:val="000000"/>
          <w:sz w:val="28"/>
          <w:lang w:bidi="pl-PL"/>
        </w:rPr>
        <w:t xml:space="preserve">W ocenie GDOŚ o naruszeniu zasady przekonywania stron postępowania świadczy w szczególności lakoniczny i nieczytelny sposób odnoszenia się przez RDOŚ w Warszawie do uwag złożonych na etapie udziału społeczeństwa. Organ pierwszej instancji ograniczył się w zasadzie do wymienienia na str. 5-12 decyzji z 25 maja 2022 r. imion i nazwisk kilkuset osób, które złożyły uwagi na etapie udziału społeczeństwa, a także dat wniesienia poszczególnych pism. Informacje te nie miały żadnego znaczenia w przedmiotowej sprawie, a ich </w:t>
      </w:r>
      <w:r w:rsidRPr="00FF22F2">
        <w:rPr>
          <w:color w:val="000000"/>
          <w:sz w:val="28"/>
          <w:lang w:bidi="pl-PL"/>
        </w:rPr>
        <w:lastRenderedPageBreak/>
        <w:t xml:space="preserve">zamieszczenie uzasadnieniu decyzji jest sprzeczne z zasadą szybkości postępowania administracyjnego, o której mowa w art. 12 k.p.a. Odnosząc się do uwag dotyczących raportu o oddziaływaniu przedsięwzięcia na środowisko oraz kwestii ochrony przed hałasem (m.in. zasadność budowy ekranów akustycznych, skuteczność cichej nawierzchni) RDOŚ w Warszawie </w:t>
      </w:r>
      <w:r w:rsidRPr="00FF22F2">
        <w:rPr>
          <w:iCs/>
          <w:color w:val="000000"/>
          <w:sz w:val="28"/>
          <w:lang w:bidi="pl-PL"/>
        </w:rPr>
        <w:t>stwierdził wyłącznie, że stały</w:t>
      </w:r>
      <w:r w:rsidRPr="00FF22F2">
        <w:rPr>
          <w:i/>
          <w:color w:val="000000"/>
          <w:sz w:val="28"/>
          <w:lang w:bidi="pl-PL"/>
        </w:rPr>
        <w:t xml:space="preserve"> </w:t>
      </w:r>
      <w:r w:rsidRPr="00FF22F2">
        <w:rPr>
          <w:iCs/>
          <w:color w:val="000000"/>
          <w:sz w:val="28"/>
          <w:lang w:bidi="pl-PL"/>
        </w:rPr>
        <w:t>się one bezzasadne wobec bezprzedmiotowości niniejszego postępowania</w:t>
      </w:r>
      <w:r w:rsidRPr="00FF22F2">
        <w:rPr>
          <w:i/>
          <w:color w:val="000000"/>
          <w:sz w:val="28"/>
          <w:lang w:bidi="pl-PL"/>
        </w:rPr>
        <w:t xml:space="preserve"> </w:t>
      </w:r>
      <w:r w:rsidRPr="00FF22F2">
        <w:rPr>
          <w:iCs/>
          <w:color w:val="000000"/>
          <w:sz w:val="28"/>
          <w:lang w:bidi="pl-PL"/>
        </w:rPr>
        <w:t>(str. 13- zaskarżonej decyzji)</w:t>
      </w:r>
      <w:r w:rsidRPr="00FF22F2">
        <w:rPr>
          <w:color w:val="000000"/>
          <w:sz w:val="28"/>
          <w:lang w:bidi="pl-PL"/>
        </w:rPr>
        <w:t>. Z uwagi na brak podstaw do umorzenia postępowania ze względu na jego bezprzedmiotowość, takie uzasadnienie decyzji narusza art. 107 § 3 k.p.a. oraz art. 85 ust. 2 pkt 1 u.o.o.ś. w stopniu mającym istotny wpływ na rozstrzygnięcie niniejszej sprawy.</w:t>
      </w:r>
    </w:p>
    <w:p w14:paraId="670852D7" w14:textId="4464BCE8" w:rsidR="00FF22F2" w:rsidRPr="00FF22F2" w:rsidRDefault="00FF22F2" w:rsidP="00FF22F2">
      <w:pPr>
        <w:suppressAutoHyphens/>
        <w:spacing w:line="312" w:lineRule="auto"/>
        <w:rPr>
          <w:sz w:val="28"/>
        </w:rPr>
      </w:pPr>
      <w:r w:rsidRPr="00FF22F2">
        <w:rPr>
          <w:sz w:val="28"/>
        </w:rPr>
        <w:t xml:space="preserve">Zgodnie z art. 138 § 2 </w:t>
      </w:r>
      <w:r w:rsidRPr="00FF22F2">
        <w:rPr>
          <w:iCs/>
          <w:sz w:val="28"/>
        </w:rPr>
        <w:t xml:space="preserve">k.p.a. </w:t>
      </w:r>
      <w:r w:rsidRPr="00FF22F2">
        <w:rPr>
          <w:sz w:val="28"/>
        </w:rPr>
        <w:t>organ odwoławczy może uchylić zaskarżoną decyzję w całości i przekazać sprawę do ponownego rozpatrzenia organowi pierwszej instancji, gdy decyzja ta została wydana z naruszeniem przepisów postępowania, a konieczny do wyjaśnienia zakres sprawy ma istotny wpływ na jej rozstrzygnięcie. Przekazując sprawę, organ ten powinien wskazać, jakie okoliczności należy wziąć pod uwagę przy ponownym rozpatrzeniu sprawy.</w:t>
      </w:r>
    </w:p>
    <w:p w14:paraId="455EF63F" w14:textId="77777777" w:rsidR="00FF22F2" w:rsidRPr="00FF22F2" w:rsidRDefault="00FF22F2" w:rsidP="00FF22F2">
      <w:pPr>
        <w:suppressAutoHyphens/>
        <w:spacing w:line="312" w:lineRule="auto"/>
        <w:rPr>
          <w:sz w:val="28"/>
        </w:rPr>
      </w:pPr>
      <w:r w:rsidRPr="00FF22F2">
        <w:rPr>
          <w:sz w:val="28"/>
        </w:rPr>
        <w:t xml:space="preserve">W doktrynie i orzecznictwie podkreśla się, że z naruszeniem przepisów postępowania, uzasadniającym wydanie decyzji kasacyjnej i przekazanie sprawy do ponownego rozpatrzenia, mamy do czynienia w sytuacji, gdy organ pierwszej instancji nie przeprowadził postępowania wyjaśniającego bądź postępowanie wyjaśniające zostało przeprowadzone, ale w istotny sposób naruszono w nim przepisy procesowe, a także w sytuacji naruszenia przez organ pierwszej instancji przepisów postępowania będących podstawą do wydania określonego rodzaju decyzji, które to naruszenie spowodowało pominięcie ustalenia istotnych okoliczności faktycznych sprawy (por. B. Adamiak, J. Borkowski, </w:t>
      </w:r>
      <w:r w:rsidRPr="00FF22F2">
        <w:rPr>
          <w:i/>
          <w:iCs/>
          <w:sz w:val="28"/>
        </w:rPr>
        <w:t>Kodeks postępowania administracyjnego. Komentarz</w:t>
      </w:r>
      <w:r w:rsidRPr="00FF22F2">
        <w:rPr>
          <w:sz w:val="28"/>
        </w:rPr>
        <w:t xml:space="preserve">, Wydawnictwo C.H. Beck, Warszawa 2021, str. 854-857 oraz wyrok NSA z 12 marca 2020 r., sygn. akt: II OSK 570/20). </w:t>
      </w:r>
    </w:p>
    <w:p w14:paraId="67199731" w14:textId="77777777" w:rsidR="00FF22F2" w:rsidRPr="00FF22F2" w:rsidRDefault="00FF22F2" w:rsidP="00FF22F2">
      <w:pPr>
        <w:suppressAutoHyphens/>
        <w:spacing w:line="312" w:lineRule="auto"/>
        <w:rPr>
          <w:iCs/>
          <w:sz w:val="28"/>
        </w:rPr>
      </w:pPr>
      <w:r w:rsidRPr="00FF22F2">
        <w:rPr>
          <w:iCs/>
          <w:sz w:val="28"/>
        </w:rPr>
        <w:t xml:space="preserve">Podsumowując, RDOŚ w Warszawie błędnie ocenił, że </w:t>
      </w:r>
      <w:r w:rsidRPr="00FF22F2">
        <w:rPr>
          <w:sz w:val="28"/>
        </w:rPr>
        <w:t xml:space="preserve">rodzaj oraz parametry techniczne </w:t>
      </w:r>
      <w:r w:rsidRPr="00FF22F2">
        <w:rPr>
          <w:iCs/>
          <w:sz w:val="28"/>
        </w:rPr>
        <w:t xml:space="preserve">omawianego przedsięwzięcia </w:t>
      </w:r>
      <w:r w:rsidRPr="00FF22F2">
        <w:rPr>
          <w:sz w:val="28"/>
        </w:rPr>
        <w:t xml:space="preserve">nie kwalifikują go do przedsięwzięć wymienionych w r.o.o.ś., a w konsekwencji, że nie wymaga ono uzyskania decyzji o środowiskowych uwarunkowaniach, w związku z czym, wydając decyzję z 25 maja 2022 r., naruszył art. 105 § 1 k.p.a., ponieważ nie wystąpiły podstawy do jego zastosowania w omawianym przypadku. </w:t>
      </w:r>
      <w:r w:rsidRPr="00FF22F2">
        <w:rPr>
          <w:iCs/>
          <w:sz w:val="28"/>
        </w:rPr>
        <w:t xml:space="preserve">Wskazane wyżej </w:t>
      </w:r>
      <w:r w:rsidRPr="00FF22F2">
        <w:rPr>
          <w:iCs/>
          <w:sz w:val="28"/>
        </w:rPr>
        <w:lastRenderedPageBreak/>
        <w:t>okoliczności sprawy oraz naruszenia przepisów postępowania mają istotny wpływ na rozstrzygnięcie analizowanej sprawy, przez co wykraczają poza dopuszczalność przeprowadzenia dodatkowego postępowania wyjaśniającego przez organ drugiej instancji. Z tego też względu GDOŚ nie mógł skorzystać z uprawnień wynikających z przepisu art. 136 k.p.a. oraz wydać decyzji rozstrzygającej sprawę merytorycznie, poprzez określenie środowiskowych uwarunkowań realizacji przedsięwzięcia. Prowadziłoby to bowiem do rozpatrzenia sprawy co do istoty w całym jej kształcie wyłącznie przez organ odwoławczy, a tym samym skutkowało naruszeniem zasady dwuinstancyjności postępowania administracyjnego. Takim działaniem organu odwoławczego strony postępowania zostałyby pozbawione prawa do dwukrotnego rozstrzygnięcia sprawy, raz przez organ pierwszej instancji, a następnie przez organ odwoławczy.</w:t>
      </w:r>
    </w:p>
    <w:p w14:paraId="5BCA1781" w14:textId="77777777" w:rsidR="00FF22F2" w:rsidRPr="00FF22F2" w:rsidRDefault="00FF22F2" w:rsidP="00FF22F2">
      <w:pPr>
        <w:suppressAutoHyphens/>
        <w:spacing w:line="312" w:lineRule="auto"/>
        <w:rPr>
          <w:iCs/>
          <w:sz w:val="28"/>
        </w:rPr>
      </w:pPr>
      <w:r w:rsidRPr="00FF22F2">
        <w:rPr>
          <w:iCs/>
          <w:sz w:val="28"/>
        </w:rPr>
        <w:t>Należy podkreślić, że zawarta w art. 15 k.p.a. zasada dwuinstancyjności postępowania administracyjnego jest jedną z podstawowych zasad procedury administracyjnej. Jej istota polega na dwukrotnym rozpatrzeniu i rozstrzygnięciu przez dwa różne organy administracji sprawy tożsamej pod względem przedmiotowym i podmiotowym. Zachowanie zasady dwuinstancyjności wymaga więc nie tylko podjęcia dwóch kolejnych rozstrzygnięć przez dwa właściwe w sprawie organy, ale konieczne jest, aby rozstrzygnięcia te zapadły w wyniku przeprowadzenia przez każdy z tych organów postępowania merytorycznego, tak aby dwukrotnie ocenić dowody i przeanalizować wszystkie istotne okoliczności sprawy (por. wyrok NSA z 22 lutego 2022 r., sygn. akt: II OSK 540/19).</w:t>
      </w:r>
    </w:p>
    <w:p w14:paraId="72F48E7F" w14:textId="77777777" w:rsidR="00FF22F2" w:rsidRPr="00FF22F2" w:rsidRDefault="00FF22F2" w:rsidP="00FF22F2">
      <w:pPr>
        <w:spacing w:line="312" w:lineRule="auto"/>
        <w:rPr>
          <w:sz w:val="28"/>
        </w:rPr>
      </w:pPr>
      <w:r w:rsidRPr="00FF22F2">
        <w:rPr>
          <w:iCs/>
          <w:sz w:val="28"/>
        </w:rPr>
        <w:t xml:space="preserve">W opinii organu odwoławczego wskazane w treści niniejszej decyzji okoliczności uzasadniają uchylenie decyzji RDOŚ w Warszawie z 25 maja 2022 r. w całości i przekazanie sprawy do ponownego rozpatrzenia organowi pierwszej instancji. </w:t>
      </w:r>
      <w:r w:rsidRPr="00FF22F2">
        <w:rPr>
          <w:sz w:val="28"/>
        </w:rPr>
        <w:t>Ponownie rozpoznając sprawę, RDOŚ w Warszawie obowiązany jest do przeanalizowania kwestii kwalifikacji omawianego przedsięwzięcia oraz do uwzględnienia możliwości wydania decyzji o środowiskowych uwarunkowaniach dla przedsięwzięcia zrealizowanego lub znajdującego się w trakcie realizacji zgodnie z wyrokiem WSA w Warszawie z 30 lipca 2020, sygn. akt: IV SA/Wa 26/20. O</w:t>
      </w:r>
      <w:r w:rsidRPr="00FF22F2">
        <w:rPr>
          <w:color w:val="000000"/>
          <w:sz w:val="28"/>
          <w:lang w:bidi="en-US"/>
        </w:rPr>
        <w:t xml:space="preserve">rgan pierwszej instancji będzie również zobowiązany, aby w uzasadnieniu rozstrzygnięcia wydanego w wyniku </w:t>
      </w:r>
      <w:r w:rsidRPr="00FF22F2">
        <w:rPr>
          <w:color w:val="000000"/>
          <w:sz w:val="28"/>
          <w:lang w:bidi="en-US"/>
        </w:rPr>
        <w:lastRenderedPageBreak/>
        <w:t>ponownego rozpatrzenia sprawy odnieść się do uwag i wniosków złożonych przez strony postępowania w toku postępowania pierwszoinstancyjnego (przy czym należy ustalić, które spośród osób składających uwagi i wnioski posiadają przymiot strony).</w:t>
      </w:r>
    </w:p>
    <w:p w14:paraId="2B0B87CA" w14:textId="77777777" w:rsidR="00FF22F2" w:rsidRPr="00FF22F2" w:rsidRDefault="00FF22F2" w:rsidP="00FF22F2">
      <w:pPr>
        <w:suppressAutoHyphens/>
        <w:spacing w:after="240" w:line="312" w:lineRule="auto"/>
        <w:jc w:val="both"/>
        <w:rPr>
          <w:color w:val="000000"/>
          <w:sz w:val="28"/>
        </w:rPr>
      </w:pPr>
      <w:r w:rsidRPr="00FF22F2">
        <w:rPr>
          <w:color w:val="000000"/>
          <w:sz w:val="28"/>
        </w:rPr>
        <w:t>Wobec powyższego GDOŚ orzekł, jak w sentencji.</w:t>
      </w:r>
    </w:p>
    <w:p w14:paraId="635B53D5" w14:textId="19428577" w:rsidR="00E263A9" w:rsidRPr="00BB4CC5" w:rsidRDefault="00E263A9" w:rsidP="00E263A9">
      <w:pPr>
        <w:spacing w:after="120" w:line="312" w:lineRule="auto"/>
        <w:rPr>
          <w:color w:val="000000"/>
          <w:sz w:val="28"/>
          <w:szCs w:val="28"/>
        </w:rPr>
      </w:pPr>
      <w:r w:rsidRPr="00E263A9">
        <w:rPr>
          <w:color w:val="000000"/>
          <w:sz w:val="28"/>
          <w:szCs w:val="28"/>
        </w:rPr>
        <w:t>Pouczenie</w:t>
      </w:r>
    </w:p>
    <w:p w14:paraId="381AA76A" w14:textId="77777777" w:rsidR="00FF22F2" w:rsidRPr="00FF22F2" w:rsidRDefault="00FF22F2" w:rsidP="00FF22F2">
      <w:pPr>
        <w:pStyle w:val="Akapitzlist"/>
        <w:numPr>
          <w:ilvl w:val="0"/>
          <w:numId w:val="6"/>
        </w:numPr>
        <w:spacing w:line="312" w:lineRule="auto"/>
        <w:jc w:val="both"/>
        <w:rPr>
          <w:color w:val="000000"/>
          <w:sz w:val="28"/>
        </w:rPr>
      </w:pPr>
      <w:r w:rsidRPr="00FF22F2">
        <w:rPr>
          <w:color w:val="000000"/>
          <w:sz w:val="28"/>
        </w:rPr>
        <w:t>niniejsza decyzja jest ostateczna w administracyjnym toku instancji. Na decyzję, zgodnie z art. 64a w związku z art. 3 § 2a ustawy z dnia 30 sierpnia 2002 r. – Prawo o postępowaniu przed sądami administracyjnymi (Dz. U. z 2023 r. poz. 1634, ze zm.), dalej p.p.s.a., służy sprzeciw do Wojewódzkiego Sądu Administracyjnego w Warszawie;</w:t>
      </w:r>
    </w:p>
    <w:p w14:paraId="7195507E" w14:textId="77777777" w:rsidR="00FF22F2" w:rsidRPr="00FF22F2" w:rsidRDefault="00FF22F2" w:rsidP="00FF22F2">
      <w:pPr>
        <w:pStyle w:val="Akapitzlist"/>
        <w:numPr>
          <w:ilvl w:val="0"/>
          <w:numId w:val="6"/>
        </w:numPr>
        <w:spacing w:line="312" w:lineRule="auto"/>
        <w:jc w:val="both"/>
        <w:rPr>
          <w:color w:val="000000"/>
          <w:sz w:val="28"/>
        </w:rPr>
      </w:pPr>
      <w:r w:rsidRPr="00FF22F2">
        <w:rPr>
          <w:color w:val="000000"/>
          <w:sz w:val="28"/>
        </w:rPr>
        <w:t>zgodnie z art. 64c § 1 i 2 p.p.s.a. sprzeciw wnosi się za pośrednictwem GDOŚ w terminie czternastu dni od dnia doręczenia skarżącemu decyzji;</w:t>
      </w:r>
    </w:p>
    <w:p w14:paraId="083DDA74" w14:textId="77777777" w:rsidR="00FF22F2" w:rsidRPr="00FF22F2" w:rsidRDefault="00FF22F2" w:rsidP="00FF22F2">
      <w:pPr>
        <w:pStyle w:val="Akapitzlist"/>
        <w:numPr>
          <w:ilvl w:val="0"/>
          <w:numId w:val="6"/>
        </w:numPr>
        <w:spacing w:line="312" w:lineRule="auto"/>
        <w:jc w:val="both"/>
        <w:rPr>
          <w:color w:val="000000"/>
          <w:sz w:val="28"/>
        </w:rPr>
      </w:pPr>
      <w:r w:rsidRPr="00FF22F2">
        <w:rPr>
          <w:color w:val="000000"/>
          <w:sz w:val="28"/>
        </w:rPr>
        <w:t>skarżący, zgodnie z art. 230 p.p.s.a. w związku z § 2 ust. 1 pkt 6a rozporządzenia Rady Ministrów z dnia 16 grudnia 2003 r. w sprawie wysokości oraz szczegółowych zasad pobierania wpisu w postępowaniu przed sądami administracyjnymi (Dz. U. z 2021 r. poz. 535), obowiązany jest do uiszczenia wpisu od sprzeciwu w kwocie 100 zł. Skarżący, co wynika z art. 239 p.p.s.a., może być zwolniony z obowiązku uiszczenia kosztów sądowych;</w:t>
      </w:r>
    </w:p>
    <w:p w14:paraId="47F23E2D" w14:textId="77777777" w:rsidR="00FF22F2" w:rsidRPr="00FF22F2" w:rsidRDefault="00FF22F2" w:rsidP="00FF22F2">
      <w:pPr>
        <w:pStyle w:val="Akapitzlist"/>
        <w:numPr>
          <w:ilvl w:val="0"/>
          <w:numId w:val="6"/>
        </w:numPr>
        <w:spacing w:line="312" w:lineRule="auto"/>
        <w:jc w:val="both"/>
        <w:rPr>
          <w:color w:val="000000"/>
          <w:sz w:val="28"/>
        </w:rPr>
      </w:pPr>
      <w:r w:rsidRPr="00FF22F2">
        <w:rPr>
          <w:color w:val="000000"/>
          <w:sz w:val="28"/>
        </w:rPr>
        <w:t>skarżącemu, zgodnie z art. 243 p.p.s.a., może być przyznane, na jego wniosek, prawo pomocy. Wniosek ten wolny jest od opłat sądowych.</w:t>
      </w:r>
    </w:p>
    <w:p w14:paraId="7623E646" w14:textId="7E4C6946" w:rsidR="00E263A9" w:rsidRDefault="00E263A9" w:rsidP="00E263A9">
      <w:pPr>
        <w:spacing w:line="300" w:lineRule="auto"/>
        <w:rPr>
          <w:sz w:val="28"/>
          <w:szCs w:val="28"/>
        </w:rPr>
      </w:pPr>
    </w:p>
    <w:p w14:paraId="546F99DD" w14:textId="53671613" w:rsidR="00E263A9" w:rsidRPr="00FF22F2" w:rsidRDefault="00E263A9" w:rsidP="00FF22F2">
      <w:pPr>
        <w:spacing w:line="300" w:lineRule="auto"/>
        <w:rPr>
          <w:sz w:val="40"/>
          <w:szCs w:val="28"/>
        </w:rPr>
      </w:pPr>
    </w:p>
    <w:p w14:paraId="3A84C7BF" w14:textId="77777777" w:rsidR="00FF22F2" w:rsidRPr="00FF22F2" w:rsidRDefault="00FF22F2" w:rsidP="00FF22F2">
      <w:pPr>
        <w:spacing w:after="60"/>
        <w:rPr>
          <w:color w:val="000000"/>
          <w:sz w:val="28"/>
          <w:szCs w:val="20"/>
        </w:rPr>
      </w:pPr>
      <w:r w:rsidRPr="00FF22F2">
        <w:rPr>
          <w:sz w:val="28"/>
          <w:szCs w:val="20"/>
        </w:rPr>
        <w:t xml:space="preserve">Otrzymują: </w:t>
      </w:r>
    </w:p>
    <w:p w14:paraId="12EFC19B" w14:textId="77777777" w:rsidR="00FF22F2" w:rsidRPr="00FF22F2" w:rsidRDefault="00FF22F2" w:rsidP="00FF22F2">
      <w:pPr>
        <w:pStyle w:val="Akapitzlist"/>
        <w:numPr>
          <w:ilvl w:val="0"/>
          <w:numId w:val="1"/>
        </w:numPr>
        <w:spacing w:after="60" w:line="276" w:lineRule="auto"/>
        <w:contextualSpacing w:val="0"/>
        <w:rPr>
          <w:sz w:val="28"/>
          <w:szCs w:val="20"/>
        </w:rPr>
      </w:pPr>
      <w:r w:rsidRPr="00FF22F2">
        <w:rPr>
          <w:sz w:val="28"/>
          <w:szCs w:val="20"/>
        </w:rPr>
        <w:t>Dariusz Mosak – pełnomocnik Prezydenta miasta stołecznego Warszawy, Stołeczny Zarząd Rozbudowy Miasta, ul. Senatorska 29/31, 00-099 Warszawa</w:t>
      </w:r>
    </w:p>
    <w:p w14:paraId="12E31B46" w14:textId="77777777" w:rsidR="00FF22F2" w:rsidRPr="00FF22F2" w:rsidRDefault="00FF22F2" w:rsidP="00FF22F2">
      <w:pPr>
        <w:pStyle w:val="ListParagraph1"/>
        <w:numPr>
          <w:ilvl w:val="0"/>
          <w:numId w:val="1"/>
        </w:numPr>
        <w:spacing w:after="240" w:line="276" w:lineRule="auto"/>
        <w:ind w:left="714" w:hanging="357"/>
        <w:contextualSpacing w:val="0"/>
        <w:rPr>
          <w:sz w:val="28"/>
          <w:szCs w:val="20"/>
        </w:rPr>
      </w:pPr>
      <w:r w:rsidRPr="00FF22F2">
        <w:rPr>
          <w:color w:val="000000"/>
          <w:sz w:val="28"/>
          <w:szCs w:val="20"/>
        </w:rPr>
        <w:t xml:space="preserve">pozostałe strony postępowania na podstawie art. 49 k.p.a. w związku z art. 16 ustawy z dnia 7 kwietnia 2017 r. o zmianie ustawy – Kodeks Postępowania administracyjnego oraz niektórych innych ustaw ( Dz. U. poz. 935) oraz art. 74 ust. 3 u.o.o.ś. w związku z art. 4 ust. 1 ustawy z dnia 19 lipca 2019 r. o zmianie ustawy o udostępnianiu informacji o </w:t>
      </w:r>
      <w:r w:rsidRPr="00FF22F2">
        <w:rPr>
          <w:color w:val="000000"/>
          <w:sz w:val="28"/>
          <w:szCs w:val="20"/>
        </w:rPr>
        <w:lastRenderedPageBreak/>
        <w:t>środowisku i jego ochronie, udziale społeczeństwa w ochronie środowiska oraz o ocenach oddziaływania na środowisko oraz niektórych innych ustaw (Dz. U. poz. 1712) oraz art. 15 ust. 1 ustawy z dnia 13 lipca 2023 r. o zmianie ustawy o udostępnianiu informacji o środowisku i jego ochronie, udziale społeczeństwa w ochronie środowiska oraz o ocenach oddziaływania na środowisko oraz niektórych innych ustaw (Dz. U. poz. 1890)</w:t>
      </w:r>
    </w:p>
    <w:p w14:paraId="2D99F63E" w14:textId="77777777" w:rsidR="00FF22F2" w:rsidRPr="00FF22F2" w:rsidRDefault="00FF22F2" w:rsidP="00FF22F2">
      <w:pPr>
        <w:spacing w:after="60"/>
        <w:rPr>
          <w:color w:val="000000"/>
          <w:sz w:val="28"/>
          <w:szCs w:val="20"/>
        </w:rPr>
      </w:pPr>
      <w:r w:rsidRPr="00FF22F2">
        <w:rPr>
          <w:color w:val="000000"/>
          <w:sz w:val="28"/>
          <w:szCs w:val="20"/>
        </w:rPr>
        <w:t>Do wiadomości:</w:t>
      </w:r>
    </w:p>
    <w:p w14:paraId="068869A4" w14:textId="77777777" w:rsidR="00FF22F2" w:rsidRPr="00FF22F2" w:rsidRDefault="00FF22F2" w:rsidP="00FF22F2">
      <w:pPr>
        <w:pStyle w:val="Akapitzlist"/>
        <w:numPr>
          <w:ilvl w:val="0"/>
          <w:numId w:val="2"/>
        </w:numPr>
        <w:spacing w:after="60" w:line="276" w:lineRule="auto"/>
        <w:ind w:left="714" w:hanging="357"/>
        <w:contextualSpacing w:val="0"/>
        <w:rPr>
          <w:color w:val="000000" w:themeColor="text1"/>
          <w:sz w:val="28"/>
          <w:szCs w:val="20"/>
        </w:rPr>
      </w:pPr>
      <w:r w:rsidRPr="00FF22F2">
        <w:rPr>
          <w:color w:val="000000" w:themeColor="text1"/>
          <w:sz w:val="28"/>
          <w:szCs w:val="20"/>
        </w:rPr>
        <w:t>Regionalny Dyrektor Ochrony Środowiska w Warszawie, ul. Sienkiewicza 3, 00-015 Warszawa</w:t>
      </w:r>
    </w:p>
    <w:p w14:paraId="2C816669" w14:textId="225242C8" w:rsidR="00D64852" w:rsidRPr="00E263A9" w:rsidRDefault="00D64852" w:rsidP="00E263A9">
      <w:pPr>
        <w:spacing w:after="240" w:line="312" w:lineRule="auto"/>
        <w:rPr>
          <w:sz w:val="28"/>
          <w:szCs w:val="28"/>
        </w:rPr>
      </w:pPr>
    </w:p>
    <w:sectPr w:rsidR="00D64852" w:rsidRPr="00E263A9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F37FD" w14:textId="77777777" w:rsidR="00417391" w:rsidRDefault="00417391">
      <w:r>
        <w:separator/>
      </w:r>
    </w:p>
  </w:endnote>
  <w:endnote w:type="continuationSeparator" w:id="0">
    <w:p w14:paraId="7019ADF9" w14:textId="77777777" w:rsidR="00417391" w:rsidRDefault="0041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4705643E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0C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1EFB4" w14:textId="77777777" w:rsidR="00417391" w:rsidRDefault="00417391">
      <w:r>
        <w:separator/>
      </w:r>
    </w:p>
  </w:footnote>
  <w:footnote w:type="continuationSeparator" w:id="0">
    <w:p w14:paraId="3A5B882D" w14:textId="77777777" w:rsidR="00417391" w:rsidRDefault="00417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A44FA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3DB"/>
    <w:multiLevelType w:val="hybridMultilevel"/>
    <w:tmpl w:val="38E619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CC140D"/>
    <w:multiLevelType w:val="hybridMultilevel"/>
    <w:tmpl w:val="4D7873D2"/>
    <w:lvl w:ilvl="0" w:tplc="CF242B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0104FD"/>
    <w:multiLevelType w:val="hybridMultilevel"/>
    <w:tmpl w:val="B900DC02"/>
    <w:lvl w:ilvl="0" w:tplc="D07E179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26D75"/>
    <w:multiLevelType w:val="hybridMultilevel"/>
    <w:tmpl w:val="13E6DC54"/>
    <w:lvl w:ilvl="0" w:tplc="4314B9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4314B964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08D5FEC"/>
    <w:multiLevelType w:val="hybridMultilevel"/>
    <w:tmpl w:val="8A462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84486"/>
    <w:multiLevelType w:val="hybridMultilevel"/>
    <w:tmpl w:val="0B680D5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02B43"/>
    <w:multiLevelType w:val="hybridMultilevel"/>
    <w:tmpl w:val="A754DD98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5384F"/>
    <w:multiLevelType w:val="hybridMultilevel"/>
    <w:tmpl w:val="290E7AD0"/>
    <w:lvl w:ilvl="0" w:tplc="A1FE3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7D2F7B"/>
    <w:multiLevelType w:val="hybridMultilevel"/>
    <w:tmpl w:val="872AE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02CEE"/>
    <w:multiLevelType w:val="hybridMultilevel"/>
    <w:tmpl w:val="AD04EDC0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C4E45"/>
    <w:multiLevelType w:val="hybridMultilevel"/>
    <w:tmpl w:val="EFC285F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A311BC"/>
    <w:multiLevelType w:val="hybridMultilevel"/>
    <w:tmpl w:val="83F4A676"/>
    <w:lvl w:ilvl="0" w:tplc="00C24E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BA23039"/>
    <w:multiLevelType w:val="hybridMultilevel"/>
    <w:tmpl w:val="6C3A8E6A"/>
    <w:lvl w:ilvl="0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21DA8"/>
    <w:multiLevelType w:val="hybridMultilevel"/>
    <w:tmpl w:val="F01641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6F1CEB"/>
    <w:multiLevelType w:val="hybridMultilevel"/>
    <w:tmpl w:val="FF004C04"/>
    <w:lvl w:ilvl="0" w:tplc="8F20266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4419A"/>
    <w:multiLevelType w:val="hybridMultilevel"/>
    <w:tmpl w:val="853A6FA2"/>
    <w:lvl w:ilvl="0" w:tplc="9392DF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DA6370"/>
    <w:multiLevelType w:val="hybridMultilevel"/>
    <w:tmpl w:val="F4B6A9B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7"/>
  </w:num>
  <w:num w:numId="5">
    <w:abstractNumId w:val="5"/>
  </w:num>
  <w:num w:numId="6">
    <w:abstractNumId w:val="17"/>
  </w:num>
  <w:num w:numId="7">
    <w:abstractNumId w:val="10"/>
  </w:num>
  <w:num w:numId="8">
    <w:abstractNumId w:val="12"/>
  </w:num>
  <w:num w:numId="9">
    <w:abstractNumId w:val="9"/>
  </w:num>
  <w:num w:numId="10">
    <w:abstractNumId w:val="13"/>
  </w:num>
  <w:num w:numId="11">
    <w:abstractNumId w:val="22"/>
  </w:num>
  <w:num w:numId="12">
    <w:abstractNumId w:val="2"/>
  </w:num>
  <w:num w:numId="13">
    <w:abstractNumId w:val="6"/>
  </w:num>
  <w:num w:numId="14">
    <w:abstractNumId w:val="16"/>
  </w:num>
  <w:num w:numId="15">
    <w:abstractNumId w:val="19"/>
  </w:num>
  <w:num w:numId="16">
    <w:abstractNumId w:val="15"/>
  </w:num>
  <w:num w:numId="17">
    <w:abstractNumId w:val="3"/>
  </w:num>
  <w:num w:numId="18">
    <w:abstractNumId w:val="11"/>
  </w:num>
  <w:num w:numId="19">
    <w:abstractNumId w:val="20"/>
  </w:num>
  <w:num w:numId="20">
    <w:abstractNumId w:val="8"/>
  </w:num>
  <w:num w:numId="21">
    <w:abstractNumId w:val="21"/>
  </w:num>
  <w:num w:numId="22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759FF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0328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17391"/>
    <w:rsid w:val="004211C6"/>
    <w:rsid w:val="0042355D"/>
    <w:rsid w:val="004276A7"/>
    <w:rsid w:val="0043119E"/>
    <w:rsid w:val="00433EB3"/>
    <w:rsid w:val="00437BEF"/>
    <w:rsid w:val="00440FE8"/>
    <w:rsid w:val="00442D09"/>
    <w:rsid w:val="00445691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328C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160C2"/>
    <w:rsid w:val="007200FE"/>
    <w:rsid w:val="00722603"/>
    <w:rsid w:val="00724830"/>
    <w:rsid w:val="007272DF"/>
    <w:rsid w:val="007331A1"/>
    <w:rsid w:val="007331BE"/>
    <w:rsid w:val="00733673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1546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4CC5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1F92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63A9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3B7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37717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22F2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759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59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759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link w:val="TekstprzypisudolnegoZnak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"/>
    <w:basedOn w:val="Normalny"/>
    <w:link w:val="AkapitzlistZnak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360A84"/>
    <w:rPr>
      <w:sz w:val="24"/>
      <w:szCs w:val="24"/>
    </w:rPr>
  </w:style>
  <w:style w:type="table" w:styleId="Tabela-Siatka">
    <w:name w:val="Table Grid"/>
    <w:basedOn w:val="Standardowy"/>
    <w:uiPriority w:val="59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uiPriority w:val="99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759FF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759FF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759F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759FF"/>
    <w:rPr>
      <w:b/>
    </w:rPr>
  </w:style>
  <w:style w:type="paragraph" w:customStyle="1" w:styleId="menfont">
    <w:name w:val="men font"/>
    <w:basedOn w:val="Normalny"/>
    <w:rsid w:val="002759FF"/>
    <w:rPr>
      <w:rFonts w:ascii="Arial" w:hAnsi="Arial" w:cs="Arial"/>
    </w:rPr>
  </w:style>
  <w:style w:type="paragraph" w:customStyle="1" w:styleId="Akapitzlist1">
    <w:name w:val="Akapit z listą1"/>
    <w:basedOn w:val="Normalny"/>
    <w:qFormat/>
    <w:rsid w:val="002759FF"/>
    <w:pPr>
      <w:suppressAutoHyphens/>
      <w:ind w:left="720"/>
      <w:contextualSpacing/>
    </w:pPr>
  </w:style>
  <w:style w:type="character" w:customStyle="1" w:styleId="alb">
    <w:name w:val="a_lb"/>
    <w:basedOn w:val="Domylnaczcionkaakapitu"/>
    <w:rsid w:val="002759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59FF"/>
  </w:style>
  <w:style w:type="character" w:customStyle="1" w:styleId="MapadokumentuZnak">
    <w:name w:val="Mapa dokumentu Znak"/>
    <w:basedOn w:val="Domylnaczcionkaakapitu"/>
    <w:link w:val="Mapadokumentu"/>
    <w:semiHidden/>
    <w:rsid w:val="002759FF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ny"/>
    <w:uiPriority w:val="34"/>
    <w:qFormat/>
    <w:rsid w:val="002759FF"/>
    <w:pPr>
      <w:ind w:left="720"/>
      <w:contextualSpacing/>
    </w:pPr>
  </w:style>
  <w:style w:type="character" w:customStyle="1" w:styleId="luchili">
    <w:name w:val="luc_hili"/>
    <w:basedOn w:val="Domylnaczcionkaakapitu"/>
    <w:rsid w:val="002759FF"/>
  </w:style>
  <w:style w:type="character" w:customStyle="1" w:styleId="tabulatory">
    <w:name w:val="tabulatory"/>
    <w:basedOn w:val="Domylnaczcionkaakapitu"/>
    <w:rsid w:val="002759FF"/>
  </w:style>
  <w:style w:type="paragraph" w:styleId="Tekstprzypisukocowego">
    <w:name w:val="endnote text"/>
    <w:basedOn w:val="Normalny"/>
    <w:link w:val="TekstprzypisukocowegoZnak"/>
    <w:rsid w:val="002759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59FF"/>
  </w:style>
  <w:style w:type="character" w:styleId="Odwoanieprzypisukocowego">
    <w:name w:val="endnote reference"/>
    <w:basedOn w:val="Domylnaczcionkaakapitu"/>
    <w:rsid w:val="002759FF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2759FF"/>
  </w:style>
  <w:style w:type="character" w:customStyle="1" w:styleId="warheader">
    <w:name w:val="war_header"/>
    <w:basedOn w:val="Domylnaczcionkaakapitu"/>
    <w:rsid w:val="002759FF"/>
  </w:style>
  <w:style w:type="character" w:customStyle="1" w:styleId="highlight">
    <w:name w:val="highlight"/>
    <w:basedOn w:val="Domylnaczcionkaakapitu"/>
    <w:rsid w:val="002759FF"/>
  </w:style>
  <w:style w:type="paragraph" w:styleId="Lista2">
    <w:name w:val="List 2"/>
    <w:basedOn w:val="Normalny"/>
    <w:rsid w:val="002759FF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2759FF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759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759FF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2759FF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759FF"/>
    <w:rPr>
      <w:sz w:val="24"/>
      <w:szCs w:val="24"/>
      <w:lang w:val="pl-PL" w:eastAsia="pl-PL" w:bidi="ar-SA"/>
    </w:rPr>
  </w:style>
  <w:style w:type="paragraph" w:customStyle="1" w:styleId="ListParagraph2">
    <w:name w:val="List Paragraph2"/>
    <w:basedOn w:val="Normalny"/>
    <w:uiPriority w:val="34"/>
    <w:qFormat/>
    <w:rsid w:val="002759FF"/>
    <w:pPr>
      <w:ind w:left="720"/>
      <w:contextualSpacing/>
    </w:pPr>
  </w:style>
  <w:style w:type="character" w:customStyle="1" w:styleId="st">
    <w:name w:val="st"/>
    <w:basedOn w:val="Domylnaczcionkaakapitu"/>
    <w:rsid w:val="002759FF"/>
  </w:style>
  <w:style w:type="character" w:styleId="Uwydatnienie">
    <w:name w:val="Emphasis"/>
    <w:basedOn w:val="Domylnaczcionkaakapitu"/>
    <w:uiPriority w:val="20"/>
    <w:qFormat/>
    <w:rsid w:val="002759FF"/>
    <w:rPr>
      <w:i/>
      <w:iCs/>
    </w:rPr>
  </w:style>
  <w:style w:type="paragraph" w:customStyle="1" w:styleId="Default">
    <w:name w:val="Default"/>
    <w:qFormat/>
    <w:rsid w:val="00275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2759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2759FF"/>
    <w:pPr>
      <w:ind w:left="720"/>
      <w:contextualSpacing/>
    </w:pPr>
  </w:style>
  <w:style w:type="character" w:customStyle="1" w:styleId="txt-new">
    <w:name w:val="txt-new"/>
    <w:basedOn w:val="Domylnaczcionkaakapitu"/>
    <w:rsid w:val="002759FF"/>
  </w:style>
  <w:style w:type="character" w:styleId="HTML-cytat">
    <w:name w:val="HTML Cite"/>
    <w:basedOn w:val="Domylnaczcionkaakapitu"/>
    <w:uiPriority w:val="99"/>
    <w:unhideWhenUsed/>
    <w:rsid w:val="002759FF"/>
    <w:rPr>
      <w:i/>
      <w:iCs/>
    </w:rPr>
  </w:style>
  <w:style w:type="paragraph" w:customStyle="1" w:styleId="rysunkiZnakZnakZnak">
    <w:name w:val="rysunki Znak Znak Znak"/>
    <w:basedOn w:val="Normalny"/>
    <w:rsid w:val="002759FF"/>
    <w:rPr>
      <w:i/>
    </w:rPr>
  </w:style>
  <w:style w:type="character" w:customStyle="1" w:styleId="item-fieldvalue">
    <w:name w:val="item-fieldvalue"/>
    <w:basedOn w:val="Domylnaczcionkaakapitu"/>
    <w:rsid w:val="002759FF"/>
  </w:style>
  <w:style w:type="character" w:customStyle="1" w:styleId="fn-ref">
    <w:name w:val="fn-ref"/>
    <w:basedOn w:val="Domylnaczcionkaakapitu"/>
    <w:rsid w:val="002759FF"/>
  </w:style>
  <w:style w:type="character" w:customStyle="1" w:styleId="text-center">
    <w:name w:val="text-center"/>
    <w:basedOn w:val="Domylnaczcionkaakapitu"/>
    <w:rsid w:val="002759FF"/>
  </w:style>
  <w:style w:type="paragraph" w:customStyle="1" w:styleId="punktory">
    <w:name w:val="punktory"/>
    <w:basedOn w:val="Tekstpodstawowy"/>
    <w:link w:val="punktoryZnak"/>
    <w:qFormat/>
    <w:rsid w:val="002759FF"/>
    <w:pPr>
      <w:numPr>
        <w:numId w:val="4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2759FF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2759FF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759FF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2759FF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2759FF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2759FF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759FF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Ansee">
    <w:name w:val="Ansee"/>
    <w:basedOn w:val="Normalny"/>
    <w:link w:val="AnseeZnak"/>
    <w:qFormat/>
    <w:rsid w:val="002759FF"/>
    <w:pPr>
      <w:widowControl w:val="0"/>
      <w:tabs>
        <w:tab w:val="left" w:pos="1800"/>
        <w:tab w:val="left" w:pos="2660"/>
        <w:tab w:val="left" w:pos="3080"/>
        <w:tab w:val="left" w:pos="4640"/>
        <w:tab w:val="left" w:pos="5880"/>
        <w:tab w:val="left" w:pos="6280"/>
        <w:tab w:val="left" w:pos="7340"/>
        <w:tab w:val="left" w:pos="8360"/>
      </w:tabs>
      <w:suppressAutoHyphens/>
      <w:spacing w:before="3" w:line="360" w:lineRule="auto"/>
      <w:ind w:firstLine="708"/>
      <w:jc w:val="both"/>
    </w:pPr>
    <w:rPr>
      <w:rFonts w:eastAsia="MS Mincho" w:cs="Calibri"/>
      <w:kern w:val="1"/>
      <w:lang w:eastAsia="hi-IN" w:bidi="hi-IN"/>
    </w:rPr>
  </w:style>
  <w:style w:type="character" w:customStyle="1" w:styleId="AnseeZnak">
    <w:name w:val="Ansee Znak"/>
    <w:link w:val="Ansee"/>
    <w:rsid w:val="002759FF"/>
    <w:rPr>
      <w:rFonts w:eastAsia="MS Mincho" w:cs="Calibri"/>
      <w:kern w:val="1"/>
      <w:sz w:val="24"/>
      <w:szCs w:val="24"/>
      <w:lang w:eastAsia="hi-IN" w:bidi="hi-IN"/>
    </w:rPr>
  </w:style>
  <w:style w:type="character" w:customStyle="1" w:styleId="hgkelc">
    <w:name w:val="hgkelc"/>
    <w:basedOn w:val="Domylnaczcionkaakapitu"/>
    <w:rsid w:val="002759FF"/>
  </w:style>
  <w:style w:type="character" w:customStyle="1" w:styleId="justification-selected-thesis">
    <w:name w:val="justification-selected-thesis"/>
    <w:basedOn w:val="Domylnaczcionkaakapitu"/>
    <w:rsid w:val="00E2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F574-8EF3-4663-9C41-2090F056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3431</Words>
  <Characters>21530</Characters>
  <Application>Microsoft Office Word</Application>
  <DocSecurity>0</DocSecurity>
  <Lines>179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Ewa Bakuła</cp:lastModifiedBy>
  <cp:revision>2</cp:revision>
  <cp:lastPrinted>2023-01-27T08:01:00Z</cp:lastPrinted>
  <dcterms:created xsi:type="dcterms:W3CDTF">2024-07-04T05:03:00Z</dcterms:created>
  <dcterms:modified xsi:type="dcterms:W3CDTF">2024-07-04T05:03:00Z</dcterms:modified>
</cp:coreProperties>
</file>