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after="899" w:line="1" w:lineRule="exact"/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38" w:right="0" w:firstLine="0"/>
        <w:jc w:val="left"/>
      </w:pPr>
      <w:r>
        <w:rPr>
          <w:rStyle w:val="CharStyle3"/>
        </w:rPr>
        <w:t>Od:</w:t>
      </w:r>
    </w:p>
    <w:tbl>
      <w:tblPr>
        <w:tblOverlap w:val="never"/>
        <w:jc w:val="center"/>
        <w:tblLayout w:type="fixed"/>
      </w:tblPr>
      <w:tblGrid>
        <w:gridCol w:w="2069"/>
        <w:gridCol w:w="8486"/>
      </w:tblGrid>
      <w:tr>
        <w:trPr>
          <w:trHeight w:val="307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Style w:val="CharStyle5"/>
                <w:sz w:val="20"/>
                <w:szCs w:val="20"/>
              </w:rPr>
              <w:t>Wysłano: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40" w:right="0" w:firstLine="0"/>
              <w:jc w:val="left"/>
              <w:rPr>
                <w:sz w:val="20"/>
                <w:szCs w:val="20"/>
              </w:rPr>
            </w:pPr>
            <w:r>
              <w:rPr>
                <w:rStyle w:val="CharStyle5"/>
                <w:sz w:val="20"/>
                <w:szCs w:val="20"/>
              </w:rPr>
              <w:t>sobota, 15 sierpnia 2026 21:55</w:t>
            </w:r>
          </w:p>
        </w:tc>
      </w:tr>
      <w:tr>
        <w:trPr>
          <w:trHeight w:val="250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Style w:val="CharStyle5"/>
                <w:sz w:val="20"/>
                <w:szCs w:val="20"/>
              </w:rPr>
              <w:t>Do: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40" w:right="0" w:firstLine="0"/>
              <w:jc w:val="left"/>
              <w:rPr>
                <w:sz w:val="20"/>
                <w:szCs w:val="20"/>
              </w:rPr>
            </w:pPr>
            <w:r>
              <w:rPr>
                <w:rStyle w:val="CharStyle5"/>
                <w:sz w:val="20"/>
                <w:szCs w:val="20"/>
              </w:rPr>
              <w:t>Info</w:t>
            </w:r>
          </w:p>
        </w:tc>
      </w:tr>
      <w:tr>
        <w:trPr>
          <w:trHeight w:val="418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Style w:val="CharStyle5"/>
                <w:sz w:val="20"/>
                <w:szCs w:val="20"/>
              </w:rPr>
              <w:t>Temat: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40" w:right="0" w:firstLine="0"/>
              <w:jc w:val="left"/>
              <w:rPr>
                <w:sz w:val="20"/>
                <w:szCs w:val="20"/>
              </w:rPr>
            </w:pPr>
            <w:r>
              <w:rPr>
                <w:rStyle w:val="CharStyle5"/>
                <w:sz w:val="20"/>
                <w:szCs w:val="20"/>
              </w:rPr>
              <w:t>Petycja dotycząca wyłączenia grzywacza z listy gatunków łownych</w:t>
            </w:r>
          </w:p>
        </w:tc>
      </w:tr>
      <w:tr>
        <w:trPr>
          <w:trHeight w:val="38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Style w:val="CharStyle5"/>
                <w:sz w:val="20"/>
                <w:szCs w:val="20"/>
              </w:rPr>
              <w:t>Kategorie: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40" w:right="0" w:firstLine="0"/>
              <w:jc w:val="left"/>
              <w:rPr>
                <w:sz w:val="20"/>
                <w:szCs w:val="20"/>
              </w:rPr>
            </w:pPr>
            <w:r>
              <w:rPr>
                <w:rStyle w:val="CharStyle5"/>
                <w:sz w:val="20"/>
                <w:szCs w:val="20"/>
              </w:rPr>
              <w:t>MC</w:t>
            </w:r>
          </w:p>
        </w:tc>
      </w:tr>
    </w:tbl>
    <w:p>
      <w:pPr>
        <w:widowControl w:val="0"/>
        <w:spacing w:after="1519" w:line="1" w:lineRule="exact"/>
      </w:pP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57" w:lineRule="auto"/>
        <w:ind w:left="0" w:right="0" w:firstLine="0"/>
        <w:jc w:val="left"/>
      </w:pPr>
      <w:r>
        <w:rPr>
          <w:rStyle w:val="CharStyle11"/>
        </w:rPr>
        <w:t>PETYCJA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line="257" w:lineRule="auto"/>
        <w:ind w:left="0" w:right="0" w:firstLine="0"/>
        <w:jc w:val="left"/>
      </w:pPr>
      <w:r>
        <w:rPr>
          <w:rStyle w:val="CharStyle11"/>
        </w:rPr>
        <w:t>w sprawie wykreślenia grzywacza z listy gatunków zwierząt łownych.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11"/>
        </w:rPr>
        <w:t>Do: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11"/>
        </w:rPr>
        <w:t>Ministra Klimatu i Środowiska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11"/>
        </w:rPr>
        <w:t>oraz właściwych organów administracji odpowiedzialnych za ochronę przyrody i gospodarkę łowiecką.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line="257" w:lineRule="auto"/>
        <w:ind w:left="0" w:right="0" w:firstLine="0"/>
        <w:jc w:val="left"/>
      </w:pPr>
      <w:r>
        <w:rPr>
          <w:rStyle w:val="CharStyle11"/>
        </w:rPr>
        <w:t>ŻĄDANIE: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1"/>
        </w:rPr>
        <w:t>Zwracam się z apelem o wykreślenie grzywacza (Columba palumbus) z listy gatunków zwierząt łownych, a tym samym zakończenie możliwości polowania na ten gatunek na terytorium Polski.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1"/>
        </w:rPr>
        <w:t>Jednocześnie do czau przeanalizowania i udostępnienia pełnej analizy dotyczącej zasadności utrzymania grzywacza na liście zwierząt łownych, wnoszę prośbę o zatrzymanie obecnego okresu łowieckiego tego gatunku.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line="257" w:lineRule="auto"/>
        <w:ind w:left="0" w:right="0" w:firstLine="0"/>
        <w:jc w:val="left"/>
      </w:pPr>
      <w:r>
        <w:rPr>
          <w:rStyle w:val="CharStyle11"/>
        </w:rPr>
        <w:t>UZASADNIENIE: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57" w:lineRule="auto"/>
        <w:ind w:left="0" w:right="0" w:firstLine="0"/>
        <w:jc w:val="left"/>
      </w:pPr>
      <w:r>
        <w:rPr>
          <w:rStyle w:val="CharStyle11"/>
        </w:rPr>
        <w:t>Grzywacz jest jednym z najpospolitszych i najliczniejszych gatunków dzikich gołębi w Polsce.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line="257" w:lineRule="auto"/>
        <w:ind w:left="0" w:right="0" w:firstLine="0"/>
        <w:jc w:val="left"/>
      </w:pPr>
      <w:r>
        <w:rPr>
          <w:rStyle w:val="CharStyle11"/>
        </w:rPr>
        <w:t>Wieloletnie analizy prowadzone w ramach Państwowego Monitoringu Środowiska jednoznacznie wskazują, że populacja grzywacza w latach 2000–2025 wykazuje stabilny trend wzrostowy, a gatunek ten stał się jednym z najszerzej rozpowszechnionych ptaków w naszym kraju.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line="257" w:lineRule="auto"/>
        <w:ind w:left="0" w:right="0" w:firstLine="0"/>
        <w:jc w:val="left"/>
      </w:pPr>
      <w:r>
        <w:rPr>
          <w:rStyle w:val="CharStyle11"/>
        </w:rPr>
        <w:t>Nie oznacza to jednak, że możliwość polowania na grzywacza powinna być z automatu utrzymana.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11"/>
        </w:rPr>
        <w:t>Wręcz przeciwnie - jeżeli gatunek nie wymaga obecnie redukcji liczebności ze względów ochronnych, należy odpowiedzieć na podstawowe pytanie: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line="257" w:lineRule="auto"/>
        <w:ind w:left="0" w:right="0" w:firstLine="0"/>
        <w:jc w:val="left"/>
      </w:pPr>
      <w:r>
        <w:rPr>
          <w:rStyle w:val="CharStyle11"/>
        </w:rPr>
        <w:t>Jaki konkretny interes publiczny uzasadnia dalsze zabijanie grzywaczy w ramach polowań?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59" w:lineRule="auto"/>
        <w:ind w:left="0" w:right="0" w:firstLine="0"/>
        <w:jc w:val="left"/>
      </w:pPr>
      <w:r>
        <w:rPr>
          <w:rStyle w:val="CharStyle11"/>
        </w:rPr>
        <w:t>Uważam, że ministerstwo powinno przedstawić opinii publicznej rzetelne dane dotyczące tego tematu, w szczególności:</w:t>
      </w:r>
    </w:p>
    <w:p>
      <w:pPr>
        <w:pStyle w:val="Style10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72" w:val="left"/>
        </w:tabs>
        <w:bidi w:val="0"/>
        <w:spacing w:before="0" w:after="0" w:line="259" w:lineRule="auto"/>
        <w:ind w:left="0" w:right="0" w:firstLine="0"/>
        <w:jc w:val="left"/>
      </w:pPr>
      <w:r>
        <w:rPr>
          <w:rStyle w:val="CharStyle11"/>
        </w:rPr>
        <w:t>rzeczywistej skali szkód w rolnictwie przypisywanych grzywaczom,</w:t>
      </w:r>
    </w:p>
    <w:p>
      <w:pPr>
        <w:pStyle w:val="Style10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72" w:val="left"/>
        </w:tabs>
        <w:bidi w:val="0"/>
        <w:spacing w:before="0" w:after="0" w:line="259" w:lineRule="auto"/>
        <w:ind w:left="0" w:right="0" w:firstLine="0"/>
        <w:jc w:val="left"/>
      </w:pPr>
      <w:r>
        <w:rPr>
          <w:rStyle w:val="CharStyle11"/>
        </w:rPr>
        <w:t>liczby przypadków pomyłek gatunkowych,</w:t>
      </w:r>
    </w:p>
    <w:p>
      <w:pPr>
        <w:pStyle w:val="Style10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72" w:val="left"/>
        </w:tabs>
        <w:bidi w:val="0"/>
        <w:spacing w:before="0" w:after="0" w:line="259" w:lineRule="auto"/>
        <w:ind w:left="0" w:right="0" w:firstLine="0"/>
        <w:jc w:val="left"/>
      </w:pPr>
      <w:r>
        <w:rPr>
          <w:rStyle w:val="CharStyle11"/>
        </w:rPr>
        <w:t>skuteczności polowania na ten gatunek w celu ograniczenia ewentualnych szkód</w:t>
      </w:r>
    </w:p>
    <w:p>
      <w:pPr>
        <w:pStyle w:val="Style10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72" w:val="left"/>
        </w:tabs>
        <w:bidi w:val="0"/>
        <w:spacing w:before="0" w:line="259" w:lineRule="auto"/>
        <w:ind w:left="0" w:right="0" w:firstLine="0"/>
        <w:jc w:val="left"/>
      </w:pPr>
      <w:r>
        <w:rPr>
          <w:rStyle w:val="CharStyle11"/>
        </w:rPr>
        <w:t>oraz wpływu odstrzału na lokalne populacje.</w:t>
      </w:r>
    </w:p>
    <w:p>
      <w:pPr>
        <w:pStyle w:val="Style10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54" w:val="left"/>
        </w:tabs>
        <w:bidi w:val="0"/>
        <w:spacing w:before="0"/>
        <w:ind w:left="0" w:right="0" w:firstLine="0"/>
        <w:jc w:val="left"/>
      </w:pPr>
      <w:r>
        <w:rPr>
          <w:rStyle w:val="CharStyle11"/>
        </w:rPr>
        <w:t>Brak przekonującego uzasadnienia dla utrzymywania odstrzału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1"/>
        </w:rPr>
        <w:t>Istnieją argumenty przyrodnicze i naukowe wskazujące, że szkody powodowane przez grzywacze mają charakter lokalny i nie powinny być automatycznie traktowane jako uzasadnienie dla utrzymywania powszechnego polowania na cały gatunek.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1"/>
        </w:rPr>
        <w:t>Jeżeli państwo utrzymuje możliwość zabijania dzikiego ptaka, powinno być w stanie wykazać, że jest to działanie potrzebne i oparte na aktualnych danych, a nie jedynie tradycji łowieckiej.</w:t>
      </w:r>
    </w:p>
    <w:p>
      <w:pPr>
        <w:pStyle w:val="Style10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63" w:val="left"/>
        </w:tabs>
        <w:bidi w:val="0"/>
        <w:spacing w:before="0"/>
        <w:ind w:left="0" w:right="0" w:firstLine="0"/>
        <w:jc w:val="left"/>
      </w:pPr>
      <w:r>
        <w:rPr>
          <w:rStyle w:val="CharStyle11"/>
        </w:rPr>
        <w:t>Wątpliwości dotyczące terminu rozpoczęcia polowań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1"/>
        </w:rPr>
        <w:t>Obecnie okres polowań na grzywacza rozpoczyna się 15 sierpnia.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1"/>
        </w:rPr>
        <w:t>Jest to szczególnie istotne, ponieważ grzywacz może przystępować do kilku lęgów w jednym sezonie, a okres rozrodu i wychowywania młodych może sięgać miesięcy letnich, co oznacza że wiele młodych przedstawicieli tego gatunku może pozostawać bez opieki rodzica w przypasku jego zestrzelenia.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1"/>
        </w:rPr>
        <w:t>Tymczasem art. 7 ust. 4 dyrektywy Parlamentu Europejskiego i Rady 2009/147/WE w sprawie ochrony dzikiego ptactwa wymaga, aby polowanie na gatunki objęte regulacją nie odbywało się w okresie ich wychowywania młodych ani w poszczególnych fazach rozrodu.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1"/>
        </w:rPr>
        <w:t>Dlatego oczekujemy od Ministerstwa Klimatu i Środowiska przedstawienia konkretnej, aktualnej analizy naukowej, która jednoznacznie wykaże, że rozpoczęcie polowań na grzywacza 15 sierpnia nie narusza tych wymogów.</w:t>
      </w:r>
    </w:p>
    <w:p>
      <w:pPr>
        <w:pStyle w:val="Style10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63" w:val="left"/>
        </w:tabs>
        <w:bidi w:val="0"/>
        <w:spacing w:before="0"/>
        <w:ind w:left="0" w:right="0" w:firstLine="0"/>
        <w:jc w:val="left"/>
      </w:pPr>
      <w:r>
        <w:rPr>
          <w:rStyle w:val="CharStyle11"/>
        </w:rPr>
        <w:t>Ryzyko pomyłki z chronionym siniakiem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11"/>
        </w:rPr>
        <w:t>Kolejnym argumentem przemawiającym za wykreśleniem grzywacza z listy gatunków łownych jest możliwość pomyłki z innymi (chronionymi) gatunkami gołębi.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1"/>
        </w:rPr>
        <w:t>Szczególne znaczenie ma tutaj siniak (Columba oenas), który jest gatunkiem objętym ochroną.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line="259" w:lineRule="auto"/>
        <w:ind w:left="0" w:right="0" w:firstLine="0"/>
        <w:jc w:val="left"/>
      </w:pPr>
      <w:r>
        <w:rPr>
          <w:rStyle w:val="CharStyle11"/>
        </w:rPr>
        <w:t>W praktyce rozróżnienie gatunków podczas polowania, szczególnie w warunkach ograniczonej widoczności i przy szybkim locie ptaka, może prowadzić do błędnych odstrzałów.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1"/>
        </w:rPr>
        <w:t>Państwo powinno zatem posiadać wiarygodne dane pozwalające ocenić rzeczywistą skalę tego problemu.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1"/>
        </w:rPr>
        <w:t>Nie jest wystarczające stwierdzenie, że pomyłki są teoretycznie możliwe. Należy ustalić, ile chronionych ptaków może być i jest przypadkowo zabijanych podczas polowań na gatunki łowne oraz czy obecny system kontroli skutecznie temu zapobiega.</w:t>
      </w:r>
    </w:p>
    <w:p>
      <w:pPr>
        <w:pStyle w:val="Style10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68" w:val="left"/>
        </w:tabs>
        <w:bidi w:val="0"/>
        <w:spacing w:before="0"/>
        <w:ind w:left="0" w:right="0" w:firstLine="0"/>
        <w:jc w:val="left"/>
      </w:pPr>
      <w:r>
        <w:rPr>
          <w:rStyle w:val="CharStyle11"/>
        </w:rPr>
        <w:t>Polska już zmieniła listę gatunków łownych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1"/>
        </w:rPr>
        <w:t>W 2025 r. Ministerstwo Klimatu i Środowiska zdecydowało o wykreśleniu z listy gatunków łownych pięciu gatunków ptaków: głowienki, czernicy, łyski, jarząbka i słonki.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1"/>
        </w:rPr>
        <w:t>Zmiana ta pokazała, że lista gatunków łownych nie jest niezmienna i może być dostosowywana do aktualnej wiedzy przyrodniczej oraz potrzeb ochrony środowiska.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1"/>
        </w:rPr>
        <w:t>Dlatego szczegółowa analiza powinna zostać przeprowadzona także w odniesieniu do grzywacza.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1"/>
        </w:rPr>
        <w:t>Nie ma powodu, aby tradycja polowania była sama w sobie wystarczającym argumentem za utrzymywaniem gatunku na liście łownych.</w:t>
      </w:r>
    </w:p>
    <w:p>
      <w:pPr>
        <w:pStyle w:val="Style10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63" w:val="left"/>
        </w:tabs>
        <w:bidi w:val="0"/>
        <w:spacing w:before="0" w:line="257" w:lineRule="auto"/>
        <w:ind w:left="0" w:right="0" w:firstLine="0"/>
        <w:jc w:val="left"/>
      </w:pPr>
      <w:r>
        <w:rPr>
          <w:rStyle w:val="CharStyle11"/>
        </w:rPr>
        <w:t>Wniosek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1"/>
        </w:rPr>
        <w:t>Nie domagamy się wykreślenia grzywacza z listy gatunków łownych dlatego, że jego populacja znajduje się obecnie na skraju wyginięcia.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1"/>
        </w:rPr>
        <w:t>Domagamy się tego dlatego, że ochrona dzikiej przyrody powinna opierać się na aktualnej wiedzy naukowej, zasadzie ostrożności oraz proporcjonalności ingerencji człowieka w populacje dzikich zwierząt.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1"/>
        </w:rPr>
        <w:t>Jeżeli populacja grzywacza wykazuje obecnie korzystny trend, a jednocześnie nie przedstawiono przekonujących dowodów na to, że jego odstrzał jest konieczny do ochrony interesu publicznego, należy zadać pytanie, czy dalsze utrzymywanie polowań jest rzeczywiście uzasadnione i konieczne.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57" w:lineRule="auto"/>
        <w:ind w:left="0" w:right="0" w:firstLine="0"/>
        <w:jc w:val="left"/>
      </w:pPr>
      <w:r>
        <w:rPr>
          <w:rStyle w:val="CharStyle11"/>
        </w:rPr>
        <w:t>Wnosimy zatem o:</w:t>
      </w:r>
    </w:p>
    <w:p>
      <w:pPr>
        <w:pStyle w:val="Style10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72" w:val="left"/>
        </w:tabs>
        <w:bidi w:val="0"/>
        <w:spacing w:before="0" w:after="0" w:line="257" w:lineRule="auto"/>
        <w:ind w:left="0" w:right="0" w:firstLine="0"/>
        <w:jc w:val="left"/>
      </w:pPr>
      <w:r>
        <w:rPr>
          <w:rStyle w:val="CharStyle11"/>
        </w:rPr>
        <w:t>Wykreślenie grzywacza (Columba palumbus) z listy gatunków zwierząt łownych;</w:t>
      </w:r>
    </w:p>
    <w:p>
      <w:pPr>
        <w:pStyle w:val="Style10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77" w:val="left"/>
        </w:tabs>
        <w:bidi w:val="0"/>
        <w:spacing w:before="0" w:after="0" w:line="257" w:lineRule="auto"/>
        <w:ind w:left="0" w:right="0" w:firstLine="0"/>
        <w:jc w:val="left"/>
      </w:pPr>
      <w:r>
        <w:rPr>
          <w:rStyle w:val="CharStyle11"/>
        </w:rPr>
        <w:t>Przeprowadzenie i opublikowanie aktualnej analizy naukowej dotyczącej wpływu polowań na populację grzywacza;</w:t>
      </w:r>
    </w:p>
    <w:p>
      <w:pPr>
        <w:pStyle w:val="Style10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82" w:val="left"/>
        </w:tabs>
        <w:bidi w:val="0"/>
        <w:spacing w:before="0" w:after="0" w:line="257" w:lineRule="auto"/>
        <w:ind w:left="0" w:right="0" w:firstLine="0"/>
        <w:jc w:val="left"/>
      </w:pPr>
      <w:r>
        <w:rPr>
          <w:rStyle w:val="CharStyle11"/>
        </w:rPr>
        <w:t>Przedstawienie danych dotyczących szkód gospodarczych przypisywanych grzywaczom oraz oceny, czy polowania rzeczywiście są skutecznym sposobem ich ograniczania;</w:t>
      </w:r>
    </w:p>
    <w:p>
      <w:pPr>
        <w:pStyle w:val="Style10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82" w:val="left"/>
        </w:tabs>
        <w:bidi w:val="0"/>
        <w:spacing w:before="0" w:after="0" w:line="257" w:lineRule="auto"/>
        <w:ind w:left="0" w:right="0" w:firstLine="0"/>
        <w:jc w:val="left"/>
      </w:pPr>
      <w:r>
        <w:rPr>
          <w:rStyle w:val="CharStyle11"/>
        </w:rPr>
        <w:t>Przedstawienie analizy dotyczącej przypadkowego odstrzału gatunków chronionych, w szczególności siniaka (Columba oenas);</w:t>
      </w:r>
    </w:p>
    <w:p>
      <w:pPr>
        <w:pStyle w:val="Style10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91" w:val="left"/>
        </w:tabs>
        <w:bidi w:val="0"/>
        <w:spacing w:before="0" w:after="0" w:line="257" w:lineRule="auto"/>
        <w:ind w:left="0" w:right="0" w:firstLine="0"/>
        <w:jc w:val="left"/>
      </w:pPr>
      <w:r>
        <w:rPr>
          <w:rStyle w:val="CharStyle11"/>
        </w:rPr>
        <w:t>Przedstawienie analizy zgodności rozpoczęcia okresu polowań na grzywacza 15 sierpnia z wymaganiami art. 7 ust. 4 dyrektywy 2009/147/WE, z uwzględnieniem rzeczywistego okresu rozrodu i wychowywania młodych</w:t>
      </w:r>
    </w:p>
    <w:p>
      <w:pPr>
        <w:pStyle w:val="Style10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82" w:val="left"/>
        </w:tabs>
        <w:bidi w:val="0"/>
        <w:spacing w:before="0" w:after="0" w:line="257" w:lineRule="auto"/>
        <w:ind w:left="0" w:right="0" w:firstLine="0"/>
        <w:jc w:val="left"/>
      </w:pPr>
      <w:r>
        <w:rPr>
          <w:rStyle w:val="CharStyle11"/>
        </w:rPr>
        <w:t>Uwzględnienie aktualnej wiedzy naukowej i wyników monitoringu ptaków przy podejmowaniu decyzji o dalszym statusie grzywacza jako gatunku łownego.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line="257" w:lineRule="auto"/>
        <w:ind w:left="0" w:right="0" w:firstLine="0"/>
        <w:jc w:val="left"/>
      </w:pPr>
      <w:r>
        <w:rPr>
          <w:rStyle w:val="CharStyle11"/>
        </w:rPr>
        <w:t>Uważamy, że w nowoczesnym systemie ochrony przyrody możliwość zabijania dzikiego ptaka powinna być uzasadniona konkretną potrzebą, a nie wyłącznie faktem, że gatunek od wielu lat znajduje się na liście zwierząt łownych.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line="259" w:lineRule="auto"/>
        <w:ind w:left="0" w:right="0" w:firstLine="0"/>
        <w:jc w:val="left"/>
      </w:pPr>
      <w:r>
        <w:rPr>
          <w:rStyle w:val="CharStyle11"/>
        </w:rPr>
        <w:t>Dlatego zwracamy się o wykreślenie grzywacza z listy gatunków łownych i objęcie go ochroną gatunkową.</w:t>
      </w:r>
    </w:p>
    <w:sectPr>
      <w:footerReference w:type="default" r:id="rId5"/>
      <w:footnotePr>
        <w:pos w:val="pageBottom"/>
        <w:numFmt w:val="decimal"/>
        <w:numRestart w:val="continuous"/>
      </w:footnotePr>
      <w:pgSz w:w="11900" w:h="16840"/>
      <w:pgMar w:top="702" w:right="683" w:bottom="972" w:left="661" w:header="274" w:footer="3" w:gutter="0"/>
      <w:pgNumType w:start="1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3754755</wp:posOffset>
              </wp:positionH>
              <wp:positionV relativeFrom="page">
                <wp:posOffset>10142855</wp:posOffset>
              </wp:positionV>
              <wp:extent cx="24130" cy="69850"/>
              <wp:wrapNone/>
              <wp:docPr id="1" name="Shape 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4130" cy="6985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7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fldSimple w:instr=" PAGE \* MERGEFORMAT ">
                            <w:r>
                              <w:rPr>
                                <w:rStyle w:val="CharStyle8"/>
                                <w:sz w:val="16"/>
                                <w:szCs w:val="16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95.65000000000003pt;margin-top:798.64999999999998pt;width:1.9000000000000001pt;height:5.5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7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fldSimple w:instr=" PAGE \* MERGEFORMAT ">
                      <w:r>
                        <w:rPr>
                          <w:rStyle w:val="CharStyle8"/>
                          <w:sz w:val="16"/>
                          <w:szCs w:val="16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•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/>
      </w:rPr>
    </w:lvl>
  </w:abstractNum>
  <w:abstractNum w:abstractNumId="2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/>
      </w:rPr>
    </w:lvl>
  </w:abstractNum>
  <w:abstractNum w:abstractNumId="4">
    <w:multiLevelType w:val="multilevel"/>
    <w:lvl w:ilvl="0">
      <w:start w:val="1"/>
      <w:numFmt w:val="bullet"/>
      <w:lvlText w:val="•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/>
      </w:rPr>
    </w:lvl>
  </w:abstractNum>
  <w:num w:numId="1">
    <w:abstractNumId w:val="0"/>
  </w:num>
  <w:num w:numId="3">
    <w:abstractNumId w:val="2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Podpis tabeli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5">
    <w:name w:val="Inne_"/>
    <w:basedOn w:val="DefaultParagraphFont"/>
    <w:link w:val="Styl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harStyle8">
    <w:name w:val="Nagłówek lub stopka (2)_"/>
    <w:basedOn w:val="DefaultParagraphFont"/>
    <w:link w:val="Styl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1">
    <w:name w:val="Tekst treści_"/>
    <w:basedOn w:val="DefaultParagraphFont"/>
    <w:link w:val="Style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2">
    <w:name w:val="Podpis tabeli"/>
    <w:basedOn w:val="Normal"/>
    <w:link w:val="CharStyle3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4">
    <w:name w:val="Inne"/>
    <w:basedOn w:val="Normal"/>
    <w:link w:val="CharStyle5"/>
    <w:pPr>
      <w:widowControl w:val="0"/>
      <w:shd w:val="clear" w:color="auto" w:fill="auto"/>
      <w:spacing w:after="280" w:line="254" w:lineRule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7">
    <w:name w:val="Nagłówek lub stopka (2)"/>
    <w:basedOn w:val="Normal"/>
    <w:link w:val="CharStyle8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10">
    <w:name w:val="Tekst treści"/>
    <w:basedOn w:val="Normal"/>
    <w:link w:val="CharStyle11"/>
    <w:pPr>
      <w:widowControl w:val="0"/>
      <w:shd w:val="clear" w:color="auto" w:fill="auto"/>
      <w:spacing w:after="280" w:line="254" w:lineRule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</file>

<file path=docProps/core.xml><?xml version="1.0" encoding="utf-8"?>
<cp:coreProperties xmlns:cp="http://schemas.openxmlformats.org/package/2006/metadata/core-properties" xmlns:dc="http://purl.org/dc/elements/1.1/">
  <dc:title>Microsoft Outlook - Styl noty</dc:title>
  <dc:subject/>
  <dc:creator>Socjusz Marta</dc:creator>
  <cp:keywords/>
</cp:coreProperties>
</file>