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D209F1" w14:textId="77777777" w:rsidR="00C64B1B" w:rsidRPr="008A6CC5" w:rsidRDefault="00C64B1B" w:rsidP="00C64B1B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1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536"/>
        <w:gridCol w:w="2693"/>
        <w:gridCol w:w="4480"/>
      </w:tblGrid>
      <w:tr w:rsidR="00A06425" w:rsidRPr="008A6CC5" w14:paraId="076B912E" w14:textId="77777777" w:rsidTr="00265A15">
        <w:tc>
          <w:tcPr>
            <w:tcW w:w="15248" w:type="dxa"/>
            <w:gridSpan w:val="6"/>
            <w:vAlign w:val="center"/>
          </w:tcPr>
          <w:p w14:paraId="22934931" w14:textId="19CD7318" w:rsidR="00A06425" w:rsidRPr="008A6CC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8A6CC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Nazwa dokumentu:</w:t>
            </w:r>
            <w:r w:rsidR="000248B2" w:rsidRPr="008A6CC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p</w:t>
            </w:r>
            <w:r w:rsidR="00282DD7" w:rsidRPr="008A6CC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rojekt ustawy o zmianie ustawy - Kodeks cywilny oraz niektórych innych ustaw (UD30)</w:t>
            </w:r>
          </w:p>
        </w:tc>
      </w:tr>
      <w:tr w:rsidR="00A06425" w:rsidRPr="008A6CC5" w14:paraId="2E85074F" w14:textId="77777777" w:rsidTr="000E4DE8">
        <w:tc>
          <w:tcPr>
            <w:tcW w:w="562" w:type="dxa"/>
            <w:vAlign w:val="center"/>
          </w:tcPr>
          <w:p w14:paraId="44AD43EA" w14:textId="77777777" w:rsidR="00A06425" w:rsidRPr="008A6CC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6CC5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134" w:type="dxa"/>
            <w:vAlign w:val="center"/>
          </w:tcPr>
          <w:p w14:paraId="4613364F" w14:textId="77777777" w:rsidR="00A06425" w:rsidRPr="008A6CC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6CC5">
              <w:rPr>
                <w:rFonts w:asciiTheme="minorHAnsi" w:hAnsiTheme="minorHAnsi" w:cstheme="minorHAnsi"/>
                <w:b/>
                <w:sz w:val="20"/>
                <w:szCs w:val="20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6A17476B" w14:textId="77777777" w:rsidR="00A06425" w:rsidRPr="008A6CC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6CC5">
              <w:rPr>
                <w:rFonts w:asciiTheme="minorHAnsi" w:hAnsiTheme="minorHAnsi" w:cstheme="minorHAnsi"/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4536" w:type="dxa"/>
            <w:vAlign w:val="center"/>
          </w:tcPr>
          <w:p w14:paraId="1A1BC218" w14:textId="77777777" w:rsidR="00A06425" w:rsidRPr="008A6CC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6CC5">
              <w:rPr>
                <w:rFonts w:asciiTheme="minorHAnsi" w:hAnsiTheme="minorHAnsi" w:cstheme="minorHAnsi"/>
                <w:b/>
                <w:sz w:val="20"/>
                <w:szCs w:val="20"/>
              </w:rPr>
              <w:t>Treść uwagi</w:t>
            </w:r>
          </w:p>
        </w:tc>
        <w:tc>
          <w:tcPr>
            <w:tcW w:w="2693" w:type="dxa"/>
            <w:vAlign w:val="center"/>
          </w:tcPr>
          <w:p w14:paraId="35F1CD9D" w14:textId="77777777" w:rsidR="00A06425" w:rsidRPr="008A6CC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6CC5">
              <w:rPr>
                <w:rFonts w:asciiTheme="minorHAnsi" w:hAnsiTheme="minorHAnsi" w:cstheme="minorHAnsi"/>
                <w:b/>
                <w:sz w:val="20"/>
                <w:szCs w:val="20"/>
              </w:rPr>
              <w:t>Propozycja zmian zapisu</w:t>
            </w:r>
          </w:p>
        </w:tc>
        <w:tc>
          <w:tcPr>
            <w:tcW w:w="4480" w:type="dxa"/>
            <w:vAlign w:val="center"/>
          </w:tcPr>
          <w:p w14:paraId="1869D109" w14:textId="77777777" w:rsidR="00A06425" w:rsidRPr="008A6CC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6CC5">
              <w:rPr>
                <w:rFonts w:asciiTheme="minorHAnsi" w:hAnsiTheme="minorHAnsi" w:cstheme="minorHAnsi"/>
                <w:b/>
                <w:sz w:val="20"/>
                <w:szCs w:val="20"/>
              </w:rPr>
              <w:t>Odniesienie do uwagi</w:t>
            </w:r>
          </w:p>
        </w:tc>
      </w:tr>
      <w:tr w:rsidR="00B40580" w:rsidRPr="008A6CC5" w14:paraId="3C7FDE28" w14:textId="77777777" w:rsidTr="000E4DE8">
        <w:tc>
          <w:tcPr>
            <w:tcW w:w="562" w:type="dxa"/>
          </w:tcPr>
          <w:p w14:paraId="40762EA7" w14:textId="77777777" w:rsidR="00B40580" w:rsidRPr="008A6CC5" w:rsidRDefault="00B40580" w:rsidP="00B4058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6CC5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0E8850D" w14:textId="790D0167" w:rsidR="00B40580" w:rsidRPr="008A6CC5" w:rsidRDefault="00812EC8" w:rsidP="00812EC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MSWiA </w:t>
            </w:r>
          </w:p>
        </w:tc>
        <w:tc>
          <w:tcPr>
            <w:tcW w:w="1843" w:type="dxa"/>
          </w:tcPr>
          <w:p w14:paraId="3B4F5720" w14:textId="1807E3B9" w:rsidR="00B40580" w:rsidRPr="008A6CC5" w:rsidRDefault="00B40580" w:rsidP="00B4058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6CC5">
              <w:rPr>
                <w:rFonts w:asciiTheme="minorHAnsi" w:hAnsiTheme="minorHAnsi" w:cstheme="minorHAnsi"/>
                <w:sz w:val="20"/>
                <w:szCs w:val="20"/>
              </w:rPr>
              <w:t>Art. 1 pkt 5 projektu</w:t>
            </w:r>
          </w:p>
          <w:p w14:paraId="43450908" w14:textId="6403F77E" w:rsidR="00B40580" w:rsidRPr="008A6CC5" w:rsidRDefault="00B40580" w:rsidP="00B4058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6CC5">
              <w:rPr>
                <w:rFonts w:asciiTheme="minorHAnsi" w:hAnsiTheme="minorHAnsi" w:cstheme="minorHAnsi"/>
                <w:sz w:val="20"/>
                <w:szCs w:val="20"/>
              </w:rPr>
              <w:t>(dot. art. 954</w:t>
            </w:r>
            <w:r w:rsidRPr="008A6CC5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1</w:t>
            </w:r>
            <w:r w:rsidRPr="008A6CC5">
              <w:rPr>
                <w:rFonts w:asciiTheme="minorHAnsi" w:hAnsiTheme="minorHAnsi" w:cstheme="minorHAnsi"/>
                <w:sz w:val="20"/>
                <w:szCs w:val="20"/>
              </w:rPr>
              <w:br/>
              <w:t>§ 1 k</w:t>
            </w:r>
            <w:r w:rsidR="00D8524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8A6CC5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D8524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8A6CC5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536" w:type="dxa"/>
          </w:tcPr>
          <w:p w14:paraId="3056D849" w14:textId="5A04B570" w:rsidR="00174218" w:rsidRPr="00174218" w:rsidRDefault="00812EC8" w:rsidP="00174218">
            <w:pPr>
              <w:pStyle w:val="Akapitzlist"/>
              <w:numPr>
                <w:ilvl w:val="0"/>
                <w:numId w:val="2"/>
              </w:numPr>
              <w:ind w:left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MSWiA </w:t>
            </w:r>
            <w:r w:rsidR="00174218">
              <w:rPr>
                <w:rFonts w:cstheme="minorHAnsi"/>
                <w:sz w:val="20"/>
                <w:szCs w:val="20"/>
              </w:rPr>
              <w:t xml:space="preserve">podtrzymuje uprzednio wyrażone stanowisko. </w:t>
            </w:r>
            <w:r>
              <w:rPr>
                <w:rFonts w:cstheme="minorHAnsi"/>
                <w:sz w:val="20"/>
                <w:szCs w:val="20"/>
              </w:rPr>
              <w:t>W ocenie MSWiA</w:t>
            </w:r>
            <w:r w:rsidR="00174218" w:rsidRPr="00174218">
              <w:rPr>
                <w:rFonts w:cstheme="minorHAnsi"/>
                <w:sz w:val="20"/>
                <w:szCs w:val="20"/>
              </w:rPr>
              <w:t xml:space="preserve">, zaproponowane </w:t>
            </w:r>
            <w:r w:rsidR="00116CF5">
              <w:rPr>
                <w:rFonts w:cstheme="minorHAnsi"/>
                <w:sz w:val="20"/>
                <w:szCs w:val="20"/>
              </w:rPr>
              <w:t xml:space="preserve">                    </w:t>
            </w:r>
            <w:r w:rsidR="00174218" w:rsidRPr="00174218">
              <w:rPr>
                <w:rFonts w:cstheme="minorHAnsi"/>
                <w:sz w:val="20"/>
                <w:szCs w:val="20"/>
              </w:rPr>
              <w:t xml:space="preserve">w projekcie ustawy brzmienie </w:t>
            </w:r>
            <w:r w:rsidR="00174218">
              <w:rPr>
                <w:rFonts w:cstheme="minorHAnsi"/>
                <w:sz w:val="20"/>
                <w:szCs w:val="20"/>
              </w:rPr>
              <w:br/>
            </w:r>
            <w:r w:rsidR="00174218" w:rsidRPr="00174218">
              <w:rPr>
                <w:rFonts w:cstheme="minorHAnsi"/>
                <w:sz w:val="20"/>
                <w:szCs w:val="20"/>
              </w:rPr>
              <w:t>art. 954</w:t>
            </w:r>
            <w:r w:rsidR="00174218" w:rsidRPr="00174218">
              <w:rPr>
                <w:rFonts w:cstheme="minorHAnsi"/>
                <w:sz w:val="20"/>
                <w:szCs w:val="20"/>
                <w:vertAlign w:val="superscript"/>
              </w:rPr>
              <w:t xml:space="preserve">1 </w:t>
            </w:r>
            <w:r w:rsidR="00174218" w:rsidRPr="00174218">
              <w:rPr>
                <w:rFonts w:cstheme="minorHAnsi"/>
                <w:sz w:val="20"/>
                <w:szCs w:val="20"/>
              </w:rPr>
              <w:t>§ 1 k</w:t>
            </w:r>
            <w:r w:rsidR="00116CF5">
              <w:rPr>
                <w:rFonts w:cstheme="minorHAnsi"/>
                <w:sz w:val="20"/>
                <w:szCs w:val="20"/>
              </w:rPr>
              <w:t>.</w:t>
            </w:r>
            <w:r w:rsidR="00174218" w:rsidRPr="00174218">
              <w:rPr>
                <w:rFonts w:cstheme="minorHAnsi"/>
                <w:sz w:val="20"/>
                <w:szCs w:val="20"/>
              </w:rPr>
              <w:t>c</w:t>
            </w:r>
            <w:r w:rsidR="00116CF5">
              <w:rPr>
                <w:rFonts w:cstheme="minorHAnsi"/>
                <w:sz w:val="20"/>
                <w:szCs w:val="20"/>
              </w:rPr>
              <w:t>.</w:t>
            </w:r>
            <w:r w:rsidR="00174218" w:rsidRPr="00174218">
              <w:rPr>
                <w:rFonts w:cstheme="minorHAnsi"/>
                <w:sz w:val="20"/>
                <w:szCs w:val="20"/>
              </w:rPr>
              <w:t xml:space="preserve"> może prowadzić do wykluczenia funkcjonariuszy Straży Granicznej z możliwości sporządzenia testamentu wojskowego, w przypadku gdy sporządzenie testamentu w formie notarialnej może być niemożliwe lub nadmiernie utrudnione. Jak bowiem wynika z treści projektowanego przepisu wobec żołnierza Sił Zbrojnych RP lub funkcjonariusza służb specjalnych, do sporządzenia tej formy testamentu niezbędne jest wyłącznie przebywanie na terenie objętym działaniami zbrojnymi lub w niewoli oraz posiadanie statusu żołnierza SZ RP (lub funkcjonariusza służb specjalnych). Należy zatem zauważyć, że jest to dyferencjalny sposób podejścia wobec funkcjonariuszy Straży Granicznej, w stosunku do których, z uwagi na brak ich literalnego wymienienia w treści przepisu, wprowadza się dodatkowe uwarunkowania sporządzenia projektowanej formy testamentu. </w:t>
            </w:r>
            <w:r w:rsidR="00116CF5">
              <w:rPr>
                <w:rFonts w:cstheme="minorHAnsi"/>
                <w:sz w:val="20"/>
                <w:szCs w:val="20"/>
              </w:rPr>
              <w:t xml:space="preserve">Mianowicie </w:t>
            </w:r>
            <w:r w:rsidR="00174218" w:rsidRPr="00174218">
              <w:rPr>
                <w:rFonts w:cstheme="minorHAnsi"/>
                <w:sz w:val="20"/>
                <w:szCs w:val="20"/>
              </w:rPr>
              <w:t>poza przebywaniem na terenie objętym działaniami zbrojnymi lub w niewoli, w przypadku funkcjonariusza Straży Granicznej musi wystąpić jedna z</w:t>
            </w:r>
            <w:r w:rsidR="00174218">
              <w:rPr>
                <w:rFonts w:cstheme="minorHAnsi"/>
                <w:sz w:val="20"/>
                <w:szCs w:val="20"/>
              </w:rPr>
              <w:t xml:space="preserve"> nw.</w:t>
            </w:r>
            <w:r w:rsidR="00174218" w:rsidRPr="00174218">
              <w:rPr>
                <w:rFonts w:cstheme="minorHAnsi"/>
                <w:sz w:val="20"/>
                <w:szCs w:val="20"/>
              </w:rPr>
              <w:t xml:space="preserve"> dodatkowych przesłanek:</w:t>
            </w:r>
          </w:p>
          <w:p w14:paraId="0EB43D91" w14:textId="786DBD44" w:rsidR="00174218" w:rsidRPr="00174218" w:rsidRDefault="00174218" w:rsidP="00174218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174218">
              <w:rPr>
                <w:rFonts w:cstheme="minorHAnsi"/>
                <w:sz w:val="20"/>
                <w:szCs w:val="20"/>
              </w:rPr>
              <w:t xml:space="preserve">Straż Graniczna musi zostać objęta militaryzacją - co nie jest w świetle przepisów obligatoryjne, nawet w przypadku wojny lub mobilizacji, i to pomimo faktu, że </w:t>
            </w:r>
            <w:r w:rsidRPr="00174218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funkcjonariusze pozostający w stosunku służbowym w dniu ogłoszenia mobilizacji lub w dniu, w którym rozpoczyna się czas </w:t>
            </w:r>
            <w:r w:rsidRPr="00174218">
              <w:rPr>
                <w:rStyle w:val="Uwydatnienie"/>
                <w:rFonts w:cstheme="minorHAnsi"/>
                <w:i w:val="0"/>
                <w:iCs w:val="0"/>
                <w:color w:val="333333"/>
                <w:sz w:val="20"/>
                <w:szCs w:val="20"/>
                <w:shd w:val="clear" w:color="auto" w:fill="FFFFFF"/>
              </w:rPr>
              <w:t xml:space="preserve">wojny </w:t>
            </w:r>
            <w:r w:rsidRPr="00174218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stają się z mocy prawa funkcjonariuszami </w:t>
            </w:r>
            <w:r w:rsidRPr="00174218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lastRenderedPageBreak/>
              <w:t xml:space="preserve">pełniącymi służbę w czasie </w:t>
            </w:r>
            <w:r w:rsidRPr="00174218">
              <w:rPr>
                <w:rStyle w:val="Uwydatnienie"/>
                <w:rFonts w:cstheme="minorHAnsi"/>
                <w:i w:val="0"/>
                <w:iCs w:val="0"/>
                <w:color w:val="333333"/>
                <w:sz w:val="20"/>
                <w:szCs w:val="20"/>
                <w:shd w:val="clear" w:color="auto" w:fill="FFFFFF"/>
              </w:rPr>
              <w:t>wojny</w:t>
            </w:r>
            <w:r w:rsidRPr="00174218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174218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br/>
              <w:t>i pozostają w tej służbie do czasu zwolnienia, w świetle art. 33a ust. 2 ustawy o SG</w:t>
            </w:r>
            <w: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albo</w:t>
            </w:r>
            <w:r w:rsidRPr="00174218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,</w:t>
            </w:r>
          </w:p>
          <w:p w14:paraId="33AA9D5F" w14:textId="21125C8A" w:rsidR="00174218" w:rsidRPr="00174218" w:rsidRDefault="00174218" w:rsidP="00174218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174218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funkcjonariusz musi być zaangażowany </w:t>
            </w:r>
            <w: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br/>
            </w:r>
            <w:r w:rsidRPr="00174218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w działania zbrojne.</w:t>
            </w:r>
          </w:p>
          <w:p w14:paraId="33641A1B" w14:textId="21B4239B" w:rsidR="00174218" w:rsidRPr="00174218" w:rsidRDefault="00174218" w:rsidP="0017421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 xml:space="preserve">Innymi słowy w stosunku do funkcjonariuszy Straży Granicznej w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projektowanym przepisie </w:t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>zwielokrotniono wymogi względem żołnierzy SZ RP</w:t>
            </w:r>
            <w:r w:rsidR="00116CF5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</w:t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 xml:space="preserve"> i funkcjonariuszy służb specjalnych. </w:t>
            </w:r>
          </w:p>
          <w:p w14:paraId="224A5A6C" w14:textId="2936FA63" w:rsidR="00174218" w:rsidRPr="00174218" w:rsidRDefault="00174218" w:rsidP="0017421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 xml:space="preserve">Tymczasem </w:t>
            </w:r>
            <w:r w:rsidR="00116CF5">
              <w:rPr>
                <w:rFonts w:asciiTheme="minorHAnsi" w:hAnsiTheme="minorHAnsi" w:cstheme="minorHAnsi"/>
                <w:sz w:val="20"/>
                <w:szCs w:val="20"/>
              </w:rPr>
              <w:t xml:space="preserve">wskazać należy, </w:t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 xml:space="preserve">że funkcjonariusze Straży Granicznej w ramach pełnionej służby, realizują m. in zadania oficerów łącznikowych, w tym na terenie państw trzecich objętych działaniami zbrojnymi, jak np. terytorium Ukrainy. W świetle projektowanego przepisu pomimo, że funkcjonariusz Straży Granicznej realizujący takie zadania przebywa na terytorium objętym działaniami zbrojnymi, ale ze względu, że nie jest w te działania zaangażowany,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>a Straż Graniczna nie jest objęta militaryzacją, sporządzenie przez takiego funkcjonariusza testamentu</w:t>
            </w:r>
            <w:r w:rsidR="00812EC8">
              <w:rPr>
                <w:rFonts w:asciiTheme="minorHAnsi" w:hAnsiTheme="minorHAnsi" w:cstheme="minorHAnsi"/>
                <w:sz w:val="20"/>
                <w:szCs w:val="20"/>
              </w:rPr>
              <w:t xml:space="preserve"> wojskowego staje się niemożliwe</w:t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 xml:space="preserve">W tożsamym stanie faktycznym, żołnierz SZ RP lub funkcjonariusz służb specjalnych realizujący zadania służbowe na terenie Ukrainy (przykładowo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 xml:space="preserve">w placówce dyplomatycznej) będzie posiadał możliwość sporządzenia takiego testamentu. Analogiczny problem może również wystąpić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>w odniesieniu do funkcjonariuszy Straży Granicznej, prowadzących w działania o charakterze operacyjno-śledczym, albo realizującym czynności konwojowe na terenie objętym działaniami zbrojnymi.</w:t>
            </w:r>
          </w:p>
          <w:p w14:paraId="197BA832" w14:textId="2326B6F7" w:rsidR="00174218" w:rsidRPr="00174218" w:rsidRDefault="00174218" w:rsidP="0017421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>Wobec powyższego nie można podzielić poglądu</w:t>
            </w:r>
            <w:r w:rsidR="00116CF5">
              <w:rPr>
                <w:rFonts w:asciiTheme="minorHAnsi" w:hAnsiTheme="minorHAnsi" w:cstheme="minorHAnsi"/>
                <w:sz w:val="20"/>
                <w:szCs w:val="20"/>
              </w:rPr>
              <w:t xml:space="preserve"> wnioskodawcy projektu</w:t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 xml:space="preserve"> zgodnie, z którym cyt.: „osobami które będą mogły sporządzić testament wojskowy w okolicznościach opisanych w art. 954</w:t>
            </w:r>
            <w:r w:rsidRPr="00174218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 xml:space="preserve">1 </w:t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 xml:space="preserve">§ 1 kc są również funkcjonariusze Straży Granicznej. </w:t>
            </w:r>
          </w:p>
          <w:p w14:paraId="4A78526B" w14:textId="7B7CDDCE" w:rsidR="00B40580" w:rsidRPr="008A6CC5" w:rsidRDefault="00174218" w:rsidP="00116CF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>Ponadto w oc</w:t>
            </w:r>
            <w:r w:rsidR="00812EC8">
              <w:rPr>
                <w:rFonts w:asciiTheme="minorHAnsi" w:hAnsiTheme="minorHAnsi" w:cstheme="minorHAnsi"/>
                <w:sz w:val="20"/>
                <w:szCs w:val="20"/>
              </w:rPr>
              <w:t>enie MSWiA</w:t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>, na kanwie niniejszej sprawy funkcjonariusz</w:t>
            </w:r>
            <w:r w:rsidR="00812EC8">
              <w:rPr>
                <w:rFonts w:asciiTheme="minorHAnsi" w:hAnsiTheme="minorHAnsi" w:cstheme="minorHAnsi"/>
                <w:sz w:val="20"/>
                <w:szCs w:val="20"/>
              </w:rPr>
              <w:t xml:space="preserve">e </w:t>
            </w:r>
            <w:r w:rsidR="00116CF5">
              <w:rPr>
                <w:rFonts w:asciiTheme="minorHAnsi" w:hAnsiTheme="minorHAnsi" w:cstheme="minorHAnsi"/>
                <w:sz w:val="20"/>
                <w:szCs w:val="20"/>
              </w:rPr>
              <w:t xml:space="preserve">Straży Granicznej </w:t>
            </w:r>
            <w:bookmarkStart w:id="0" w:name="_GoBack"/>
            <w:bookmarkEnd w:id="0"/>
            <w:r w:rsidR="00812EC8">
              <w:rPr>
                <w:rFonts w:asciiTheme="minorHAnsi" w:hAnsiTheme="minorHAnsi" w:cstheme="minorHAnsi"/>
                <w:sz w:val="20"/>
                <w:szCs w:val="20"/>
              </w:rPr>
              <w:t>nie powinni być kwalifikowani</w:t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 xml:space="preserve"> do kategorii cyt.: „służb pomocniczych”, albowiem w świetle art. 7 ustawy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 xml:space="preserve">z dnia 12 października 1990 r. o ochronie granicy państwowej, Komendant Główny Straży Granicznej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(i podlegli mu funkcjonariusze), jest obok Ministra Obrony Narodowej podmiotem odpowiedzialnym za ochronę granicy państwowej na lądzie i morzu, zaś organy Straży Granicznej są odpowiedzialne za koordynowanie działań Straży Granicznej i Sił Zbrojnych RP, w ramach wsparcia udzielonego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>w trybie art. 11b ustawy o SG. W świetle powyższego, w ocenie</w:t>
            </w:r>
            <w:r w:rsidR="00812EC8">
              <w:rPr>
                <w:rFonts w:asciiTheme="minorHAnsi" w:hAnsiTheme="minorHAnsi" w:cstheme="minorHAnsi"/>
                <w:sz w:val="20"/>
                <w:szCs w:val="20"/>
              </w:rPr>
              <w:t xml:space="preserve"> MSWiA</w:t>
            </w:r>
            <w:r w:rsidRPr="00174218">
              <w:rPr>
                <w:rFonts w:asciiTheme="minorHAnsi" w:hAnsiTheme="minorHAnsi" w:cstheme="minorHAnsi"/>
                <w:sz w:val="20"/>
                <w:szCs w:val="20"/>
              </w:rPr>
              <w:t>, uwzględnienie w treści projektowanego przepisu literalnego wskazania funkcjonariuszy Straży Granicznej pozostaje uzasadnione.</w:t>
            </w:r>
          </w:p>
        </w:tc>
        <w:tc>
          <w:tcPr>
            <w:tcW w:w="2693" w:type="dxa"/>
          </w:tcPr>
          <w:p w14:paraId="2EF34F1B" w14:textId="643F61F8" w:rsidR="00B40580" w:rsidRPr="008A6CC5" w:rsidRDefault="00B40580" w:rsidP="00B4058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A6CC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Propozycja nadania art. 954</w:t>
            </w:r>
            <w:r w:rsidRPr="008A6CC5">
              <w:rPr>
                <w:rStyle w:val="IGindeksgrny"/>
                <w:rFonts w:asciiTheme="minorHAnsi" w:hAnsiTheme="minorHAnsi" w:cstheme="minorHAnsi"/>
                <w:sz w:val="20"/>
                <w:szCs w:val="20"/>
                <w:specVanish w:val="0"/>
              </w:rPr>
              <w:t xml:space="preserve">1 </w:t>
            </w:r>
            <w:r w:rsidRPr="008A6CC5">
              <w:rPr>
                <w:rFonts w:asciiTheme="minorHAnsi" w:hAnsiTheme="minorHAnsi" w:cstheme="minorHAnsi"/>
                <w:sz w:val="20"/>
                <w:szCs w:val="20"/>
              </w:rPr>
              <w:t xml:space="preserve">§ 1 brzmienia: </w:t>
            </w:r>
          </w:p>
          <w:p w14:paraId="04FEBCE6" w14:textId="1C667571" w:rsidR="00B40580" w:rsidRPr="008A6CC5" w:rsidRDefault="00B40580" w:rsidP="00B40580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A6CC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A6CC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„W czasie przebywania na obszarze objętym działaniami zbrojnymi lub w niewoli, jeżeli sporządzenie testamentu </w:t>
            </w:r>
            <w:r w:rsidRPr="008A6CC5">
              <w:rPr>
                <w:rFonts w:asciiTheme="minorHAnsi" w:hAnsiTheme="minorHAnsi" w:cstheme="minorHAnsi"/>
                <w:i/>
                <w:sz w:val="20"/>
                <w:szCs w:val="20"/>
              </w:rPr>
              <w:br/>
              <w:t xml:space="preserve">w formie aktu notarialnego jest niemożliwe albo nadmiernie utrudnione, żołnierz Sił Zbrojnych Rzeczypospolitej Polskiej, osoba pełniąca służbę </w:t>
            </w:r>
            <w:r w:rsidR="00116CF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                  </w:t>
            </w:r>
            <w:r w:rsidRPr="008A6CC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w jednostkach zmilitaryzowanych, funkcjonariusz służby specjalnej, funkcjonariusz Straży Granicznej oraz inna osoba zaangażowana </w:t>
            </w:r>
            <w:r w:rsidR="00116CF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                 </w:t>
            </w:r>
            <w:r w:rsidRPr="008A6CC5">
              <w:rPr>
                <w:rFonts w:asciiTheme="minorHAnsi" w:hAnsiTheme="minorHAnsi" w:cstheme="minorHAnsi"/>
                <w:i/>
                <w:sz w:val="20"/>
                <w:szCs w:val="20"/>
              </w:rPr>
              <w:t>w działania zbrojne, może sporządzić testament wojskowy.”.</w:t>
            </w:r>
          </w:p>
        </w:tc>
        <w:tc>
          <w:tcPr>
            <w:tcW w:w="4480" w:type="dxa"/>
          </w:tcPr>
          <w:p w14:paraId="3BA177DB" w14:textId="5B100F2E" w:rsidR="00B40580" w:rsidRPr="008A6CC5" w:rsidRDefault="00B40580" w:rsidP="00B4058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A6CC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14:paraId="79AF4AAC" w14:textId="77777777" w:rsidR="00C64B1B" w:rsidRPr="008A6CC5" w:rsidRDefault="00C64B1B" w:rsidP="007B7338">
      <w:pPr>
        <w:rPr>
          <w:rFonts w:asciiTheme="minorHAnsi" w:hAnsiTheme="minorHAnsi" w:cstheme="minorHAnsi"/>
          <w:sz w:val="20"/>
          <w:szCs w:val="20"/>
        </w:rPr>
      </w:pPr>
    </w:p>
    <w:sectPr w:rsidR="00C64B1B" w:rsidRPr="008A6CC5" w:rsidSect="000248B2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0702F" w14:textId="77777777" w:rsidR="00DF4A90" w:rsidRDefault="00DF4A90" w:rsidP="000E4DE8">
      <w:r>
        <w:separator/>
      </w:r>
    </w:p>
  </w:endnote>
  <w:endnote w:type="continuationSeparator" w:id="0">
    <w:p w14:paraId="23841CDA" w14:textId="77777777" w:rsidR="00DF4A90" w:rsidRDefault="00DF4A90" w:rsidP="000E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2D59F" w14:textId="77777777" w:rsidR="00DF4A90" w:rsidRDefault="00DF4A90" w:rsidP="000E4DE8">
      <w:r>
        <w:separator/>
      </w:r>
    </w:p>
  </w:footnote>
  <w:footnote w:type="continuationSeparator" w:id="0">
    <w:p w14:paraId="1185EA08" w14:textId="77777777" w:rsidR="00DF4A90" w:rsidRDefault="00DF4A90" w:rsidP="000E4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334B"/>
    <w:multiLevelType w:val="hybridMultilevel"/>
    <w:tmpl w:val="668C9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1789E"/>
    <w:multiLevelType w:val="hybridMultilevel"/>
    <w:tmpl w:val="120008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12AC2"/>
    <w:rsid w:val="000248B2"/>
    <w:rsid w:val="00034258"/>
    <w:rsid w:val="00034D16"/>
    <w:rsid w:val="00074C39"/>
    <w:rsid w:val="000D5AD9"/>
    <w:rsid w:val="000E4DE8"/>
    <w:rsid w:val="001068A2"/>
    <w:rsid w:val="00114D77"/>
    <w:rsid w:val="00116CF5"/>
    <w:rsid w:val="00133E2E"/>
    <w:rsid w:val="00140BE8"/>
    <w:rsid w:val="00154DB3"/>
    <w:rsid w:val="00155D05"/>
    <w:rsid w:val="00174218"/>
    <w:rsid w:val="0019648E"/>
    <w:rsid w:val="001A7953"/>
    <w:rsid w:val="001C7E7B"/>
    <w:rsid w:val="001D4AD2"/>
    <w:rsid w:val="001E1114"/>
    <w:rsid w:val="002165EF"/>
    <w:rsid w:val="00227812"/>
    <w:rsid w:val="00231DEA"/>
    <w:rsid w:val="0023210D"/>
    <w:rsid w:val="00264246"/>
    <w:rsid w:val="00265A15"/>
    <w:rsid w:val="002715B2"/>
    <w:rsid w:val="00282DD7"/>
    <w:rsid w:val="002C64C7"/>
    <w:rsid w:val="002D1986"/>
    <w:rsid w:val="002E5DB7"/>
    <w:rsid w:val="00303AD1"/>
    <w:rsid w:val="003124D1"/>
    <w:rsid w:val="00344CB6"/>
    <w:rsid w:val="003563CC"/>
    <w:rsid w:val="003B4105"/>
    <w:rsid w:val="003C7214"/>
    <w:rsid w:val="00435EED"/>
    <w:rsid w:val="00467B26"/>
    <w:rsid w:val="004777A4"/>
    <w:rsid w:val="00482BE8"/>
    <w:rsid w:val="0049102C"/>
    <w:rsid w:val="00492A50"/>
    <w:rsid w:val="004A3AA1"/>
    <w:rsid w:val="004D086F"/>
    <w:rsid w:val="00501AAF"/>
    <w:rsid w:val="00530910"/>
    <w:rsid w:val="0056148A"/>
    <w:rsid w:val="0057032F"/>
    <w:rsid w:val="00593C78"/>
    <w:rsid w:val="005A684B"/>
    <w:rsid w:val="005C057D"/>
    <w:rsid w:val="005F6527"/>
    <w:rsid w:val="00613517"/>
    <w:rsid w:val="0064605B"/>
    <w:rsid w:val="006705EC"/>
    <w:rsid w:val="006A0B6F"/>
    <w:rsid w:val="006A722A"/>
    <w:rsid w:val="006E16E9"/>
    <w:rsid w:val="006F2860"/>
    <w:rsid w:val="00716D02"/>
    <w:rsid w:val="00720710"/>
    <w:rsid w:val="0072380F"/>
    <w:rsid w:val="007342B1"/>
    <w:rsid w:val="00740FB8"/>
    <w:rsid w:val="007601C8"/>
    <w:rsid w:val="007733F8"/>
    <w:rsid w:val="00777250"/>
    <w:rsid w:val="007B7338"/>
    <w:rsid w:val="007D279D"/>
    <w:rsid w:val="00807385"/>
    <w:rsid w:val="00812EC8"/>
    <w:rsid w:val="00835F9B"/>
    <w:rsid w:val="00847ECD"/>
    <w:rsid w:val="008A6CC5"/>
    <w:rsid w:val="008C18D5"/>
    <w:rsid w:val="008C7DC1"/>
    <w:rsid w:val="008E268B"/>
    <w:rsid w:val="008F4C42"/>
    <w:rsid w:val="009306AC"/>
    <w:rsid w:val="009357E6"/>
    <w:rsid w:val="00944932"/>
    <w:rsid w:val="009465A6"/>
    <w:rsid w:val="009517E9"/>
    <w:rsid w:val="00982707"/>
    <w:rsid w:val="009911CE"/>
    <w:rsid w:val="009E5FDB"/>
    <w:rsid w:val="00A044DA"/>
    <w:rsid w:val="00A06425"/>
    <w:rsid w:val="00AC3991"/>
    <w:rsid w:val="00AC7796"/>
    <w:rsid w:val="00AC7DF9"/>
    <w:rsid w:val="00AF00EF"/>
    <w:rsid w:val="00AF2E48"/>
    <w:rsid w:val="00AF527B"/>
    <w:rsid w:val="00B35647"/>
    <w:rsid w:val="00B40580"/>
    <w:rsid w:val="00B424EA"/>
    <w:rsid w:val="00B555F7"/>
    <w:rsid w:val="00B67B9E"/>
    <w:rsid w:val="00B717FF"/>
    <w:rsid w:val="00B80ED5"/>
    <w:rsid w:val="00B853BE"/>
    <w:rsid w:val="00B871B6"/>
    <w:rsid w:val="00BB3F69"/>
    <w:rsid w:val="00BD5953"/>
    <w:rsid w:val="00BD6141"/>
    <w:rsid w:val="00BF46AC"/>
    <w:rsid w:val="00C449EE"/>
    <w:rsid w:val="00C64B1B"/>
    <w:rsid w:val="00C7128C"/>
    <w:rsid w:val="00C9296A"/>
    <w:rsid w:val="00C95C99"/>
    <w:rsid w:val="00C962AB"/>
    <w:rsid w:val="00CB2D52"/>
    <w:rsid w:val="00CB49A2"/>
    <w:rsid w:val="00CD4F95"/>
    <w:rsid w:val="00CD5EB0"/>
    <w:rsid w:val="00CE1A14"/>
    <w:rsid w:val="00CE616F"/>
    <w:rsid w:val="00CE65FE"/>
    <w:rsid w:val="00D1001B"/>
    <w:rsid w:val="00D151CE"/>
    <w:rsid w:val="00D16C16"/>
    <w:rsid w:val="00D17A04"/>
    <w:rsid w:val="00D53F04"/>
    <w:rsid w:val="00D54872"/>
    <w:rsid w:val="00D55FEF"/>
    <w:rsid w:val="00D5678D"/>
    <w:rsid w:val="00D8524F"/>
    <w:rsid w:val="00DD3787"/>
    <w:rsid w:val="00DF4A90"/>
    <w:rsid w:val="00E02DE6"/>
    <w:rsid w:val="00E0445A"/>
    <w:rsid w:val="00E11967"/>
    <w:rsid w:val="00E13DA5"/>
    <w:rsid w:val="00E14C33"/>
    <w:rsid w:val="00E1553A"/>
    <w:rsid w:val="00E22B3D"/>
    <w:rsid w:val="00E303C7"/>
    <w:rsid w:val="00E84961"/>
    <w:rsid w:val="00F063C0"/>
    <w:rsid w:val="00F370BF"/>
    <w:rsid w:val="00F4634E"/>
    <w:rsid w:val="00FA1FB0"/>
    <w:rsid w:val="00FA24D1"/>
    <w:rsid w:val="00FB2ACD"/>
    <w:rsid w:val="00FB75F8"/>
    <w:rsid w:val="00FC5933"/>
    <w:rsid w:val="00FC7780"/>
    <w:rsid w:val="00FE4328"/>
    <w:rsid w:val="00FE58A9"/>
    <w:rsid w:val="00FF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8E32A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1068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IGindeksgrny">
    <w:name w:val="_IG_ – indeks górny"/>
    <w:basedOn w:val="Domylnaczcionkaakapitu"/>
    <w:uiPriority w:val="2"/>
    <w:qFormat/>
    <w:rsid w:val="00B853BE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  <w:style w:type="character" w:customStyle="1" w:styleId="Nagwek3Znak">
    <w:name w:val="Nagłówek 3 Znak"/>
    <w:basedOn w:val="Domylnaczcionkaakapitu"/>
    <w:link w:val="Nagwek3"/>
    <w:rsid w:val="001068A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11967"/>
    <w:rPr>
      <w:sz w:val="24"/>
      <w:szCs w:val="24"/>
    </w:rPr>
  </w:style>
  <w:style w:type="character" w:styleId="Odwoaniedokomentarza">
    <w:name w:val="annotation reference"/>
    <w:basedOn w:val="Domylnaczcionkaakapitu"/>
    <w:rsid w:val="00FE58A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58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E58A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E58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E58A9"/>
    <w:rPr>
      <w:b/>
      <w:bCs/>
    </w:rPr>
  </w:style>
  <w:style w:type="paragraph" w:styleId="Akapitzlist">
    <w:name w:val="List Paragraph"/>
    <w:basedOn w:val="Normalny"/>
    <w:uiPriority w:val="34"/>
    <w:qFormat/>
    <w:rsid w:val="001742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1742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8D264-C7A0-4797-A0C7-8E77F7B82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680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Departament Teleinformatyki</cp:lastModifiedBy>
  <cp:revision>6</cp:revision>
  <cp:lastPrinted>2026-08-05T07:24:00Z</cp:lastPrinted>
  <dcterms:created xsi:type="dcterms:W3CDTF">2026-08-06T08:41:00Z</dcterms:created>
  <dcterms:modified xsi:type="dcterms:W3CDTF">2026-08-06T09:39:00Z</dcterms:modified>
</cp:coreProperties>
</file>