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84DE" w14:textId="77777777" w:rsidR="0044562F" w:rsidRPr="00F16E4E" w:rsidRDefault="0044562F" w:rsidP="0007657F">
      <w:pPr>
        <w:pStyle w:val="Nagwek6"/>
        <w:jc w:val="both"/>
        <w:rPr>
          <w:sz w:val="28"/>
          <w:szCs w:val="22"/>
        </w:rPr>
      </w:pPr>
      <w:r w:rsidRPr="00F16E4E">
        <w:rPr>
          <w:sz w:val="28"/>
          <w:szCs w:val="22"/>
        </w:rPr>
        <w:t>DZIAŁ 750 – ADMINISTRACJA PUBLICZNA</w:t>
      </w:r>
    </w:p>
    <w:p w14:paraId="582B13C3" w14:textId="77777777" w:rsidR="0044562F" w:rsidRPr="009F737C" w:rsidRDefault="0044562F" w:rsidP="0007657F">
      <w:pPr>
        <w:spacing w:line="360" w:lineRule="auto"/>
        <w:jc w:val="both"/>
        <w:rPr>
          <w:color w:val="FF0000"/>
        </w:rPr>
      </w:pPr>
    </w:p>
    <w:p w14:paraId="00694D23" w14:textId="3698ABF6" w:rsidR="00576FC6" w:rsidRPr="009F737C" w:rsidRDefault="00576FC6" w:rsidP="0007657F">
      <w:pPr>
        <w:pStyle w:val="Tekstpodstawowy"/>
        <w:spacing w:after="200"/>
        <w:rPr>
          <w:color w:val="auto"/>
          <w:szCs w:val="24"/>
        </w:rPr>
      </w:pPr>
      <w:r w:rsidRPr="009F737C">
        <w:rPr>
          <w:color w:val="auto"/>
          <w:szCs w:val="24"/>
        </w:rPr>
        <w:t xml:space="preserve">Dochody </w:t>
      </w:r>
      <w:r w:rsidR="007F49BD">
        <w:rPr>
          <w:color w:val="auto"/>
          <w:szCs w:val="24"/>
        </w:rPr>
        <w:t xml:space="preserve">zaplanowane </w:t>
      </w:r>
      <w:r w:rsidRPr="009F737C">
        <w:rPr>
          <w:color w:val="auto"/>
          <w:szCs w:val="24"/>
        </w:rPr>
        <w:t>w</w:t>
      </w:r>
      <w:r w:rsidR="007F49BD">
        <w:rPr>
          <w:color w:val="auto"/>
          <w:szCs w:val="24"/>
        </w:rPr>
        <w:t xml:space="preserve"> tym</w:t>
      </w:r>
      <w:r w:rsidRPr="009F737C">
        <w:rPr>
          <w:color w:val="auto"/>
          <w:szCs w:val="24"/>
        </w:rPr>
        <w:t xml:space="preserve"> dziale za 2024</w:t>
      </w:r>
      <w:r w:rsidR="00FF3A57">
        <w:rPr>
          <w:color w:val="auto"/>
          <w:szCs w:val="24"/>
        </w:rPr>
        <w:t xml:space="preserve"> </w:t>
      </w:r>
      <w:r w:rsidRPr="009F737C">
        <w:rPr>
          <w:color w:val="auto"/>
          <w:szCs w:val="24"/>
        </w:rPr>
        <w:t>r.</w:t>
      </w:r>
      <w:r w:rsidR="00BA7D65">
        <w:rPr>
          <w:color w:val="auto"/>
          <w:szCs w:val="24"/>
        </w:rPr>
        <w:t xml:space="preserve"> w wysokości 17.918 tys. zł</w:t>
      </w:r>
      <w:r w:rsidRPr="009F737C">
        <w:rPr>
          <w:color w:val="auto"/>
          <w:szCs w:val="24"/>
        </w:rPr>
        <w:t xml:space="preserve"> zrealizowano </w:t>
      </w:r>
      <w:r w:rsidR="007F49BD">
        <w:rPr>
          <w:color w:val="auto"/>
          <w:szCs w:val="24"/>
        </w:rPr>
        <w:br/>
      </w:r>
      <w:r w:rsidRPr="009F737C">
        <w:rPr>
          <w:color w:val="auto"/>
          <w:szCs w:val="24"/>
        </w:rPr>
        <w:t>w kwocie 21.</w:t>
      </w:r>
      <w:r w:rsidR="00BA7D65">
        <w:rPr>
          <w:color w:val="auto"/>
          <w:szCs w:val="24"/>
        </w:rPr>
        <w:t>484</w:t>
      </w:r>
      <w:r w:rsidRPr="009F737C">
        <w:rPr>
          <w:color w:val="auto"/>
          <w:szCs w:val="24"/>
        </w:rPr>
        <w:t xml:space="preserve"> tys. zł, co stanowi 1</w:t>
      </w:r>
      <w:r w:rsidR="00BA7D65">
        <w:rPr>
          <w:color w:val="auto"/>
          <w:szCs w:val="24"/>
        </w:rPr>
        <w:t>19,9</w:t>
      </w:r>
      <w:r w:rsidRPr="009F737C">
        <w:rPr>
          <w:color w:val="auto"/>
          <w:szCs w:val="24"/>
        </w:rPr>
        <w:t>% planu</w:t>
      </w:r>
      <w:r w:rsidR="00BA7D65">
        <w:rPr>
          <w:color w:val="auto"/>
          <w:szCs w:val="24"/>
        </w:rPr>
        <w:t>.</w:t>
      </w:r>
    </w:p>
    <w:p w14:paraId="6B411848" w14:textId="77777777" w:rsidR="00572EB0" w:rsidRDefault="00576FC6" w:rsidP="00572EB0">
      <w:pPr>
        <w:pStyle w:val="Tekstpodstawowy"/>
        <w:spacing w:after="200"/>
        <w:rPr>
          <w:color w:val="auto"/>
          <w:szCs w:val="24"/>
        </w:rPr>
      </w:pPr>
      <w:r w:rsidRPr="00572EB0">
        <w:rPr>
          <w:color w:val="auto"/>
        </w:rPr>
        <w:t>Na wykonanie dochodów złożyły się wpływy z tytułu:</w:t>
      </w:r>
    </w:p>
    <w:p w14:paraId="068E937E" w14:textId="0C28CC63" w:rsidR="0044562F" w:rsidRPr="00572EB0" w:rsidRDefault="0044562F" w:rsidP="00572EB0">
      <w:pPr>
        <w:pStyle w:val="Tekstpodstawowy"/>
        <w:numPr>
          <w:ilvl w:val="0"/>
          <w:numId w:val="10"/>
        </w:numPr>
        <w:spacing w:after="200"/>
        <w:rPr>
          <w:color w:val="auto"/>
          <w:szCs w:val="24"/>
        </w:rPr>
      </w:pPr>
      <w:r w:rsidRPr="00572EB0">
        <w:rPr>
          <w:color w:val="auto"/>
          <w:szCs w:val="24"/>
        </w:rPr>
        <w:t xml:space="preserve">grzywien nałożonych w celu przymuszenia w związku z niedopełnieniem obowiązku poddania dziecka obowiązkowym szczepieniom ochronnym </w:t>
      </w:r>
      <w:r w:rsidR="00FF3A57" w:rsidRPr="00572EB0">
        <w:rPr>
          <w:color w:val="auto"/>
          <w:szCs w:val="24"/>
        </w:rPr>
        <w:t>–</w:t>
      </w:r>
      <w:r w:rsidR="005E75E2" w:rsidRPr="00572EB0">
        <w:rPr>
          <w:color w:val="auto"/>
          <w:szCs w:val="24"/>
        </w:rPr>
        <w:t xml:space="preserve"> </w:t>
      </w:r>
      <w:r w:rsidRPr="00572EB0">
        <w:rPr>
          <w:color w:val="auto"/>
          <w:szCs w:val="24"/>
        </w:rPr>
        <w:t>21</w:t>
      </w:r>
      <w:r w:rsidR="00436318" w:rsidRPr="00572EB0">
        <w:rPr>
          <w:color w:val="auto"/>
          <w:szCs w:val="24"/>
        </w:rPr>
        <w:t>5</w:t>
      </w:r>
      <w:r w:rsidRPr="00572EB0">
        <w:rPr>
          <w:color w:val="auto"/>
          <w:szCs w:val="24"/>
        </w:rPr>
        <w:t xml:space="preserve"> tys. zł, co stanowi 128,1 % planu wynoszącego 167 tys. zł</w:t>
      </w:r>
      <w:r w:rsidR="009F737C" w:rsidRPr="00572EB0">
        <w:rPr>
          <w:color w:val="auto"/>
          <w:szCs w:val="24"/>
        </w:rPr>
        <w:t>.</w:t>
      </w:r>
      <w:r w:rsidRPr="00572EB0">
        <w:rPr>
          <w:color w:val="auto"/>
          <w:szCs w:val="24"/>
        </w:rPr>
        <w:t xml:space="preserve"> Wyższe od planowanego wykonanie dochodów z tytułu grzywien wynika przede wszystkim z ich sankcyjnego charakteru, co utrudnia </w:t>
      </w:r>
      <w:r w:rsidR="00FF3A57" w:rsidRPr="00572EB0">
        <w:rPr>
          <w:color w:val="auto"/>
          <w:szCs w:val="24"/>
        </w:rPr>
        <w:t>zaplanowanie wysokości wpływów</w:t>
      </w:r>
      <w:r w:rsidR="00572EB0" w:rsidRPr="00572EB0">
        <w:rPr>
          <w:color w:val="auto"/>
          <w:szCs w:val="24"/>
        </w:rPr>
        <w:t xml:space="preserve">. </w:t>
      </w:r>
      <w:r w:rsidR="00572EB0" w:rsidRPr="00572EB0">
        <w:rPr>
          <w:color w:val="auto"/>
        </w:rPr>
        <w:t>Wyższe wykonanie w stosunku do planu wynika ze wzrostu ilości</w:t>
      </w:r>
      <w:r w:rsidR="00572EB0" w:rsidRPr="00572EB0">
        <w:rPr>
          <w:color w:val="auto"/>
          <w:szCs w:val="24"/>
        </w:rPr>
        <w:t xml:space="preserve"> nałożonych i zapłaconych grzywien w calu przymuszenia oraz kar grzywien nakładanych na rzeczoznawców majątkowych</w:t>
      </w:r>
      <w:r w:rsidR="00122368" w:rsidRPr="00572EB0">
        <w:rPr>
          <w:color w:val="auto"/>
          <w:szCs w:val="24"/>
        </w:rPr>
        <w:t>;</w:t>
      </w:r>
    </w:p>
    <w:p w14:paraId="18A592F9" w14:textId="63E8E9DA" w:rsidR="0044562F" w:rsidRPr="009F737C" w:rsidRDefault="0044562F" w:rsidP="0007657F">
      <w:pPr>
        <w:pStyle w:val="Tekstpodstawowy"/>
        <w:widowControl w:val="0"/>
        <w:numPr>
          <w:ilvl w:val="0"/>
          <w:numId w:val="6"/>
        </w:numPr>
        <w:tabs>
          <w:tab w:val="left" w:pos="709"/>
          <w:tab w:val="left" w:pos="1069"/>
        </w:tabs>
        <w:suppressAutoHyphens/>
        <w:autoSpaceDE w:val="0"/>
        <w:rPr>
          <w:color w:val="auto"/>
          <w:szCs w:val="24"/>
        </w:rPr>
      </w:pPr>
      <w:r w:rsidRPr="009F737C">
        <w:rPr>
          <w:color w:val="auto"/>
          <w:szCs w:val="24"/>
        </w:rPr>
        <w:t xml:space="preserve">opłat za wpis do rejestru przedsiębiorców prowadzących ośrodki szkolenia, wpis do rejestru ośrodka szkolenia kierowców i za wpis do ewidencji instruktorów techniki jazdy oraz opłat za sprawdzenie teoretycznych i praktycznych kwalifikacji kandydatów na instruktorów i instruktorów nauki jazdy – </w:t>
      </w:r>
      <w:r w:rsidR="00CC30FE" w:rsidRPr="009F737C">
        <w:rPr>
          <w:color w:val="auto"/>
          <w:szCs w:val="24"/>
        </w:rPr>
        <w:t>62</w:t>
      </w:r>
      <w:r w:rsidRPr="009F737C">
        <w:rPr>
          <w:color w:val="auto"/>
          <w:szCs w:val="24"/>
        </w:rPr>
        <w:t xml:space="preserve"> tys. zł</w:t>
      </w:r>
      <w:r w:rsidR="00CC30FE" w:rsidRPr="009F737C">
        <w:rPr>
          <w:color w:val="auto"/>
          <w:szCs w:val="24"/>
        </w:rPr>
        <w:t>, co stanowi 129,2%</w:t>
      </w:r>
      <w:r w:rsidRPr="009F737C">
        <w:rPr>
          <w:color w:val="auto"/>
          <w:szCs w:val="24"/>
        </w:rPr>
        <w:t xml:space="preserve"> wynoszącego </w:t>
      </w:r>
      <w:r w:rsidR="00CC30FE" w:rsidRPr="009F737C">
        <w:rPr>
          <w:color w:val="auto"/>
          <w:szCs w:val="24"/>
        </w:rPr>
        <w:t>4</w:t>
      </w:r>
      <w:r w:rsidRPr="009F737C">
        <w:rPr>
          <w:color w:val="auto"/>
          <w:szCs w:val="24"/>
        </w:rPr>
        <w:t>8 tys. zł</w:t>
      </w:r>
      <w:r w:rsidR="00FF3A57">
        <w:rPr>
          <w:color w:val="auto"/>
          <w:szCs w:val="24"/>
        </w:rPr>
        <w:t>.</w:t>
      </w:r>
      <w:r w:rsidR="00576FC6" w:rsidRPr="009F737C">
        <w:rPr>
          <w:color w:val="auto"/>
          <w:szCs w:val="24"/>
        </w:rPr>
        <w:t xml:space="preserve"> Wyższe od planowanego wykonanie wynika z trudnego do przewidzenia charakteru dochodu. Dochód opiera się na liczbie złożonych wniosków</w:t>
      </w:r>
      <w:r w:rsidR="00CC30FE" w:rsidRPr="009F737C">
        <w:rPr>
          <w:color w:val="auto"/>
          <w:szCs w:val="24"/>
        </w:rPr>
        <w:t>;</w:t>
      </w:r>
    </w:p>
    <w:p w14:paraId="3BEEF2DC" w14:textId="0FA0A5AB" w:rsidR="00887205" w:rsidRDefault="0044562F" w:rsidP="00887205">
      <w:pPr>
        <w:pStyle w:val="Tekstpodstawowy"/>
        <w:widowControl w:val="0"/>
        <w:numPr>
          <w:ilvl w:val="0"/>
          <w:numId w:val="6"/>
        </w:numPr>
        <w:tabs>
          <w:tab w:val="left" w:pos="709"/>
          <w:tab w:val="left" w:pos="1418"/>
        </w:tabs>
        <w:suppressAutoHyphens/>
        <w:autoSpaceDE w:val="0"/>
      </w:pPr>
      <w:r w:rsidRPr="009F737C">
        <w:rPr>
          <w:color w:val="auto"/>
          <w:szCs w:val="24"/>
        </w:rPr>
        <w:t xml:space="preserve">wpływów </w:t>
      </w:r>
      <w:r w:rsidR="00122368" w:rsidRPr="009F737C">
        <w:rPr>
          <w:color w:val="auto"/>
          <w:szCs w:val="24"/>
        </w:rPr>
        <w:t>opłat paszportowych</w:t>
      </w:r>
      <w:r w:rsidR="00572EB0">
        <w:rPr>
          <w:color w:val="auto"/>
          <w:szCs w:val="24"/>
        </w:rPr>
        <w:t xml:space="preserve"> </w:t>
      </w:r>
      <w:r w:rsidR="00122368" w:rsidRPr="009F737C">
        <w:rPr>
          <w:color w:val="auto"/>
          <w:szCs w:val="24"/>
        </w:rPr>
        <w:t xml:space="preserve">– 14.198 tys. zł, co stanowi 113,6% planu wynoszącego 12.150 tys. zł. </w:t>
      </w:r>
      <w:r w:rsidR="00CF6B8B" w:rsidRPr="009F737C">
        <w:rPr>
          <w:color w:val="auto"/>
          <w:szCs w:val="24"/>
        </w:rPr>
        <w:t>Wyższe od planowanego wykonanie</w:t>
      </w:r>
      <w:r w:rsidR="001B0534">
        <w:rPr>
          <w:color w:val="auto"/>
          <w:szCs w:val="24"/>
        </w:rPr>
        <w:t xml:space="preserve"> wynika ze </w:t>
      </w:r>
      <w:r w:rsidR="001B0534" w:rsidRPr="001B0534">
        <w:rPr>
          <w:color w:val="auto"/>
          <w:szCs w:val="24"/>
        </w:rPr>
        <w:t>wzrostu złożonych wniosków paszportowych</w:t>
      </w:r>
      <w:r w:rsidR="00122368" w:rsidRPr="009F737C">
        <w:rPr>
          <w:color w:val="auto"/>
          <w:szCs w:val="24"/>
        </w:rPr>
        <w:t xml:space="preserve">; </w:t>
      </w:r>
    </w:p>
    <w:p w14:paraId="2304108F" w14:textId="3AAFAB54" w:rsidR="0044562F" w:rsidRPr="00887205" w:rsidRDefault="00122368" w:rsidP="00887205">
      <w:pPr>
        <w:pStyle w:val="Tekstpodstawowy"/>
        <w:widowControl w:val="0"/>
        <w:numPr>
          <w:ilvl w:val="0"/>
          <w:numId w:val="6"/>
        </w:numPr>
        <w:tabs>
          <w:tab w:val="left" w:pos="709"/>
          <w:tab w:val="left" w:pos="1418"/>
        </w:tabs>
        <w:suppressAutoHyphens/>
        <w:autoSpaceDE w:val="0"/>
      </w:pPr>
      <w:r w:rsidRPr="00887205">
        <w:rPr>
          <w:color w:val="auto"/>
          <w:szCs w:val="24"/>
        </w:rPr>
        <w:t>wpływów z różnych opłat, w tym m.in. z tytułu zatrudnienia cudzoziemców, opłat dokonanych przez cudzoziemców za kartę pobytu na terytorium Polski</w:t>
      </w:r>
      <w:r w:rsidR="00887205" w:rsidRPr="00887205">
        <w:rPr>
          <w:color w:val="auto"/>
          <w:szCs w:val="24"/>
        </w:rPr>
        <w:t xml:space="preserve"> oraz opłat za wpis do rejestru ośrodków szkolenia kierowców</w:t>
      </w:r>
      <w:r w:rsidRPr="00887205">
        <w:rPr>
          <w:color w:val="auto"/>
          <w:szCs w:val="24"/>
        </w:rPr>
        <w:t xml:space="preserve"> – 5.090 tys. zł, co stanowi </w:t>
      </w:r>
      <w:r w:rsidR="00CC30FE" w:rsidRPr="00887205">
        <w:rPr>
          <w:color w:val="auto"/>
          <w:szCs w:val="24"/>
        </w:rPr>
        <w:t xml:space="preserve">143,8% planu wynoszącego 3.540 tys. zł. </w:t>
      </w:r>
      <w:r w:rsidR="00887205" w:rsidRPr="00887205">
        <w:rPr>
          <w:color w:val="auto"/>
        </w:rPr>
        <w:t xml:space="preserve">Zwiększone wykonanie jest efektem głównie wzrostu wydanych zezwoleń na pobyt cudzoziemców na terytorium Rzeczpospolitej Polskiej, których liczbę trudno było przewidzieć na etapie </w:t>
      </w:r>
      <w:r w:rsidR="00887205" w:rsidRPr="00887205">
        <w:rPr>
          <w:color w:val="auto"/>
          <w:szCs w:val="24"/>
        </w:rPr>
        <w:t>planowania.</w:t>
      </w:r>
      <w:r w:rsidR="00CC30FE" w:rsidRPr="00887205">
        <w:rPr>
          <w:color w:val="auto"/>
          <w:szCs w:val="24"/>
        </w:rPr>
        <w:t>;</w:t>
      </w:r>
    </w:p>
    <w:p w14:paraId="5D9C49CF" w14:textId="68E47CF4" w:rsidR="0044562F" w:rsidRPr="009F737C" w:rsidRDefault="0044562F" w:rsidP="0007657F">
      <w:pPr>
        <w:numPr>
          <w:ilvl w:val="0"/>
          <w:numId w:val="4"/>
        </w:numPr>
        <w:tabs>
          <w:tab w:val="left" w:pos="709"/>
        </w:tabs>
        <w:spacing w:before="120" w:line="360" w:lineRule="auto"/>
        <w:jc w:val="both"/>
      </w:pPr>
      <w:r w:rsidRPr="009F737C">
        <w:t>wpływów z różnych dochodów – 22</w:t>
      </w:r>
      <w:r w:rsidR="00DB4BA9" w:rsidRPr="009F737C">
        <w:t>6</w:t>
      </w:r>
      <w:r w:rsidRPr="009F737C">
        <w:t xml:space="preserve"> tys. zł</w:t>
      </w:r>
      <w:r w:rsidR="004217F8">
        <w:t xml:space="preserve">, co stanowi </w:t>
      </w:r>
      <w:r w:rsidRPr="009F737C">
        <w:t>1</w:t>
      </w:r>
      <w:r w:rsidR="008238E1" w:rsidRPr="009F737C">
        <w:t>46,8</w:t>
      </w:r>
      <w:r w:rsidRPr="009F737C">
        <w:t>% planu wynoszącego 15</w:t>
      </w:r>
      <w:r w:rsidR="008238E1" w:rsidRPr="009F737C">
        <w:t>4</w:t>
      </w:r>
      <w:r w:rsidRPr="009F737C">
        <w:t xml:space="preserve"> tys. zł.). </w:t>
      </w:r>
      <w:r w:rsidR="00F33046" w:rsidRPr="009F737C">
        <w:t>Ź</w:t>
      </w:r>
      <w:r w:rsidRPr="009F737C">
        <w:t>ródła dochod</w:t>
      </w:r>
      <w:r w:rsidR="00FF3A57">
        <w:t>u</w:t>
      </w:r>
      <w:r w:rsidRPr="009F737C">
        <w:t xml:space="preserve"> to:</w:t>
      </w:r>
    </w:p>
    <w:p w14:paraId="4FC864DD" w14:textId="7E74FF99" w:rsidR="0044562F" w:rsidRPr="00F546CE" w:rsidRDefault="0044562F" w:rsidP="0007657F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</w:pPr>
      <w:bookmarkStart w:id="0" w:name="_Hlk194410315"/>
      <w:r w:rsidRPr="009F737C">
        <w:t xml:space="preserve">wynagrodzenie dla płatnika z tytułu wykonywania zadań określonych przepisami prawa, wpłaty należności rozłożonych na raty od byłych najemców lokali Pomorskiego Urzędu Wojewódzkiego (czynsz) </w:t>
      </w:r>
      <w:r w:rsidR="00F33046" w:rsidRPr="009F737C">
        <w:t xml:space="preserve">– 42 </w:t>
      </w:r>
      <w:r w:rsidRPr="009F737C">
        <w:t>tys. zł,</w:t>
      </w:r>
      <w:r w:rsidR="00F33046" w:rsidRPr="009F737C">
        <w:t xml:space="preserve"> co stanowi </w:t>
      </w:r>
      <w:r w:rsidR="00F33046" w:rsidRPr="009F737C">
        <w:lastRenderedPageBreak/>
        <w:t>210% planu wynoszącego 20 tys. zł.</w:t>
      </w:r>
      <w:r w:rsidR="00F33046">
        <w:t xml:space="preserve"> </w:t>
      </w:r>
      <w:r w:rsidR="00F33046" w:rsidRPr="00BD1BC8">
        <w:t>Wyższe od planowanego wykonanie dochodów z tytułu wynika</w:t>
      </w:r>
      <w:r w:rsidR="005A1CAE">
        <w:t xml:space="preserve"> przede wszystkim</w:t>
      </w:r>
      <w:r w:rsidR="00BD1BC8">
        <w:t xml:space="preserve"> ze zwiększonego wpływu ekwiwalentu za zwierzynę bezprawnie pozyskaną. Dochód z uwagi na swój charakter jest trudny do właściwego zaplanowania;</w:t>
      </w:r>
      <w:r w:rsidR="00F33046">
        <w:t xml:space="preserve"> </w:t>
      </w:r>
    </w:p>
    <w:bookmarkEnd w:id="0"/>
    <w:p w14:paraId="4E54759C" w14:textId="7CBC3DAB" w:rsidR="009F737C" w:rsidRDefault="0044562F" w:rsidP="0007657F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</w:pPr>
      <w:r w:rsidRPr="009F737C">
        <w:t>składki emerytalno-rentowe nadpłacone, wpłaty zaległych opłat za media przez najemców lokali</w:t>
      </w:r>
      <w:r w:rsidR="008C2223">
        <w:t xml:space="preserve"> Pomorskiego Urzędu Wojewódzkiego</w:t>
      </w:r>
      <w:r w:rsidR="00F33046" w:rsidRPr="009F737C">
        <w:t xml:space="preserve"> oraz</w:t>
      </w:r>
      <w:r w:rsidRPr="009F737C">
        <w:t xml:space="preserve"> zwrot nadpłaconego podatku VAT – </w:t>
      </w:r>
      <w:r w:rsidR="00F33046" w:rsidRPr="009F737C">
        <w:t>38</w:t>
      </w:r>
      <w:r w:rsidRPr="009F737C">
        <w:t xml:space="preserve"> tys. zł,</w:t>
      </w:r>
      <w:r w:rsidR="00F33046" w:rsidRPr="009F737C">
        <w:t xml:space="preserve"> co stanowi 108,6% planu wynoszącego 35 tys. zł;</w:t>
      </w:r>
    </w:p>
    <w:p w14:paraId="7E830785" w14:textId="256B7441" w:rsidR="0044562F" w:rsidRPr="009F737C" w:rsidRDefault="0044562F" w:rsidP="0007657F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</w:pPr>
      <w:bookmarkStart w:id="1" w:name="_Hlk194410328"/>
      <w:r w:rsidRPr="009F737C">
        <w:t>zwroty kosztów postepowania sądowego i egzekucyjnego, koszty upomnień</w:t>
      </w:r>
      <w:r w:rsidRPr="00F546CE">
        <w:t xml:space="preserve">  </w:t>
      </w:r>
      <w:r w:rsidRPr="009F737C">
        <w:t xml:space="preserve">oraz  </w:t>
      </w:r>
      <w:r w:rsidR="008C2223">
        <w:t xml:space="preserve">wpłaty należności </w:t>
      </w:r>
      <w:r w:rsidRPr="009F737C">
        <w:t xml:space="preserve">rozłożonych na raty kosztów egzekucyjnych </w:t>
      </w:r>
      <w:r w:rsidRPr="00A42C40">
        <w:t xml:space="preserve">powstałych w związku z dokonaną przez organ egzekucyjny (wojewodę) eksmisją administracyjną i wpłaty kosztów eksmisji przez Wojskową Agencję Mieszkaniową – </w:t>
      </w:r>
      <w:r w:rsidR="00DB4BA9" w:rsidRPr="00A42C40">
        <w:t>40</w:t>
      </w:r>
      <w:r w:rsidRPr="00A42C40">
        <w:t xml:space="preserve"> tys. zł,</w:t>
      </w:r>
      <w:r w:rsidR="00DB4BA9" w:rsidRPr="00A42C40">
        <w:t xml:space="preserve"> co stanowi 138% planu wynoszącego 29 tys. zł</w:t>
      </w:r>
      <w:r w:rsidR="00A06D13" w:rsidRPr="00A42C40">
        <w:t xml:space="preserve">. Wyższe od planowanego wykonanie dochodów z tytułu wynika </w:t>
      </w:r>
      <w:r w:rsidR="00A42C40">
        <w:t xml:space="preserve">przede wszystkim </w:t>
      </w:r>
      <w:r w:rsidR="00A06D13" w:rsidRPr="00A42C40">
        <w:t>z</w:t>
      </w:r>
      <w:bookmarkEnd w:id="1"/>
      <w:r w:rsidR="00A42C40" w:rsidRPr="00A42C40">
        <w:t>e</w:t>
      </w:r>
      <w:r w:rsidR="00A42C40">
        <w:t xml:space="preserve"> </w:t>
      </w:r>
      <w:r w:rsidR="00A42C40" w:rsidRPr="00A42C40">
        <w:t>zwiększeni</w:t>
      </w:r>
      <w:r w:rsidR="00FF3A57">
        <w:t>a</w:t>
      </w:r>
      <w:r w:rsidR="00A42C40" w:rsidRPr="00A42C40">
        <w:t xml:space="preserve"> </w:t>
      </w:r>
      <w:r w:rsidR="00FF3A57">
        <w:t xml:space="preserve">liczby </w:t>
      </w:r>
      <w:r w:rsidR="00A42C40" w:rsidRPr="00A42C40">
        <w:t>postępowań w celu przymuszenia do wykonania obowiązku</w:t>
      </w:r>
      <w:r w:rsidR="00A42C40">
        <w:t xml:space="preserve"> </w:t>
      </w:r>
      <w:r w:rsidR="00A42C40" w:rsidRPr="00A42C40">
        <w:t>zaszczepienia dziecka, w ramach których ustalane są opłaty za czynności egzekucyjne</w:t>
      </w:r>
      <w:r w:rsidR="00DB4BA9" w:rsidRPr="009F737C">
        <w:t>;</w:t>
      </w:r>
    </w:p>
    <w:p w14:paraId="03C47208" w14:textId="1800BFAC" w:rsidR="0044562F" w:rsidRPr="009F737C" w:rsidRDefault="0044562F" w:rsidP="0007657F">
      <w:pPr>
        <w:numPr>
          <w:ilvl w:val="0"/>
          <w:numId w:val="2"/>
        </w:numPr>
        <w:spacing w:line="360" w:lineRule="auto"/>
        <w:jc w:val="both"/>
      </w:pPr>
      <w:bookmarkStart w:id="2" w:name="_Hlk194410344"/>
      <w:r w:rsidRPr="009F737C">
        <w:t xml:space="preserve">spłata raty zadłużenia dłużników po zlikwidowanych przedsiębiorstwach państwowych na podstawie zawartych umów z Ministrem Skarbu Państwa                 o rozłożenie na raty i warunkowe zwolnienie z długu – </w:t>
      </w:r>
      <w:r w:rsidR="00DB4BA9" w:rsidRPr="009F737C">
        <w:t>1</w:t>
      </w:r>
      <w:r w:rsidRPr="009F737C">
        <w:t>9 tys. zł,</w:t>
      </w:r>
      <w:r w:rsidR="00DB4BA9" w:rsidRPr="009F737C">
        <w:t xml:space="preserve"> co stanowi 52,8% planu wynoszącego 36 tys. zł</w:t>
      </w:r>
      <w:r w:rsidR="00A06D13">
        <w:t xml:space="preserve">. </w:t>
      </w:r>
      <w:r w:rsidR="00A06D13" w:rsidRPr="006B38AE">
        <w:t>Niższe od planowanego wykonanie dochodów z tytułu wynika z</w:t>
      </w:r>
      <w:r w:rsidR="006B38AE">
        <w:t xml:space="preserve"> niskiej efektywności prowadzonych postępowań edukacyjnych. Plan założono w oparciu o wykonanie dochodu w latach ubiegłych</w:t>
      </w:r>
      <w:r w:rsidR="00DB4BA9" w:rsidRPr="009F737C">
        <w:t>;</w:t>
      </w:r>
    </w:p>
    <w:p w14:paraId="79CE1221" w14:textId="2541D1B0" w:rsidR="009F737C" w:rsidRDefault="0044562F" w:rsidP="0007657F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</w:pPr>
      <w:bookmarkStart w:id="3" w:name="_Hlk194410354"/>
      <w:bookmarkEnd w:id="2"/>
      <w:r w:rsidRPr="009F737C">
        <w:t xml:space="preserve">odsetek od nieterminowo uregulowanych należności – </w:t>
      </w:r>
      <w:r w:rsidR="00DB4BA9" w:rsidRPr="009F737C">
        <w:t>53</w:t>
      </w:r>
      <w:r w:rsidRPr="009F737C">
        <w:t xml:space="preserve"> tys. zł,</w:t>
      </w:r>
      <w:r w:rsidR="00DB4BA9" w:rsidRPr="009F737C">
        <w:t xml:space="preserve"> co stanowi 165,6% planu wynoszącego 32 tys. zł</w:t>
      </w:r>
      <w:r w:rsidR="00A06D13">
        <w:t xml:space="preserve">. </w:t>
      </w:r>
      <w:r w:rsidR="00A06D13" w:rsidRPr="005A1CAE">
        <w:t>Wyższe od planowanego wykonanie dochodów z tytułu wynika z</w:t>
      </w:r>
      <w:r w:rsidR="005A1CAE">
        <w:t>e zwiększonej skuteczności egzekucji prowadzonych przez właściwe organy</w:t>
      </w:r>
      <w:r w:rsidR="00DB4BA9" w:rsidRPr="009F737C">
        <w:t>;</w:t>
      </w:r>
      <w:bookmarkEnd w:id="3"/>
    </w:p>
    <w:p w14:paraId="088BAA1C" w14:textId="0000F35E" w:rsidR="0044562F" w:rsidRPr="00C70DF6" w:rsidRDefault="0044562F" w:rsidP="0007657F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</w:pPr>
      <w:bookmarkStart w:id="4" w:name="_Hlk194410364"/>
      <w:r w:rsidRPr="009F737C">
        <w:t>sprzedaży majątku ruchomego</w:t>
      </w:r>
      <w:r w:rsidR="008C2223">
        <w:t xml:space="preserve"> (m.in. telefony i </w:t>
      </w:r>
      <w:r w:rsidR="008C2223" w:rsidRPr="00C70DF6">
        <w:t>laptopy) wykupion</w:t>
      </w:r>
      <w:r w:rsidR="008C2223">
        <w:t>ego</w:t>
      </w:r>
      <w:r w:rsidR="008C2223" w:rsidRPr="00C70DF6">
        <w:t xml:space="preserve"> przez odchodzących</w:t>
      </w:r>
      <w:r w:rsidR="007265A6">
        <w:t xml:space="preserve"> z pracy</w:t>
      </w:r>
      <w:r w:rsidR="008C2223" w:rsidRPr="00C70DF6">
        <w:t xml:space="preserve"> pracowników</w:t>
      </w:r>
      <w:r w:rsidRPr="009F737C">
        <w:t xml:space="preserve"> – </w:t>
      </w:r>
      <w:r w:rsidR="00DB4BA9" w:rsidRPr="009F737C">
        <w:t>34</w:t>
      </w:r>
      <w:r w:rsidRPr="009F737C">
        <w:t xml:space="preserve"> tys. zł</w:t>
      </w:r>
      <w:r w:rsidR="00DB4BA9" w:rsidRPr="009F737C">
        <w:t xml:space="preserve">, co stanowi 1.700% planu wynoszącego 2 tys. zł. </w:t>
      </w:r>
      <w:bookmarkStart w:id="5" w:name="_Hlk193979537"/>
      <w:r w:rsidR="00DB4BA9" w:rsidRPr="005A1CAE">
        <w:t>Wyższe od planowanego wykonanie dochodów z tytułu wynika z</w:t>
      </w:r>
      <w:bookmarkEnd w:id="5"/>
      <w:r w:rsidR="005A1CAE" w:rsidRPr="005A1CAE">
        <w:t>e</w:t>
      </w:r>
      <w:r w:rsidR="005A1CAE">
        <w:t xml:space="preserve"> </w:t>
      </w:r>
      <w:r w:rsidR="008C2223">
        <w:t xml:space="preserve">zmian organizacyjno-kadrowych i związanych z tym zmian </w:t>
      </w:r>
      <w:r w:rsidR="007265A6">
        <w:br/>
      </w:r>
      <w:r w:rsidR="008C2223">
        <w:t>w sprzęcie służbowym</w:t>
      </w:r>
      <w:r w:rsidR="005A1CAE" w:rsidRPr="00C70DF6">
        <w:t>;</w:t>
      </w:r>
    </w:p>
    <w:bookmarkEnd w:id="4"/>
    <w:p w14:paraId="710998CF" w14:textId="77777777" w:rsidR="0044562F" w:rsidRPr="00C70DF6" w:rsidRDefault="0044562F" w:rsidP="0007657F">
      <w:pPr>
        <w:tabs>
          <w:tab w:val="left" w:pos="709"/>
        </w:tabs>
        <w:suppressAutoHyphens/>
        <w:spacing w:line="360" w:lineRule="auto"/>
        <w:jc w:val="both"/>
      </w:pPr>
    </w:p>
    <w:p w14:paraId="3F92D5DC" w14:textId="18DE8ED7" w:rsidR="0044562F" w:rsidRPr="00C70DF6" w:rsidRDefault="00C70DF6" w:rsidP="0007657F">
      <w:pPr>
        <w:pStyle w:val="Akapitzlist"/>
        <w:numPr>
          <w:ilvl w:val="0"/>
          <w:numId w:val="4"/>
        </w:numPr>
        <w:spacing w:after="160" w:line="360" w:lineRule="auto"/>
        <w:jc w:val="both"/>
      </w:pPr>
      <w:r w:rsidRPr="00C70DF6">
        <w:t xml:space="preserve">wpływów z czynszów najemców pomieszczeń w budynkach Pomorskiego Urzędu Wojewódzkiego w Gdańsku </w:t>
      </w:r>
      <w:r w:rsidR="00B422C5">
        <w:t xml:space="preserve">(130 tys. zł </w:t>
      </w:r>
      <w:r w:rsidRPr="00C70DF6">
        <w:t>oraz wpłat z tytułu części udziałów Skarbu Państwa w nieruchomości w Słupsku</w:t>
      </w:r>
      <w:r w:rsidR="00B422C5">
        <w:t xml:space="preserve"> (104 tys. zł)</w:t>
      </w:r>
      <w:r w:rsidRPr="00C70DF6">
        <w:t xml:space="preserve"> – 234 tys. zł., co stanowi 121,9% planu wynoszącego</w:t>
      </w:r>
      <w:r w:rsidR="00B422C5">
        <w:t xml:space="preserve"> </w:t>
      </w:r>
      <w:r w:rsidRPr="00C70DF6">
        <w:t xml:space="preserve">192 tys. zł. Wyższe od planowanego wykonanie dochodów z tytułu wynika z przyjętych założeń co do wykonania. Dochody zaplanowano w oparciu </w:t>
      </w:r>
      <w:r w:rsidR="00B422C5">
        <w:br/>
      </w:r>
      <w:r w:rsidRPr="00C70DF6">
        <w:t>o wpływy z tytułu w latach poprzednich w trakcie roku uzyskano jednak zwiększone wpływy z wynajmu powierzchni dachu przy budynku Skarbu Państwa przy ul</w:t>
      </w:r>
      <w:r>
        <w:t>. Jana Pawła II w Słupsku</w:t>
      </w:r>
      <w:r w:rsidR="008238E1" w:rsidRPr="00577385">
        <w:t>;</w:t>
      </w:r>
    </w:p>
    <w:p w14:paraId="7F2329B1" w14:textId="30397F0D" w:rsidR="0044562F" w:rsidRPr="009F737C" w:rsidRDefault="0044562F" w:rsidP="0007657F">
      <w:pPr>
        <w:numPr>
          <w:ilvl w:val="0"/>
          <w:numId w:val="1"/>
        </w:numPr>
        <w:tabs>
          <w:tab w:val="left" w:pos="709"/>
        </w:tabs>
        <w:suppressAutoHyphens/>
        <w:spacing w:line="360" w:lineRule="auto"/>
        <w:ind w:left="720" w:hanging="360"/>
        <w:jc w:val="both"/>
      </w:pPr>
      <w:r w:rsidRPr="009F737C">
        <w:t>prowadzonej usługi inkasa przez Pomorski Urząd Wojewódzki na rzecz Urzędu Miasta Gdańska w związku z opłatą skarbową</w:t>
      </w:r>
      <w:r w:rsidR="007265A6">
        <w:t xml:space="preserve"> (598 tys. zł)</w:t>
      </w:r>
      <w:r w:rsidRPr="009F737C">
        <w:t xml:space="preserve">, sprzątania części wspólnych </w:t>
      </w:r>
      <w:r w:rsidR="007265A6">
        <w:br/>
      </w:r>
      <w:r w:rsidRPr="009F737C">
        <w:t>i partycypacja w kosztach utrzymania pomieszczeń regulowane przez najemców lokali Pomorskiego Urzędu Wojewódzkiego w Gdańsku</w:t>
      </w:r>
      <w:r w:rsidR="007265A6">
        <w:t xml:space="preserve"> (93 tys. zł)</w:t>
      </w:r>
      <w:r w:rsidRPr="009F737C">
        <w:t xml:space="preserve"> oraz obsługi kasy zapomogowo-pożyczkowej </w:t>
      </w:r>
      <w:r w:rsidR="007265A6">
        <w:t>(39 tys. zł)</w:t>
      </w:r>
      <w:r w:rsidRPr="009F737C">
        <w:t>– 7</w:t>
      </w:r>
      <w:r w:rsidR="008238E1" w:rsidRPr="009F737C">
        <w:t>28</w:t>
      </w:r>
      <w:r w:rsidRPr="009F737C">
        <w:t xml:space="preserve"> tys. zł, co stanowi </w:t>
      </w:r>
      <w:r w:rsidR="008238E1" w:rsidRPr="009F737C">
        <w:t>98,6</w:t>
      </w:r>
      <w:r w:rsidRPr="009F737C">
        <w:t xml:space="preserve">% planu wynoszącego </w:t>
      </w:r>
      <w:r w:rsidR="008238E1" w:rsidRPr="009F737C">
        <w:t>730</w:t>
      </w:r>
      <w:r w:rsidRPr="009F737C">
        <w:t xml:space="preserve"> tys. zł</w:t>
      </w:r>
      <w:r w:rsidR="008238E1" w:rsidRPr="009F737C">
        <w:t>;</w:t>
      </w:r>
    </w:p>
    <w:p w14:paraId="0303642A" w14:textId="71A7F852" w:rsidR="0044562F" w:rsidRPr="000136A6" w:rsidRDefault="0044562F" w:rsidP="0007657F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F737C">
        <w:rPr>
          <w:bCs/>
        </w:rPr>
        <w:t xml:space="preserve">opłat i innych dochodów pobieranych przez jednostki samorządu terytorialnego                   z tytułu realizacji zadań zleconych z zakresu administracji rządowej – </w:t>
      </w:r>
      <w:r w:rsidR="00436318" w:rsidRPr="009F737C">
        <w:rPr>
          <w:bCs/>
        </w:rPr>
        <w:t>731</w:t>
      </w:r>
      <w:r w:rsidRPr="009F737C">
        <w:rPr>
          <w:bCs/>
        </w:rPr>
        <w:t xml:space="preserve"> tys. zł.,               co stanowi </w:t>
      </w:r>
      <w:r w:rsidR="00436318" w:rsidRPr="009F737C">
        <w:rPr>
          <w:bCs/>
        </w:rPr>
        <w:t>124,5</w:t>
      </w:r>
      <w:r w:rsidRPr="009F737C">
        <w:rPr>
          <w:bCs/>
        </w:rPr>
        <w:t>% planu wynoszącego 5</w:t>
      </w:r>
      <w:r w:rsidR="00436318" w:rsidRPr="009F737C">
        <w:rPr>
          <w:bCs/>
        </w:rPr>
        <w:t>87</w:t>
      </w:r>
      <w:r w:rsidRPr="009F737C">
        <w:rPr>
          <w:bCs/>
        </w:rPr>
        <w:t xml:space="preserve"> tys. zł.</w:t>
      </w:r>
      <w:r w:rsidRPr="000136A6">
        <w:rPr>
          <w:bCs/>
        </w:rPr>
        <w:t xml:space="preserve"> </w:t>
      </w:r>
      <w:r w:rsidR="00436318" w:rsidRPr="0014758A">
        <w:t>Wyższe od planowanego wykonanie dochodów z tytułu wynika z</w:t>
      </w:r>
      <w:r w:rsidR="0014758A">
        <w:t xml:space="preserve"> ich charakteru. Dochody te są przede wszystkim uzależnione od trudnej do zaplanowania liczby złożonych jednostkom samorządu</w:t>
      </w:r>
      <w:r w:rsidR="005B5F3A">
        <w:t xml:space="preserve"> terytorialnego</w:t>
      </w:r>
      <w:r w:rsidR="0014758A">
        <w:t xml:space="preserve"> wniosków (np. wniosków o udostepnienie danych z rejestru mieszkańców oraz rejestru PESEL)</w:t>
      </w:r>
      <w:r w:rsidR="0057780D">
        <w:t>.</w:t>
      </w:r>
    </w:p>
    <w:p w14:paraId="34265249" w14:textId="77777777" w:rsidR="0044562F" w:rsidRPr="00F546CE" w:rsidRDefault="0044562F" w:rsidP="0007657F">
      <w:pPr>
        <w:pStyle w:val="Tekstpodstawowy"/>
        <w:rPr>
          <w:color w:val="auto"/>
          <w:szCs w:val="24"/>
        </w:rPr>
      </w:pPr>
    </w:p>
    <w:p w14:paraId="5AB56A34" w14:textId="703220EE" w:rsidR="002C2A83" w:rsidRDefault="0044562F" w:rsidP="0007657F">
      <w:pPr>
        <w:tabs>
          <w:tab w:val="left" w:pos="1080"/>
        </w:tabs>
        <w:spacing w:line="360" w:lineRule="auto"/>
        <w:jc w:val="both"/>
        <w:rPr>
          <w:rFonts w:ascii="TimesNewRomanPSMT" w:eastAsiaTheme="minorHAnsi" w:hAnsi="TimesNewRomanPSMT" w:cs="TimesNewRomanPSMT"/>
          <w:sz w:val="22"/>
          <w:szCs w:val="22"/>
          <w:lang w:eastAsia="en-US"/>
          <w14:ligatures w14:val="standardContextual"/>
        </w:rPr>
      </w:pPr>
      <w:r w:rsidRPr="002C2A83">
        <w:t xml:space="preserve">Dochody nieplanowane w wysokości </w:t>
      </w:r>
      <w:r w:rsidR="00436318" w:rsidRPr="002C2A83">
        <w:t>221</w:t>
      </w:r>
      <w:r w:rsidRPr="002C2A83">
        <w:t xml:space="preserve"> tys. zł. </w:t>
      </w:r>
      <w:r w:rsidR="00436318" w:rsidRPr="002C2A83">
        <w:t>u</w:t>
      </w:r>
      <w:r w:rsidRPr="002C2A83">
        <w:t>zyskano</w:t>
      </w:r>
      <w:r w:rsidR="00436318" w:rsidRPr="002C2A83">
        <w:t xml:space="preserve"> </w:t>
      </w:r>
      <w:r w:rsidR="00071A68">
        <w:t>przede wszystkim</w:t>
      </w:r>
      <w:r w:rsidRPr="002C2A83">
        <w:t xml:space="preserve"> z tytułu:</w:t>
      </w:r>
      <w:r w:rsidR="002C2A83" w:rsidRPr="002C2A83">
        <w:rPr>
          <w:rFonts w:ascii="TimesNewRomanPSMT" w:eastAsiaTheme="minorHAnsi" w:hAnsi="TimesNewRomanPSMT" w:cs="TimesNewRomanPSMT"/>
          <w:sz w:val="22"/>
          <w:szCs w:val="22"/>
          <w:lang w:eastAsia="en-US"/>
          <w14:ligatures w14:val="standardContextual"/>
        </w:rPr>
        <w:t xml:space="preserve"> </w:t>
      </w:r>
    </w:p>
    <w:p w14:paraId="33DDCC35" w14:textId="17057EF0" w:rsidR="00C43FED" w:rsidRPr="00C43FED" w:rsidRDefault="00C43FED" w:rsidP="0007657F">
      <w:pPr>
        <w:pStyle w:val="Akapitzlist"/>
        <w:numPr>
          <w:ilvl w:val="0"/>
          <w:numId w:val="4"/>
        </w:numPr>
        <w:tabs>
          <w:tab w:val="left" w:pos="1080"/>
        </w:tabs>
        <w:spacing w:line="360" w:lineRule="auto"/>
        <w:jc w:val="both"/>
      </w:pPr>
      <w:r>
        <w:t>zwrotu niewykorzystanej dotacji przeznaczonej na realizacje spraw obywatelskich;</w:t>
      </w:r>
    </w:p>
    <w:p w14:paraId="74215461" w14:textId="33B4A2FE" w:rsidR="002C2A83" w:rsidRDefault="002C2A83" w:rsidP="0007657F">
      <w:pPr>
        <w:pStyle w:val="Akapitzlist"/>
        <w:numPr>
          <w:ilvl w:val="0"/>
          <w:numId w:val="4"/>
        </w:numPr>
        <w:tabs>
          <w:tab w:val="left" w:pos="1080"/>
        </w:tabs>
        <w:spacing w:line="360" w:lineRule="auto"/>
        <w:jc w:val="both"/>
      </w:pPr>
      <w:r w:rsidRPr="002C2A83">
        <w:rPr>
          <w:rFonts w:ascii="TimesNewRomanPSMT" w:eastAsiaTheme="minorHAnsi" w:hAnsi="TimesNewRomanPSMT" w:cs="TimesNewRomanPSMT"/>
          <w:sz w:val="22"/>
          <w:szCs w:val="22"/>
          <w:lang w:eastAsia="en-US"/>
          <w14:ligatures w14:val="standardContextual"/>
        </w:rPr>
        <w:t xml:space="preserve">kar za </w:t>
      </w:r>
      <w:r w:rsidRPr="002C2A83">
        <w:t xml:space="preserve">niedochowanie przez jednostki samorządu terytorialnego ustawowego </w:t>
      </w:r>
      <w:r>
        <w:br/>
      </w:r>
      <w:r w:rsidRPr="002C2A83">
        <w:t>65-dniowego terminu na wydanie decyzji o pozwoleniu na budowę lokalu</w:t>
      </w:r>
      <w:r>
        <w:t>;</w:t>
      </w:r>
      <w:r w:rsidRPr="002C2A83">
        <w:t xml:space="preserve"> </w:t>
      </w:r>
    </w:p>
    <w:p w14:paraId="4327E6BB" w14:textId="50EECC52" w:rsidR="002C2A83" w:rsidRPr="002C2A83" w:rsidRDefault="002C2A83" w:rsidP="0007657F">
      <w:pPr>
        <w:pStyle w:val="Akapitzlist"/>
        <w:numPr>
          <w:ilvl w:val="0"/>
          <w:numId w:val="4"/>
        </w:numPr>
        <w:tabs>
          <w:tab w:val="left" w:pos="1080"/>
        </w:tabs>
        <w:spacing w:line="360" w:lineRule="auto"/>
        <w:jc w:val="both"/>
      </w:pPr>
      <w:r w:rsidRPr="002C2A83">
        <w:t>zapłaconych grzywien w celu przymuszenia do wykonania obowiązku wyeliminowania</w:t>
      </w:r>
    </w:p>
    <w:p w14:paraId="50D60B88" w14:textId="5EA76FDC" w:rsidR="002C2A83" w:rsidRDefault="002C2A83" w:rsidP="0007657F">
      <w:pPr>
        <w:tabs>
          <w:tab w:val="left" w:pos="1080"/>
        </w:tabs>
        <w:spacing w:line="360" w:lineRule="auto"/>
        <w:jc w:val="both"/>
      </w:pPr>
      <w:r>
        <w:t xml:space="preserve">            </w:t>
      </w:r>
      <w:r w:rsidRPr="002C2A83">
        <w:t>wyrobów niezgodnych z ogólnymi wymaganiami bezpieczeństwa</w:t>
      </w:r>
      <w:r>
        <w:t>;</w:t>
      </w:r>
    </w:p>
    <w:p w14:paraId="639DEA24" w14:textId="6A016AE1" w:rsidR="0044562F" w:rsidRPr="00325757" w:rsidRDefault="0044562F" w:rsidP="0007657F">
      <w:pPr>
        <w:pStyle w:val="Akapitzlist"/>
        <w:numPr>
          <w:ilvl w:val="0"/>
          <w:numId w:val="9"/>
        </w:numPr>
        <w:tabs>
          <w:tab w:val="left" w:pos="1080"/>
        </w:tabs>
        <w:spacing w:line="360" w:lineRule="auto"/>
        <w:jc w:val="both"/>
      </w:pPr>
      <w:r w:rsidRPr="00325757">
        <w:t>nałożon</w:t>
      </w:r>
      <w:r w:rsidR="002C2A83" w:rsidRPr="00325757">
        <w:t>ych</w:t>
      </w:r>
      <w:r w:rsidRPr="00325757">
        <w:t xml:space="preserve"> kar umown</w:t>
      </w:r>
      <w:r w:rsidR="002C2A83" w:rsidRPr="00325757">
        <w:t>ych</w:t>
      </w:r>
      <w:r w:rsidRPr="00325757">
        <w:t xml:space="preserve"> za niewywiązanie się z terminu zawartej umowy</w:t>
      </w:r>
      <w:r w:rsidR="00EC0CD9">
        <w:t>.</w:t>
      </w:r>
    </w:p>
    <w:p w14:paraId="0B136E68" w14:textId="77777777" w:rsidR="0044562F" w:rsidRPr="00F546CE" w:rsidRDefault="0044562F" w:rsidP="0007657F">
      <w:pPr>
        <w:jc w:val="both"/>
      </w:pPr>
    </w:p>
    <w:p w14:paraId="037F39DE" w14:textId="77777777" w:rsidR="0044562F" w:rsidRPr="00F546CE" w:rsidRDefault="0044562F" w:rsidP="0007657F">
      <w:pPr>
        <w:jc w:val="both"/>
      </w:pPr>
    </w:p>
    <w:p w14:paraId="42DBA1F6" w14:textId="2D6DB50E" w:rsidR="0044562F" w:rsidRPr="00F546CE" w:rsidRDefault="0044562F" w:rsidP="0007657F">
      <w:pPr>
        <w:spacing w:line="360" w:lineRule="auto"/>
        <w:jc w:val="both"/>
      </w:pPr>
      <w:r w:rsidRPr="0007657F">
        <w:lastRenderedPageBreak/>
        <w:t>Na koniec 202</w:t>
      </w:r>
      <w:r w:rsidR="00436318" w:rsidRPr="0007657F">
        <w:t>4</w:t>
      </w:r>
      <w:r w:rsidRPr="0007657F">
        <w:t xml:space="preserve"> r. należności wyniosły 11.</w:t>
      </w:r>
      <w:r w:rsidR="00436318" w:rsidRPr="0007657F">
        <w:t>589</w:t>
      </w:r>
      <w:r w:rsidRPr="0007657F">
        <w:t xml:space="preserve"> tys. zł.,</w:t>
      </w:r>
      <w:r w:rsidR="00577385" w:rsidRPr="0007657F">
        <w:t xml:space="preserve"> co stanowi wzrost o 485 tys. zł </w:t>
      </w:r>
      <w:r w:rsidR="00577385" w:rsidRPr="0007657F">
        <w:br/>
        <w:t>w stosunku do roku 2023. Pochodziły one</w:t>
      </w:r>
      <w:r w:rsidRPr="0007657F">
        <w:t xml:space="preserve"> głównie od dłużników wykreślonych</w:t>
      </w:r>
      <w:r w:rsidR="00577385" w:rsidRPr="0007657F">
        <w:t xml:space="preserve"> </w:t>
      </w:r>
      <w:r w:rsidRPr="0007657F">
        <w:t>z rejestru sądowego przedsiębiorstw państwowych</w:t>
      </w:r>
      <w:r w:rsidR="0007657F">
        <w:t xml:space="preserve"> oraz odsetek z tego tytułu</w:t>
      </w:r>
      <w:r w:rsidRPr="0007657F">
        <w:t>. Są to zaległości pozostałe po likwidacji przedsiębiorstw, przejęte po zniesieniu Ministerstwa Skarbu Państwa.</w:t>
      </w:r>
      <w:r w:rsidR="0007657F" w:rsidRPr="0007657F">
        <w:t xml:space="preserve"> Odsetki </w:t>
      </w:r>
      <w:r w:rsidR="0007657F">
        <w:br/>
        <w:t>z tytułu</w:t>
      </w:r>
      <w:r w:rsidR="0007657F" w:rsidRPr="0007657F">
        <w:t xml:space="preserve"> stanowiły na koniec 2024 r. już przeszło połowę sumy </w:t>
      </w:r>
      <w:r w:rsidR="0007657F">
        <w:t xml:space="preserve">wszystkich </w:t>
      </w:r>
      <w:r w:rsidR="0007657F" w:rsidRPr="0007657F">
        <w:t>należności</w:t>
      </w:r>
      <w:r w:rsidR="0007657F">
        <w:t xml:space="preserve"> w dziale</w:t>
      </w:r>
      <w:r w:rsidR="0007657F" w:rsidRPr="0007657F">
        <w:t>.</w:t>
      </w:r>
    </w:p>
    <w:p w14:paraId="7EE12990" w14:textId="77777777" w:rsidR="0044562F" w:rsidRPr="00F546CE" w:rsidRDefault="0044562F" w:rsidP="0007657F">
      <w:pPr>
        <w:jc w:val="both"/>
      </w:pPr>
    </w:p>
    <w:p w14:paraId="06C2DC56" w14:textId="77777777" w:rsidR="00566838" w:rsidRPr="0044562F" w:rsidRDefault="00566838" w:rsidP="0007657F">
      <w:pPr>
        <w:jc w:val="both"/>
      </w:pPr>
    </w:p>
    <w:sectPr w:rsidR="00566838" w:rsidRPr="0044562F" w:rsidSect="0044562F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11AA" w14:textId="77777777" w:rsidR="008310B4" w:rsidRDefault="008310B4">
      <w:r>
        <w:separator/>
      </w:r>
    </w:p>
  </w:endnote>
  <w:endnote w:type="continuationSeparator" w:id="0">
    <w:p w14:paraId="55AD446D" w14:textId="77777777" w:rsidR="008310B4" w:rsidRDefault="0083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89B8" w14:textId="77777777" w:rsidR="008310B4" w:rsidRDefault="008310B4">
      <w:r>
        <w:separator/>
      </w:r>
    </w:p>
  </w:footnote>
  <w:footnote w:type="continuationSeparator" w:id="0">
    <w:p w14:paraId="01B9E2CD" w14:textId="77777777" w:rsidR="008310B4" w:rsidRDefault="0083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4364" w14:textId="77777777" w:rsidR="003E327E" w:rsidRDefault="003E327E">
    <w:pPr>
      <w:pStyle w:val="Nagwek"/>
      <w:rPr>
        <w:sz w:val="20"/>
        <w:szCs w:val="20"/>
      </w:rPr>
    </w:pPr>
  </w:p>
  <w:p w14:paraId="1D1A52B5" w14:textId="77777777" w:rsidR="003E327E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1860D6"/>
    <w:name w:val="WW8Num3"/>
    <w:lvl w:ilvl="0">
      <w:start w:val="1"/>
      <w:numFmt w:val="bullet"/>
      <w:lvlText w:val=""/>
      <w:lvlJc w:val="left"/>
      <w:pPr>
        <w:tabs>
          <w:tab w:val="num" w:pos="337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52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</w:abstractNum>
  <w:abstractNum w:abstractNumId="1" w15:restartNumberingAfterBreak="0">
    <w:nsid w:val="0E7849E5"/>
    <w:multiLevelType w:val="hybridMultilevel"/>
    <w:tmpl w:val="FEF0D12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A11BA5"/>
    <w:multiLevelType w:val="hybridMultilevel"/>
    <w:tmpl w:val="9DFAF1A0"/>
    <w:lvl w:ilvl="0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80591"/>
    <w:multiLevelType w:val="hybridMultilevel"/>
    <w:tmpl w:val="5B5C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0372"/>
    <w:multiLevelType w:val="hybridMultilevel"/>
    <w:tmpl w:val="CE261BA2"/>
    <w:lvl w:ilvl="0" w:tplc="83721A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8223C2"/>
    <w:multiLevelType w:val="hybridMultilevel"/>
    <w:tmpl w:val="A8681220"/>
    <w:lvl w:ilvl="0" w:tplc="4516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66409"/>
    <w:multiLevelType w:val="hybridMultilevel"/>
    <w:tmpl w:val="F4748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968DC"/>
    <w:multiLevelType w:val="hybridMultilevel"/>
    <w:tmpl w:val="FBCC7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AE4F3A"/>
    <w:multiLevelType w:val="hybridMultilevel"/>
    <w:tmpl w:val="932ED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0382C"/>
    <w:multiLevelType w:val="hybridMultilevel"/>
    <w:tmpl w:val="700AB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3439">
    <w:abstractNumId w:val="0"/>
  </w:num>
  <w:num w:numId="2" w16cid:durableId="516038771">
    <w:abstractNumId w:val="2"/>
  </w:num>
  <w:num w:numId="3" w16cid:durableId="1018771508">
    <w:abstractNumId w:val="4"/>
  </w:num>
  <w:num w:numId="4" w16cid:durableId="771783004">
    <w:abstractNumId w:val="8"/>
  </w:num>
  <w:num w:numId="5" w16cid:durableId="1295671578">
    <w:abstractNumId w:val="5"/>
  </w:num>
  <w:num w:numId="6" w16cid:durableId="9845440">
    <w:abstractNumId w:val="1"/>
  </w:num>
  <w:num w:numId="7" w16cid:durableId="66002568">
    <w:abstractNumId w:val="7"/>
  </w:num>
  <w:num w:numId="8" w16cid:durableId="2065129898">
    <w:abstractNumId w:val="9"/>
  </w:num>
  <w:num w:numId="9" w16cid:durableId="1086268985">
    <w:abstractNumId w:val="3"/>
  </w:num>
  <w:num w:numId="10" w16cid:durableId="258298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2F"/>
    <w:rsid w:val="00023941"/>
    <w:rsid w:val="00053CD2"/>
    <w:rsid w:val="00071A68"/>
    <w:rsid w:val="0007657F"/>
    <w:rsid w:val="000B33AF"/>
    <w:rsid w:val="000E759E"/>
    <w:rsid w:val="00122368"/>
    <w:rsid w:val="0014758A"/>
    <w:rsid w:val="00147842"/>
    <w:rsid w:val="001B0534"/>
    <w:rsid w:val="001F76D7"/>
    <w:rsid w:val="002C2A83"/>
    <w:rsid w:val="00325757"/>
    <w:rsid w:val="003300FA"/>
    <w:rsid w:val="0038055D"/>
    <w:rsid w:val="00395C8B"/>
    <w:rsid w:val="003A509E"/>
    <w:rsid w:val="003E327E"/>
    <w:rsid w:val="003F55F4"/>
    <w:rsid w:val="00407FF2"/>
    <w:rsid w:val="004217F8"/>
    <w:rsid w:val="00436318"/>
    <w:rsid w:val="0044562F"/>
    <w:rsid w:val="004E0607"/>
    <w:rsid w:val="004F0BE1"/>
    <w:rsid w:val="00566838"/>
    <w:rsid w:val="00572EB0"/>
    <w:rsid w:val="00576FC6"/>
    <w:rsid w:val="00577385"/>
    <w:rsid w:val="0057780D"/>
    <w:rsid w:val="00595073"/>
    <w:rsid w:val="005A1CAE"/>
    <w:rsid w:val="005B5F3A"/>
    <w:rsid w:val="005E75E2"/>
    <w:rsid w:val="006151DA"/>
    <w:rsid w:val="006B38AE"/>
    <w:rsid w:val="006C2976"/>
    <w:rsid w:val="006D26E7"/>
    <w:rsid w:val="00701B4C"/>
    <w:rsid w:val="00710381"/>
    <w:rsid w:val="00716BC7"/>
    <w:rsid w:val="007265A6"/>
    <w:rsid w:val="00736D36"/>
    <w:rsid w:val="00761C42"/>
    <w:rsid w:val="007B141E"/>
    <w:rsid w:val="007D6C9F"/>
    <w:rsid w:val="007F49BD"/>
    <w:rsid w:val="008238E1"/>
    <w:rsid w:val="008307EE"/>
    <w:rsid w:val="008310B4"/>
    <w:rsid w:val="00841C29"/>
    <w:rsid w:val="00856EC7"/>
    <w:rsid w:val="00866463"/>
    <w:rsid w:val="00887205"/>
    <w:rsid w:val="008C2223"/>
    <w:rsid w:val="0091674D"/>
    <w:rsid w:val="00935E61"/>
    <w:rsid w:val="0098162D"/>
    <w:rsid w:val="009E619A"/>
    <w:rsid w:val="009F737C"/>
    <w:rsid w:val="00A06D13"/>
    <w:rsid w:val="00A42C40"/>
    <w:rsid w:val="00AA033E"/>
    <w:rsid w:val="00AF224F"/>
    <w:rsid w:val="00B22CF4"/>
    <w:rsid w:val="00B422C5"/>
    <w:rsid w:val="00B9796B"/>
    <w:rsid w:val="00BA7D65"/>
    <w:rsid w:val="00BD1BC8"/>
    <w:rsid w:val="00C211DC"/>
    <w:rsid w:val="00C3681A"/>
    <w:rsid w:val="00C43FED"/>
    <w:rsid w:val="00C70DF6"/>
    <w:rsid w:val="00CB106E"/>
    <w:rsid w:val="00CB24C6"/>
    <w:rsid w:val="00CC0E9C"/>
    <w:rsid w:val="00CC30FE"/>
    <w:rsid w:val="00CF6B8B"/>
    <w:rsid w:val="00DB4BA9"/>
    <w:rsid w:val="00DC3756"/>
    <w:rsid w:val="00E36474"/>
    <w:rsid w:val="00E557E0"/>
    <w:rsid w:val="00EC0CD9"/>
    <w:rsid w:val="00EC37C1"/>
    <w:rsid w:val="00F16E4E"/>
    <w:rsid w:val="00F33046"/>
    <w:rsid w:val="00F51879"/>
    <w:rsid w:val="00F7641E"/>
    <w:rsid w:val="00F86E3D"/>
    <w:rsid w:val="00FE2F6B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BC7"/>
  <w15:chartTrackingRefBased/>
  <w15:docId w15:val="{A5493254-804E-4CF1-AC3F-C81B68F8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6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44562F"/>
    <w:pPr>
      <w:keepNext/>
      <w:keepLines/>
      <w:spacing w:before="40"/>
      <w:outlineLvl w:val="5"/>
    </w:pPr>
    <w:rPr>
      <w:rFonts w:eastAsiaTheme="majorEastAsia" w:cstheme="majorBidi"/>
      <w:b/>
      <w:iCs/>
      <w:sz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6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6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6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6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6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44562F"/>
    <w:rPr>
      <w:rFonts w:ascii="Times New Roman" w:eastAsiaTheme="majorEastAsia" w:hAnsi="Times New Roman" w:cstheme="majorBidi"/>
      <w:b/>
      <w:iCs/>
      <w:kern w:val="0"/>
      <w:sz w:val="32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6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6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6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6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62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4562F"/>
    <w:pPr>
      <w:spacing w:line="360" w:lineRule="auto"/>
      <w:jc w:val="both"/>
    </w:pPr>
    <w:rPr>
      <w:color w:val="FF0000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44562F"/>
    <w:rPr>
      <w:rFonts w:ascii="Times New Roman" w:eastAsia="Times New Roman" w:hAnsi="Times New Roman" w:cs="Times New Roman"/>
      <w:color w:val="FF0000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45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2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33</cp:revision>
  <dcterms:created xsi:type="dcterms:W3CDTF">2025-03-26T12:21:00Z</dcterms:created>
  <dcterms:modified xsi:type="dcterms:W3CDTF">2025-04-17T07:56:00Z</dcterms:modified>
</cp:coreProperties>
</file>