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D2" w:rsidRPr="00394CD2" w:rsidRDefault="00394CD2" w:rsidP="00394CD2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394CD2">
        <w:rPr>
          <w:rFonts w:ascii="Times New Roman" w:hAnsi="Times New Roman" w:cs="Times New Roman"/>
          <w:bCs/>
          <w:color w:val="000000" w:themeColor="text1"/>
        </w:rPr>
        <w:t>Załącznik B.102</w:t>
      </w:r>
    </w:p>
    <w:p w:rsidR="00BC62B0" w:rsidRPr="007A794F" w:rsidRDefault="00BC62B0" w:rsidP="00394CD2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LECZENIE </w:t>
      </w:r>
      <w:r w:rsidR="00F526B3"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RDZENIOWEGO ZANIKU MIĘŚNI (</w:t>
      </w:r>
      <w:r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ICD-10</w:t>
      </w:r>
      <w:r w:rsidR="00F526B3"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 xml:space="preserve">: </w:t>
      </w:r>
      <w:r w:rsidR="00B74059"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G12.0, G12.1</w:t>
      </w:r>
      <w:r w:rsidRPr="007A794F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07"/>
        <w:gridCol w:w="4069"/>
        <w:gridCol w:w="5512"/>
      </w:tblGrid>
      <w:tr w:rsidR="007A794F" w:rsidRPr="00394CD2" w:rsidTr="00F55141">
        <w:trPr>
          <w:trHeight w:val="567"/>
        </w:trPr>
        <w:tc>
          <w:tcPr>
            <w:tcW w:w="5000" w:type="pct"/>
            <w:gridSpan w:val="3"/>
            <w:vAlign w:val="center"/>
          </w:tcPr>
          <w:p w:rsidR="00BC62B0" w:rsidRPr="00394CD2" w:rsidRDefault="00BC62B0" w:rsidP="00F551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ŚWIADCZENIA GWARANTOWANEGO</w:t>
            </w:r>
          </w:p>
        </w:tc>
      </w:tr>
      <w:tr w:rsidR="007A794F" w:rsidRPr="00394CD2" w:rsidTr="00F55141">
        <w:trPr>
          <w:trHeight w:val="567"/>
        </w:trPr>
        <w:tc>
          <w:tcPr>
            <w:tcW w:w="1887" w:type="pct"/>
            <w:vAlign w:val="center"/>
          </w:tcPr>
          <w:p w:rsidR="00BC62B0" w:rsidRPr="00394CD2" w:rsidRDefault="00BC62B0" w:rsidP="00F551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ŚWIADCZENIOBIORCY</w:t>
            </w:r>
          </w:p>
        </w:tc>
        <w:tc>
          <w:tcPr>
            <w:tcW w:w="1322" w:type="pct"/>
            <w:vAlign w:val="center"/>
          </w:tcPr>
          <w:p w:rsidR="00BC62B0" w:rsidRPr="00394CD2" w:rsidRDefault="00BC62B0" w:rsidP="00F551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SCHEMAT DAWKOWANIA LEKÓW W</w:t>
            </w:r>
            <w:r w:rsidR="00E053BC"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PROGRAMIE</w:t>
            </w:r>
          </w:p>
        </w:tc>
        <w:tc>
          <w:tcPr>
            <w:tcW w:w="1791" w:type="pct"/>
            <w:tcBorders>
              <w:right w:val="single" w:sz="4" w:space="0" w:color="auto"/>
            </w:tcBorders>
            <w:vAlign w:val="center"/>
          </w:tcPr>
          <w:p w:rsidR="00BC62B0" w:rsidRPr="00394CD2" w:rsidRDefault="00BC62B0" w:rsidP="00F5514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BADANIA DIAGNOSTYCZNE </w:t>
            </w:r>
            <w:r w:rsidR="00047F48"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WYKONYWANE W </w:t>
            </w:r>
            <w:r w:rsidRPr="00394CD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RAMACH PROGRAMU</w:t>
            </w:r>
          </w:p>
        </w:tc>
      </w:tr>
      <w:tr w:rsidR="007A794F" w:rsidRPr="00394CD2" w:rsidTr="00F55141">
        <w:trPr>
          <w:trHeight w:val="20"/>
        </w:trPr>
        <w:tc>
          <w:tcPr>
            <w:tcW w:w="1887" w:type="pct"/>
          </w:tcPr>
          <w:p w:rsidR="0061414E" w:rsidRDefault="0061414E" w:rsidP="006E1838">
            <w:pPr>
              <w:pStyle w:val="Default"/>
              <w:spacing w:before="120"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Kwalifikacji świadczeniobiorców do terapii dokonuje Zespół Koordynujący ds. kwalifikacji i weryfikacji leczenia w programie leczenia rdzeniowego zaniku mięśni.</w:t>
            </w:r>
          </w:p>
          <w:p w:rsidR="006E1838" w:rsidRPr="000759FD" w:rsidRDefault="006E1838" w:rsidP="006E1838">
            <w:pPr>
              <w:pStyle w:val="Default"/>
              <w:spacing w:before="120" w:after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BC62B0" w:rsidRPr="000759FD" w:rsidRDefault="002A6A48" w:rsidP="006E1838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 Kryteria kwalifikacji</w:t>
            </w:r>
          </w:p>
          <w:p w:rsidR="00FD382D" w:rsidRPr="000759FD" w:rsidRDefault="00BC62B0" w:rsidP="006E183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1.1. </w:t>
            </w:r>
            <w:r w:rsidR="009C5735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 </w:t>
            </w:r>
            <w:r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leczenia nusinersen</w:t>
            </w:r>
            <w:r w:rsidR="00822A21"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em</w:t>
            </w:r>
            <w:r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kwalifikowani są </w:t>
            </w:r>
            <w:r w:rsidR="00FC05B4"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przedobjawowi </w:t>
            </w:r>
            <w:r w:rsidR="00F551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="00FC05B4"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i </w:t>
            </w:r>
            <w:r w:rsidR="00847EEA"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objawowi </w:t>
            </w:r>
            <w:r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pacjenci</w:t>
            </w:r>
            <w:r w:rsidR="002207D0"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27207C"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z </w:t>
            </w:r>
            <w:r w:rsidR="00206911"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ro</w:t>
            </w:r>
            <w:r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zpoznanie</w:t>
            </w:r>
            <w:r w:rsidR="0027207C"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m</w:t>
            </w:r>
            <w:r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rdzeniowego zaniku mięśni 5q potwierdzonego badaniem genetycznym</w:t>
            </w:r>
            <w:r w:rsidR="00B66CEB"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  <w:r w:rsidR="0027207C"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 </w:t>
            </w:r>
          </w:p>
          <w:p w:rsidR="00BC62B0" w:rsidRDefault="00BC62B0" w:rsidP="006E1838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1.2. w celu zapewnienia kontynuacji terapii </w:t>
            </w:r>
            <w:r w:rsidR="009C5735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programu</w:t>
            </w:r>
            <w:r w:rsidR="00822A21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lekowego</w:t>
            </w:r>
            <w:r w:rsidR="009C5735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kwalifikowani są </w:t>
            </w: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również pacjenci uprzednio leczeni nusinersenem w ramach innego sposobu finansowania terapii, </w:t>
            </w:r>
            <w:r w:rsidR="00742CF6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9C5735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742CF6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warunkiem, </w:t>
            </w:r>
            <w:r w:rsidR="00F55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742CF6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że</w:t>
            </w: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dzień rozpoczęcia terapii</w:t>
            </w:r>
            <w:r w:rsidR="00D72DD8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mieli rozpoznanie rdzeniowego zaniku mięśni 5q potwierdzone badaniem genetycznym o</w:t>
            </w: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raz jedno</w:t>
            </w:r>
            <w:r w:rsidR="00A46912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cześnie nie spełniali kryteriów</w:t>
            </w:r>
            <w:r w:rsidR="00206911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55959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wyłączenia z programu </w:t>
            </w:r>
            <w:r w:rsidR="00822A21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określonych w ust. </w:t>
            </w: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74059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6E1838" w:rsidRPr="000759FD" w:rsidRDefault="006E1838" w:rsidP="006E1838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C62B0" w:rsidRPr="000759FD" w:rsidRDefault="00BC62B0" w:rsidP="006E1838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759FD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 Określenie czasu leczenia w programie</w:t>
            </w:r>
          </w:p>
          <w:p w:rsidR="004C46E8" w:rsidRPr="000759FD" w:rsidRDefault="004C46E8" w:rsidP="006E1838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Leczenie powinno być stosowane tak długo jak osiągana jest skuteczność kliniczna oraz nie wystąpią kryteria wyłączenia.</w:t>
            </w:r>
          </w:p>
          <w:p w:rsidR="004C46E8" w:rsidRPr="000759FD" w:rsidRDefault="004C46E8" w:rsidP="006E1838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Łączny czas leczenia pacjenta nusinersenem zależy od decyzji lekarza prowadzącego.</w:t>
            </w:r>
          </w:p>
          <w:p w:rsidR="00A46912" w:rsidRPr="000759FD" w:rsidRDefault="00A46912" w:rsidP="006E183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 </w:t>
            </w:r>
            <w:r w:rsidR="009A169F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podaniu 6 dawki</w:t>
            </w:r>
            <w:r w:rsidR="00EF6A8A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niezależnie od mechanizmu finansowania </w:t>
            </w:r>
            <w:r w:rsidR="00F712B7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terapii </w:t>
            </w:r>
            <w:r w:rsidR="00EF6A8A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jakim to nastąpiło</w:t>
            </w: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 następnie </w:t>
            </w:r>
            <w:r w:rsidR="00EE1F98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przed podaniem każdej kolejnej dawki </w:t>
            </w:r>
            <w:r w:rsidR="0048356B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przeprowadza się</w:t>
            </w: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8356B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ocenę skuteczności leczenia.</w:t>
            </w:r>
          </w:p>
          <w:p w:rsidR="004C46E8" w:rsidRDefault="004C46E8" w:rsidP="006E183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 ukończeniu 18 r.ż. nie ma konieczności ponownej kwalifikacji pacjenta do programu po przeniesieniu leczenia do ośrodka dla </w:t>
            </w: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dorosłych.</w:t>
            </w:r>
            <w:r w:rsidR="00772CE1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Leczenie powinno być kontynuowane w ośrodku dla dorosłych  tak długo jak osiągana jest skuteczność kliniczna oraz nie wystąpią kryteria wyłączenia.</w:t>
            </w:r>
          </w:p>
          <w:p w:rsidR="006E1838" w:rsidRPr="000759FD" w:rsidRDefault="006E1838" w:rsidP="006E183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C62B0" w:rsidRPr="000759FD" w:rsidRDefault="00F764C8" w:rsidP="006E1838">
            <w:pPr>
              <w:spacing w:after="60" w:line="240" w:lineRule="auto"/>
              <w:ind w:left="357" w:hanging="357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759F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BC62B0" w:rsidRPr="000759F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 Kryteria wyłączenia</w:t>
            </w:r>
            <w:r w:rsidR="00A46912" w:rsidRPr="000759F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z programu</w:t>
            </w:r>
          </w:p>
          <w:p w:rsidR="00BC62B0" w:rsidRPr="000759FD" w:rsidRDefault="00206911" w:rsidP="006E1838">
            <w:pPr>
              <w:numPr>
                <w:ilvl w:val="0"/>
                <w:numId w:val="12"/>
              </w:numPr>
              <w:spacing w:after="60" w:line="240" w:lineRule="auto"/>
              <w:ind w:left="738" w:hanging="4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zaawansowana skolioza uniemożliwiająca podanie dokanałowe leku;</w:t>
            </w:r>
          </w:p>
          <w:p w:rsidR="00AC0D72" w:rsidRPr="000759FD" w:rsidRDefault="00AC0D72" w:rsidP="006E1838">
            <w:pPr>
              <w:numPr>
                <w:ilvl w:val="0"/>
                <w:numId w:val="12"/>
              </w:numPr>
              <w:spacing w:after="60" w:line="240" w:lineRule="auto"/>
              <w:ind w:left="738" w:hanging="4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przeciwskazania bezwzględne do nakłucia lędźwiowego;</w:t>
            </w:r>
          </w:p>
          <w:p w:rsidR="00434003" w:rsidRPr="000759FD" w:rsidRDefault="00206911" w:rsidP="006E1838">
            <w:pPr>
              <w:numPr>
                <w:ilvl w:val="0"/>
                <w:numId w:val="12"/>
              </w:numPr>
              <w:spacing w:after="60" w:line="240" w:lineRule="auto"/>
              <w:ind w:left="738" w:hanging="4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drenaż płynu mózgowo-rdzeniowego</w:t>
            </w:r>
            <w:r w:rsidR="00434003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434003" w:rsidRPr="000759FD" w:rsidRDefault="00434003" w:rsidP="006E1838">
            <w:pPr>
              <w:numPr>
                <w:ilvl w:val="0"/>
                <w:numId w:val="12"/>
              </w:numPr>
              <w:spacing w:after="60" w:line="240" w:lineRule="auto"/>
              <w:ind w:left="738" w:hanging="4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pogorszenie w</w:t>
            </w:r>
            <w:r w:rsidR="00EB70CD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odpowiednio dobranej do wieku i typu SMA</w:t>
            </w:r>
            <w:r w:rsidR="00EE5558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EB70CD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skali</w:t>
            </w: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434003" w:rsidRPr="000759FD" w:rsidRDefault="00434003" w:rsidP="006E1838">
            <w:pPr>
              <w:pStyle w:val="Akapitzlist"/>
              <w:numPr>
                <w:ilvl w:val="0"/>
                <w:numId w:val="42"/>
              </w:numPr>
              <w:spacing w:after="60"/>
              <w:ind w:left="1163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CHOP INTEND, HINE poniżej poziomu sprzed włączenia do leczenia utrzymujące się w dwóch kolejnych badaniach realizowanych co 4 miesiące;</w:t>
            </w:r>
          </w:p>
          <w:p w:rsidR="00DB354B" w:rsidRPr="000759FD" w:rsidRDefault="00DB354B" w:rsidP="006E1838">
            <w:pPr>
              <w:pStyle w:val="Akapitzlist"/>
              <w:spacing w:after="60"/>
              <w:ind w:left="1163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lub</w:t>
            </w:r>
          </w:p>
          <w:p w:rsidR="00434003" w:rsidRPr="000759FD" w:rsidRDefault="00434003" w:rsidP="006E1838">
            <w:pPr>
              <w:pStyle w:val="Akapitzlist"/>
              <w:numPr>
                <w:ilvl w:val="0"/>
                <w:numId w:val="42"/>
              </w:numPr>
              <w:spacing w:after="60"/>
              <w:ind w:left="1163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 xml:space="preserve">HFMSE o więcej niż 2 punkty poniżej poziomu sprzed włączenia do terapii potwierdzone w dwóch kolejnych badaniach realizowanych co 4 miesiące; </w:t>
            </w:r>
          </w:p>
          <w:p w:rsidR="00434003" w:rsidRPr="000759FD" w:rsidRDefault="00434003" w:rsidP="006E1838">
            <w:pPr>
              <w:numPr>
                <w:ilvl w:val="0"/>
                <w:numId w:val="12"/>
              </w:numPr>
              <w:spacing w:after="60" w:line="240" w:lineRule="auto"/>
              <w:ind w:left="738" w:hanging="4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wystąpienie któregokolwiek z </w:t>
            </w:r>
            <w:r w:rsidR="00655959"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przeciwwskazań w </w:t>
            </w:r>
            <w:r w:rsidRPr="000759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trakcie trwania terapii:</w:t>
            </w:r>
          </w:p>
          <w:p w:rsidR="00434003" w:rsidRPr="000759FD" w:rsidRDefault="00434003" w:rsidP="006E1838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60"/>
              <w:ind w:left="1163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0759FD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nadwrażliwość na substancję czynną lub na którąkolwiek substancję pomocniczą; </w:t>
            </w:r>
          </w:p>
          <w:p w:rsidR="00434003" w:rsidRPr="000759FD" w:rsidRDefault="00434003" w:rsidP="006E1838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60"/>
              <w:ind w:left="1163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0759FD">
              <w:rPr>
                <w:rFonts w:eastAsiaTheme="minorHAnsi"/>
                <w:color w:val="000000" w:themeColor="text1"/>
                <w:sz w:val="20"/>
                <w:szCs w:val="20"/>
              </w:rPr>
              <w:t>przeciwwskazania do nakłucia lędźwiowego;</w:t>
            </w:r>
          </w:p>
          <w:p w:rsidR="00004684" w:rsidRPr="000759FD" w:rsidRDefault="00434003" w:rsidP="006E1838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60"/>
              <w:ind w:left="1163"/>
              <w:jc w:val="both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0759FD">
              <w:rPr>
                <w:rFonts w:eastAsiaTheme="minorHAnsi"/>
                <w:color w:val="000000" w:themeColor="text1"/>
                <w:sz w:val="20"/>
                <w:szCs w:val="20"/>
              </w:rPr>
              <w:t>ciąża.</w:t>
            </w:r>
          </w:p>
        </w:tc>
        <w:tc>
          <w:tcPr>
            <w:tcW w:w="1322" w:type="pct"/>
          </w:tcPr>
          <w:p w:rsidR="00206911" w:rsidRPr="000759FD" w:rsidRDefault="00206911" w:rsidP="006E1838">
            <w:pPr>
              <w:pStyle w:val="Akapitzlist"/>
              <w:spacing w:before="120" w:after="60"/>
              <w:ind w:left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759FD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1</w:t>
            </w:r>
            <w:r w:rsidR="00BC62B0" w:rsidRPr="000759FD">
              <w:rPr>
                <w:b/>
                <w:bCs/>
                <w:color w:val="000000" w:themeColor="text1"/>
                <w:sz w:val="20"/>
                <w:szCs w:val="20"/>
              </w:rPr>
              <w:t>. Dawkowanie</w:t>
            </w:r>
          </w:p>
          <w:p w:rsidR="00BC62B0" w:rsidRPr="000759FD" w:rsidRDefault="00BC62B0" w:rsidP="006E183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Dawkowanie </w:t>
            </w:r>
            <w:r w:rsidR="00206911"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nusinersenu </w:t>
            </w:r>
            <w:r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oraz sposób modyfikacji </w:t>
            </w:r>
            <w:r w:rsid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dawkowania z</w:t>
            </w:r>
            <w:r w:rsidR="00AD1A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godnie </w:t>
            </w:r>
            <w:r w:rsidR="00206911"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</w:t>
            </w:r>
            <w:r w:rsidR="00AD1A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Charakterystyk</w:t>
            </w:r>
            <w:r w:rsidR="00206911"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ą</w:t>
            </w:r>
            <w:r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Produktu Leczniczego</w:t>
            </w:r>
            <w:r w:rsidR="00AD1A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D1A26" w:rsidRPr="00AD1A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(aktualną na</w:t>
            </w:r>
            <w:r w:rsidR="00AD1A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AD1A26" w:rsidRPr="00AD1A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dzień wydania decyzji refundacyjnej)</w:t>
            </w:r>
            <w:r w:rsidR="00206911"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.</w:t>
            </w:r>
            <w:r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:rsidR="00BA5498" w:rsidRPr="000759FD" w:rsidRDefault="00BA5498" w:rsidP="006E183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 przypadku pacjentów wymagających znieczulenia ogólnego do wykonania nakłucia lędźwiowego</w:t>
            </w:r>
            <w:r w:rsidR="00AD1A2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94027F"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-</w:t>
            </w:r>
            <w:r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znieczulenie ogólne zgodnie </w:t>
            </w:r>
            <w:r w:rsidR="00F551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br/>
            </w:r>
            <w:r w:rsidRPr="000759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 obowiązującymi w ośrodku procedurami.</w:t>
            </w:r>
          </w:p>
          <w:p w:rsidR="00BC62B0" w:rsidRPr="000759FD" w:rsidRDefault="000759FD" w:rsidP="00AD1A26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59FD">
              <w:rPr>
                <w:rFonts w:ascii="Times New Roman" w:hAnsi="Times New Roman" w:cs="Times New Roman"/>
                <w:sz w:val="20"/>
                <w:szCs w:val="20"/>
              </w:rPr>
              <w:t>W uzasadnionych kliniczne przypadkach dopuszcza się podanie nusinersenu dooponowo przez nakł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ucie podpotyliczne w przypadku </w:t>
            </w:r>
            <w:r w:rsidRPr="000759FD">
              <w:rPr>
                <w:rFonts w:ascii="Times New Roman" w:hAnsi="Times New Roman" w:cs="Times New Roman"/>
                <w:sz w:val="20"/>
                <w:szCs w:val="20"/>
              </w:rPr>
              <w:t>kiedy podanie leku dooponowo drogą nakłucia lędźwiowego nie jest możliwe</w:t>
            </w:r>
            <w:r w:rsidR="008B16D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1791" w:type="pct"/>
            <w:tcBorders>
              <w:right w:val="single" w:sz="4" w:space="0" w:color="auto"/>
            </w:tcBorders>
          </w:tcPr>
          <w:p w:rsidR="00BC62B0" w:rsidRPr="000759FD" w:rsidRDefault="002A6A48" w:rsidP="006E1838">
            <w:pPr>
              <w:spacing w:before="120" w:after="60" w:line="240" w:lineRule="auto"/>
              <w:ind w:left="2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 Badania przy kwalifikacji</w:t>
            </w:r>
          </w:p>
          <w:p w:rsidR="00BC62B0" w:rsidRPr="000759FD" w:rsidRDefault="00AF7BD2" w:rsidP="006E1838">
            <w:pPr>
              <w:pStyle w:val="Akapitzlist"/>
              <w:numPr>
                <w:ilvl w:val="0"/>
                <w:numId w:val="35"/>
              </w:numPr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b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>adanie genetyczne potwierdzające delecję lub mutację genu SMN1;</w:t>
            </w:r>
          </w:p>
          <w:p w:rsidR="00BC62B0" w:rsidRPr="000759FD" w:rsidRDefault="00AF7BD2" w:rsidP="006E1838">
            <w:pPr>
              <w:pStyle w:val="Akapitzlist"/>
              <w:numPr>
                <w:ilvl w:val="0"/>
                <w:numId w:val="35"/>
              </w:numPr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b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>adanie potwierdzające liczbę kopii genu SMN2;</w:t>
            </w:r>
          </w:p>
          <w:p w:rsidR="00BC62B0" w:rsidRPr="000759FD" w:rsidRDefault="00AF7BD2" w:rsidP="006E1838">
            <w:pPr>
              <w:pStyle w:val="Akapitzlist"/>
              <w:numPr>
                <w:ilvl w:val="0"/>
                <w:numId w:val="35"/>
              </w:numPr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b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>adanie neurologiczne z oceną w skali CHOP-INTEND lub HINE</w:t>
            </w:r>
            <w:r w:rsidR="00B74059" w:rsidRPr="000759FD">
              <w:rPr>
                <w:color w:val="000000" w:themeColor="text1"/>
                <w:sz w:val="20"/>
                <w:szCs w:val="20"/>
              </w:rPr>
              <w:t>,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 xml:space="preserve"> lub HFMSE  </w:t>
            </w:r>
            <w:r w:rsidRPr="000759FD">
              <w:rPr>
                <w:color w:val="000000" w:themeColor="text1"/>
                <w:sz w:val="20"/>
                <w:szCs w:val="20"/>
              </w:rPr>
              <w:t xml:space="preserve">- 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>stosownie do wieku i typu SMA;</w:t>
            </w:r>
          </w:p>
          <w:p w:rsidR="00825FED" w:rsidRPr="000759FD" w:rsidRDefault="00825FED" w:rsidP="006E1838">
            <w:pPr>
              <w:pStyle w:val="Akapitzlist"/>
              <w:numPr>
                <w:ilvl w:val="0"/>
                <w:numId w:val="35"/>
              </w:numPr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k</w:t>
            </w:r>
            <w:r w:rsidR="00BA5498" w:rsidRPr="000759FD">
              <w:rPr>
                <w:color w:val="000000" w:themeColor="text1"/>
                <w:sz w:val="20"/>
                <w:szCs w:val="20"/>
              </w:rPr>
              <w:t>onsultacja rehabilitacyjna i/lub</w:t>
            </w:r>
            <w:r w:rsidRPr="000759FD">
              <w:rPr>
                <w:color w:val="000000" w:themeColor="text1"/>
                <w:sz w:val="20"/>
                <w:szCs w:val="20"/>
              </w:rPr>
              <w:t xml:space="preserve"> fizjoterapeutyczna oraz ustalenie planu rehabilitacji dla pacjenta</w:t>
            </w:r>
            <w:r w:rsidR="00BB4002" w:rsidRPr="000759FD">
              <w:rPr>
                <w:color w:val="000000" w:themeColor="text1"/>
                <w:sz w:val="20"/>
                <w:szCs w:val="20"/>
              </w:rPr>
              <w:t>;</w:t>
            </w:r>
          </w:p>
          <w:p w:rsidR="00BC62B0" w:rsidRPr="000759FD" w:rsidRDefault="00AF7BD2" w:rsidP="006E1838">
            <w:pPr>
              <w:pStyle w:val="Akapitzlist"/>
              <w:numPr>
                <w:ilvl w:val="0"/>
                <w:numId w:val="35"/>
              </w:numPr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b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>adania biochemiczne, w tym oceniające funkcję wątroby, nerek (białkomocz) i układu krzepnięcia (koagulogram);</w:t>
            </w:r>
          </w:p>
          <w:p w:rsidR="00BC62B0" w:rsidRPr="000759FD" w:rsidRDefault="00AF7BD2" w:rsidP="006E1838">
            <w:pPr>
              <w:pStyle w:val="Akapitzlist"/>
              <w:numPr>
                <w:ilvl w:val="0"/>
                <w:numId w:val="35"/>
              </w:numPr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m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>orfologia krwi z rozmazem;</w:t>
            </w:r>
          </w:p>
          <w:p w:rsidR="00BC62B0" w:rsidRPr="000759FD" w:rsidRDefault="00AF7BD2" w:rsidP="006E1838">
            <w:pPr>
              <w:pStyle w:val="Akapitzlist"/>
              <w:numPr>
                <w:ilvl w:val="0"/>
                <w:numId w:val="35"/>
              </w:numPr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k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 xml:space="preserve">onsultacja anestezjologiczna </w:t>
            </w:r>
            <w:r w:rsidR="00D13209" w:rsidRPr="000759FD">
              <w:rPr>
                <w:color w:val="000000" w:themeColor="text1"/>
                <w:sz w:val="20"/>
                <w:szCs w:val="20"/>
              </w:rPr>
              <w:t xml:space="preserve">- 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 xml:space="preserve">u pacjentów, którzy wymagają </w:t>
            </w:r>
            <w:r w:rsidR="0053442E" w:rsidRPr="000759FD">
              <w:rPr>
                <w:color w:val="000000" w:themeColor="text1"/>
                <w:sz w:val="20"/>
                <w:szCs w:val="20"/>
              </w:rPr>
              <w:t>znieczulenia ogólnego</w:t>
            </w:r>
            <w:r w:rsidRPr="000759FD">
              <w:rPr>
                <w:color w:val="000000" w:themeColor="text1"/>
                <w:sz w:val="20"/>
                <w:szCs w:val="20"/>
              </w:rPr>
              <w:t>;</w:t>
            </w:r>
          </w:p>
          <w:p w:rsidR="00BC62B0" w:rsidRPr="000759FD" w:rsidRDefault="00AF7BD2" w:rsidP="006E1838">
            <w:pPr>
              <w:pStyle w:val="Akapitzlist"/>
              <w:numPr>
                <w:ilvl w:val="0"/>
                <w:numId w:val="35"/>
              </w:numPr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k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 xml:space="preserve">onsultacja ortopedyczna </w:t>
            </w:r>
            <w:r w:rsidR="00D13209" w:rsidRPr="000759FD">
              <w:rPr>
                <w:color w:val="000000" w:themeColor="text1"/>
                <w:sz w:val="20"/>
                <w:szCs w:val="20"/>
              </w:rPr>
              <w:t xml:space="preserve">- 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>w przypadku znacznej skoliozy</w:t>
            </w:r>
            <w:r w:rsidRPr="000759FD">
              <w:rPr>
                <w:color w:val="000000" w:themeColor="text1"/>
                <w:sz w:val="20"/>
                <w:szCs w:val="20"/>
              </w:rPr>
              <w:t>;</w:t>
            </w:r>
          </w:p>
          <w:p w:rsidR="004C7979" w:rsidRPr="000759FD" w:rsidRDefault="004C7979" w:rsidP="006E1838">
            <w:pPr>
              <w:pStyle w:val="Akapitzlist"/>
              <w:numPr>
                <w:ilvl w:val="0"/>
                <w:numId w:val="35"/>
              </w:numPr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konsultacja gastroenterologiczna i/lub dietetyczna w zależności od stanu klinicznego pacjenta</w:t>
            </w:r>
          </w:p>
          <w:p w:rsidR="00BC62B0" w:rsidRDefault="00BC62B0" w:rsidP="006E1838">
            <w:pPr>
              <w:pStyle w:val="Akapitzlist"/>
              <w:numPr>
                <w:ilvl w:val="0"/>
                <w:numId w:val="35"/>
              </w:numPr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test ciążowy wraz z oświadczeniem o stosowaniu skutecznej antykoncepcji w trakcie trwania terapii</w:t>
            </w:r>
            <w:r w:rsidR="00AF7BD2" w:rsidRPr="000759FD">
              <w:rPr>
                <w:color w:val="000000" w:themeColor="text1"/>
                <w:sz w:val="20"/>
                <w:szCs w:val="20"/>
              </w:rPr>
              <w:t xml:space="preserve"> - u kobiet w wieku reprodukcyjnym.</w:t>
            </w:r>
          </w:p>
          <w:p w:rsidR="006E1838" w:rsidRPr="000759FD" w:rsidRDefault="006E1838" w:rsidP="006E1838">
            <w:pPr>
              <w:pStyle w:val="Akapitzlist"/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C62B0" w:rsidRPr="000759FD" w:rsidRDefault="002A6A48" w:rsidP="006E1838">
            <w:pPr>
              <w:spacing w:after="60" w:line="240" w:lineRule="auto"/>
              <w:ind w:left="2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 Monitorowanie leczenia</w:t>
            </w:r>
          </w:p>
          <w:p w:rsidR="00BC62B0" w:rsidRPr="000759FD" w:rsidRDefault="00073E5A" w:rsidP="006E1838">
            <w:pPr>
              <w:pStyle w:val="Akapitzlist"/>
              <w:numPr>
                <w:ilvl w:val="0"/>
                <w:numId w:val="36"/>
              </w:numPr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b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>adanie neurologiczne przed każdym podaniem dawki</w:t>
            </w:r>
            <w:r w:rsidRPr="000759FD">
              <w:rPr>
                <w:color w:val="000000" w:themeColor="text1"/>
                <w:sz w:val="20"/>
                <w:szCs w:val="20"/>
              </w:rPr>
              <w:t>;</w:t>
            </w:r>
          </w:p>
          <w:p w:rsidR="00BC62B0" w:rsidRPr="000759FD" w:rsidRDefault="00073E5A" w:rsidP="006E1838">
            <w:pPr>
              <w:pStyle w:val="Akapitzlist"/>
              <w:numPr>
                <w:ilvl w:val="0"/>
                <w:numId w:val="36"/>
              </w:numPr>
              <w:spacing w:after="60"/>
              <w:ind w:left="743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lastRenderedPageBreak/>
              <w:t>b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>adanie w skali CHOP-INTEND lub HINE</w:t>
            </w:r>
            <w:r w:rsidR="00B74059" w:rsidRPr="000759FD">
              <w:rPr>
                <w:color w:val="000000" w:themeColor="text1"/>
                <w:sz w:val="20"/>
                <w:szCs w:val="20"/>
              </w:rPr>
              <w:t>,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 xml:space="preserve"> lub  HFMSE </w:t>
            </w:r>
            <w:r w:rsidR="00183508" w:rsidRPr="000759FD">
              <w:rPr>
                <w:color w:val="000000" w:themeColor="text1"/>
                <w:sz w:val="20"/>
                <w:szCs w:val="20"/>
              </w:rPr>
              <w:t xml:space="preserve">(stosownie do wieku i typu SMA) 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>przy dawkach podtrzymujących</w:t>
            </w:r>
            <w:r w:rsidRPr="000759FD">
              <w:rPr>
                <w:color w:val="000000" w:themeColor="text1"/>
                <w:sz w:val="20"/>
                <w:szCs w:val="20"/>
              </w:rPr>
              <w:t>;</w:t>
            </w:r>
          </w:p>
          <w:p w:rsidR="000D209A" w:rsidRPr="000759FD" w:rsidRDefault="000D209A" w:rsidP="006E1838">
            <w:pPr>
              <w:pStyle w:val="Akapitzlist"/>
              <w:numPr>
                <w:ilvl w:val="0"/>
                <w:numId w:val="36"/>
              </w:numPr>
              <w:spacing w:after="60"/>
              <w:ind w:left="743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ocena przez fizjoterapeutę wykonania planu rehabilitacji;</w:t>
            </w:r>
          </w:p>
          <w:p w:rsidR="0094027F" w:rsidRPr="000759FD" w:rsidRDefault="0094027F" w:rsidP="006E1838">
            <w:pPr>
              <w:pStyle w:val="Akapitzlist"/>
              <w:numPr>
                <w:ilvl w:val="0"/>
                <w:numId w:val="36"/>
              </w:numPr>
              <w:spacing w:after="60"/>
              <w:ind w:left="743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ocena gastroenterologa i/lub dietetyka w zależności od stanu pacjenta;</w:t>
            </w:r>
          </w:p>
          <w:p w:rsidR="005E7FE0" w:rsidRPr="000759FD" w:rsidRDefault="005E7FE0" w:rsidP="006E1838">
            <w:pPr>
              <w:pStyle w:val="Akapitzlist"/>
              <w:numPr>
                <w:ilvl w:val="0"/>
                <w:numId w:val="36"/>
              </w:numPr>
              <w:spacing w:after="60"/>
              <w:ind w:left="743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ocena stanu odżywienia i wydolności oddechowej pacjenta w zależności od stanu, ale nie rzadziej niż raz do roku;</w:t>
            </w:r>
          </w:p>
          <w:p w:rsidR="00BC62B0" w:rsidRPr="000759FD" w:rsidRDefault="00073E5A" w:rsidP="006E1838">
            <w:pPr>
              <w:pStyle w:val="Akapitzlist"/>
              <w:numPr>
                <w:ilvl w:val="0"/>
                <w:numId w:val="36"/>
              </w:numPr>
              <w:spacing w:after="60"/>
              <w:ind w:left="743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b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>adania biochemiczne, w tym oc</w:t>
            </w:r>
            <w:r w:rsidR="0009565F" w:rsidRPr="000759FD">
              <w:rPr>
                <w:color w:val="000000" w:themeColor="text1"/>
                <w:sz w:val="20"/>
                <w:szCs w:val="20"/>
              </w:rPr>
              <w:t>eniające funkcję wątroby, nerek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 xml:space="preserve"> (białkomocz) i układu krzepnięcia (koagulogram</w:t>
            </w:r>
            <w:r w:rsidRPr="000759FD">
              <w:rPr>
                <w:color w:val="000000" w:themeColor="text1"/>
                <w:sz w:val="20"/>
                <w:szCs w:val="20"/>
              </w:rPr>
              <w:t>)</w:t>
            </w:r>
            <w:r w:rsidR="00183508" w:rsidRPr="000759FD">
              <w:rPr>
                <w:color w:val="000000" w:themeColor="text1"/>
                <w:sz w:val="20"/>
                <w:szCs w:val="20"/>
              </w:rPr>
              <w:t>,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 xml:space="preserve"> wykonywane przed podaniem kolejnej dawki nusinersenu;</w:t>
            </w:r>
          </w:p>
          <w:p w:rsidR="00BC62B0" w:rsidRPr="000759FD" w:rsidRDefault="00073E5A" w:rsidP="006E1838">
            <w:pPr>
              <w:pStyle w:val="Akapitzlist"/>
              <w:numPr>
                <w:ilvl w:val="0"/>
                <w:numId w:val="36"/>
              </w:numPr>
              <w:spacing w:after="60"/>
              <w:ind w:left="743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m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>orfologia krwi z rozmazem wykonywana przed podaniem kolejnej dawki nusinersenu;</w:t>
            </w:r>
          </w:p>
          <w:p w:rsidR="00BC62B0" w:rsidRDefault="00073E5A" w:rsidP="006E1838">
            <w:pPr>
              <w:pStyle w:val="Akapitzlist"/>
              <w:numPr>
                <w:ilvl w:val="0"/>
                <w:numId w:val="36"/>
              </w:numPr>
              <w:spacing w:after="60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w przypadku pacjentek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 xml:space="preserve"> w wieku reprodukcyjnym - test ciążowy każdorazowo przed każdym podaniem dawki</w:t>
            </w:r>
            <w:r w:rsidRPr="000759FD">
              <w:rPr>
                <w:color w:val="000000" w:themeColor="text1"/>
                <w:sz w:val="20"/>
                <w:szCs w:val="20"/>
              </w:rPr>
              <w:t>.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E1838" w:rsidRPr="000759FD" w:rsidRDefault="006E1838" w:rsidP="006E1838">
            <w:pPr>
              <w:pStyle w:val="Akapitzlist"/>
              <w:spacing w:after="60"/>
              <w:ind w:left="746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C62B0" w:rsidRPr="000759FD" w:rsidRDefault="00BC62B0" w:rsidP="006E1838">
            <w:pPr>
              <w:pStyle w:val="Akapitzlist"/>
              <w:spacing w:after="60"/>
              <w:ind w:left="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759FD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3.</w:t>
            </w:r>
            <w:r w:rsidRPr="000759FD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2A6A48">
              <w:rPr>
                <w:b/>
                <w:bCs/>
                <w:color w:val="000000" w:themeColor="text1"/>
                <w:sz w:val="20"/>
                <w:szCs w:val="20"/>
              </w:rPr>
              <w:t>Monitorowanie programu</w:t>
            </w:r>
          </w:p>
          <w:p w:rsidR="00BC62B0" w:rsidRPr="000759FD" w:rsidRDefault="00BC62B0" w:rsidP="006E1838">
            <w:pPr>
              <w:pStyle w:val="Akapitzlist"/>
              <w:numPr>
                <w:ilvl w:val="0"/>
                <w:numId w:val="8"/>
              </w:numPr>
              <w:spacing w:after="60"/>
              <w:ind w:left="35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gromadzenie w dokumentacji medycznej pacjenta danych dotyc</w:t>
            </w:r>
            <w:r w:rsidR="00FD1745" w:rsidRPr="000759FD">
              <w:rPr>
                <w:color w:val="000000" w:themeColor="text1"/>
                <w:sz w:val="20"/>
                <w:szCs w:val="20"/>
              </w:rPr>
              <w:t>zących monitorowania leczenia i </w:t>
            </w:r>
            <w:r w:rsidRPr="000759FD">
              <w:rPr>
                <w:color w:val="000000" w:themeColor="text1"/>
                <w:sz w:val="20"/>
                <w:szCs w:val="20"/>
              </w:rPr>
              <w:t>każdorazowe ich przeds</w:t>
            </w:r>
            <w:r w:rsidR="00742CF6" w:rsidRPr="000759FD">
              <w:rPr>
                <w:color w:val="000000" w:themeColor="text1"/>
                <w:sz w:val="20"/>
                <w:szCs w:val="20"/>
              </w:rPr>
              <w:t>tawianie na żądanie kontrolerów</w:t>
            </w:r>
            <w:r w:rsidRPr="000759FD">
              <w:rPr>
                <w:color w:val="000000" w:themeColor="text1"/>
                <w:sz w:val="20"/>
                <w:szCs w:val="20"/>
              </w:rPr>
              <w:t xml:space="preserve"> Narodowego Funduszu Zdrowia;</w:t>
            </w:r>
          </w:p>
          <w:p w:rsidR="00BC62B0" w:rsidRPr="000759FD" w:rsidRDefault="00FD1745" w:rsidP="006E1838">
            <w:pPr>
              <w:pStyle w:val="Akapitzlist"/>
              <w:numPr>
                <w:ilvl w:val="0"/>
                <w:numId w:val="8"/>
              </w:numPr>
              <w:spacing w:after="60"/>
              <w:ind w:left="35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uzupełnia</w:t>
            </w:r>
            <w:r w:rsidR="00BC62B0" w:rsidRPr="000759FD">
              <w:rPr>
                <w:color w:val="000000" w:themeColor="text1"/>
                <w:sz w:val="20"/>
                <w:szCs w:val="20"/>
              </w:rPr>
              <w:t>nie danych zawartych w rejestrze (SMPT) dostępnym za pomocą aplikacji internetowej udostępnionej przez OW NFZ, z częstotliwością zgodną z opisem programu oraz na zakończenie leczenia;</w:t>
            </w:r>
          </w:p>
          <w:p w:rsidR="00BC62B0" w:rsidRDefault="00BC62B0" w:rsidP="006E1838">
            <w:pPr>
              <w:pStyle w:val="Akapitzlist"/>
              <w:numPr>
                <w:ilvl w:val="0"/>
                <w:numId w:val="8"/>
              </w:numPr>
              <w:spacing w:after="60"/>
              <w:ind w:left="357" w:hanging="357"/>
              <w:jc w:val="both"/>
              <w:rPr>
                <w:color w:val="000000" w:themeColor="text1"/>
                <w:sz w:val="20"/>
                <w:szCs w:val="20"/>
              </w:rPr>
            </w:pPr>
            <w:r w:rsidRPr="000759FD">
              <w:rPr>
                <w:color w:val="000000" w:themeColor="text1"/>
                <w:sz w:val="20"/>
                <w:szCs w:val="20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  <w:p w:rsidR="00F55141" w:rsidRPr="000759FD" w:rsidRDefault="00F55141" w:rsidP="00F55141">
            <w:pPr>
              <w:pStyle w:val="Akapitzlist"/>
              <w:spacing w:before="120" w:after="120" w:line="276" w:lineRule="auto"/>
              <w:ind w:left="357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94CD2" w:rsidRPr="009C61E3" w:rsidRDefault="00394CD2" w:rsidP="009C61E3">
      <w:pPr>
        <w:tabs>
          <w:tab w:val="left" w:pos="2145"/>
        </w:tabs>
        <w:rPr>
          <w:sz w:val="12"/>
        </w:rPr>
      </w:pPr>
    </w:p>
    <w:sectPr w:rsidR="00394CD2" w:rsidRPr="009C61E3" w:rsidSect="00F55141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804" w:rsidRDefault="00FB3804" w:rsidP="00222D1A">
      <w:pPr>
        <w:spacing w:after="0" w:line="240" w:lineRule="auto"/>
      </w:pPr>
      <w:r>
        <w:separator/>
      </w:r>
    </w:p>
  </w:endnote>
  <w:endnote w:type="continuationSeparator" w:id="0">
    <w:p w:rsidR="00FB3804" w:rsidRDefault="00FB3804" w:rsidP="00222D1A">
      <w:pPr>
        <w:spacing w:after="0" w:line="240" w:lineRule="auto"/>
      </w:pPr>
      <w:r>
        <w:continuationSeparator/>
      </w:r>
    </w:p>
  </w:endnote>
  <w:endnote w:type="continuationNotice" w:id="1">
    <w:p w:rsidR="00FB3804" w:rsidRDefault="00FB38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804" w:rsidRDefault="00FB3804" w:rsidP="00222D1A">
      <w:pPr>
        <w:spacing w:after="0" w:line="240" w:lineRule="auto"/>
      </w:pPr>
      <w:r>
        <w:separator/>
      </w:r>
    </w:p>
  </w:footnote>
  <w:footnote w:type="continuationSeparator" w:id="0">
    <w:p w:rsidR="00FB3804" w:rsidRDefault="00FB3804" w:rsidP="00222D1A">
      <w:pPr>
        <w:spacing w:after="0" w:line="240" w:lineRule="auto"/>
      </w:pPr>
      <w:r>
        <w:continuationSeparator/>
      </w:r>
    </w:p>
  </w:footnote>
  <w:footnote w:type="continuationNotice" w:id="1">
    <w:p w:rsidR="00FB3804" w:rsidRDefault="00FB38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DF3"/>
    <w:multiLevelType w:val="hybridMultilevel"/>
    <w:tmpl w:val="A8A66C76"/>
    <w:lvl w:ilvl="0" w:tplc="04150011">
      <w:start w:val="1"/>
      <w:numFmt w:val="decimal"/>
      <w:lvlText w:val="%1)"/>
      <w:lvlJc w:val="left"/>
      <w:pPr>
        <w:ind w:left="746" w:hanging="360"/>
      </w:p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</w:lvl>
    <w:lvl w:ilvl="3" w:tplc="0415000F" w:tentative="1">
      <w:start w:val="1"/>
      <w:numFmt w:val="decimal"/>
      <w:lvlText w:val="%4."/>
      <w:lvlJc w:val="left"/>
      <w:pPr>
        <w:ind w:left="2906" w:hanging="360"/>
      </w:p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</w:lvl>
    <w:lvl w:ilvl="6" w:tplc="0415000F" w:tentative="1">
      <w:start w:val="1"/>
      <w:numFmt w:val="decimal"/>
      <w:lvlText w:val="%7."/>
      <w:lvlJc w:val="left"/>
      <w:pPr>
        <w:ind w:left="5066" w:hanging="360"/>
      </w:p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" w15:restartNumberingAfterBreak="0">
    <w:nsid w:val="065C25D1"/>
    <w:multiLevelType w:val="multilevel"/>
    <w:tmpl w:val="66B0D572"/>
    <w:numStyleLink w:val="HTA-Listapunktowa1"/>
  </w:abstractNum>
  <w:abstractNum w:abstractNumId="2" w15:restartNumberingAfterBreak="0">
    <w:nsid w:val="0B295350"/>
    <w:multiLevelType w:val="hybridMultilevel"/>
    <w:tmpl w:val="D58AA9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B14AE"/>
    <w:multiLevelType w:val="hybridMultilevel"/>
    <w:tmpl w:val="FC54D33E"/>
    <w:lvl w:ilvl="0" w:tplc="842E49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64A44"/>
    <w:multiLevelType w:val="hybridMultilevel"/>
    <w:tmpl w:val="CC22C274"/>
    <w:lvl w:ilvl="0" w:tplc="842E4958">
      <w:start w:val="1"/>
      <w:numFmt w:val="decimal"/>
      <w:lvlText w:val="%1)"/>
      <w:lvlJc w:val="left"/>
      <w:pPr>
        <w:ind w:left="117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168523D1"/>
    <w:multiLevelType w:val="hybridMultilevel"/>
    <w:tmpl w:val="65BC3B36"/>
    <w:lvl w:ilvl="0" w:tplc="842E49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20164"/>
    <w:multiLevelType w:val="hybridMultilevel"/>
    <w:tmpl w:val="793C74D0"/>
    <w:lvl w:ilvl="0" w:tplc="0520F494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D1DEB"/>
    <w:multiLevelType w:val="hybridMultilevel"/>
    <w:tmpl w:val="0E901CC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94D93"/>
    <w:multiLevelType w:val="hybridMultilevel"/>
    <w:tmpl w:val="25A487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0E312B"/>
    <w:multiLevelType w:val="hybridMultilevel"/>
    <w:tmpl w:val="19F63ACA"/>
    <w:lvl w:ilvl="0" w:tplc="458A1D52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7FE9"/>
    <w:multiLevelType w:val="hybridMultilevel"/>
    <w:tmpl w:val="DEAAA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5589A"/>
    <w:multiLevelType w:val="hybridMultilevel"/>
    <w:tmpl w:val="15CEFD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3E1041D"/>
    <w:multiLevelType w:val="hybridMultilevel"/>
    <w:tmpl w:val="E7C625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002A0"/>
    <w:multiLevelType w:val="hybridMultilevel"/>
    <w:tmpl w:val="A1024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C70A0"/>
    <w:multiLevelType w:val="hybridMultilevel"/>
    <w:tmpl w:val="DEDC56E4"/>
    <w:lvl w:ilvl="0" w:tplc="842E49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A5C36"/>
    <w:multiLevelType w:val="hybridMultilevel"/>
    <w:tmpl w:val="9F2CD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73B1A"/>
    <w:multiLevelType w:val="hybridMultilevel"/>
    <w:tmpl w:val="3D42925A"/>
    <w:lvl w:ilvl="0" w:tplc="0E4A7E3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F4D8A"/>
    <w:multiLevelType w:val="hybridMultilevel"/>
    <w:tmpl w:val="E0302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C6651"/>
    <w:multiLevelType w:val="hybridMultilevel"/>
    <w:tmpl w:val="AEC8BB72"/>
    <w:lvl w:ilvl="0" w:tplc="BB02C1EA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 w15:restartNumberingAfterBreak="0">
    <w:nsid w:val="407A46CE"/>
    <w:multiLevelType w:val="hybridMultilevel"/>
    <w:tmpl w:val="00921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B299F"/>
    <w:multiLevelType w:val="hybridMultilevel"/>
    <w:tmpl w:val="C780EBAC"/>
    <w:lvl w:ilvl="0" w:tplc="DBFA89D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897261"/>
    <w:multiLevelType w:val="hybridMultilevel"/>
    <w:tmpl w:val="9114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02BD5"/>
    <w:multiLevelType w:val="hybridMultilevel"/>
    <w:tmpl w:val="30EE6314"/>
    <w:lvl w:ilvl="0" w:tplc="9FEE1C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64805"/>
    <w:multiLevelType w:val="hybridMultilevel"/>
    <w:tmpl w:val="3D42925A"/>
    <w:lvl w:ilvl="0" w:tplc="0E4A7E3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72344"/>
    <w:multiLevelType w:val="hybridMultilevel"/>
    <w:tmpl w:val="33C8D730"/>
    <w:lvl w:ilvl="0" w:tplc="7FA42E0E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6" w:hanging="360"/>
      </w:pPr>
    </w:lvl>
    <w:lvl w:ilvl="2" w:tplc="0415001B">
      <w:start w:val="1"/>
      <w:numFmt w:val="lowerRoman"/>
      <w:lvlText w:val="%3."/>
      <w:lvlJc w:val="right"/>
      <w:pPr>
        <w:ind w:left="1826" w:hanging="180"/>
      </w:pPr>
    </w:lvl>
    <w:lvl w:ilvl="3" w:tplc="0415000F">
      <w:start w:val="1"/>
      <w:numFmt w:val="decimal"/>
      <w:lvlText w:val="%4."/>
      <w:lvlJc w:val="left"/>
      <w:pPr>
        <w:ind w:left="2546" w:hanging="360"/>
      </w:pPr>
    </w:lvl>
    <w:lvl w:ilvl="4" w:tplc="04150019">
      <w:start w:val="1"/>
      <w:numFmt w:val="lowerLetter"/>
      <w:lvlText w:val="%5."/>
      <w:lvlJc w:val="left"/>
      <w:pPr>
        <w:ind w:left="3266" w:hanging="360"/>
      </w:pPr>
    </w:lvl>
    <w:lvl w:ilvl="5" w:tplc="0415001B">
      <w:start w:val="1"/>
      <w:numFmt w:val="lowerRoman"/>
      <w:lvlText w:val="%6."/>
      <w:lvlJc w:val="right"/>
      <w:pPr>
        <w:ind w:left="3986" w:hanging="180"/>
      </w:pPr>
    </w:lvl>
    <w:lvl w:ilvl="6" w:tplc="0415000F">
      <w:start w:val="1"/>
      <w:numFmt w:val="decimal"/>
      <w:lvlText w:val="%7."/>
      <w:lvlJc w:val="left"/>
      <w:pPr>
        <w:ind w:left="4706" w:hanging="360"/>
      </w:pPr>
    </w:lvl>
    <w:lvl w:ilvl="7" w:tplc="04150019">
      <w:start w:val="1"/>
      <w:numFmt w:val="lowerLetter"/>
      <w:lvlText w:val="%8."/>
      <w:lvlJc w:val="left"/>
      <w:pPr>
        <w:ind w:left="5426" w:hanging="360"/>
      </w:pPr>
    </w:lvl>
    <w:lvl w:ilvl="8" w:tplc="0415001B">
      <w:start w:val="1"/>
      <w:numFmt w:val="lowerRoman"/>
      <w:lvlText w:val="%9."/>
      <w:lvlJc w:val="right"/>
      <w:pPr>
        <w:ind w:left="6146" w:hanging="180"/>
      </w:pPr>
    </w:lvl>
  </w:abstractNum>
  <w:abstractNum w:abstractNumId="25" w15:restartNumberingAfterBreak="0">
    <w:nsid w:val="5363320E"/>
    <w:multiLevelType w:val="hybridMultilevel"/>
    <w:tmpl w:val="6C2A01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062207"/>
    <w:multiLevelType w:val="hybridMultilevel"/>
    <w:tmpl w:val="F50A3D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75ABE"/>
    <w:multiLevelType w:val="multilevel"/>
    <w:tmpl w:val="66B0D572"/>
    <w:styleLink w:val="HTA-Listapunktowa1"/>
    <w:lvl w:ilvl="0">
      <w:start w:val="1"/>
      <w:numFmt w:val="bullet"/>
      <w:pStyle w:val="Listapunktowana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0000"/>
      </w:rPr>
    </w:lvl>
    <w:lvl w:ilvl="1">
      <w:start w:val="1"/>
      <w:numFmt w:val="bullet"/>
      <w:pStyle w:val="Listapunktowana2"/>
      <w:lvlText w:val="o"/>
      <w:lvlJc w:val="left"/>
      <w:pPr>
        <w:tabs>
          <w:tab w:val="num" w:pos="851"/>
        </w:tabs>
        <w:ind w:left="851" w:hanging="283"/>
      </w:pPr>
      <w:rPr>
        <w:rFonts w:ascii="Courier New" w:hAnsi="Courier New" w:hint="default"/>
      </w:rPr>
    </w:lvl>
    <w:lvl w:ilvl="2">
      <w:start w:val="1"/>
      <w:numFmt w:val="none"/>
      <w:pStyle w:val="Listapunktowana3"/>
      <w:lvlText w:val="-"/>
      <w:lvlJc w:val="left"/>
      <w:pPr>
        <w:tabs>
          <w:tab w:val="num" w:pos="1135"/>
        </w:tabs>
        <w:ind w:left="1135" w:hanging="283"/>
      </w:pPr>
      <w:rPr>
        <w:rFonts w:hint="default"/>
      </w:rPr>
    </w:lvl>
    <w:lvl w:ilvl="3">
      <w:start w:val="1"/>
      <w:numFmt w:val="bullet"/>
      <w:pStyle w:val="Listapunktowana4"/>
      <w:lvlText w:val="·"/>
      <w:lvlJc w:val="left"/>
      <w:pPr>
        <w:tabs>
          <w:tab w:val="num" w:pos="1419"/>
        </w:tabs>
        <w:ind w:left="1419" w:hanging="283"/>
      </w:pPr>
      <w:rPr>
        <w:rFonts w:ascii="Arial" w:hAnsi="Arial" w:hint="default"/>
        <w:color w:val="000000"/>
      </w:rPr>
    </w:lvl>
    <w:lvl w:ilvl="4">
      <w:start w:val="1"/>
      <w:numFmt w:val="bullet"/>
      <w:pStyle w:val="Listapunktowana5"/>
      <w:lvlText w:val="·"/>
      <w:lvlJc w:val="left"/>
      <w:pPr>
        <w:tabs>
          <w:tab w:val="num" w:pos="1703"/>
        </w:tabs>
        <w:ind w:left="1703" w:hanging="283"/>
      </w:pPr>
      <w:rPr>
        <w:rFonts w:ascii="Arial" w:hAnsi="Arial" w:hint="default"/>
        <w:color w:val="000000"/>
      </w:rPr>
    </w:lvl>
    <w:lvl w:ilvl="5">
      <w:start w:val="1"/>
      <w:numFmt w:val="bullet"/>
      <w:lvlText w:val="-"/>
      <w:lvlJc w:val="left"/>
      <w:pPr>
        <w:tabs>
          <w:tab w:val="num" w:pos="1987"/>
        </w:tabs>
        <w:ind w:left="1987" w:hanging="283"/>
      </w:pPr>
      <w:rPr>
        <w:rFonts w:ascii="Arial" w:hAnsi="Arial" w:hint="default"/>
        <w:color w:val="000000"/>
      </w:rPr>
    </w:lvl>
    <w:lvl w:ilvl="6">
      <w:start w:val="1"/>
      <w:numFmt w:val="bullet"/>
      <w:lvlText w:val="-"/>
      <w:lvlJc w:val="left"/>
      <w:pPr>
        <w:tabs>
          <w:tab w:val="num" w:pos="2271"/>
        </w:tabs>
        <w:ind w:left="2271" w:hanging="283"/>
      </w:pPr>
      <w:rPr>
        <w:rFonts w:ascii="Arial" w:hAnsi="Arial" w:hint="default"/>
        <w:color w:val="000000"/>
      </w:rPr>
    </w:lvl>
    <w:lvl w:ilvl="7">
      <w:start w:val="1"/>
      <w:numFmt w:val="bullet"/>
      <w:lvlText w:val="-"/>
      <w:lvlJc w:val="left"/>
      <w:pPr>
        <w:tabs>
          <w:tab w:val="num" w:pos="2555"/>
        </w:tabs>
        <w:ind w:left="2555" w:hanging="283"/>
      </w:pPr>
      <w:rPr>
        <w:rFonts w:ascii="Arial" w:hAnsi="Arial"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2839"/>
        </w:tabs>
        <w:ind w:left="2839" w:hanging="283"/>
      </w:pPr>
      <w:rPr>
        <w:rFonts w:ascii="Arial" w:hAnsi="Arial" w:hint="default"/>
        <w:color w:val="000000"/>
      </w:rPr>
    </w:lvl>
  </w:abstractNum>
  <w:abstractNum w:abstractNumId="28" w15:restartNumberingAfterBreak="0">
    <w:nsid w:val="5C1B3165"/>
    <w:multiLevelType w:val="multilevel"/>
    <w:tmpl w:val="7FA44798"/>
    <w:styleLink w:val="HTA-Listanagwkwrozdziaw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hanging="737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0"/>
        </w:tabs>
        <w:ind w:left="0" w:hanging="624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none"/>
      <w:pStyle w:val="Nagwek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Nagwek7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Nagwek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Nagwek9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5C33504A"/>
    <w:multiLevelType w:val="hybridMultilevel"/>
    <w:tmpl w:val="F7C00B64"/>
    <w:lvl w:ilvl="0" w:tplc="842E4958">
      <w:start w:val="1"/>
      <w:numFmt w:val="decimal"/>
      <w:lvlText w:val="%1)"/>
      <w:lvlJc w:val="left"/>
      <w:pPr>
        <w:ind w:left="7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</w:lvl>
    <w:lvl w:ilvl="3" w:tplc="0415000F" w:tentative="1">
      <w:start w:val="1"/>
      <w:numFmt w:val="decimal"/>
      <w:lvlText w:val="%4."/>
      <w:lvlJc w:val="left"/>
      <w:pPr>
        <w:ind w:left="2906" w:hanging="360"/>
      </w:p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</w:lvl>
    <w:lvl w:ilvl="6" w:tplc="0415000F" w:tentative="1">
      <w:start w:val="1"/>
      <w:numFmt w:val="decimal"/>
      <w:lvlText w:val="%7."/>
      <w:lvlJc w:val="left"/>
      <w:pPr>
        <w:ind w:left="5066" w:hanging="360"/>
      </w:p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0" w15:restartNumberingAfterBreak="0">
    <w:nsid w:val="5E9A07EE"/>
    <w:multiLevelType w:val="hybridMultilevel"/>
    <w:tmpl w:val="E174A7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D4279B"/>
    <w:multiLevelType w:val="hybridMultilevel"/>
    <w:tmpl w:val="58AE705C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5F3F4034"/>
    <w:multiLevelType w:val="hybridMultilevel"/>
    <w:tmpl w:val="E1260C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ED5E79"/>
    <w:multiLevelType w:val="hybridMultilevel"/>
    <w:tmpl w:val="2BDE2EEC"/>
    <w:lvl w:ilvl="0" w:tplc="7FC2A69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E471A"/>
    <w:multiLevelType w:val="hybridMultilevel"/>
    <w:tmpl w:val="E154FBD0"/>
    <w:lvl w:ilvl="0" w:tplc="3140E5C8">
      <w:start w:val="2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2952BF8"/>
    <w:multiLevelType w:val="multilevel"/>
    <w:tmpl w:val="F52C1CD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000000"/>
        <w:sz w:val="20"/>
      </w:rPr>
    </w:lvl>
  </w:abstractNum>
  <w:abstractNum w:abstractNumId="36" w15:restartNumberingAfterBreak="0">
    <w:nsid w:val="638E1576"/>
    <w:multiLevelType w:val="hybridMultilevel"/>
    <w:tmpl w:val="E11EE0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8C8076B"/>
    <w:multiLevelType w:val="hybridMultilevel"/>
    <w:tmpl w:val="4BBAA710"/>
    <w:lvl w:ilvl="0" w:tplc="842E495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657F7"/>
    <w:multiLevelType w:val="hybridMultilevel"/>
    <w:tmpl w:val="DF94B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F6F67"/>
    <w:multiLevelType w:val="multilevel"/>
    <w:tmpl w:val="3BD83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8" w:hanging="1440"/>
      </w:pPr>
      <w:rPr>
        <w:rFonts w:hint="default"/>
      </w:rPr>
    </w:lvl>
  </w:abstractNum>
  <w:abstractNum w:abstractNumId="40" w15:restartNumberingAfterBreak="0">
    <w:nsid w:val="756E4096"/>
    <w:multiLevelType w:val="hybridMultilevel"/>
    <w:tmpl w:val="DF2E8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4A1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3282E"/>
    <w:multiLevelType w:val="hybridMultilevel"/>
    <w:tmpl w:val="90C42DD4"/>
    <w:lvl w:ilvl="0" w:tplc="991C5ECC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277AB8"/>
    <w:multiLevelType w:val="hybridMultilevel"/>
    <w:tmpl w:val="A56492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8FC7A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6"/>
  </w:num>
  <w:num w:numId="3">
    <w:abstractNumId w:val="17"/>
  </w:num>
  <w:num w:numId="4">
    <w:abstractNumId w:val="12"/>
  </w:num>
  <w:num w:numId="5">
    <w:abstractNumId w:val="24"/>
  </w:num>
  <w:num w:numId="6">
    <w:abstractNumId w:val="38"/>
  </w:num>
  <w:num w:numId="7">
    <w:abstractNumId w:val="41"/>
  </w:num>
  <w:num w:numId="8">
    <w:abstractNumId w:val="37"/>
  </w:num>
  <w:num w:numId="9">
    <w:abstractNumId w:val="34"/>
  </w:num>
  <w:num w:numId="10">
    <w:abstractNumId w:val="33"/>
  </w:num>
  <w:num w:numId="11">
    <w:abstractNumId w:val="9"/>
  </w:num>
  <w:num w:numId="12">
    <w:abstractNumId w:val="7"/>
  </w:num>
  <w:num w:numId="13">
    <w:abstractNumId w:val="19"/>
  </w:num>
  <w:num w:numId="14">
    <w:abstractNumId w:val="26"/>
  </w:num>
  <w:num w:numId="15">
    <w:abstractNumId w:val="11"/>
  </w:num>
  <w:num w:numId="16">
    <w:abstractNumId w:val="0"/>
  </w:num>
  <w:num w:numId="17">
    <w:abstractNumId w:val="40"/>
  </w:num>
  <w:num w:numId="18">
    <w:abstractNumId w:val="2"/>
  </w:num>
  <w:num w:numId="19">
    <w:abstractNumId w:val="30"/>
  </w:num>
  <w:num w:numId="20">
    <w:abstractNumId w:val="8"/>
  </w:num>
  <w:num w:numId="21">
    <w:abstractNumId w:val="25"/>
  </w:num>
  <w:num w:numId="22">
    <w:abstractNumId w:val="31"/>
  </w:num>
  <w:num w:numId="23">
    <w:abstractNumId w:val="42"/>
  </w:num>
  <w:num w:numId="24">
    <w:abstractNumId w:val="32"/>
  </w:num>
  <w:num w:numId="25">
    <w:abstractNumId w:val="20"/>
  </w:num>
  <w:num w:numId="26">
    <w:abstractNumId w:val="28"/>
  </w:num>
  <w:num w:numId="27">
    <w:abstractNumId w:val="27"/>
  </w:num>
  <w:num w:numId="28">
    <w:abstractNumId w:val="1"/>
  </w:num>
  <w:num w:numId="29">
    <w:abstractNumId w:val="15"/>
  </w:num>
  <w:num w:numId="30">
    <w:abstractNumId w:val="22"/>
  </w:num>
  <w:num w:numId="31">
    <w:abstractNumId w:val="21"/>
  </w:num>
  <w:num w:numId="32">
    <w:abstractNumId w:val="3"/>
  </w:num>
  <w:num w:numId="33">
    <w:abstractNumId w:val="14"/>
  </w:num>
  <w:num w:numId="34">
    <w:abstractNumId w:val="39"/>
  </w:num>
  <w:num w:numId="35">
    <w:abstractNumId w:val="5"/>
  </w:num>
  <w:num w:numId="36">
    <w:abstractNumId w:val="29"/>
  </w:num>
  <w:num w:numId="37">
    <w:abstractNumId w:val="10"/>
  </w:num>
  <w:num w:numId="38">
    <w:abstractNumId w:val="35"/>
  </w:num>
  <w:num w:numId="39">
    <w:abstractNumId w:val="16"/>
  </w:num>
  <w:num w:numId="40">
    <w:abstractNumId w:val="4"/>
  </w:num>
  <w:num w:numId="41">
    <w:abstractNumId w:val="18"/>
  </w:num>
  <w:num w:numId="42">
    <w:abstractNumId w:val="23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59"/>
    <w:rsid w:val="00002952"/>
    <w:rsid w:val="00004684"/>
    <w:rsid w:val="000062BE"/>
    <w:rsid w:val="00015017"/>
    <w:rsid w:val="0001573A"/>
    <w:rsid w:val="00027729"/>
    <w:rsid w:val="00036610"/>
    <w:rsid w:val="00041D83"/>
    <w:rsid w:val="00047F48"/>
    <w:rsid w:val="00073E5A"/>
    <w:rsid w:val="000756D4"/>
    <w:rsid w:val="000759FD"/>
    <w:rsid w:val="0009565F"/>
    <w:rsid w:val="000A602C"/>
    <w:rsid w:val="000C37D6"/>
    <w:rsid w:val="000D209A"/>
    <w:rsid w:val="000D6E8F"/>
    <w:rsid w:val="000E3FE1"/>
    <w:rsid w:val="000F41DB"/>
    <w:rsid w:val="0010000F"/>
    <w:rsid w:val="00121808"/>
    <w:rsid w:val="00126C29"/>
    <w:rsid w:val="001354AD"/>
    <w:rsid w:val="001413F4"/>
    <w:rsid w:val="00147A12"/>
    <w:rsid w:val="00150D9E"/>
    <w:rsid w:val="0018041C"/>
    <w:rsid w:val="00183508"/>
    <w:rsid w:val="00186B5C"/>
    <w:rsid w:val="00193AD7"/>
    <w:rsid w:val="001E734C"/>
    <w:rsid w:val="001F24B1"/>
    <w:rsid w:val="001F49D4"/>
    <w:rsid w:val="00206911"/>
    <w:rsid w:val="0021143E"/>
    <w:rsid w:val="00212380"/>
    <w:rsid w:val="002207D0"/>
    <w:rsid w:val="00222D1A"/>
    <w:rsid w:val="002240D2"/>
    <w:rsid w:val="00232492"/>
    <w:rsid w:val="00242728"/>
    <w:rsid w:val="00244ED4"/>
    <w:rsid w:val="002551E8"/>
    <w:rsid w:val="00260301"/>
    <w:rsid w:val="002639F8"/>
    <w:rsid w:val="0027207C"/>
    <w:rsid w:val="002831A7"/>
    <w:rsid w:val="00286661"/>
    <w:rsid w:val="00286DAA"/>
    <w:rsid w:val="002A6A48"/>
    <w:rsid w:val="002B3138"/>
    <w:rsid w:val="002B3410"/>
    <w:rsid w:val="002C37A0"/>
    <w:rsid w:val="002E533B"/>
    <w:rsid w:val="00304613"/>
    <w:rsid w:val="00307C83"/>
    <w:rsid w:val="00315E5B"/>
    <w:rsid w:val="003177D7"/>
    <w:rsid w:val="003230E1"/>
    <w:rsid w:val="00323D96"/>
    <w:rsid w:val="003511A5"/>
    <w:rsid w:val="00352893"/>
    <w:rsid w:val="00357D7E"/>
    <w:rsid w:val="003850B9"/>
    <w:rsid w:val="00391659"/>
    <w:rsid w:val="00394CD2"/>
    <w:rsid w:val="003A5310"/>
    <w:rsid w:val="003A6678"/>
    <w:rsid w:val="003B6669"/>
    <w:rsid w:val="003B7FF7"/>
    <w:rsid w:val="003E705E"/>
    <w:rsid w:val="00410408"/>
    <w:rsid w:val="004135BD"/>
    <w:rsid w:val="00434003"/>
    <w:rsid w:val="004445E6"/>
    <w:rsid w:val="0044785A"/>
    <w:rsid w:val="004532F0"/>
    <w:rsid w:val="00464EC7"/>
    <w:rsid w:val="0048356B"/>
    <w:rsid w:val="004B638A"/>
    <w:rsid w:val="004C46E8"/>
    <w:rsid w:val="004C7979"/>
    <w:rsid w:val="004D4FE3"/>
    <w:rsid w:val="00500669"/>
    <w:rsid w:val="00501B40"/>
    <w:rsid w:val="00505839"/>
    <w:rsid w:val="0053442E"/>
    <w:rsid w:val="00555E90"/>
    <w:rsid w:val="00570A23"/>
    <w:rsid w:val="005A1BB7"/>
    <w:rsid w:val="005C418B"/>
    <w:rsid w:val="005E71B0"/>
    <w:rsid w:val="005E72B4"/>
    <w:rsid w:val="005E7FE0"/>
    <w:rsid w:val="005F484B"/>
    <w:rsid w:val="0061414E"/>
    <w:rsid w:val="00635021"/>
    <w:rsid w:val="00635E79"/>
    <w:rsid w:val="00655959"/>
    <w:rsid w:val="00660CB1"/>
    <w:rsid w:val="00664552"/>
    <w:rsid w:val="006A0A09"/>
    <w:rsid w:val="006A63F8"/>
    <w:rsid w:val="006B3D1D"/>
    <w:rsid w:val="006D7488"/>
    <w:rsid w:val="006E1838"/>
    <w:rsid w:val="006F04F7"/>
    <w:rsid w:val="006F2A96"/>
    <w:rsid w:val="006F6826"/>
    <w:rsid w:val="00701FC9"/>
    <w:rsid w:val="00706F1F"/>
    <w:rsid w:val="00712715"/>
    <w:rsid w:val="00713D97"/>
    <w:rsid w:val="0071573D"/>
    <w:rsid w:val="007165E1"/>
    <w:rsid w:val="00726173"/>
    <w:rsid w:val="00742CF6"/>
    <w:rsid w:val="00744D43"/>
    <w:rsid w:val="00753573"/>
    <w:rsid w:val="0075468E"/>
    <w:rsid w:val="007554F1"/>
    <w:rsid w:val="00765D5C"/>
    <w:rsid w:val="00770CE5"/>
    <w:rsid w:val="00772CE1"/>
    <w:rsid w:val="00776EFA"/>
    <w:rsid w:val="00783659"/>
    <w:rsid w:val="00795FC9"/>
    <w:rsid w:val="007A794F"/>
    <w:rsid w:val="007B7480"/>
    <w:rsid w:val="007F4601"/>
    <w:rsid w:val="007F58B9"/>
    <w:rsid w:val="008152B2"/>
    <w:rsid w:val="00822A21"/>
    <w:rsid w:val="00825FED"/>
    <w:rsid w:val="0082651F"/>
    <w:rsid w:val="00834F13"/>
    <w:rsid w:val="00844CAC"/>
    <w:rsid w:val="00847EEA"/>
    <w:rsid w:val="00886D0C"/>
    <w:rsid w:val="00891A20"/>
    <w:rsid w:val="008B16D7"/>
    <w:rsid w:val="008B739C"/>
    <w:rsid w:val="008C4F23"/>
    <w:rsid w:val="008E1B48"/>
    <w:rsid w:val="008E758D"/>
    <w:rsid w:val="00902A9C"/>
    <w:rsid w:val="009150D3"/>
    <w:rsid w:val="00924446"/>
    <w:rsid w:val="00932CC3"/>
    <w:rsid w:val="0094027F"/>
    <w:rsid w:val="009468A7"/>
    <w:rsid w:val="00962B29"/>
    <w:rsid w:val="00990049"/>
    <w:rsid w:val="00990186"/>
    <w:rsid w:val="009A169F"/>
    <w:rsid w:val="009A52C5"/>
    <w:rsid w:val="009B2656"/>
    <w:rsid w:val="009B3097"/>
    <w:rsid w:val="009C0260"/>
    <w:rsid w:val="009C1090"/>
    <w:rsid w:val="009C5735"/>
    <w:rsid w:val="009C61E3"/>
    <w:rsid w:val="00A00543"/>
    <w:rsid w:val="00A00D62"/>
    <w:rsid w:val="00A130F1"/>
    <w:rsid w:val="00A454F5"/>
    <w:rsid w:val="00A46912"/>
    <w:rsid w:val="00A521BB"/>
    <w:rsid w:val="00A62B80"/>
    <w:rsid w:val="00A63C86"/>
    <w:rsid w:val="00A641AE"/>
    <w:rsid w:val="00AC0D72"/>
    <w:rsid w:val="00AD0B53"/>
    <w:rsid w:val="00AD1A26"/>
    <w:rsid w:val="00AD473E"/>
    <w:rsid w:val="00AF2F6B"/>
    <w:rsid w:val="00AF7BD2"/>
    <w:rsid w:val="00B00F7F"/>
    <w:rsid w:val="00B2237D"/>
    <w:rsid w:val="00B3571D"/>
    <w:rsid w:val="00B37914"/>
    <w:rsid w:val="00B4090F"/>
    <w:rsid w:val="00B45CF6"/>
    <w:rsid w:val="00B646CB"/>
    <w:rsid w:val="00B66CEB"/>
    <w:rsid w:val="00B67352"/>
    <w:rsid w:val="00B74059"/>
    <w:rsid w:val="00B83D9B"/>
    <w:rsid w:val="00B87652"/>
    <w:rsid w:val="00B96415"/>
    <w:rsid w:val="00BA5498"/>
    <w:rsid w:val="00BB0ACC"/>
    <w:rsid w:val="00BB4002"/>
    <w:rsid w:val="00BC2E78"/>
    <w:rsid w:val="00BC5F6D"/>
    <w:rsid w:val="00BC62B0"/>
    <w:rsid w:val="00BC6A89"/>
    <w:rsid w:val="00BD0DC3"/>
    <w:rsid w:val="00C03592"/>
    <w:rsid w:val="00C12BCE"/>
    <w:rsid w:val="00C44391"/>
    <w:rsid w:val="00C608A0"/>
    <w:rsid w:val="00C815CC"/>
    <w:rsid w:val="00C816D5"/>
    <w:rsid w:val="00C92A8D"/>
    <w:rsid w:val="00CA2A82"/>
    <w:rsid w:val="00CA4D57"/>
    <w:rsid w:val="00CC2C11"/>
    <w:rsid w:val="00CD1F78"/>
    <w:rsid w:val="00CD720F"/>
    <w:rsid w:val="00CE612B"/>
    <w:rsid w:val="00CF1782"/>
    <w:rsid w:val="00D03D47"/>
    <w:rsid w:val="00D13209"/>
    <w:rsid w:val="00D21E68"/>
    <w:rsid w:val="00D46625"/>
    <w:rsid w:val="00D72DD8"/>
    <w:rsid w:val="00D95878"/>
    <w:rsid w:val="00D96820"/>
    <w:rsid w:val="00DB354B"/>
    <w:rsid w:val="00DC0B18"/>
    <w:rsid w:val="00DD35A9"/>
    <w:rsid w:val="00E053BC"/>
    <w:rsid w:val="00E37DDC"/>
    <w:rsid w:val="00E63CBF"/>
    <w:rsid w:val="00E642B3"/>
    <w:rsid w:val="00E83B53"/>
    <w:rsid w:val="00E9302A"/>
    <w:rsid w:val="00EA1E35"/>
    <w:rsid w:val="00EA5A1E"/>
    <w:rsid w:val="00EB70CD"/>
    <w:rsid w:val="00EC437C"/>
    <w:rsid w:val="00ED0B5E"/>
    <w:rsid w:val="00ED7AF3"/>
    <w:rsid w:val="00EE1F98"/>
    <w:rsid w:val="00EE5558"/>
    <w:rsid w:val="00EF348A"/>
    <w:rsid w:val="00EF6A8A"/>
    <w:rsid w:val="00F051E3"/>
    <w:rsid w:val="00F25480"/>
    <w:rsid w:val="00F477E0"/>
    <w:rsid w:val="00F526B3"/>
    <w:rsid w:val="00F55141"/>
    <w:rsid w:val="00F712B7"/>
    <w:rsid w:val="00F72004"/>
    <w:rsid w:val="00F75C89"/>
    <w:rsid w:val="00F764C8"/>
    <w:rsid w:val="00F91B35"/>
    <w:rsid w:val="00FB3804"/>
    <w:rsid w:val="00FC05B4"/>
    <w:rsid w:val="00FD1745"/>
    <w:rsid w:val="00FD382D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F134"/>
  <w15:docId w15:val="{92530E5B-8A54-42C0-AC4D-559674B6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3659"/>
    <w:pPr>
      <w:spacing w:after="200" w:line="276" w:lineRule="auto"/>
    </w:pPr>
    <w:rPr>
      <w:rFonts w:ascii="Calibri" w:eastAsia="Calibri" w:hAnsi="Calibri" w:cs="Calibri"/>
      <w:sz w:val="22"/>
    </w:rPr>
  </w:style>
  <w:style w:type="paragraph" w:styleId="Nagwek1">
    <w:name w:val="heading 1"/>
    <w:basedOn w:val="Normalny"/>
    <w:next w:val="Tekstpodstawowy"/>
    <w:link w:val="Nagwek1Znak"/>
    <w:uiPriority w:val="10"/>
    <w:qFormat/>
    <w:rsid w:val="00570A23"/>
    <w:pPr>
      <w:keepNext/>
      <w:keepLines/>
      <w:pageBreakBefore/>
      <w:numPr>
        <w:numId w:val="26"/>
      </w:numPr>
      <w:spacing w:before="720" w:after="360" w:line="360" w:lineRule="auto"/>
      <w:jc w:val="both"/>
      <w:outlineLvl w:val="0"/>
    </w:pPr>
    <w:rPr>
      <w:rFonts w:ascii="Arial" w:eastAsia="Times New Roman" w:hAnsi="Arial" w:cs="Times New Roman"/>
      <w:b/>
      <w:caps/>
      <w:sz w:val="28"/>
      <w:szCs w:val="28"/>
      <w:lang w:bidi="en-US"/>
    </w:rPr>
  </w:style>
  <w:style w:type="paragraph" w:styleId="Nagwek2">
    <w:name w:val="heading 2"/>
    <w:basedOn w:val="Normalny"/>
    <w:next w:val="Tekstpodstawowy"/>
    <w:link w:val="Nagwek2Znak"/>
    <w:uiPriority w:val="10"/>
    <w:qFormat/>
    <w:rsid w:val="00570A23"/>
    <w:pPr>
      <w:keepNext/>
      <w:keepLines/>
      <w:numPr>
        <w:ilvl w:val="1"/>
        <w:numId w:val="26"/>
      </w:numPr>
      <w:spacing w:before="480" w:after="240" w:line="360" w:lineRule="auto"/>
      <w:jc w:val="both"/>
      <w:outlineLvl w:val="1"/>
    </w:pPr>
    <w:rPr>
      <w:rFonts w:ascii="Arial" w:eastAsia="Times New Roman" w:hAnsi="Arial" w:cs="Times New Roman"/>
      <w:b/>
      <w:sz w:val="24"/>
      <w:szCs w:val="26"/>
      <w:lang w:bidi="en-US"/>
    </w:rPr>
  </w:style>
  <w:style w:type="paragraph" w:styleId="Nagwek3">
    <w:name w:val="heading 3"/>
    <w:basedOn w:val="Normalny"/>
    <w:next w:val="Tekstpodstawowy"/>
    <w:link w:val="Nagwek3Znak"/>
    <w:uiPriority w:val="10"/>
    <w:unhideWhenUsed/>
    <w:qFormat/>
    <w:rsid w:val="00570A23"/>
    <w:pPr>
      <w:keepNext/>
      <w:keepLines/>
      <w:numPr>
        <w:ilvl w:val="2"/>
        <w:numId w:val="26"/>
      </w:numPr>
      <w:spacing w:before="480" w:after="120" w:line="360" w:lineRule="auto"/>
      <w:jc w:val="both"/>
      <w:outlineLvl w:val="2"/>
    </w:pPr>
    <w:rPr>
      <w:rFonts w:ascii="Arial" w:eastAsia="Times New Roman" w:hAnsi="Arial" w:cs="Times New Roman"/>
      <w:b/>
      <w:szCs w:val="20"/>
      <w:lang w:bidi="en-US"/>
    </w:rPr>
  </w:style>
  <w:style w:type="paragraph" w:styleId="Nagwek4">
    <w:name w:val="heading 4"/>
    <w:basedOn w:val="Normalny"/>
    <w:next w:val="Tekstpodstawowy"/>
    <w:link w:val="Nagwek4Znak"/>
    <w:uiPriority w:val="10"/>
    <w:unhideWhenUsed/>
    <w:qFormat/>
    <w:rsid w:val="00570A23"/>
    <w:pPr>
      <w:keepNext/>
      <w:keepLines/>
      <w:numPr>
        <w:ilvl w:val="3"/>
        <w:numId w:val="26"/>
      </w:numPr>
      <w:spacing w:before="360" w:after="120" w:line="360" w:lineRule="auto"/>
      <w:jc w:val="both"/>
      <w:outlineLvl w:val="3"/>
    </w:pPr>
    <w:rPr>
      <w:rFonts w:ascii="Arial" w:eastAsia="Times New Roman" w:hAnsi="Arial" w:cs="Times New Roman"/>
      <w:b/>
      <w:iCs/>
      <w:sz w:val="20"/>
      <w:szCs w:val="20"/>
      <w:lang w:bidi="en-US"/>
    </w:rPr>
  </w:style>
  <w:style w:type="paragraph" w:styleId="Nagwek5">
    <w:name w:val="heading 5"/>
    <w:basedOn w:val="Normalny"/>
    <w:next w:val="Tekstpodstawowy"/>
    <w:link w:val="Nagwek5Znak"/>
    <w:uiPriority w:val="10"/>
    <w:unhideWhenUsed/>
    <w:rsid w:val="00570A23"/>
    <w:pPr>
      <w:keepNext/>
      <w:keepLines/>
      <w:numPr>
        <w:ilvl w:val="4"/>
        <w:numId w:val="26"/>
      </w:numPr>
      <w:spacing w:before="200" w:after="0" w:line="360" w:lineRule="auto"/>
      <w:jc w:val="both"/>
      <w:outlineLvl w:val="4"/>
    </w:pPr>
    <w:rPr>
      <w:rFonts w:ascii="Arial" w:eastAsia="Times New Roman" w:hAnsi="Arial" w:cs="Times New Roman"/>
      <w:b/>
      <w:i/>
      <w:sz w:val="20"/>
      <w:szCs w:val="20"/>
      <w:lang w:bidi="en-US"/>
    </w:rPr>
  </w:style>
  <w:style w:type="paragraph" w:styleId="Nagwek6">
    <w:name w:val="heading 6"/>
    <w:basedOn w:val="Normalny"/>
    <w:next w:val="Tekstpodstawowy"/>
    <w:link w:val="Nagwek6Znak"/>
    <w:uiPriority w:val="10"/>
    <w:unhideWhenUsed/>
    <w:rsid w:val="00570A23"/>
    <w:pPr>
      <w:keepNext/>
      <w:keepLines/>
      <w:numPr>
        <w:ilvl w:val="5"/>
        <w:numId w:val="26"/>
      </w:numPr>
      <w:spacing w:before="240" w:after="120" w:line="360" w:lineRule="auto"/>
      <w:jc w:val="both"/>
      <w:outlineLvl w:val="5"/>
    </w:pPr>
    <w:rPr>
      <w:rFonts w:ascii="Arial" w:eastAsia="Times New Roman" w:hAnsi="Arial" w:cs="Times New Roman"/>
      <w:b/>
      <w:iCs/>
      <w:sz w:val="20"/>
      <w:szCs w:val="20"/>
      <w:lang w:bidi="en-US"/>
    </w:rPr>
  </w:style>
  <w:style w:type="paragraph" w:styleId="Nagwek7">
    <w:name w:val="heading 7"/>
    <w:basedOn w:val="Normalny"/>
    <w:next w:val="Tekstpodstawowy"/>
    <w:link w:val="Nagwek7Znak"/>
    <w:uiPriority w:val="10"/>
    <w:unhideWhenUsed/>
    <w:rsid w:val="00570A23"/>
    <w:pPr>
      <w:keepNext/>
      <w:keepLines/>
      <w:numPr>
        <w:ilvl w:val="6"/>
        <w:numId w:val="26"/>
      </w:numPr>
      <w:spacing w:before="240" w:after="120" w:line="360" w:lineRule="auto"/>
      <w:jc w:val="both"/>
      <w:outlineLvl w:val="6"/>
    </w:pPr>
    <w:rPr>
      <w:rFonts w:ascii="Arial" w:eastAsia="Times New Roman" w:hAnsi="Arial" w:cs="Times New Roman"/>
      <w:bCs/>
      <w:i/>
      <w:iCs/>
      <w:sz w:val="20"/>
      <w:szCs w:val="20"/>
      <w:lang w:bidi="en-US"/>
    </w:rPr>
  </w:style>
  <w:style w:type="paragraph" w:styleId="Nagwek8">
    <w:name w:val="heading 8"/>
    <w:basedOn w:val="Normalny"/>
    <w:next w:val="Tekstpodstawowy"/>
    <w:link w:val="Nagwek8Znak"/>
    <w:uiPriority w:val="10"/>
    <w:unhideWhenUsed/>
    <w:rsid w:val="00570A23"/>
    <w:pPr>
      <w:keepNext/>
      <w:keepLines/>
      <w:numPr>
        <w:ilvl w:val="7"/>
        <w:numId w:val="26"/>
      </w:numPr>
      <w:spacing w:before="240" w:after="120" w:line="360" w:lineRule="auto"/>
      <w:jc w:val="both"/>
      <w:outlineLvl w:val="7"/>
    </w:pPr>
    <w:rPr>
      <w:rFonts w:ascii="Arial" w:eastAsia="Times New Roman" w:hAnsi="Arial" w:cs="Times New Roman"/>
      <w:bCs/>
      <w:sz w:val="20"/>
      <w:szCs w:val="20"/>
      <w:lang w:bidi="en-US"/>
    </w:rPr>
  </w:style>
  <w:style w:type="paragraph" w:styleId="Nagwek9">
    <w:name w:val="heading 9"/>
    <w:basedOn w:val="Normalny"/>
    <w:next w:val="Tekstpodstawowy"/>
    <w:link w:val="Nagwek9Znak"/>
    <w:uiPriority w:val="10"/>
    <w:unhideWhenUsed/>
    <w:rsid w:val="00570A23"/>
    <w:pPr>
      <w:keepNext/>
      <w:keepLines/>
      <w:numPr>
        <w:ilvl w:val="8"/>
        <w:numId w:val="26"/>
      </w:numPr>
      <w:spacing w:before="240" w:after="120" w:line="360" w:lineRule="auto"/>
      <w:jc w:val="both"/>
      <w:outlineLvl w:val="8"/>
    </w:pPr>
    <w:rPr>
      <w:rFonts w:ascii="Arial" w:eastAsia="Times New Roman" w:hAnsi="Arial" w:cs="Times New Roman"/>
      <w:bCs/>
      <w:i/>
      <w:iCs/>
      <w:spacing w:val="5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836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48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222D1A"/>
    <w:pPr>
      <w:widowControl w:val="0"/>
      <w:autoSpaceDE w:val="0"/>
      <w:autoSpaceDN w:val="0"/>
      <w:adjustRightInd w:val="0"/>
      <w:spacing w:after="0" w:line="240" w:lineRule="auto"/>
    </w:pPr>
    <w:rPr>
      <w:rFonts w:ascii="CKBKDC+Arial" w:eastAsia="Times New Roman" w:hAnsi="CKBKDC+Arial" w:cs="CKBKDC+Arial"/>
      <w:color w:val="000000"/>
      <w:szCs w:val="24"/>
      <w:lang w:eastAsia="pl-PL"/>
    </w:rPr>
  </w:style>
  <w:style w:type="paragraph" w:styleId="Tekstpodstawowy">
    <w:name w:val="Body Text"/>
    <w:basedOn w:val="Default"/>
    <w:next w:val="Default"/>
    <w:link w:val="TekstpodstawowyZnak"/>
    <w:unhideWhenUsed/>
    <w:rsid w:val="00222D1A"/>
    <w:pPr>
      <w:widowControl/>
    </w:pPr>
    <w:rPr>
      <w:rFonts w:ascii="Times New Roman" w:hAnsi="Times New Roman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222D1A"/>
    <w:rPr>
      <w:rFonts w:eastAsia="Times New Roman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D1A"/>
    <w:rPr>
      <w:rFonts w:ascii="Calibri" w:eastAsia="Calibri" w:hAnsi="Calibri" w:cs="Calibri"/>
      <w:sz w:val="22"/>
    </w:rPr>
  </w:style>
  <w:style w:type="paragraph" w:styleId="Stopka">
    <w:name w:val="footer"/>
    <w:basedOn w:val="Normalny"/>
    <w:link w:val="StopkaZnak"/>
    <w:uiPriority w:val="99"/>
    <w:unhideWhenUsed/>
    <w:rsid w:val="0022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D1A"/>
    <w:rPr>
      <w:rFonts w:ascii="Calibri" w:eastAsia="Calibri" w:hAnsi="Calibri" w:cs="Calibri"/>
      <w:sz w:val="22"/>
    </w:rPr>
  </w:style>
  <w:style w:type="paragraph" w:styleId="Legenda">
    <w:name w:val="caption"/>
    <w:basedOn w:val="Normalny"/>
    <w:link w:val="LegendaZnak"/>
    <w:uiPriority w:val="7"/>
    <w:qFormat/>
    <w:rsid w:val="00570A23"/>
    <w:pPr>
      <w:keepNext/>
      <w:keepLines/>
      <w:spacing w:before="360" w:after="60" w:line="240" w:lineRule="auto"/>
      <w:jc w:val="both"/>
    </w:pPr>
    <w:rPr>
      <w:rFonts w:ascii="Arial" w:eastAsia="Times New Roman" w:hAnsi="Arial" w:cs="Times New Roman"/>
      <w:b/>
      <w:sz w:val="16"/>
      <w:szCs w:val="18"/>
      <w:lang w:bidi="en-US"/>
    </w:rPr>
  </w:style>
  <w:style w:type="paragraph" w:customStyle="1" w:styleId="Tabela-TekstpodstawowyWyrodkowany">
    <w:name w:val="Tabela - Tekst podstawowy Wyśrodkowany"/>
    <w:basedOn w:val="Normalny"/>
    <w:link w:val="Tabela-TekstpodstawowyWyrodkowanyZnak"/>
    <w:uiPriority w:val="7"/>
    <w:qFormat/>
    <w:rsid w:val="00570A23"/>
    <w:pPr>
      <w:spacing w:after="0" w:line="240" w:lineRule="auto"/>
      <w:jc w:val="center"/>
    </w:pPr>
    <w:rPr>
      <w:rFonts w:ascii="Arial" w:eastAsia="Times New Roman" w:hAnsi="Arial" w:cs="Times New Roman"/>
      <w:bCs/>
      <w:sz w:val="16"/>
      <w:szCs w:val="20"/>
      <w:lang w:bidi="en-US"/>
    </w:rPr>
  </w:style>
  <w:style w:type="table" w:customStyle="1" w:styleId="TabelapodstawowaHTA">
    <w:name w:val="Tabela podstawowa HTA"/>
    <w:basedOn w:val="Standardowy"/>
    <w:uiPriority w:val="99"/>
    <w:qFormat/>
    <w:rsid w:val="00570A23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pl-PL"/>
    </w:rPr>
    <w:tblPr>
      <w:jc w:val="center"/>
      <w:tblBorders>
        <w:top w:val="single" w:sz="12" w:space="0" w:color="auto"/>
        <w:bottom w:val="single" w:sz="12" w:space="0" w:color="auto"/>
        <w:insideH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rPr>
      <w:cantSplit/>
      <w:jc w:val="center"/>
    </w:trPr>
    <w:tcPr>
      <w:vAlign w:val="center"/>
    </w:tcPr>
    <w:tblStylePr w:type="firstRow">
      <w:pPr>
        <w:jc w:val="center"/>
      </w:pPr>
      <w:rPr>
        <w:color w:val="auto"/>
      </w:rPr>
      <w:tblPr/>
      <w:trPr>
        <w:cantSplit w:val="0"/>
      </w:trPr>
      <w:tcPr>
        <w:shd w:val="clear" w:color="auto" w:fill="4F81BD" w:themeFill="accent1"/>
      </w:tcPr>
    </w:tblStylePr>
    <w:tblStylePr w:type="lastRow">
      <w:tblPr/>
      <w:tcPr>
        <w:shd w:val="clear" w:color="auto" w:fill="FFFFFF"/>
      </w:tcPr>
    </w:tblStylePr>
    <w:tblStylePr w:type="firstCol">
      <w:pPr>
        <w:jc w:val="center"/>
      </w:pPr>
      <w:tblPr/>
      <w:tcPr>
        <w:shd w:val="clear" w:color="auto" w:fill="F2F2F2"/>
      </w:tcPr>
    </w:tblStylePr>
  </w:style>
  <w:style w:type="paragraph" w:customStyle="1" w:styleId="Tabela-TekstnagwekIrzdniebieskieto">
    <w:name w:val="Tabela - Tekst nagłówek I rząd (niebieskie tło)"/>
    <w:basedOn w:val="Normalny"/>
    <w:uiPriority w:val="7"/>
    <w:qFormat/>
    <w:rsid w:val="00570A23"/>
    <w:pPr>
      <w:keepNext/>
      <w:keepLines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16"/>
      <w:szCs w:val="20"/>
      <w:lang w:bidi="en-US"/>
    </w:rPr>
  </w:style>
  <w:style w:type="paragraph" w:customStyle="1" w:styleId="Tekstopisupodelementem">
    <w:name w:val="Tekst opisu pod elementem"/>
    <w:basedOn w:val="Normalny"/>
    <w:link w:val="TekstopisupodelementemZnak"/>
    <w:uiPriority w:val="7"/>
    <w:qFormat/>
    <w:rsid w:val="00570A23"/>
    <w:pPr>
      <w:spacing w:before="60" w:after="360" w:line="240" w:lineRule="auto"/>
      <w:contextualSpacing/>
      <w:jc w:val="both"/>
    </w:pPr>
    <w:rPr>
      <w:rFonts w:ascii="Arial" w:eastAsia="Times New Roman" w:hAnsi="Arial" w:cs="Times New Roman"/>
      <w:bCs/>
      <w:sz w:val="14"/>
      <w:szCs w:val="20"/>
      <w:lang w:bidi="en-US"/>
    </w:rPr>
  </w:style>
  <w:style w:type="character" w:customStyle="1" w:styleId="Tabela-TekstpodstawowyWyrodkowanyZnak">
    <w:name w:val="Tabela - Tekst podstawowy Wyśrodkowany Znak"/>
    <w:link w:val="Tabela-TekstpodstawowyWyrodkowany"/>
    <w:uiPriority w:val="7"/>
    <w:rsid w:val="00570A23"/>
    <w:rPr>
      <w:rFonts w:ascii="Arial" w:eastAsia="Times New Roman" w:hAnsi="Arial" w:cs="Times New Roman"/>
      <w:bCs/>
      <w:sz w:val="16"/>
      <w:szCs w:val="20"/>
      <w:lang w:bidi="en-US"/>
    </w:rPr>
  </w:style>
  <w:style w:type="character" w:customStyle="1" w:styleId="TekstopisupodelementemZnak">
    <w:name w:val="Tekst opisu pod elementem Znak"/>
    <w:link w:val="Tekstopisupodelementem"/>
    <w:uiPriority w:val="7"/>
    <w:rsid w:val="00570A23"/>
    <w:rPr>
      <w:rFonts w:ascii="Arial" w:eastAsia="Times New Roman" w:hAnsi="Arial" w:cs="Times New Roman"/>
      <w:bCs/>
      <w:sz w:val="14"/>
      <w:szCs w:val="20"/>
      <w:lang w:bidi="en-US"/>
    </w:rPr>
  </w:style>
  <w:style w:type="character" w:customStyle="1" w:styleId="LegendaZnak">
    <w:name w:val="Legenda Znak"/>
    <w:link w:val="Legenda"/>
    <w:uiPriority w:val="7"/>
    <w:locked/>
    <w:rsid w:val="00570A23"/>
    <w:rPr>
      <w:rFonts w:ascii="Arial" w:eastAsia="Times New Roman" w:hAnsi="Arial" w:cs="Times New Roman"/>
      <w:b/>
      <w:sz w:val="16"/>
      <w:szCs w:val="18"/>
      <w:lang w:bidi="en-US"/>
    </w:rPr>
  </w:style>
  <w:style w:type="character" w:customStyle="1" w:styleId="Nagwek1Znak">
    <w:name w:val="Nagłówek 1 Znak"/>
    <w:basedOn w:val="Domylnaczcionkaakapitu"/>
    <w:link w:val="Nagwek1"/>
    <w:uiPriority w:val="10"/>
    <w:rsid w:val="00570A23"/>
    <w:rPr>
      <w:rFonts w:ascii="Arial" w:eastAsia="Times New Roman" w:hAnsi="Arial" w:cs="Times New Roman"/>
      <w:b/>
      <w:caps/>
      <w:sz w:val="28"/>
      <w:szCs w:val="28"/>
      <w:lang w:bidi="en-US"/>
    </w:rPr>
  </w:style>
  <w:style w:type="character" w:customStyle="1" w:styleId="Nagwek2Znak">
    <w:name w:val="Nagłówek 2 Znak"/>
    <w:basedOn w:val="Domylnaczcionkaakapitu"/>
    <w:link w:val="Nagwek2"/>
    <w:uiPriority w:val="10"/>
    <w:rsid w:val="00570A23"/>
    <w:rPr>
      <w:rFonts w:ascii="Arial" w:eastAsia="Times New Roman" w:hAnsi="Arial" w:cs="Times New Roman"/>
      <w:b/>
      <w:szCs w:val="26"/>
      <w:lang w:bidi="en-US"/>
    </w:rPr>
  </w:style>
  <w:style w:type="character" w:customStyle="1" w:styleId="Nagwek3Znak">
    <w:name w:val="Nagłówek 3 Znak"/>
    <w:basedOn w:val="Domylnaczcionkaakapitu"/>
    <w:link w:val="Nagwek3"/>
    <w:uiPriority w:val="10"/>
    <w:rsid w:val="00570A23"/>
    <w:rPr>
      <w:rFonts w:ascii="Arial" w:eastAsia="Times New Roman" w:hAnsi="Arial" w:cs="Times New Roman"/>
      <w:b/>
      <w:sz w:val="22"/>
      <w:szCs w:val="20"/>
      <w:lang w:bidi="en-US"/>
    </w:rPr>
  </w:style>
  <w:style w:type="character" w:customStyle="1" w:styleId="Nagwek4Znak">
    <w:name w:val="Nagłówek 4 Znak"/>
    <w:basedOn w:val="Domylnaczcionkaakapitu"/>
    <w:link w:val="Nagwek4"/>
    <w:uiPriority w:val="10"/>
    <w:rsid w:val="00570A23"/>
    <w:rPr>
      <w:rFonts w:ascii="Arial" w:eastAsia="Times New Roman" w:hAnsi="Arial" w:cs="Times New Roman"/>
      <w:b/>
      <w:iCs/>
      <w:sz w:val="20"/>
      <w:szCs w:val="20"/>
      <w:lang w:bidi="en-US"/>
    </w:rPr>
  </w:style>
  <w:style w:type="character" w:customStyle="1" w:styleId="Nagwek5Znak">
    <w:name w:val="Nagłówek 5 Znak"/>
    <w:basedOn w:val="Domylnaczcionkaakapitu"/>
    <w:link w:val="Nagwek5"/>
    <w:uiPriority w:val="10"/>
    <w:rsid w:val="00570A23"/>
    <w:rPr>
      <w:rFonts w:ascii="Arial" w:eastAsia="Times New Roman" w:hAnsi="Arial" w:cs="Times New Roman"/>
      <w:b/>
      <w:i/>
      <w:sz w:val="20"/>
      <w:szCs w:val="20"/>
      <w:lang w:bidi="en-US"/>
    </w:rPr>
  </w:style>
  <w:style w:type="character" w:customStyle="1" w:styleId="Nagwek6Znak">
    <w:name w:val="Nagłówek 6 Znak"/>
    <w:basedOn w:val="Domylnaczcionkaakapitu"/>
    <w:link w:val="Nagwek6"/>
    <w:uiPriority w:val="10"/>
    <w:rsid w:val="00570A23"/>
    <w:rPr>
      <w:rFonts w:ascii="Arial" w:eastAsia="Times New Roman" w:hAnsi="Arial" w:cs="Times New Roman"/>
      <w:b/>
      <w:iCs/>
      <w:sz w:val="20"/>
      <w:szCs w:val="20"/>
      <w:lang w:bidi="en-US"/>
    </w:rPr>
  </w:style>
  <w:style w:type="character" w:customStyle="1" w:styleId="Nagwek7Znak">
    <w:name w:val="Nagłówek 7 Znak"/>
    <w:basedOn w:val="Domylnaczcionkaakapitu"/>
    <w:link w:val="Nagwek7"/>
    <w:uiPriority w:val="10"/>
    <w:rsid w:val="00570A23"/>
    <w:rPr>
      <w:rFonts w:ascii="Arial" w:eastAsia="Times New Roman" w:hAnsi="Arial" w:cs="Times New Roman"/>
      <w:bCs/>
      <w:i/>
      <w:iCs/>
      <w:sz w:val="20"/>
      <w:szCs w:val="20"/>
      <w:lang w:bidi="en-US"/>
    </w:rPr>
  </w:style>
  <w:style w:type="character" w:customStyle="1" w:styleId="Nagwek8Znak">
    <w:name w:val="Nagłówek 8 Znak"/>
    <w:basedOn w:val="Domylnaczcionkaakapitu"/>
    <w:link w:val="Nagwek8"/>
    <w:uiPriority w:val="10"/>
    <w:rsid w:val="00570A23"/>
    <w:rPr>
      <w:rFonts w:ascii="Arial" w:eastAsia="Times New Roman" w:hAnsi="Arial" w:cs="Times New Roman"/>
      <w:bCs/>
      <w:sz w:val="20"/>
      <w:szCs w:val="20"/>
      <w:lang w:bidi="en-US"/>
    </w:rPr>
  </w:style>
  <w:style w:type="character" w:customStyle="1" w:styleId="Nagwek9Znak">
    <w:name w:val="Nagłówek 9 Znak"/>
    <w:basedOn w:val="Domylnaczcionkaakapitu"/>
    <w:link w:val="Nagwek9"/>
    <w:uiPriority w:val="10"/>
    <w:rsid w:val="00570A23"/>
    <w:rPr>
      <w:rFonts w:ascii="Arial" w:eastAsia="Times New Roman" w:hAnsi="Arial" w:cs="Times New Roman"/>
      <w:bCs/>
      <w:i/>
      <w:iCs/>
      <w:spacing w:val="5"/>
      <w:sz w:val="20"/>
      <w:szCs w:val="20"/>
      <w:lang w:bidi="en-US"/>
    </w:rPr>
  </w:style>
  <w:style w:type="numbering" w:customStyle="1" w:styleId="HTA-Listanagwkwrozdziaw">
    <w:name w:val="HTA - Lista nagłówków rozdziałów"/>
    <w:uiPriority w:val="99"/>
    <w:rsid w:val="00570A23"/>
    <w:pPr>
      <w:numPr>
        <w:numId w:val="26"/>
      </w:numPr>
    </w:pPr>
  </w:style>
  <w:style w:type="paragraph" w:styleId="Listapunktowana">
    <w:name w:val="List Bullet"/>
    <w:basedOn w:val="Normalny"/>
    <w:uiPriority w:val="4"/>
    <w:qFormat/>
    <w:rsid w:val="00570A23"/>
    <w:pPr>
      <w:numPr>
        <w:numId w:val="28"/>
      </w:numPr>
      <w:spacing w:after="0" w:line="360" w:lineRule="auto"/>
      <w:contextualSpacing/>
      <w:jc w:val="both"/>
    </w:pPr>
    <w:rPr>
      <w:rFonts w:ascii="Arial" w:eastAsia="Times New Roman" w:hAnsi="Arial" w:cs="Times New Roman"/>
      <w:bCs/>
      <w:sz w:val="20"/>
      <w:szCs w:val="20"/>
      <w:lang w:bidi="en-US"/>
    </w:rPr>
  </w:style>
  <w:style w:type="paragraph" w:styleId="Listapunktowana2">
    <w:name w:val="List Bullet 2"/>
    <w:basedOn w:val="Normalny"/>
    <w:uiPriority w:val="4"/>
    <w:unhideWhenUsed/>
    <w:rsid w:val="00570A23"/>
    <w:pPr>
      <w:numPr>
        <w:ilvl w:val="1"/>
        <w:numId w:val="28"/>
      </w:numPr>
      <w:spacing w:after="0" w:line="360" w:lineRule="auto"/>
      <w:contextualSpacing/>
      <w:jc w:val="both"/>
    </w:pPr>
    <w:rPr>
      <w:rFonts w:ascii="Arial" w:eastAsia="Times New Roman" w:hAnsi="Arial" w:cs="Times New Roman"/>
      <w:bCs/>
      <w:sz w:val="20"/>
      <w:szCs w:val="20"/>
      <w:lang w:bidi="en-US"/>
    </w:rPr>
  </w:style>
  <w:style w:type="paragraph" w:styleId="Listapunktowana3">
    <w:name w:val="List Bullet 3"/>
    <w:basedOn w:val="Normalny"/>
    <w:uiPriority w:val="4"/>
    <w:unhideWhenUsed/>
    <w:rsid w:val="00570A23"/>
    <w:pPr>
      <w:numPr>
        <w:ilvl w:val="2"/>
        <w:numId w:val="28"/>
      </w:numPr>
      <w:spacing w:after="0" w:line="360" w:lineRule="auto"/>
      <w:contextualSpacing/>
      <w:jc w:val="both"/>
    </w:pPr>
    <w:rPr>
      <w:rFonts w:ascii="Arial" w:eastAsia="Times New Roman" w:hAnsi="Arial" w:cs="Times New Roman"/>
      <w:bCs/>
      <w:sz w:val="20"/>
      <w:szCs w:val="20"/>
      <w:lang w:bidi="en-US"/>
    </w:rPr>
  </w:style>
  <w:style w:type="paragraph" w:styleId="Listapunktowana4">
    <w:name w:val="List Bullet 4"/>
    <w:basedOn w:val="Normalny"/>
    <w:uiPriority w:val="4"/>
    <w:unhideWhenUsed/>
    <w:rsid w:val="00570A23"/>
    <w:pPr>
      <w:numPr>
        <w:ilvl w:val="3"/>
        <w:numId w:val="28"/>
      </w:numPr>
      <w:spacing w:after="0" w:line="360" w:lineRule="auto"/>
      <w:contextualSpacing/>
      <w:jc w:val="both"/>
    </w:pPr>
    <w:rPr>
      <w:rFonts w:ascii="Arial" w:eastAsia="Times New Roman" w:hAnsi="Arial" w:cs="Times New Roman"/>
      <w:bCs/>
      <w:sz w:val="20"/>
      <w:szCs w:val="20"/>
      <w:lang w:bidi="en-US"/>
    </w:rPr>
  </w:style>
  <w:style w:type="paragraph" w:styleId="Listapunktowana5">
    <w:name w:val="List Bullet 5"/>
    <w:basedOn w:val="Normalny"/>
    <w:uiPriority w:val="4"/>
    <w:unhideWhenUsed/>
    <w:rsid w:val="00570A23"/>
    <w:pPr>
      <w:numPr>
        <w:ilvl w:val="4"/>
        <w:numId w:val="28"/>
      </w:numPr>
      <w:spacing w:after="0" w:line="360" w:lineRule="auto"/>
      <w:contextualSpacing/>
      <w:jc w:val="both"/>
    </w:pPr>
    <w:rPr>
      <w:rFonts w:ascii="Arial" w:eastAsia="Times New Roman" w:hAnsi="Arial" w:cs="Times New Roman"/>
      <w:bCs/>
      <w:sz w:val="20"/>
      <w:szCs w:val="20"/>
      <w:lang w:bidi="en-US"/>
    </w:rPr>
  </w:style>
  <w:style w:type="numbering" w:customStyle="1" w:styleId="HTA-Listapunktowa1">
    <w:name w:val="HTA - Lista punktowa 1"/>
    <w:uiPriority w:val="99"/>
    <w:rsid w:val="00570A23"/>
    <w:pPr>
      <w:numPr>
        <w:numId w:val="27"/>
      </w:numPr>
    </w:pPr>
  </w:style>
  <w:style w:type="paragraph" w:customStyle="1" w:styleId="Tabela-TekstnagwekIIrzdszareto">
    <w:name w:val="Tabela - Tekst nagłówek II rząd (szare tło)"/>
    <w:basedOn w:val="Normalny"/>
    <w:uiPriority w:val="7"/>
    <w:qFormat/>
    <w:rsid w:val="00570A23"/>
    <w:pPr>
      <w:keepLines/>
      <w:spacing w:after="0" w:line="240" w:lineRule="auto"/>
      <w:jc w:val="center"/>
    </w:pPr>
    <w:rPr>
      <w:rFonts w:ascii="Arial" w:eastAsia="Times New Roman" w:hAnsi="Arial" w:cs="Times New Roman"/>
      <w:b/>
      <w:bCs/>
      <w:sz w:val="16"/>
      <w:szCs w:val="20"/>
      <w:lang w:bidi="en-US"/>
    </w:rPr>
  </w:style>
  <w:style w:type="paragraph" w:customStyle="1" w:styleId="Tabela-TekstnagwekIIIrzdbiaeto">
    <w:name w:val="Tabela - Tekst nagłówek III rząd (białe tło)"/>
    <w:basedOn w:val="Normalny"/>
    <w:uiPriority w:val="7"/>
    <w:qFormat/>
    <w:rsid w:val="00570A23"/>
    <w:pPr>
      <w:keepLines/>
      <w:spacing w:after="0" w:line="240" w:lineRule="auto"/>
      <w:jc w:val="center"/>
    </w:pPr>
    <w:rPr>
      <w:rFonts w:ascii="Arial" w:eastAsia="Times New Roman" w:hAnsi="Arial" w:cs="Times New Roman"/>
      <w:b/>
      <w:bCs/>
      <w:sz w:val="16"/>
      <w:szCs w:val="20"/>
      <w:lang w:bidi="en-US"/>
    </w:rPr>
  </w:style>
  <w:style w:type="paragraph" w:customStyle="1" w:styleId="Nagwek4beznumeracji">
    <w:name w:val="Nagłówek 4 (bez numeracji)"/>
    <w:basedOn w:val="Normalny"/>
    <w:next w:val="Tekstpodstawowy"/>
    <w:uiPriority w:val="10"/>
    <w:unhideWhenUsed/>
    <w:qFormat/>
    <w:rsid w:val="00570A23"/>
    <w:pPr>
      <w:keepNext/>
      <w:keepLines/>
      <w:tabs>
        <w:tab w:val="left" w:pos="851"/>
      </w:tabs>
      <w:spacing w:before="360" w:after="120" w:line="360" w:lineRule="auto"/>
      <w:jc w:val="both"/>
    </w:pPr>
    <w:rPr>
      <w:rFonts w:ascii="Arial" w:eastAsia="Times New Roman" w:hAnsi="Arial" w:cs="Times New Roman"/>
      <w:b/>
      <w:bCs/>
      <w:sz w:val="20"/>
      <w:szCs w:val="20"/>
      <w:lang w:bidi="en-US"/>
    </w:rPr>
  </w:style>
  <w:style w:type="character" w:styleId="Pogrubienie">
    <w:name w:val="Strong"/>
    <w:basedOn w:val="Domylnaczcionkaakapitu"/>
    <w:uiPriority w:val="22"/>
    <w:qFormat/>
    <w:rsid w:val="00570A2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7D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D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DDC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D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DDC"/>
    <w:rPr>
      <w:rFonts w:ascii="Calibri" w:eastAsia="Calibri" w:hAnsi="Calibri" w:cs="Calibri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57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573D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573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57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573D"/>
    <w:rPr>
      <w:rFonts w:ascii="Calibri" w:eastAsia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573D"/>
    <w:rPr>
      <w:vertAlign w:val="superscript"/>
    </w:rPr>
  </w:style>
  <w:style w:type="paragraph" w:styleId="Poprawka">
    <w:name w:val="Revision"/>
    <w:hidden/>
    <w:uiPriority w:val="99"/>
    <w:semiHidden/>
    <w:rsid w:val="002C37A0"/>
    <w:pPr>
      <w:spacing w:after="0" w:line="240" w:lineRule="auto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7AAF-FB72-47A5-B40C-41F47198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739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Cezary Glogowski</dc:creator>
  <cp:lastModifiedBy>Królak-Buzakowska Joanna</cp:lastModifiedBy>
  <cp:revision>4</cp:revision>
  <cp:lastPrinted>2018-06-27T11:37:00Z</cp:lastPrinted>
  <dcterms:created xsi:type="dcterms:W3CDTF">2019-11-14T10:28:00Z</dcterms:created>
  <dcterms:modified xsi:type="dcterms:W3CDTF">2019-12-07T01:09:00Z</dcterms:modified>
</cp:coreProperties>
</file>