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F13EC6"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F13EC6"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1376</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w:t>
            </w:r>
            <w:bookmarkStart w:id="3" w:name="_GoBack"/>
            <w:bookmarkEnd w:id="3"/>
            <w:r>
              <w:rPr>
                <w:rFonts w:ascii="Times New Roman" w:hAnsi="Times New Roman" w:cs="Times New Roman"/>
                <w:sz w:val="24"/>
                <w:szCs w:val="24"/>
              </w:rPr>
              <w:t xml:space="preserve">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18" w:rsidRDefault="00C71318" w:rsidP="000C3879">
      <w:pPr>
        <w:spacing w:after="0" w:line="240" w:lineRule="auto"/>
      </w:pPr>
      <w:r>
        <w:separator/>
      </w:r>
    </w:p>
  </w:endnote>
  <w:endnote w:type="continuationSeparator" w:id="0">
    <w:p w:rsidR="00C71318" w:rsidRDefault="00C713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18" w:rsidRDefault="00C71318" w:rsidP="000C3879">
      <w:pPr>
        <w:spacing w:after="0" w:line="240" w:lineRule="auto"/>
      </w:pPr>
      <w:r>
        <w:separator/>
      </w:r>
    </w:p>
  </w:footnote>
  <w:footnote w:type="continuationSeparator" w:id="0">
    <w:p w:rsidR="00C71318" w:rsidRDefault="00C713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1"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2"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0"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39"/>
  </w:num>
  <w:num w:numId="7">
    <w:abstractNumId w:val="14"/>
  </w:num>
  <w:num w:numId="8">
    <w:abstractNumId w:val="4"/>
  </w:num>
  <w:num w:numId="9">
    <w:abstractNumId w:val="7"/>
  </w:num>
  <w:num w:numId="10">
    <w:abstractNumId w:val="36"/>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40"/>
  </w:num>
  <w:num w:numId="20">
    <w:abstractNumId w:val="29"/>
  </w:num>
  <w:num w:numId="21">
    <w:abstractNumId w:val="27"/>
  </w:num>
  <w:num w:numId="22">
    <w:abstractNumId w:val="9"/>
  </w:num>
  <w:num w:numId="23">
    <w:abstractNumId w:val="13"/>
  </w:num>
  <w:num w:numId="24">
    <w:abstractNumId w:val="25"/>
  </w:num>
  <w:num w:numId="25">
    <w:abstractNumId w:val="32"/>
  </w:num>
  <w:num w:numId="26">
    <w:abstractNumId w:val="1"/>
  </w:num>
  <w:num w:numId="27">
    <w:abstractNumId w:val="38"/>
  </w:num>
  <w:num w:numId="28">
    <w:abstractNumId w:val="26"/>
  </w:num>
  <w:num w:numId="29">
    <w:abstractNumId w:val="31"/>
  </w:num>
  <w:num w:numId="30">
    <w:abstractNumId w:val="33"/>
  </w:num>
  <w:num w:numId="31">
    <w:abstractNumId w:val="20"/>
  </w:num>
  <w:num w:numId="32">
    <w:abstractNumId w:val="16"/>
  </w:num>
  <w:num w:numId="33">
    <w:abstractNumId w:val="5"/>
  </w:num>
  <w:num w:numId="34">
    <w:abstractNumId w:val="28"/>
  </w:num>
  <w:num w:numId="35">
    <w:abstractNumId w:val="37"/>
  </w:num>
  <w:num w:numId="36">
    <w:abstractNumId w:val="17"/>
  </w:num>
  <w:num w:numId="37">
    <w:abstractNumId w:val="35"/>
  </w:num>
  <w:num w:numId="38">
    <w:abstractNumId w:val="18"/>
  </w:num>
  <w:num w:numId="39">
    <w:abstractNumId w:val="15"/>
  </w:num>
  <w:num w:numId="40">
    <w:abstractNumId w:val="34"/>
  </w:num>
  <w:num w:numId="41">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autoHyphenation/>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706C8"/>
    <w:rsid w:val="002776DB"/>
    <w:rsid w:val="00277968"/>
    <w:rsid w:val="00281165"/>
    <w:rsid w:val="00283BC3"/>
    <w:rsid w:val="00293AF5"/>
    <w:rsid w:val="00295806"/>
    <w:rsid w:val="002962BC"/>
    <w:rsid w:val="00297021"/>
    <w:rsid w:val="002A07A6"/>
    <w:rsid w:val="002A14A0"/>
    <w:rsid w:val="002B2A60"/>
    <w:rsid w:val="002B3559"/>
    <w:rsid w:val="002C080B"/>
    <w:rsid w:val="002C64E1"/>
    <w:rsid w:val="002C6942"/>
    <w:rsid w:val="002E10EA"/>
    <w:rsid w:val="002F2A7C"/>
    <w:rsid w:val="002F6690"/>
    <w:rsid w:val="00300D4B"/>
    <w:rsid w:val="0031714A"/>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603788"/>
    <w:rsid w:val="0061224F"/>
    <w:rsid w:val="006122CD"/>
    <w:rsid w:val="00625AF0"/>
    <w:rsid w:val="00644ED6"/>
    <w:rsid w:val="00652289"/>
    <w:rsid w:val="00666F12"/>
    <w:rsid w:val="006670D1"/>
    <w:rsid w:val="006716B9"/>
    <w:rsid w:val="006722C5"/>
    <w:rsid w:val="006838FB"/>
    <w:rsid w:val="006975C3"/>
    <w:rsid w:val="006A113E"/>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4DE6"/>
    <w:rsid w:val="008A559C"/>
    <w:rsid w:val="008A6535"/>
    <w:rsid w:val="008B124B"/>
    <w:rsid w:val="008B1FF1"/>
    <w:rsid w:val="008B5CB0"/>
    <w:rsid w:val="008B6750"/>
    <w:rsid w:val="008C3D6F"/>
    <w:rsid w:val="008E2ABD"/>
    <w:rsid w:val="00913FF1"/>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965CC"/>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5154"/>
    <w:rsid w:val="00C71318"/>
    <w:rsid w:val="00C802CA"/>
    <w:rsid w:val="00C90BFF"/>
    <w:rsid w:val="00C957F3"/>
    <w:rsid w:val="00CA466E"/>
    <w:rsid w:val="00CB6B09"/>
    <w:rsid w:val="00CC0257"/>
    <w:rsid w:val="00CC5BCC"/>
    <w:rsid w:val="00CF5272"/>
    <w:rsid w:val="00D11DB0"/>
    <w:rsid w:val="00D15967"/>
    <w:rsid w:val="00D329A4"/>
    <w:rsid w:val="00D636C1"/>
    <w:rsid w:val="00D73919"/>
    <w:rsid w:val="00D81615"/>
    <w:rsid w:val="00D84BFD"/>
    <w:rsid w:val="00D84D94"/>
    <w:rsid w:val="00D87385"/>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CCFB5E2"/>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4A9D6-1AE2-4B10-B6D7-33D153E14B8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08FDD2D-0F2F-4054-A6B1-EFB24401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143</Pages>
  <Words>34154</Words>
  <Characters>204928</Characters>
  <Application>Microsoft Office Word</Application>
  <DocSecurity>0</DocSecurity>
  <Lines>1707</Lines>
  <Paragraphs>477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314</cp:revision>
  <dcterms:created xsi:type="dcterms:W3CDTF">2020-01-08T13:32:00Z</dcterms:created>
  <dcterms:modified xsi:type="dcterms:W3CDTF">2022-06-07T10:36:00Z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