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56CC" w14:textId="414169AA" w:rsidR="00321160" w:rsidRDefault="00321160" w:rsidP="00321160">
      <w:pPr>
        <w:shd w:val="clear" w:color="auto" w:fill="FFFFFF"/>
        <w:spacing w:before="408" w:after="144" w:line="240" w:lineRule="auto"/>
        <w:jc w:val="center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</w:pPr>
      <w:r w:rsidRPr="00321160">
        <w:rPr>
          <w:rFonts w:ascii="Open Sans" w:eastAsia="Times New Roman" w:hAnsi="Open Sans" w:cs="Open Sans"/>
          <w:b/>
          <w:bCs/>
          <w:noProof/>
          <w:color w:val="1B1B1B"/>
          <w:sz w:val="39"/>
          <w:szCs w:val="39"/>
          <w:lang w:eastAsia="pl-PL"/>
        </w:rPr>
        <w:drawing>
          <wp:anchor distT="0" distB="0" distL="114300" distR="114300" simplePos="0" relativeHeight="251658240" behindDoc="0" locked="0" layoutInCell="1" allowOverlap="1" wp14:anchorId="618874FE" wp14:editId="5E4B7CAE">
            <wp:simplePos x="0" y="0"/>
            <wp:positionH relativeFrom="margin">
              <wp:posOffset>-635</wp:posOffset>
            </wp:positionH>
            <wp:positionV relativeFrom="paragraph">
              <wp:posOffset>-610235</wp:posOffset>
            </wp:positionV>
            <wp:extent cx="1798320" cy="1761620"/>
            <wp:effectExtent l="0" t="0" r="0" b="0"/>
            <wp:wrapNone/>
            <wp:docPr id="3229526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831" cy="176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160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Pamiętaj!</w:t>
      </w:r>
    </w:p>
    <w:p w14:paraId="031F9FB8" w14:textId="77777777" w:rsidR="00321160" w:rsidRPr="00321160" w:rsidRDefault="00321160" w:rsidP="00321160">
      <w:pPr>
        <w:shd w:val="clear" w:color="auto" w:fill="FFFFFF"/>
        <w:spacing w:before="408" w:after="144" w:line="240" w:lineRule="auto"/>
        <w:jc w:val="center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</w:pPr>
    </w:p>
    <w:p w14:paraId="09D7C212" w14:textId="77777777" w:rsidR="00321160" w:rsidRDefault="00321160" w:rsidP="0032116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</w:p>
    <w:p w14:paraId="5E725BA3" w14:textId="14431E85" w:rsidR="00321160" w:rsidRDefault="00321160" w:rsidP="0032116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2116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Zbieraj grzyby co do których masz całkowitą pewność.</w:t>
      </w:r>
    </w:p>
    <w:p w14:paraId="7EB3E23F" w14:textId="5733F292" w:rsidR="00321160" w:rsidRDefault="00321160" w:rsidP="0032116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2116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Jeżeli masz wątpliwości, nie ryzykuj, przynieś grzyby do siedziby stacji sanitarno-epidemiologicznej</w:t>
      </w:r>
      <w:r w:rsidR="006C3A91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.</w:t>
      </w:r>
    </w:p>
    <w:p w14:paraId="2C3CA5FB" w14:textId="33B518F0" w:rsidR="00321160" w:rsidRDefault="00321160" w:rsidP="0032116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2116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Specjalista </w:t>
      </w:r>
      <w:proofErr w:type="gramStart"/>
      <w:r w:rsidRPr="0032116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oceni</w:t>
      </w:r>
      <w:proofErr w:type="gramEnd"/>
      <w:r w:rsidRPr="0032116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czy grzyby są jadalne, niejadalne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</w:t>
      </w:r>
      <w:r w:rsidRPr="0032116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czy też trujące.</w:t>
      </w:r>
    </w:p>
    <w:p w14:paraId="0504A1D0" w14:textId="458A6CEE" w:rsidR="00321160" w:rsidRDefault="00321160" w:rsidP="006C3A9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Zapraszamy od poniedziałku do piątku w godzinach od 7.30-15.00</w:t>
      </w:r>
    </w:p>
    <w:p w14:paraId="0CD83160" w14:textId="77777777" w:rsidR="006C3A91" w:rsidRPr="00321160" w:rsidRDefault="006C3A91" w:rsidP="006C3A9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</w:p>
    <w:p w14:paraId="5C294192" w14:textId="1FD2E09F" w:rsidR="00321160" w:rsidRPr="001C486F" w:rsidRDefault="00321160" w:rsidP="00321160">
      <w:pPr>
        <w:pBdr>
          <w:top w:val="single" w:sz="4" w:space="1" w:color="C0C0C0"/>
        </w:pBd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86F">
        <w:rPr>
          <w:rFonts w:ascii="Tahoma" w:hAnsi="Tahoma" w:cs="Tahoma"/>
          <w:color w:val="00000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Powiatowa Stacja Sanitarno-Epidemiologiczna w Oświęcimiu</w:t>
      </w:r>
    </w:p>
    <w:p w14:paraId="35C56238" w14:textId="77777777" w:rsidR="00321160" w:rsidRPr="001C486F" w:rsidRDefault="00321160" w:rsidP="00321160">
      <w:pPr>
        <w:pBdr>
          <w:top w:val="single" w:sz="4" w:space="1" w:color="C0C0C0"/>
        </w:pBd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86F">
        <w:rPr>
          <w:rFonts w:ascii="Tahoma" w:hAnsi="Tahoma" w:cs="Tahoma"/>
          <w:color w:val="00000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32-600 Oświęcim, ul. Więźniów Oświęcimia 10</w:t>
      </w:r>
    </w:p>
    <w:p w14:paraId="5DE186A6" w14:textId="77777777" w:rsidR="00A75184" w:rsidRDefault="00A75184"/>
    <w:p w14:paraId="255242B7" w14:textId="77777777" w:rsidR="00321160" w:rsidRDefault="00321160"/>
    <w:sectPr w:rsidR="0032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54"/>
    <w:rsid w:val="001C486F"/>
    <w:rsid w:val="002A5D98"/>
    <w:rsid w:val="00321160"/>
    <w:rsid w:val="004327A7"/>
    <w:rsid w:val="006C3A91"/>
    <w:rsid w:val="00A14B7D"/>
    <w:rsid w:val="00A75184"/>
    <w:rsid w:val="00C47BB0"/>
    <w:rsid w:val="00D214D2"/>
    <w:rsid w:val="00F7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26A8"/>
  <w15:chartTrackingRefBased/>
  <w15:docId w15:val="{9D1D81B1-3EF3-4C46-9447-6BAAE95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4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4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4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4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4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4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4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4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4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74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41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41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41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41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41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41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4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4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4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4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4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41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41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41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4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41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415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2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Makosz</dc:creator>
  <cp:keywords/>
  <dc:description/>
  <cp:lastModifiedBy>PSSE Oświęcim - Jolanta Bryda</cp:lastModifiedBy>
  <cp:revision>2</cp:revision>
  <dcterms:created xsi:type="dcterms:W3CDTF">2024-06-11T06:29:00Z</dcterms:created>
  <dcterms:modified xsi:type="dcterms:W3CDTF">2024-06-11T06:29:00Z</dcterms:modified>
</cp:coreProperties>
</file>