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5D" w:rsidRPr="00517FEB" w:rsidRDefault="0035255D" w:rsidP="0035255D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Regulamin wyłaniania kandydatów z ramienia Rzeczypospolitej Polskiej na urząd Sędziego Europejskiego Trybunału Praw Człowieka</w:t>
      </w: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[wyciąg]</w:t>
      </w:r>
    </w:p>
    <w:p w:rsidR="0035255D" w:rsidRPr="00517FEB" w:rsidRDefault="0035255D" w:rsidP="003525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ar-SA"/>
        </w:rPr>
      </w:pPr>
    </w:p>
    <w:p w:rsidR="0035255D" w:rsidRPr="00517FEB" w:rsidRDefault="0035255D" w:rsidP="003525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ar-SA"/>
        </w:rPr>
        <w:t xml:space="preserve">- zatwierdzony przez Ministra Spraw Zagranicznych zgodnie z § 1 ust. 2 zarządzenia </w:t>
      </w:r>
      <w:r>
        <w:rPr>
          <w:rFonts w:ascii="Times New Roman" w:eastAsia="Times New Roman" w:hAnsi="Times New Roman" w:cs="Arial"/>
          <w:sz w:val="24"/>
          <w:szCs w:val="20"/>
          <w:lang w:eastAsia="ar-SA"/>
        </w:rPr>
        <w:t xml:space="preserve">nr 8 </w:t>
      </w:r>
      <w:r w:rsidRPr="00517FEB">
        <w:rPr>
          <w:rFonts w:ascii="Times New Roman" w:hAnsi="Times New Roman" w:cs="Times New Roman"/>
          <w:sz w:val="24"/>
          <w:szCs w:val="24"/>
        </w:rPr>
        <w:t xml:space="preserve">Ministra Spraw Zagranicznych </w:t>
      </w:r>
      <w:r>
        <w:rPr>
          <w:rFonts w:ascii="Times New Roman" w:hAnsi="Times New Roman" w:cs="Times New Roman"/>
          <w:sz w:val="24"/>
          <w:szCs w:val="24"/>
        </w:rPr>
        <w:t>z dnia 13 marca 2024 r.</w:t>
      </w:r>
      <w:r w:rsidRPr="00517FEB">
        <w:rPr>
          <w:rFonts w:ascii="Times New Roman" w:hAnsi="Times New Roman" w:cs="Times New Roman"/>
          <w:sz w:val="24"/>
          <w:szCs w:val="24"/>
        </w:rPr>
        <w:t xml:space="preserve"> w sprawie powołania Zespołu do spraw wyłonienia kandydatów z ramienia Rzeczypospolitej Polskiej na urząd Sędziego Europejskiego Trybunału Praw Człowieka (Dz. Urz. Min. Spraw Zagr. </w:t>
      </w:r>
      <w:r>
        <w:rPr>
          <w:rFonts w:ascii="Times New Roman" w:hAnsi="Times New Roman" w:cs="Times New Roman"/>
          <w:sz w:val="24"/>
          <w:szCs w:val="24"/>
        </w:rPr>
        <w:t>poz. 13)</w:t>
      </w:r>
      <w:r w:rsidRPr="00517FEB">
        <w:rPr>
          <w:rFonts w:ascii="Times New Roman" w:hAnsi="Times New Roman" w:cs="Times New Roman"/>
          <w:sz w:val="24"/>
          <w:szCs w:val="24"/>
        </w:rPr>
        <w:t>.</w:t>
      </w:r>
      <w:r w:rsidRPr="00517FEB">
        <w:rPr>
          <w:rFonts w:ascii="Times New Roman" w:eastAsia="Times New Roman" w:hAnsi="Times New Roman" w:cs="Arial"/>
          <w:sz w:val="24"/>
          <w:szCs w:val="20"/>
          <w:lang w:eastAsia="ar-SA"/>
        </w:rPr>
        <w:t xml:space="preserve"> </w:t>
      </w:r>
    </w:p>
    <w:p w:rsidR="0035255D" w:rsidRDefault="0035255D" w:rsidP="0035255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b/>
          <w:sz w:val="24"/>
          <w:szCs w:val="20"/>
          <w:lang w:eastAsia="ar-SA"/>
        </w:rPr>
      </w:pP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/>
          <w:sz w:val="24"/>
          <w:szCs w:val="20"/>
          <w:lang w:eastAsia="ar-SA"/>
        </w:rPr>
        <w:t>§ 9.</w:t>
      </w:r>
      <w:r w:rsidRPr="00517FEB">
        <w:rPr>
          <w:rFonts w:ascii="Times" w:eastAsia="Times New Roman" w:hAnsi="Times" w:cs="Arial"/>
          <w:sz w:val="24"/>
          <w:szCs w:val="20"/>
          <w:lang w:eastAsia="ar-SA"/>
        </w:rPr>
        <w:t> 1. Potwierdzenie znajomości języków oficjalnych Rady Europy dokonywane jest w trakcie rozmowy osoby kandydującej z dwoma lektorami dla każdego z języków, zwanej dalej „rozmową z lektorami”. W rozmowie</w:t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 </w:t>
      </w:r>
      <w:r w:rsidRPr="00517FEB">
        <w:rPr>
          <w:rFonts w:ascii="Times" w:eastAsia="Times New Roman" w:hAnsi="Times" w:cs="Arial"/>
          <w:sz w:val="24"/>
          <w:szCs w:val="20"/>
          <w:lang w:eastAsia="ar-SA"/>
        </w:rPr>
        <w:t>uczestniczy bez prawa głosu sekretarz Zespołu, który czuwa nad jej prawidłowym przebiegiem.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2. Lektorów </w:t>
      </w:r>
      <w:r w:rsidRPr="00517FEB">
        <w:rPr>
          <w:rFonts w:ascii="Times" w:eastAsia="Times New Roman" w:hAnsi="Times" w:cs="Arial"/>
          <w:sz w:val="24"/>
          <w:szCs w:val="20"/>
          <w:lang w:eastAsia="ar-SA"/>
        </w:rPr>
        <w:t xml:space="preserve">wyłania Akademia Dyplomatyczna Ministerstwa Spraw Zagranicznych na wniosek i w terminach ustalonych z Departamentem Prawno-Traktatowym Ministerstwa Spraw Zagranicznych. Osoby te powinny posiadać dyplom ukończenia magisterskich studiów wyższych w zakresie filologii obcej lub lingwistyki stosowanej.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sz w:val="24"/>
          <w:szCs w:val="20"/>
          <w:lang w:eastAsia="ar-SA"/>
        </w:rPr>
        <w:t xml:space="preserve">3. Przed przystąpieniem do rozmów lektorzy składają </w:t>
      </w:r>
      <w:r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oświadczenie w sprawie ochrony danych osobowych, którego 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wzór jest określony w załączniku nr 6 do regulaminu.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4. Udział osoby kandydującej w rozmowie z lektorami w odniesieniu do obu języków oficjalnych Rady Europy jest niezbędny dla dopuszczenia jej do rozmów kwalifikacyjnych prowadzonych przez Zespół.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5.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 </w:t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W wyjątkowych uzasadnionych przypadkach rozmowa z lektorami może zostać przeprowadzona w formie wideokonferencji przy wykorzystaniu środków bezpośredniego porozumiewania się na odległość w sposób gwarantujący rzetelność procesu. Zgodę w tej sprawie wyraża Zespół.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6. Po przeprowadzeniu rozmów lektorzy bez zbędnej zwłoki sporządzają opisową opinię dotyczącą każdej z osób kandydujących zgodnie z wytycznymi, o których mowa w załączniku nr 7, i uwzględniając znajomość terminologii prawniczej i dotyczącej praw człowieka. W opinii tej określa się, czy osoba kandydująca spełnia wymagania określone w § 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2 </w:t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ust. 2 pkt 6. Opinia jest przekazywana Zespołowi przed drugim posiedzeniem.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7. Złożenie dokumentów, o których mowa w § 2 ust. 5, nie zwalnia osoby kandydującej z udziału w rozmowie, o której mowa w ust. 1.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" w:eastAsia="Times New Roman" w:hAnsi="Times" w:cs="Arial"/>
          <w:b/>
          <w:sz w:val="24"/>
          <w:szCs w:val="20"/>
          <w:lang w:eastAsia="ar-SA"/>
        </w:rPr>
        <w:lastRenderedPageBreak/>
        <w:t>§ 10.</w:t>
      </w:r>
      <w:r w:rsidRPr="00517FEB">
        <w:rPr>
          <w:rFonts w:ascii="Times" w:eastAsia="Times New Roman" w:hAnsi="Times" w:cs="Arial"/>
          <w:sz w:val="24"/>
          <w:szCs w:val="20"/>
          <w:lang w:eastAsia="ar-SA"/>
        </w:rPr>
        <w:t> 1</w:t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. Rozmowy z lektorami są przeprowadzane </w:t>
      </w:r>
      <w:r w:rsidRPr="00517FEB">
        <w:rPr>
          <w:rFonts w:ascii="Times" w:eastAsia="Times New Roman" w:hAnsi="Times" w:cs="Arial"/>
          <w:sz w:val="24"/>
          <w:szCs w:val="20"/>
          <w:lang w:eastAsia="ar-SA"/>
        </w:rPr>
        <w:t xml:space="preserve">z zachowaniem zasady równego traktowania i w </w:t>
      </w:r>
      <w:r w:rsidRPr="00517F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zakresie zgodnym z oświadczeniem osoby kandydującej, o którym mowa w § 2 ust. 3 pkt 7, a także </w:t>
      </w:r>
      <w:r w:rsidRPr="00517FEB">
        <w:rPr>
          <w:rFonts w:ascii="Times New Roman" w:hAnsi="Times New Roman" w:cs="Times New Roman"/>
          <w:sz w:val="24"/>
          <w:szCs w:val="24"/>
        </w:rPr>
        <w:t xml:space="preserve">z uwzględnieniem zakresu deklarowanej przez kandydatów znajomości języka oficjalnego Rady Europy.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2. Wszystkie osoby kandydujące otrzymują taki sam wymiar czasu na rozmowę z lektorami. Rozmowa trwa nie dłużej niż 30 minut w odniesieniu do każdego z języków oficjalnych Rady Europy.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3. W trakcie rozmowy z lektorami w zakresie biegłym osoba kandydująca otrzymuje następujące zadania:</w:t>
      </w:r>
    </w:p>
    <w:p w:rsidR="0035255D" w:rsidRPr="00517FEB" w:rsidRDefault="0035255D" w:rsidP="0035255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skomentowanie w języku oficjalnym Rady Europy treści wysłuchanego dwukrotnie nagrania w języku oficjalnym Rady Europy ze strony Europejskiego Trybunału Praw Człowieka o tematyce prawniczej i praw człowieka, trwającego od 1,5 do 2 minut;</w:t>
      </w:r>
    </w:p>
    <w:p w:rsidR="0035255D" w:rsidRPr="00517FEB" w:rsidRDefault="0035255D" w:rsidP="0035255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zreferowanie w języku polskim treści tekstu pisanego w języku oficjalnym Rady Europy, zawierającego fragment orzeczenia Europejskiego Trybunału Praw Człowieka lub jego oficjalnego streszczenia;</w:t>
      </w:r>
    </w:p>
    <w:p w:rsidR="0035255D" w:rsidRPr="00517FEB" w:rsidRDefault="0035255D" w:rsidP="0035255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3)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 xml:space="preserve">udzielenie w języku oficjalnym Rady Europy odpowiedzi na jedno pytanie lektorów. 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4. W trakcie rozmowy z lektorami w zakresie biernym osoba kandydująca otrzymuje następujące zadania:</w:t>
      </w:r>
    </w:p>
    <w:p w:rsidR="0035255D" w:rsidRPr="00517FEB" w:rsidRDefault="0035255D" w:rsidP="0035255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skomentowanie w języku polskim treści wysłuchanego dwukrotnie nagrania w języku oficjalnym Rady Europy ze strony Europejskiego Trybunału Praw Człowieka o tematyce prawniczej i praw człowieka, trwającego od 1,5 do 2 minut;</w:t>
      </w:r>
    </w:p>
    <w:p w:rsidR="0035255D" w:rsidRPr="00517FEB" w:rsidRDefault="0035255D" w:rsidP="0035255D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ab/>
      </w: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zreferowanie w języku polskim treści tekstu pisanego w języku oficjalnym Rady Europy, zawierającego fragment orzeczenia Europejskiego Trybunału Praw Człowieka lub jego oficjalnego streszczenia.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5. W trakcie rozmowy z lektorami lektorzy mogą zadawać pytania uzupełniające, jeśli jest to niezbędne do wyjaśnienia uzasadnionych wątpliwości i nie naruszy zasady równego traktowania osób kandydujących.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t>6. Lektorzy przygotowują materiały do rozmowy (nagrania, teksty pisane oraz pytania) w sposób zapewniający ich pełną poufność. Wsparcia w pozyskaniu tekstów pisanych i nagrań ze strony Europejskiego Trybunału Praw Człowieka udzielają lektorom sekretarze Zespołu. Dostęp do materiałów do rozmowy mają wyłącznie lektorzy i sekretarze Zespołu, którzy nie są uprawnieni do przekazywania ich innym osobom.</w:t>
      </w:r>
    </w:p>
    <w:p w:rsidR="0035255D" w:rsidRPr="00517FEB" w:rsidRDefault="0035255D" w:rsidP="0035255D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" w:eastAsia="Times New Roman" w:hAnsi="Times" w:cs="Arial"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ar-SA"/>
        </w:rPr>
        <w:lastRenderedPageBreak/>
        <w:t>7. Materiały, o których mowa w ust. 6, są te same dla wszystkich osób kandydujących z uwzględnieniem języka oficjalnego Rady Europy i zakresu deklarowanej przez kandydatów znajomości języka oficjalnego Rady Europy.</w:t>
      </w:r>
    </w:p>
    <w:p w:rsidR="0017640A" w:rsidRDefault="00C660B3"/>
    <w:p w:rsidR="005D1533" w:rsidRDefault="005D1533">
      <w:pPr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ar-SA"/>
        </w:rPr>
        <w:br w:type="page"/>
      </w:r>
    </w:p>
    <w:p w:rsidR="00A272F8" w:rsidRPr="00517FEB" w:rsidRDefault="00A272F8" w:rsidP="00A272F8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bookmarkStart w:id="0" w:name="_GoBack"/>
      <w:bookmarkEnd w:id="0"/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lastRenderedPageBreak/>
        <w:t>Załącznik nr 7</w:t>
      </w:r>
    </w:p>
    <w:p w:rsidR="00A272F8" w:rsidRPr="00517FEB" w:rsidRDefault="00A272F8" w:rsidP="00A272F8">
      <w:pPr>
        <w:keepNext/>
        <w:spacing w:after="240" w:line="240" w:lineRule="auto"/>
        <w:ind w:left="5670"/>
        <w:contextualSpacing/>
        <w:jc w:val="right"/>
        <w:rPr>
          <w:sz w:val="20"/>
          <w:szCs w:val="20"/>
        </w:rPr>
      </w:pPr>
    </w:p>
    <w:p w:rsidR="00A272F8" w:rsidRPr="00517FEB" w:rsidRDefault="00A272F8" w:rsidP="00A272F8">
      <w:pPr>
        <w:pStyle w:val="Tekstprzypisukocow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FEB">
        <w:rPr>
          <w:rFonts w:ascii="Times New Roman" w:hAnsi="Times New Roman" w:cs="Times New Roman"/>
          <w:b/>
          <w:sz w:val="24"/>
          <w:szCs w:val="24"/>
        </w:rPr>
        <w:t xml:space="preserve">Wytyczne do przygotowania opinii lektorów opracowywanej na podstawie rozmowy potwierdzającej znajomość języków oficjalnych Rady Europy przez osoby kandydujące na urząd Sędziego Europejskiego Trybunału Praw Człowieka </w:t>
      </w:r>
    </w:p>
    <w:p w:rsidR="00A272F8" w:rsidRPr="00517FEB" w:rsidRDefault="00A272F8" w:rsidP="00A272F8">
      <w:pPr>
        <w:pStyle w:val="Tekstprzypisukocowego"/>
        <w:jc w:val="both"/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Poniższa skala została oparta o Europejski System Opisu Kształcenia Językowego (</w:t>
      </w:r>
      <w:proofErr w:type="spellStart"/>
      <w:r w:rsidRPr="00517FEB">
        <w:rPr>
          <w:rFonts w:ascii="Times New Roman" w:hAnsi="Times New Roman" w:cs="Times New Roman"/>
        </w:rPr>
        <w:t>Common</w:t>
      </w:r>
      <w:proofErr w:type="spellEnd"/>
      <w:r w:rsidRPr="00517FEB">
        <w:rPr>
          <w:rFonts w:ascii="Times New Roman" w:hAnsi="Times New Roman" w:cs="Times New Roman"/>
        </w:rPr>
        <w:t xml:space="preserve"> </w:t>
      </w:r>
      <w:proofErr w:type="spellStart"/>
      <w:r w:rsidRPr="00517FEB">
        <w:rPr>
          <w:rFonts w:ascii="Times New Roman" w:hAnsi="Times New Roman" w:cs="Times New Roman"/>
        </w:rPr>
        <w:t>European</w:t>
      </w:r>
      <w:proofErr w:type="spellEnd"/>
      <w:r w:rsidRPr="00517FEB">
        <w:rPr>
          <w:rFonts w:ascii="Times New Roman" w:hAnsi="Times New Roman" w:cs="Times New Roman"/>
        </w:rPr>
        <w:t xml:space="preserve"> Framework of Reference for </w:t>
      </w:r>
      <w:proofErr w:type="spellStart"/>
      <w:r w:rsidRPr="00517FEB">
        <w:rPr>
          <w:rFonts w:ascii="Times New Roman" w:hAnsi="Times New Roman" w:cs="Times New Roman"/>
        </w:rPr>
        <w:t>Languages</w:t>
      </w:r>
      <w:proofErr w:type="spellEnd"/>
      <w:r w:rsidRPr="00517FEB">
        <w:rPr>
          <w:rFonts w:ascii="Times New Roman" w:hAnsi="Times New Roman" w:cs="Times New Roman"/>
        </w:rPr>
        <w:t xml:space="preserve"> – </w:t>
      </w:r>
      <w:proofErr w:type="spellStart"/>
      <w:r w:rsidRPr="00517FEB">
        <w:rPr>
          <w:rFonts w:ascii="Times New Roman" w:hAnsi="Times New Roman" w:cs="Times New Roman"/>
        </w:rPr>
        <w:t>CEFR</w:t>
      </w:r>
      <w:proofErr w:type="spellEnd"/>
      <w:r w:rsidRPr="00517FEB">
        <w:rPr>
          <w:rFonts w:ascii="Times New Roman" w:hAnsi="Times New Roman" w:cs="Times New Roman"/>
        </w:rPr>
        <w:t>)</w:t>
      </w:r>
      <w:r w:rsidRPr="00517FEB">
        <w:rPr>
          <w:rStyle w:val="Odwoanieprzypisudolnego"/>
          <w:rFonts w:ascii="Times New Roman" w:hAnsi="Times New Roman"/>
        </w:rPr>
        <w:footnoteReference w:id="1"/>
      </w:r>
      <w:r w:rsidRPr="00517FEB">
        <w:rPr>
          <w:rFonts w:ascii="Times New Roman" w:hAnsi="Times New Roman" w:cs="Times New Roman"/>
        </w:rPr>
        <w:t xml:space="preserve">, który jest systemem klasyfikacji poziomów umiejętności językowych powszechnie stosowanym na wszystkich szczeblach edukacji na całym świecie i został również oficjalnie przyjęty przez Radę Europy jako obowiązujący dla szkolnictwa wyższego. </w:t>
      </w:r>
    </w:p>
    <w:p w:rsidR="00A272F8" w:rsidRPr="00517FEB" w:rsidRDefault="00A272F8" w:rsidP="00A272F8">
      <w:pPr>
        <w:pStyle w:val="Tekstprzypisukocowego"/>
        <w:jc w:val="both"/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W przypadku znajomości biernej sprawdzana jest kompetencja „Rozumienie tekstu pisanego i słuchanego”, w przypadku biegłej – wszystkie kompetencje wymienione w poniższej tabeli.</w:t>
      </w:r>
    </w:p>
    <w:p w:rsidR="00A272F8" w:rsidRPr="00517FEB" w:rsidRDefault="00A272F8" w:rsidP="00A272F8">
      <w:pPr>
        <w:pStyle w:val="Tekstprzypisukocowego"/>
        <w:spacing w:after="120" w:line="240" w:lineRule="auto"/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Pozytywna opinia dotycząca znajomości języka oficjalnego Rady Europy przez kandydata:</w:t>
      </w:r>
    </w:p>
    <w:p w:rsidR="00A272F8" w:rsidRPr="00517FEB" w:rsidRDefault="00A272F8" w:rsidP="00A272F8">
      <w:pPr>
        <w:pStyle w:val="Tekstprzypisukocowego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na poziomie co najmniej biegłym – w przypadku uzyskania 105 pkt lub więcej w odniesieniu do wszystkich kompetencji wymienionych w poniższej tabeli;</w:t>
      </w:r>
    </w:p>
    <w:p w:rsidR="00A272F8" w:rsidRPr="00517FEB" w:rsidRDefault="00A272F8" w:rsidP="00A272F8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517FEB">
        <w:rPr>
          <w:rFonts w:ascii="Times New Roman" w:hAnsi="Times New Roman" w:cs="Times New Roman"/>
        </w:rPr>
        <w:t>na poziomie biernym – w przypadku uzyskania 27 pkt lub więcej w odniesieniu do kompetencji „Rozumienie tekstu pisanego i słuchanego”.</w:t>
      </w:r>
    </w:p>
    <w:tbl>
      <w:tblPr>
        <w:tblStyle w:val="TableGrid"/>
        <w:tblW w:w="10351" w:type="dxa"/>
        <w:tblInd w:w="-504" w:type="dxa"/>
        <w:tblCellMar>
          <w:top w:w="12" w:type="dxa"/>
          <w:left w:w="5" w:type="dxa"/>
          <w:right w:w="27" w:type="dxa"/>
        </w:tblCellMar>
        <w:tblLook w:val="04A0" w:firstRow="1" w:lastRow="0" w:firstColumn="1" w:lastColumn="0" w:noHBand="0" w:noVBand="1"/>
      </w:tblPr>
      <w:tblGrid>
        <w:gridCol w:w="1213"/>
        <w:gridCol w:w="2333"/>
        <w:gridCol w:w="2268"/>
        <w:gridCol w:w="2410"/>
        <w:gridCol w:w="2127"/>
      </w:tblGrid>
      <w:tr w:rsidR="00A272F8" w:rsidRPr="00517FEB" w:rsidTr="009E2B97">
        <w:trPr>
          <w:trHeight w:val="845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  <w:b/>
              </w:rPr>
              <w:t>Punktacja</w:t>
            </w: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  <w:b/>
              </w:rPr>
              <w:t>Rozumienie tekstu pisanego i słuchanego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  <w:r w:rsidRPr="00517FEB">
              <w:rPr>
                <w:rFonts w:ascii="Times New Roman" w:eastAsia="Times New Roman" w:hAnsi="Times New Roman" w:cs="Times New Roman"/>
                <w:b/>
              </w:rPr>
              <w:t>Słownictwo</w:t>
            </w: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  <w:b/>
              </w:rPr>
              <w:t>Poprawność gramatyczna i fonetyczna</w:t>
            </w: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  <w:r w:rsidRPr="00517FEB">
              <w:rPr>
                <w:rFonts w:ascii="Times New Roman" w:eastAsia="Times New Roman" w:hAnsi="Times New Roman" w:cs="Times New Roman"/>
                <w:b/>
              </w:rPr>
              <w:t xml:space="preserve">Płynność i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  <w:b/>
              </w:rPr>
              <w:t>komunikatywność</w:t>
            </w: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72F8" w:rsidRPr="00517FEB" w:rsidTr="009E2B97">
        <w:trPr>
          <w:trHeight w:val="1670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29-30 pkt.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>pełne zrozumienie wszystkich informacji zawartych w nagraniu/tekście pisanym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zasób szeroki, adekwatne użycie we wszystkich sytuacjach, pełna kontrola stosowanego słownictwa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złożone struktury o szerokim zasięgu; pełna kontrola używanych struktur, bardzo dobra wymowa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wypowiedź spójna w normalnym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tempie, w pełni komunikatywna </w:t>
            </w:r>
          </w:p>
        </w:tc>
      </w:tr>
      <w:tr w:rsidR="00A272F8" w:rsidRPr="00517FEB" w:rsidTr="009E2B97">
        <w:trPr>
          <w:trHeight w:val="1671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27-28 pkt.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>zrozumienie prawie wszystkich informacji zawartych w nagraniu/tekście pisanym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zasób dość szeroki, adekwatne użycie we wszystkich sytuacjach, dobra kontrola stosowanego słownictwa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złożone struktury o dość szerokim zasięgu; dopuszczalne nieliczne błędy, dobra kontrola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używanych struktur, dobra wymowa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wypowiedź spójna w normalnym tempie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72F8" w:rsidRPr="00517FEB" w:rsidTr="009E2B97">
        <w:trPr>
          <w:trHeight w:val="1946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24-26 pkt. </w:t>
            </w:r>
          </w:p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>zrozumienie większości treści zawartej w nagraniu/tekście pisanym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adekwatne, może od czasu do czasu używać niewłaściwych słów w kontekstach specjalistycznych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złożone struktury gramatyczne, nieliczne błędy (ale nie podstawowe), dość dobra wymowa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okazjonalne wahanie w sytuacjach codziennych, częściej w sytuacjach abstrakcyjnych </w:t>
            </w:r>
          </w:p>
        </w:tc>
      </w:tr>
      <w:tr w:rsidR="00A272F8" w:rsidRPr="00517FEB" w:rsidTr="009E2B97">
        <w:trPr>
          <w:trHeight w:val="1949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lastRenderedPageBreak/>
              <w:t xml:space="preserve">21-23 pkt.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>zrozumienie większości treści zawartej w nagraniu/tekście pisanym, możliwość niezrozumienia kilku istotniejszych fragmentów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 w:right="9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zasób średni, częste użycie niewłaściwych słów w kontekstach specjalistycznych oraz w sytuacjach codziennych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struktury gramatyczne adekwatne, ale o ograniczonym zasięgu; nieliczne błędy o charakterze podstawowym, średnio dobra wymowa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dość częste wahanie w sytuacjach codziennych, częściej w sytuacjach abstrakcyjnych </w:t>
            </w:r>
          </w:p>
        </w:tc>
      </w:tr>
      <w:tr w:rsidR="00A272F8" w:rsidRPr="00517FEB" w:rsidTr="009E2B97">
        <w:trPr>
          <w:trHeight w:val="1946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18-20 pkt.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>zrozumienie ogólnej treści nagrania/tekstu pisanego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słownictwo adekwatne w sytuacjach codziennych; w kontekstach specjalistycznych niewłaściwe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struktury gramatyczne adekwatne, ale o ograniczonym zasięgu; dość liczne błędy o charakterze podstawowym, nie najlepsza wymowa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38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częste wahanie w sytuacjach abstrakcyjnych i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codziennych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72F8" w:rsidRPr="00517FEB" w:rsidTr="009E2B97">
        <w:trPr>
          <w:trHeight w:val="1119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0-17 pkt.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niezrozumienie większości informacji zawartych w nagraniu/tekście pisanym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3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ubogie, nieadekwatne słownictwo, nawet w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sytuacjach codziennych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after="45" w:line="23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liczne podstawowe błędy gramatyczne,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rażąco zła wymowa </w:t>
            </w:r>
          </w:p>
          <w:p w:rsidR="00A272F8" w:rsidRPr="00517FEB" w:rsidRDefault="00A272F8" w:rsidP="009E2B97">
            <w:pPr>
              <w:spacing w:line="259" w:lineRule="auto"/>
              <w:ind w:left="67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2F8" w:rsidRPr="00517FEB" w:rsidRDefault="00A272F8" w:rsidP="009E2B9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7FEB">
              <w:rPr>
                <w:rFonts w:ascii="Times New Roman" w:eastAsia="Times New Roman" w:hAnsi="Times New Roman" w:cs="Times New Roman"/>
              </w:rPr>
              <w:t xml:space="preserve">urywane frazy, trudności ze skonstruowaniem spójnej wypowiedzi </w:t>
            </w:r>
          </w:p>
        </w:tc>
      </w:tr>
    </w:tbl>
    <w:p w:rsidR="00A272F8" w:rsidRPr="00517FEB" w:rsidRDefault="00A272F8" w:rsidP="00A272F8">
      <w:pPr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272F8" w:rsidRDefault="00A272F8"/>
    <w:sectPr w:rsidR="00A27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0B3" w:rsidRDefault="00C660B3" w:rsidP="00A272F8">
      <w:pPr>
        <w:spacing w:after="0" w:line="240" w:lineRule="auto"/>
      </w:pPr>
      <w:r>
        <w:separator/>
      </w:r>
    </w:p>
  </w:endnote>
  <w:endnote w:type="continuationSeparator" w:id="0">
    <w:p w:rsidR="00C660B3" w:rsidRDefault="00C660B3" w:rsidP="00A2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0B3" w:rsidRDefault="00C660B3" w:rsidP="00A272F8">
      <w:pPr>
        <w:spacing w:after="0" w:line="240" w:lineRule="auto"/>
      </w:pPr>
      <w:r>
        <w:separator/>
      </w:r>
    </w:p>
  </w:footnote>
  <w:footnote w:type="continuationSeparator" w:id="0">
    <w:p w:rsidR="00C660B3" w:rsidRDefault="00C660B3" w:rsidP="00A272F8">
      <w:pPr>
        <w:spacing w:after="0" w:line="240" w:lineRule="auto"/>
      </w:pPr>
      <w:r>
        <w:continuationSeparator/>
      </w:r>
    </w:p>
  </w:footnote>
  <w:footnote w:id="1">
    <w:p w:rsidR="00A272F8" w:rsidRPr="00D74C61" w:rsidRDefault="00A272F8" w:rsidP="00A272F8">
      <w:pPr>
        <w:pStyle w:val="Tekstprzypisudolnego"/>
        <w:rPr>
          <w:rFonts w:ascii="Times New Roman" w:hAnsi="Times New Roman" w:cs="Times New Roman"/>
          <w:lang w:val="en-US"/>
        </w:rPr>
      </w:pPr>
      <w:r w:rsidRPr="00D74C61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 w:cs="Times New Roman"/>
          <w:lang w:val="en-GB"/>
        </w:rPr>
        <w:t xml:space="preserve"> </w:t>
      </w:r>
      <w:r w:rsidRPr="00D74C61">
        <w:rPr>
          <w:rFonts w:ascii="Times New Roman" w:hAnsi="Times New Roman" w:cs="Times New Roman"/>
          <w:lang w:val="en-GB"/>
        </w:rPr>
        <w:t xml:space="preserve">Council of Europe: http://www.coe.int/t/dg4/linguistic/Cadre1_en.as </w:t>
      </w:r>
      <w:hyperlink r:id="rId1" w:history="1">
        <w:r w:rsidRPr="00D74C61">
          <w:rPr>
            <w:rStyle w:val="Hipercze"/>
            <w:rFonts w:ascii="Times New Roman" w:hAnsi="Times New Roman" w:cs="Times New Roman"/>
            <w:lang w:val="en-GB"/>
          </w:rPr>
          <w:t>http://www.bc.ore.edu.pl/Content/272/Europejski+System+opisu_BC.pdf</w:t>
        </w:r>
      </w:hyperlink>
      <w:r w:rsidRPr="00D74C61">
        <w:rPr>
          <w:rFonts w:ascii="Times New Roman" w:hAnsi="Times New Roman" w:cs="Times New Roman"/>
          <w:lang w:val="en-GB"/>
        </w:rPr>
        <w:t xml:space="preserve"> </w:t>
      </w:r>
    </w:p>
    <w:p w:rsidR="00A272F8" w:rsidRPr="00D74C61" w:rsidRDefault="00A272F8" w:rsidP="00A272F8">
      <w:pPr>
        <w:pStyle w:val="Tekstprzypisudolnego"/>
        <w:rPr>
          <w:rFonts w:ascii="Times New Roman" w:hAnsi="Times New Roman" w:cs="Times New Roman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5D"/>
    <w:rsid w:val="0035255D"/>
    <w:rsid w:val="005D1533"/>
    <w:rsid w:val="00A272F8"/>
    <w:rsid w:val="00C660B3"/>
    <w:rsid w:val="00CB546F"/>
    <w:rsid w:val="00F2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DABA"/>
  <w15:chartTrackingRefBased/>
  <w15:docId w15:val="{6DF59DEC-1E05-4981-8B48-FCB3FCA9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5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A272F8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A272F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A272F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72F8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272F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272F8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A272F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c.ore.edu.pl/Content/272/Europejski+System+opisu_BC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1160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Suchożebrska Eliza</cp:lastModifiedBy>
  <cp:revision>3</cp:revision>
  <dcterms:created xsi:type="dcterms:W3CDTF">2024-05-10T09:44:00Z</dcterms:created>
  <dcterms:modified xsi:type="dcterms:W3CDTF">2024-05-10T09:56:00Z</dcterms:modified>
</cp:coreProperties>
</file>