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70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F0335">
        <w:rPr>
          <w:rFonts w:asciiTheme="minorHAnsi" w:hAnsiTheme="minorHAnsi" w:cstheme="minorHAnsi"/>
          <w:bCs/>
          <w:sz w:val="24"/>
          <w:szCs w:val="24"/>
        </w:rPr>
        <w:t>19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F0335" w:rsidRDefault="004F033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DOOŚ-WDŚZOO.420.22.2022.PS.</w:t>
      </w:r>
      <w:r w:rsidRPr="004F0335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F0335" w:rsidRPr="004F0335" w:rsidRDefault="004F0335" w:rsidP="004F03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F033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85 ust. 3 ustawy z dnia 3 października 2008 r. o udostępnianiu informacji o środowisku i jego ochronie, udziale społeczeństwa w ochronie środowiska oraz o ocenach oddziaływania na środowisko (Dz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U. z 2022 r. poz. 1029, ze zm</w:t>
      </w:r>
      <w:r w:rsidRPr="004F0335">
        <w:rPr>
          <w:rFonts w:asciiTheme="minorHAnsi" w:hAnsiTheme="minorHAnsi" w:cstheme="minorHAnsi"/>
          <w:bCs/>
          <w:color w:val="000000"/>
          <w:sz w:val="24"/>
          <w:szCs w:val="24"/>
        </w:rPr>
        <w:t>.), dalej ustawa ooś, zawiadamiam społeczeństwo, że Generalny Dyrektor Ochrony Środowiska decyzją z 18 lipca 2022 r., znak: DOOŚ-WDŚZOO.420.22.2022.PS.1, uchylił decyzję Regionalnego Dyrektora Ochrony Środowiska w Opolu z 13 maja 2022 r., znak: WOOŚ.420.9.2021.IOC.22, określającą środowiskowe uwarunkowania realizacji przedsięwzięcia pn.: Budowa radaru meteorologicznego na działce nr ewid. 45/1 obręb Żyrowa gmina Zdzieszowice, powiat krapkowicki, województwo opolskie w całości i umorzył postępowanie pierwszej instancji w całości.</w:t>
      </w:r>
    </w:p>
    <w:p w:rsidR="004F0335" w:rsidRPr="004F0335" w:rsidRDefault="004F0335" w:rsidP="004F03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F0335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D15A10" w:rsidRDefault="004F0335" w:rsidP="004F03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F0335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 w Biuletynie Informacji Publi</w:t>
      </w:r>
      <w:r w:rsidRPr="004F0335">
        <w:rPr>
          <w:rFonts w:asciiTheme="minorHAnsi" w:hAnsiTheme="minorHAnsi" w:cstheme="minorHAnsi"/>
          <w:bCs/>
          <w:color w:val="000000"/>
          <w:sz w:val="24"/>
          <w:szCs w:val="24"/>
        </w:rPr>
        <w:t>cznej Generalnej Dyrekcji Ochrony Środowiska (</w:t>
      </w:r>
      <w:hyperlink r:id="rId9" w:history="1">
        <w:r w:rsidRPr="00212493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4F0335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4F0335" w:rsidRDefault="004F0335" w:rsidP="004F03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85B8F" w:rsidRPr="00B35A7F" w:rsidRDefault="004F0335" w:rsidP="00D15A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4F0335">
        <w:rPr>
          <w:rFonts w:asciiTheme="minorHAnsi" w:hAnsiTheme="minorHAnsi" w:cstheme="minorHAnsi"/>
          <w:bCs/>
        </w:rPr>
        <w:t xml:space="preserve">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4F0335">
        <w:rPr>
          <w:rFonts w:asciiTheme="minorHAnsi" w:hAnsiTheme="minorHAnsi" w:cstheme="minorHAnsi"/>
          <w:bCs/>
        </w:rPr>
        <w:t xml:space="preserve"> podmiotowej obsługującego go urzędu treść tej decyzji. W informacji wskazuje się dzień udostępnienia treści decyzji. Przepis </w:t>
      </w:r>
      <w:r w:rsidRPr="004F0335">
        <w:rPr>
          <w:rFonts w:asciiTheme="minorHAnsi" w:hAnsiTheme="minorHAnsi" w:cstheme="minorHAnsi"/>
          <w:bCs/>
        </w:rPr>
        <w:lastRenderedPageBreak/>
        <w:t>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C5" w:rsidRDefault="00E47FC5">
      <w:pPr>
        <w:spacing w:after="0" w:line="240" w:lineRule="auto"/>
      </w:pPr>
      <w:r>
        <w:separator/>
      </w:r>
    </w:p>
  </w:endnote>
  <w:endnote w:type="continuationSeparator" w:id="0">
    <w:p w:rsidR="00E47FC5" w:rsidRDefault="00E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F033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47FC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C5" w:rsidRDefault="00E47FC5">
      <w:pPr>
        <w:spacing w:after="0" w:line="240" w:lineRule="auto"/>
      </w:pPr>
      <w:r>
        <w:separator/>
      </w:r>
    </w:p>
  </w:footnote>
  <w:footnote w:type="continuationSeparator" w:id="0">
    <w:p w:rsidR="00E47FC5" w:rsidRDefault="00E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47FC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47FC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47FC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313AE"/>
    <w:rsid w:val="00D60B77"/>
    <w:rsid w:val="00D76A9A"/>
    <w:rsid w:val="00DF384A"/>
    <w:rsid w:val="00E375CB"/>
    <w:rsid w:val="00E47FC5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B3F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D08F-7E8E-49B6-B2AE-F8052594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2023-07-11T06:35:00Z</dcterms:created>
  <dcterms:modified xsi:type="dcterms:W3CDTF">2023-07-11T06:35:00Z</dcterms:modified>
</cp:coreProperties>
</file>