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3"/>
        </w:rPr>
        <w:t>z dnia 29 maja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</w:rPr>
        <w:t>w sprawie: wystąpienia z apelem do Ministerstwa Klimatu i Środowiska oraz</w:t>
        <w:br/>
        <w:t>Ministerstwa Rolnictwa i Rozwoju Wsi o podjęcie działań zmierzających do zmian</w:t>
        <w:br/>
        <w:t>legislacyjnych mających na celu rozwiązanie problemu zwiększającej się populacji</w:t>
        <w:br/>
        <w:t>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800"/>
        <w:jc w:val="both"/>
      </w:pPr>
      <w:r>
        <w:rPr>
          <w:rStyle w:val="CharStyle3"/>
        </w:rPr>
        <w:t>Na podstawie art. 6 ust. 1, art. 7 ust.1 pkt 1 i art. 18 ust. 1 ustawy z dnia 8 marca 1990 r. o samorządzie gminnym (t. j. w Dz. U. z 2024 r., poz. 1465 ze zm.) w zw. z § 24 ust. 1 Statutu Gminy Dębno, stanowiącego załącznik do Uchwały Nr X/102/2015 Rady Gminy Dębno z dnia 16 września 2015 roku w sprawie uchwalenia Statutu Gminy Dębno (Dz. Urz. Woj. z 2015 poz. 5565 ze zm.), Rada Gminy Dębno uchwala, co następuje: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3"/>
        </w:rPr>
        <w:t>§1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3"/>
        </w:rPr>
        <w:t>Postanawia się wystąpić do Ministerstwa Klimatu i Środowiska oraz Ministerstwa Rolnictwa i Rozwoju Wsi z Apelem o podjęcie działań zmierzających do zmian legislacyjnych mających na celu rozwiązanie problemu zwiększającej się populacji dzików, którego treść stanowi załącznik do uchwały.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§2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3"/>
        </w:rPr>
        <w:t>Przesyła się Apel do wiadomości: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Kancelarii Prezydenta Rzeczypospolitej Polskiej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Kancelarii Prezesa Rady Ministrów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Marszałka Sejmu Rzeczypospolitej Polskiej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Marszałka Senatu Rzeczypospolitej Polskiej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Marszałka Województwa Małopolskiego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Posłów wybranych w okręgu wyborczym nr 15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Starosty Powiatu Brzeskiego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§3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00"/>
        <w:jc w:val="both"/>
      </w:pPr>
      <w:r>
        <w:rPr>
          <w:rStyle w:val="CharStyle3"/>
        </w:rPr>
        <w:t>Wykonanie uchwały powierza się Wójtowi Gminy Dębno.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77" w:right="1280" w:bottom="1429" w:left="1413" w:header="1549" w:footer="1001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Uchwała wchodzi w życie z dniem podjęcia.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5000" w:right="0" w:firstLine="0"/>
        <w:jc w:val="left"/>
      </w:pPr>
      <w:r>
        <w:rPr>
          <w:rStyle w:val="CharStyle3"/>
        </w:rPr>
        <w:t>Załącznik do uchwały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300" w:lineRule="auto"/>
        <w:ind w:left="5000" w:right="0" w:firstLine="0"/>
        <w:jc w:val="left"/>
      </w:pPr>
      <w:r>
        <w:rPr>
          <w:rStyle w:val="CharStyle3"/>
        </w:rPr>
        <w:t>Nr VI/140/2025 Rady Gminy Dębno z dnia 29 maja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396" w:lineRule="auto"/>
        <w:ind w:left="0" w:right="0" w:firstLine="0"/>
        <w:jc w:val="center"/>
      </w:pPr>
      <w:r>
        <w:rPr>
          <w:rStyle w:val="CharStyle3"/>
          <w:b/>
          <w:bCs/>
        </w:rPr>
        <w:t>APEL w sprawie wystąpienia do Ministerstwa Klimatu i Środowiska</w:t>
        <w:br/>
        <w:t>oraz Ministerstwa Rolnictwa i Rozwoju Wsi o podjęcie działań zmierzających</w:t>
        <w:br/>
        <w:t>do zmian legislacyjnych mających na celu rozwiązanie problemu zwiększającej</w:t>
        <w:br/>
        <w:t>się populacji 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396" w:lineRule="auto"/>
        <w:ind w:left="0" w:right="0" w:firstLine="0"/>
        <w:jc w:val="both"/>
      </w:pPr>
      <w:r>
        <w:rPr>
          <w:rStyle w:val="CharStyle3"/>
        </w:rPr>
        <w:t>Rada Gminy Dębno wzywa wszystkie osoby oraz instytucje zaangażowane w proces stanowienia prawa, a także podmioty których celem jest poprawa jakości sprawowania władzy publicznej do podjęcia lub wsparcia działań zmierzających do kompleksowego uregulowania przepisów prawnych dotyczących kwestii regulacji populacji 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3"/>
        </w:rPr>
        <w:t>Niniejszy apel ma na celu doprowadzenie do analizy, przy współudziale specjalistów z dziedziny ekologii, ochrony środowiska, łowiectwa, leśnictwa, weterynarii i jednostek samorządu terytorialnego, obecnie obowiązujących przepisów regulujących kwestię przeciwdziałania zagrożeniom ze strony zwiększającej się liczebności dzików oraz wypracowanie rozwiązań legislacyjnych w zakresie regulacji populacji dzików i humanitarnego rozwiązania problemu z ich obecnością na terenach zabudowanych, które umożliwią skuteczne zabezpieczenie mieszkańców.</w:t>
      </w:r>
    </w:p>
    <w:sectPr>
      <w:footnotePr>
        <w:pos w:val="pageBottom"/>
        <w:numFmt w:val="decimal"/>
        <w:numRestart w:val="continuous"/>
      </w:footnotePr>
      <w:pgSz w:w="11900" w:h="16840"/>
      <w:pgMar w:top="1341" w:right="1242" w:bottom="1341" w:left="1490" w:header="913" w:footer="91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420" w:line="39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SKM_C250i25062409350</dc:title>
  <dc:subject/>
  <dc:creator>Szpak Magdalena</dc:creator>
  <cp:keywords/>
</cp:coreProperties>
</file>