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D7" w:rsidRDefault="005842B7">
      <w:pPr>
        <w:ind w:left="6372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Łódź, </w:t>
      </w:r>
      <w:r>
        <w:rPr>
          <w:rFonts w:cstheme="minorHAnsi"/>
        </w:rPr>
        <w:t>08</w:t>
      </w:r>
      <w:r>
        <w:rPr>
          <w:rFonts w:cstheme="minorHAnsi"/>
        </w:rPr>
        <w:t xml:space="preserve">  </w:t>
      </w:r>
      <w:r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>
        <w:rPr>
          <w:rFonts w:cstheme="minorHAnsi"/>
        </w:rPr>
        <w:t>2</w:t>
      </w:r>
      <w:r>
        <w:rPr>
          <w:rFonts w:cstheme="minorHAnsi"/>
        </w:rPr>
        <w:t xml:space="preserve">r. </w:t>
      </w:r>
    </w:p>
    <w:p w:rsidR="00EE1BD7" w:rsidRDefault="005842B7">
      <w:pPr>
        <w:rPr>
          <w:rFonts w:cstheme="minorHAnsi"/>
        </w:rPr>
      </w:pPr>
      <w:r>
        <w:rPr>
          <w:rFonts w:cstheme="minorHAnsi"/>
        </w:rPr>
        <w:t xml:space="preserve"> Zakłady Artykułów Technicznych</w:t>
      </w:r>
    </w:p>
    <w:p w:rsidR="00EE1BD7" w:rsidRDefault="005842B7">
      <w:pPr>
        <w:rPr>
          <w:rFonts w:cstheme="minorHAnsi"/>
        </w:rPr>
      </w:pPr>
      <w:r>
        <w:rPr>
          <w:rFonts w:cstheme="minorHAnsi"/>
        </w:rPr>
        <w:t xml:space="preserve">„ ARTECH” Sp. z o.o. </w:t>
      </w:r>
    </w:p>
    <w:p w:rsidR="00EE1BD7" w:rsidRDefault="005842B7">
      <w:pPr>
        <w:rPr>
          <w:rFonts w:cstheme="minorHAnsi"/>
        </w:rPr>
      </w:pPr>
      <w:r>
        <w:rPr>
          <w:rFonts w:cstheme="minorHAnsi"/>
        </w:rPr>
        <w:t>Ul. Wersalska 54,</w:t>
      </w:r>
    </w:p>
    <w:p w:rsidR="00EE1BD7" w:rsidRDefault="005842B7">
      <w:pPr>
        <w:rPr>
          <w:rFonts w:cstheme="minorHAnsi"/>
        </w:rPr>
      </w:pPr>
      <w:r>
        <w:rPr>
          <w:rFonts w:cstheme="minorHAnsi"/>
        </w:rPr>
        <w:t>91-212 Łódź</w:t>
      </w:r>
    </w:p>
    <w:p w:rsidR="00EE1BD7" w:rsidRDefault="005842B7">
      <w:pPr>
        <w:ind w:left="3540" w:firstLine="708"/>
        <w:rPr>
          <w:rFonts w:cstheme="minorHAnsi"/>
        </w:rPr>
      </w:pPr>
      <w:r>
        <w:rPr>
          <w:rFonts w:cstheme="minorHAnsi"/>
        </w:rPr>
        <w:t>Ogłoszenie</w:t>
      </w:r>
    </w:p>
    <w:p w:rsidR="00EE1BD7" w:rsidRDefault="005842B7">
      <w:pPr>
        <w:pStyle w:val="Akapitzlist"/>
        <w:numPr>
          <w:ilvl w:val="0"/>
          <w:numId w:val="1"/>
        </w:numPr>
        <w:jc w:val="both"/>
        <w:rPr>
          <w:rFonts w:cstheme="minorHAnsi"/>
          <w:lang w:val="en-US"/>
        </w:rPr>
      </w:pPr>
      <w:r>
        <w:rPr>
          <w:rFonts w:cstheme="minorHAnsi"/>
        </w:rPr>
        <w:t xml:space="preserve">Zarząd Spółki Zakłady Artykułów Technicznych „ ARTECH” Sp. z o.o. z siedzibą w Łodzi przy ul. Wersalskiej 54, ogłasza przetarg na zbycie </w:t>
      </w:r>
      <w:r>
        <w:rPr>
          <w:rFonts w:cstheme="minorHAnsi"/>
        </w:rPr>
        <w:t>samochodu Iveco 35-150 Daily MR’14E5 rok produkcji 2014</w:t>
      </w:r>
    </w:p>
    <w:p w:rsidR="00EE1BD7" w:rsidRDefault="00EE1BD7">
      <w:pPr>
        <w:pStyle w:val="Akapitzlist"/>
        <w:jc w:val="both"/>
        <w:rPr>
          <w:rFonts w:cstheme="minorHAnsi"/>
        </w:rPr>
      </w:pPr>
    </w:p>
    <w:p w:rsidR="00EE1BD7" w:rsidRDefault="005842B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Przetarg odbędzie się w siedzibie Spółki w Łodzi, ul Wersalska</w:t>
      </w:r>
      <w:r>
        <w:rPr>
          <w:rFonts w:cstheme="minorHAnsi"/>
        </w:rPr>
        <w:t xml:space="preserve"> 54, w dniu </w:t>
      </w:r>
      <w:r>
        <w:rPr>
          <w:rFonts w:cstheme="minorHAnsi"/>
        </w:rPr>
        <w:t xml:space="preserve"> 2 grudnia</w:t>
      </w:r>
      <w:r>
        <w:rPr>
          <w:rFonts w:cstheme="minorHAnsi"/>
        </w:rPr>
        <w:t xml:space="preserve"> 202</w:t>
      </w:r>
      <w:r>
        <w:rPr>
          <w:rFonts w:cstheme="minorHAnsi"/>
        </w:rPr>
        <w:t>2</w:t>
      </w:r>
      <w:r>
        <w:rPr>
          <w:rFonts w:cstheme="minorHAnsi"/>
        </w:rPr>
        <w:t>r          o godzinie 10.00.</w:t>
      </w:r>
    </w:p>
    <w:p w:rsidR="00EE1BD7" w:rsidRDefault="00EE1BD7">
      <w:pPr>
        <w:pStyle w:val="Akapitzlist"/>
        <w:jc w:val="both"/>
        <w:rPr>
          <w:rFonts w:cstheme="minorHAnsi"/>
        </w:rPr>
      </w:pP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Wszystkie podmioty zainteresowane kupnem przedmiotu przetargu mogą dokonać oględzin </w:t>
      </w:r>
      <w:r>
        <w:rPr>
          <w:rFonts w:cstheme="minorHAnsi"/>
        </w:rPr>
        <w:t>samochodu</w:t>
      </w:r>
      <w:r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 siedzibie Spółki w Łodzi przy ul. Wersalskiej 54. </w:t>
      </w:r>
      <w:r>
        <w:rPr>
          <w:rFonts w:cstheme="minorHAnsi"/>
        </w:rPr>
        <w:t xml:space="preserve">po wstępnym zgłoszeniu telefonicznym pod numerem </w:t>
      </w:r>
      <w:r>
        <w:rPr>
          <w:rFonts w:cstheme="minorHAnsi"/>
        </w:rPr>
        <w:t>7362</w:t>
      </w:r>
      <w:r>
        <w:rPr>
          <w:rFonts w:cstheme="minorHAnsi"/>
        </w:rPr>
        <w:t>40255</w:t>
      </w:r>
      <w:r>
        <w:rPr>
          <w:rFonts w:cstheme="minorHAnsi"/>
        </w:rPr>
        <w:t xml:space="preserve"> . Wyznaczony termin oględzin to </w:t>
      </w:r>
      <w:r>
        <w:rPr>
          <w:rFonts w:cstheme="minorHAnsi"/>
        </w:rPr>
        <w:t>21 i 22 listopada 2022</w:t>
      </w:r>
      <w:r>
        <w:rPr>
          <w:rFonts w:cstheme="minorHAnsi"/>
        </w:rPr>
        <w:t xml:space="preserve">. w godzinach </w:t>
      </w:r>
      <w:r>
        <w:rPr>
          <w:rFonts w:cstheme="minorHAnsi"/>
        </w:rPr>
        <w:t>7:30</w:t>
      </w:r>
      <w:r>
        <w:rPr>
          <w:rFonts w:cstheme="minorHAnsi"/>
        </w:rPr>
        <w:t xml:space="preserve"> – </w:t>
      </w:r>
      <w:r>
        <w:rPr>
          <w:rFonts w:cstheme="minorHAnsi"/>
        </w:rPr>
        <w:t>14:30</w:t>
      </w:r>
      <w:r>
        <w:rPr>
          <w:rFonts w:cstheme="minorHAnsi"/>
        </w:rPr>
        <w:t>.</w:t>
      </w:r>
    </w:p>
    <w:p w:rsidR="00EE1BD7" w:rsidRDefault="00EE1BD7">
      <w:pPr>
        <w:pStyle w:val="Akapitzlist"/>
        <w:jc w:val="both"/>
        <w:rPr>
          <w:rFonts w:cstheme="minorHAnsi"/>
        </w:rPr>
      </w:pPr>
    </w:p>
    <w:p w:rsidR="00EE1BD7" w:rsidRDefault="005842B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Opis techniczny. </w:t>
      </w:r>
    </w:p>
    <w:p w:rsidR="00EE1BD7" w:rsidRDefault="005842B7">
      <w:pPr>
        <w:pStyle w:val="Bezodstpw"/>
        <w:ind w:left="708"/>
        <w:jc w:val="both"/>
      </w:pPr>
      <w:r>
        <w:rPr>
          <w:rFonts w:cstheme="minorHAnsi"/>
        </w:rPr>
        <w:t>Iveco 35-150 Daily MR’14E5,</w:t>
      </w:r>
      <w:r>
        <w:t xml:space="preserve"> rok prod. 2014 wersja 35C15 pojemność 2998 cm3 diesel, moc 107 kW, przebieg 210 000km, kolor biały, nr VIN: ZCFC35A74ED53</w:t>
      </w:r>
      <w:r>
        <w:t xml:space="preserve">1786, dop. masa całkowita 3500 kg, ładowność 700kg, rodzaj zabudowy: furgon kontenerowy </w:t>
      </w: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Zarząd Spółki Zakłady Artykułów Technicznych „ ARTECH” Sp. z o.o. wyznacza cenę wywoławczą </w:t>
      </w:r>
      <w:r>
        <w:rPr>
          <w:rFonts w:asciiTheme="minorHAnsi" w:hAnsiTheme="minorHAnsi" w:cstheme="minorHAnsi"/>
          <w:sz w:val="22"/>
          <w:szCs w:val="22"/>
        </w:rPr>
        <w:t>72.400</w:t>
      </w:r>
      <w:r>
        <w:rPr>
          <w:rFonts w:asciiTheme="minorHAnsi" w:hAnsiTheme="minorHAnsi" w:cstheme="minorHAnsi"/>
          <w:sz w:val="22"/>
          <w:szCs w:val="22"/>
        </w:rPr>
        <w:t xml:space="preserve"> zł netto ( słownie: </w:t>
      </w:r>
      <w:r>
        <w:rPr>
          <w:rFonts w:asciiTheme="minorHAnsi" w:hAnsiTheme="minorHAnsi" w:cstheme="minorHAnsi"/>
          <w:sz w:val="22"/>
          <w:szCs w:val="22"/>
        </w:rPr>
        <w:t xml:space="preserve">siedemdziesiąt dwa tysiące czterysta </w:t>
      </w:r>
      <w:r>
        <w:rPr>
          <w:rFonts w:asciiTheme="minorHAnsi" w:hAnsiTheme="minorHAnsi" w:cstheme="minorHAnsi"/>
          <w:sz w:val="22"/>
          <w:szCs w:val="22"/>
        </w:rPr>
        <w:t xml:space="preserve"> 00/100gr), </w:t>
      </w:r>
      <w:r>
        <w:rPr>
          <w:rFonts w:asciiTheme="minorHAnsi" w:hAnsiTheme="minorHAnsi" w:cstheme="minorHAnsi"/>
          <w:sz w:val="22"/>
          <w:szCs w:val="22"/>
        </w:rPr>
        <w:t>z zgodnie z zapisem operatu szacunkowego sporządzonego w</w:t>
      </w:r>
      <w:r>
        <w:rPr>
          <w:rFonts w:asciiTheme="minorHAnsi" w:hAnsiTheme="minorHAnsi" w:cstheme="minorHAnsi"/>
          <w:sz w:val="22"/>
          <w:szCs w:val="22"/>
        </w:rPr>
        <w:t xml:space="preserve">e wrześniu </w:t>
      </w:r>
      <w:r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r.</w:t>
      </w:r>
    </w:p>
    <w:p w:rsidR="00EE1BD7" w:rsidRDefault="00EE1BD7">
      <w:pPr>
        <w:pStyle w:val="Bezodstpw"/>
        <w:ind w:left="720"/>
        <w:jc w:val="both"/>
        <w:rPr>
          <w:rStyle w:val="3bse"/>
          <w:rFonts w:asciiTheme="minorHAnsi" w:hAnsiTheme="minorHAnsi" w:cstheme="minorHAnsi"/>
          <w:sz w:val="22"/>
          <w:szCs w:val="22"/>
        </w:rPr>
      </w:pP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 Warunkiem przystąpienia do przetargu jest wniesienie przed upływem terminu   składania ofert wadium w wysokości minimum 5% ceny wywoławczej sprzedawanego składnika majątku . Wad</w:t>
      </w:r>
      <w:r>
        <w:rPr>
          <w:rFonts w:asciiTheme="minorHAnsi" w:hAnsiTheme="minorHAnsi" w:cstheme="minorHAnsi"/>
          <w:sz w:val="22"/>
          <w:szCs w:val="22"/>
        </w:rPr>
        <w:t xml:space="preserve">ium w wysokości </w:t>
      </w:r>
      <w:r>
        <w:rPr>
          <w:rFonts w:asciiTheme="minorHAnsi" w:hAnsiTheme="minorHAnsi" w:cstheme="minorHAnsi"/>
          <w:sz w:val="22"/>
          <w:szCs w:val="22"/>
        </w:rPr>
        <w:t>3620</w:t>
      </w:r>
      <w:r>
        <w:rPr>
          <w:rFonts w:asciiTheme="minorHAnsi" w:hAnsiTheme="minorHAnsi" w:cstheme="minorHAnsi"/>
          <w:sz w:val="22"/>
          <w:szCs w:val="22"/>
        </w:rPr>
        <w:t xml:space="preserve"> zł (słownie: </w:t>
      </w:r>
      <w:r>
        <w:rPr>
          <w:rFonts w:asciiTheme="minorHAnsi" w:hAnsiTheme="minorHAnsi" w:cstheme="minorHAnsi"/>
          <w:sz w:val="22"/>
          <w:szCs w:val="22"/>
        </w:rPr>
        <w:t>trzy tysiące sześćset dwadzieścia</w:t>
      </w:r>
      <w:r>
        <w:rPr>
          <w:rFonts w:asciiTheme="minorHAnsi" w:hAnsiTheme="minorHAnsi" w:cstheme="minorHAnsi"/>
          <w:sz w:val="22"/>
          <w:szCs w:val="22"/>
        </w:rPr>
        <w:t xml:space="preserve"> ) może zostać wniesione w terminie  do</w:t>
      </w:r>
      <w:r>
        <w:rPr>
          <w:rFonts w:asciiTheme="minorHAnsi" w:hAnsiTheme="minorHAnsi" w:cstheme="minorHAnsi"/>
          <w:sz w:val="22"/>
          <w:szCs w:val="22"/>
        </w:rPr>
        <w:t xml:space="preserve"> 25.11.2021</w:t>
      </w:r>
      <w:r>
        <w:rPr>
          <w:rFonts w:asciiTheme="minorHAnsi" w:hAnsiTheme="minorHAnsi" w:cstheme="minorHAnsi"/>
          <w:sz w:val="22"/>
          <w:szCs w:val="22"/>
        </w:rPr>
        <w:t>r. wyłącznie przelewem na rachunek bankowy.</w:t>
      </w:r>
    </w:p>
    <w:p w:rsidR="00EE1BD7" w:rsidRDefault="005842B7">
      <w:pPr>
        <w:pStyle w:val="Bezodstpw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3bse"/>
          <w:rFonts w:asciiTheme="minorHAnsi" w:hAnsiTheme="minorHAnsi" w:cstheme="minorHAnsi"/>
          <w:b/>
          <w:bCs/>
          <w:sz w:val="22"/>
          <w:szCs w:val="22"/>
        </w:rPr>
        <w:t>31 1020 3408 0000 4902 0400 0923</w:t>
      </w:r>
    </w:p>
    <w:p w:rsidR="00EE1BD7" w:rsidRDefault="005842B7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Wadium wnosi się w </w:t>
      </w:r>
      <w:r>
        <w:rPr>
          <w:rFonts w:asciiTheme="minorHAnsi" w:hAnsiTheme="minorHAnsi" w:cstheme="minorHAnsi"/>
          <w:sz w:val="22"/>
          <w:szCs w:val="22"/>
        </w:rPr>
        <w:t>pieniądzu.</w:t>
      </w:r>
    </w:p>
    <w:p w:rsidR="00EE1BD7" w:rsidRDefault="005842B7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Spółka może dopuścić wnoszenie wadium w papierach wartościowych, określając ich kategorie.</w:t>
      </w:r>
    </w:p>
    <w:p w:rsidR="00EE1BD7" w:rsidRDefault="005842B7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Prowadzący przetarg, niezwłocznie po otwarciu ofert, sprawdza, czy oferenci wnieśli wadium w należytej wysokości.</w:t>
      </w:r>
    </w:p>
    <w:p w:rsidR="00EE1BD7" w:rsidRDefault="005842B7">
      <w:pPr>
        <w:pStyle w:val="Bezodstpw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wniesienia wadium w pieniądz</w:t>
      </w:r>
      <w:r>
        <w:rPr>
          <w:rFonts w:asciiTheme="minorHAnsi" w:hAnsiTheme="minorHAnsi" w:cstheme="minorHAnsi"/>
          <w:sz w:val="22"/>
          <w:szCs w:val="22"/>
        </w:rPr>
        <w:t>u wpłata następuje na rachunek Spółki podany w ogłoszeniu, przy czym datą wniesienia wadium jest data uznania rachunku Spółki.</w:t>
      </w: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1. Wadium przepada na rzecz Spółki, jeżeli żaden z uczestników przetargu nie zaoferuje ceny wywoławczej.</w:t>
      </w:r>
    </w:p>
    <w:p w:rsidR="00EE1BD7" w:rsidRDefault="005842B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 Wadium złożone przez</w:t>
      </w:r>
      <w:r>
        <w:rPr>
          <w:rFonts w:asciiTheme="minorHAnsi" w:hAnsiTheme="minorHAnsi" w:cstheme="minorHAnsi"/>
          <w:sz w:val="22"/>
          <w:szCs w:val="22"/>
        </w:rPr>
        <w:t xml:space="preserve"> oferentów, których oferty nie zostaną przyjęte, zostanie zwrócone bezpośrednio po dokonaniu wyboru oferty.</w:t>
      </w:r>
    </w:p>
    <w:p w:rsidR="00EE1BD7" w:rsidRDefault="005842B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Wadium złożone przez nabywcę zostanie zarachowane na poczet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ceny. Jeżeli wadium było złożone przez nabywcę w innej formie niż w pieniądzu, ulega </w:t>
      </w:r>
      <w:r>
        <w:rPr>
          <w:rFonts w:asciiTheme="minorHAnsi" w:hAnsiTheme="minorHAnsi" w:cstheme="minorHAnsi"/>
          <w:sz w:val="22"/>
          <w:szCs w:val="22"/>
        </w:rPr>
        <w:t>ono zwrotowi po zapłaceniu ceny nabycia.</w:t>
      </w:r>
    </w:p>
    <w:p w:rsidR="00EE1BD7" w:rsidRDefault="005842B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Wadium przepada na rzecz Spółki, jeżeli oferent, którego oferta zostanie przyjęta uchyli się od zawarcia umowy.</w:t>
      </w: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Miejscem składania ofert na zakup </w:t>
      </w:r>
      <w:r>
        <w:rPr>
          <w:rFonts w:asciiTheme="minorHAnsi" w:hAnsiTheme="minorHAnsi" w:cstheme="minorHAnsi"/>
          <w:sz w:val="22"/>
          <w:szCs w:val="22"/>
        </w:rPr>
        <w:t>samochodu Skoda Octavia</w:t>
      </w:r>
      <w:r>
        <w:rPr>
          <w:rFonts w:asciiTheme="minorHAnsi" w:hAnsiTheme="minorHAnsi" w:cstheme="minorHAnsi"/>
          <w:sz w:val="22"/>
          <w:szCs w:val="22"/>
        </w:rPr>
        <w:t xml:space="preserve"> jest Sekretariat Spółki Zakłady Artykułów </w:t>
      </w:r>
      <w:r>
        <w:rPr>
          <w:rFonts w:asciiTheme="minorHAnsi" w:hAnsiTheme="minorHAnsi" w:cstheme="minorHAnsi"/>
          <w:sz w:val="22"/>
          <w:szCs w:val="22"/>
        </w:rPr>
        <w:t xml:space="preserve">Technicznych „ ARTECH” Sp. z o.o. mieszczący się w siedzibie Spółki w Łodzi przy ul. Wersalskiej 54. </w:t>
      </w:r>
    </w:p>
    <w:p w:rsidR="00EE1BD7" w:rsidRDefault="00EE1BD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Oferta powinna zawierać:</w:t>
      </w:r>
    </w:p>
    <w:p w:rsidR="00EE1BD7" w:rsidRDefault="005842B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 lub firmę, adres  lub siedzibę Oferenta;</w:t>
      </w:r>
    </w:p>
    <w:p w:rsidR="00EE1BD7" w:rsidRDefault="005842B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dowód wniesienia wadium;</w:t>
      </w:r>
    </w:p>
    <w:p w:rsidR="00EE1BD7" w:rsidRDefault="005842B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datę sporządzenia oferty;</w:t>
      </w:r>
    </w:p>
    <w:p w:rsidR="00EE1BD7" w:rsidRDefault="005842B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wskazanie składni</w:t>
      </w:r>
      <w:r>
        <w:rPr>
          <w:rFonts w:asciiTheme="minorHAnsi" w:hAnsiTheme="minorHAnsi" w:cstheme="minorHAnsi"/>
          <w:sz w:val="22"/>
          <w:szCs w:val="22"/>
        </w:rPr>
        <w:t>ka aktywów trwałych, której oferta dotyczy;</w:t>
      </w:r>
    </w:p>
    <w:p w:rsidR="00EE1BD7" w:rsidRDefault="005842B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wskazanie oferowanej ceny netto;</w:t>
      </w:r>
    </w:p>
    <w:p w:rsidR="00EE1BD7" w:rsidRDefault="005842B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oznaczenie terminu związania ofertą, przy czym termin ten nie może być krótszy niż termin określony przez Spółkę w ogłoszeniu o przetargu;</w:t>
      </w:r>
    </w:p>
    <w:p w:rsidR="00EE1BD7" w:rsidRDefault="005842B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oferenta, że zapoznał się z</w:t>
      </w:r>
      <w:r>
        <w:rPr>
          <w:rFonts w:asciiTheme="minorHAnsi" w:hAnsiTheme="minorHAnsi" w:cstheme="minorHAnsi"/>
          <w:sz w:val="22"/>
          <w:szCs w:val="22"/>
        </w:rPr>
        <w:t xml:space="preserve"> warunkami przetargu;</w:t>
      </w:r>
    </w:p>
    <w:p w:rsidR="00EE1BD7" w:rsidRDefault="005842B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Oferenta lub osoby upoważnionej do składania w imieniu Oferenta oświadczeń woli w zakresie praw i obowiązków majątkowych;</w:t>
      </w:r>
    </w:p>
    <w:p w:rsidR="00EE1BD7" w:rsidRDefault="005842B7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odpis z właściwego rejestru lub ewidencji oraz inne dokumenty potwierdzające umocowanie osoby podpisujące</w:t>
      </w:r>
      <w:r>
        <w:rPr>
          <w:rFonts w:asciiTheme="minorHAnsi" w:hAnsiTheme="minorHAnsi" w:cstheme="minorHAnsi"/>
          <w:sz w:val="22"/>
          <w:szCs w:val="22"/>
        </w:rPr>
        <w:t>j ofertę.</w:t>
      </w:r>
    </w:p>
    <w:p w:rsidR="00EE1BD7" w:rsidRDefault="005842B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Ofertę wraz z wymaganymi dokumentami składa się w zamkniętej kopercie w miejscu                 i terminie określonym w ogłoszeniu o przetargu.</w:t>
      </w:r>
    </w:p>
    <w:p w:rsidR="00EE1BD7" w:rsidRDefault="00EE1BD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składania ofert wyznacza się do </w:t>
      </w:r>
      <w:r>
        <w:rPr>
          <w:rFonts w:asciiTheme="minorHAnsi" w:hAnsiTheme="minorHAnsi" w:cstheme="minorHAnsi"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listopada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r. do godziny </w:t>
      </w:r>
      <w:r>
        <w:rPr>
          <w:rFonts w:asciiTheme="minorHAnsi" w:hAnsiTheme="minorHAnsi" w:cstheme="minorHAnsi"/>
          <w:sz w:val="22"/>
          <w:szCs w:val="22"/>
        </w:rPr>
        <w:t>15:00</w:t>
      </w: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przetargu jako </w:t>
      </w:r>
      <w:r>
        <w:rPr>
          <w:rFonts w:asciiTheme="minorHAnsi" w:hAnsiTheme="minorHAnsi" w:cstheme="minorHAnsi"/>
          <w:sz w:val="22"/>
          <w:szCs w:val="22"/>
        </w:rPr>
        <w:t>oferenci nie mogą uczestniczyć:</w:t>
      </w:r>
    </w:p>
    <w:p w:rsidR="00EE1BD7" w:rsidRDefault="005842B7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Członkowie organu zarządzającego Spółką i jej organu nadzorczego;</w:t>
      </w:r>
    </w:p>
    <w:p w:rsidR="00EE1BD7" w:rsidRDefault="005842B7">
      <w:pPr>
        <w:pStyle w:val="Cytat"/>
        <w:numPr>
          <w:ilvl w:val="0"/>
          <w:numId w:val="4"/>
        </w:numPr>
        <w:jc w:val="both"/>
        <w:rPr>
          <w:rFonts w:cstheme="minorHAnsi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cstheme="minorHAnsi"/>
          <w:i w:val="0"/>
          <w:iCs w:val="0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Podmiot gospodarczy prowadzący przetarg oraz członkowie jego władz i organu nadzorczego</w:t>
      </w:r>
      <w:r>
        <w:rPr>
          <w:rFonts w:cstheme="minorHAnsi"/>
          <w:color w:val="auto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;</w:t>
      </w:r>
    </w:p>
    <w:p w:rsidR="00EE1BD7" w:rsidRDefault="005842B7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Osoby, którym powierzono wykonanie czynności związanych z przeprowadz</w:t>
      </w:r>
      <w:r>
        <w:rPr>
          <w:rFonts w:asciiTheme="minorHAnsi" w:hAnsiTheme="minorHAnsi" w:cstheme="minorHAnsi"/>
          <w:sz w:val="22"/>
          <w:szCs w:val="22"/>
        </w:rPr>
        <w:t>eniem przetargu;</w:t>
      </w:r>
    </w:p>
    <w:p w:rsidR="00EE1BD7" w:rsidRDefault="005842B7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Małżonek, dzieci, rodzice i rodzeństwo osób, o którym mowa w pkt 1-3;</w:t>
      </w:r>
    </w:p>
    <w:p w:rsidR="00EE1BD7" w:rsidRDefault="005842B7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Osoby, które pozostają z osobami, o których mowa w pkt 1-3 w takim stosunku prawnym lub faktycznym, że może to budzić uzasadnione wątpliwości co do bezstronności </w:t>
      </w:r>
      <w:r>
        <w:rPr>
          <w:rFonts w:asciiTheme="minorHAnsi" w:hAnsiTheme="minorHAnsi" w:cstheme="minorHAnsi"/>
          <w:sz w:val="22"/>
          <w:szCs w:val="22"/>
        </w:rPr>
        <w:t>prowadzącego przetarg.</w:t>
      </w: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Prowadzący przetarg dokonuje otwarcia ofert i stwierdza brak ich naruszenia oraz ustala, które z nich uznaje się, zgodnie z obowiązującymi przepisami, za ważne oraz czy oferenci uiścili wymagane wadium, następnie wybiera Oferenta,</w:t>
      </w:r>
      <w:r>
        <w:rPr>
          <w:rFonts w:asciiTheme="minorHAnsi" w:hAnsiTheme="minorHAnsi" w:cstheme="minorHAnsi"/>
          <w:sz w:val="22"/>
          <w:szCs w:val="22"/>
        </w:rPr>
        <w:t xml:space="preserve"> który zaoferował cenę najwyższą.</w:t>
      </w:r>
    </w:p>
    <w:p w:rsidR="00EE1BD7" w:rsidRDefault="005842B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 razie ustalenia, że kilku Oferentów zaoferowało tę sama cenę, prowadzący przetarg informuje oferentów o terminie i miejscu kontynuacji przetargu w formie licytacji.</w:t>
      </w:r>
    </w:p>
    <w:p w:rsidR="00EE1BD7" w:rsidRDefault="005842B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 przypadku obecności wszystkich Oferentów prowad</w:t>
      </w:r>
      <w:r>
        <w:rPr>
          <w:rFonts w:asciiTheme="minorHAnsi" w:hAnsiTheme="minorHAnsi" w:cstheme="minorHAnsi"/>
          <w:sz w:val="22"/>
          <w:szCs w:val="22"/>
        </w:rPr>
        <w:t>zący przetarg kontynuuje przetarg      w formie licytacji.</w:t>
      </w: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Złożenie jednej ważnej oferty wystarcza do odbycia przetargu.</w:t>
      </w: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Przetarg wygrywa oferent, który zaoferował najwyższą cenę.</w:t>
      </w: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Nabywca jest obowiązany zapłacić cenę nabycia niezwłocznie po zawarciu umowy</w:t>
      </w:r>
      <w:r>
        <w:rPr>
          <w:rFonts w:asciiTheme="minorHAnsi" w:hAnsiTheme="minorHAnsi" w:cstheme="minorHAnsi"/>
          <w:sz w:val="22"/>
          <w:szCs w:val="22"/>
        </w:rPr>
        <w:t xml:space="preserve"> bądź               w terminie wyznaczonym przez prowadzącego przetarg pisemny, nie dłuższym niż 14 dni.</w:t>
      </w: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Organizatorowi przetargu przysługuje prawo zamknięcia przetargu na każdym etapie postępowania bez wybrania którejkolwiek z ofert, bez podania przyczyn.</w:t>
      </w:r>
    </w:p>
    <w:p w:rsidR="00EE1BD7" w:rsidRDefault="005842B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Wydanie przedmiotu sprzedaży nabywcy następuje niezwłocznie po zapłaceniu ceny nabycia.</w:t>
      </w:r>
    </w:p>
    <w:p w:rsidR="00EE1BD7" w:rsidRDefault="005842B7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EE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D7" w:rsidRDefault="005842B7">
      <w:pPr>
        <w:spacing w:line="240" w:lineRule="auto"/>
      </w:pPr>
      <w:r>
        <w:separator/>
      </w:r>
    </w:p>
  </w:endnote>
  <w:endnote w:type="continuationSeparator" w:id="0">
    <w:p w:rsidR="00EE1BD7" w:rsidRDefault="00584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D7" w:rsidRDefault="005842B7">
      <w:pPr>
        <w:spacing w:after="0"/>
      </w:pPr>
      <w:r>
        <w:separator/>
      </w:r>
    </w:p>
  </w:footnote>
  <w:footnote w:type="continuationSeparator" w:id="0">
    <w:p w:rsidR="00EE1BD7" w:rsidRDefault="005842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6E12"/>
    <w:multiLevelType w:val="multilevel"/>
    <w:tmpl w:val="22F36E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17E7"/>
    <w:multiLevelType w:val="multilevel"/>
    <w:tmpl w:val="2E2C17E7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7284E"/>
    <w:multiLevelType w:val="multilevel"/>
    <w:tmpl w:val="3597284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C0CF4"/>
    <w:multiLevelType w:val="multilevel"/>
    <w:tmpl w:val="63FC0CF4"/>
    <w:lvl w:ilvl="0">
      <w:start w:val="1"/>
      <w:numFmt w:val="decimal"/>
      <w:lvlText w:val="%1)"/>
      <w:lvlJc w:val="left"/>
      <w:pPr>
        <w:ind w:left="1080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56"/>
    <w:rsid w:val="0015393B"/>
    <w:rsid w:val="001F2EB3"/>
    <w:rsid w:val="0028241E"/>
    <w:rsid w:val="00301868"/>
    <w:rsid w:val="003458F8"/>
    <w:rsid w:val="003575DD"/>
    <w:rsid w:val="003E3E0C"/>
    <w:rsid w:val="004228A5"/>
    <w:rsid w:val="00462356"/>
    <w:rsid w:val="00462ECD"/>
    <w:rsid w:val="00547267"/>
    <w:rsid w:val="005842B7"/>
    <w:rsid w:val="005A6692"/>
    <w:rsid w:val="005C4ECA"/>
    <w:rsid w:val="005E7BB3"/>
    <w:rsid w:val="006A59A7"/>
    <w:rsid w:val="006C782E"/>
    <w:rsid w:val="00711A17"/>
    <w:rsid w:val="00765892"/>
    <w:rsid w:val="007E437C"/>
    <w:rsid w:val="00891980"/>
    <w:rsid w:val="008E740A"/>
    <w:rsid w:val="009B7A5D"/>
    <w:rsid w:val="00B31155"/>
    <w:rsid w:val="00B47445"/>
    <w:rsid w:val="00BA59FD"/>
    <w:rsid w:val="00C67C7E"/>
    <w:rsid w:val="00C9759C"/>
    <w:rsid w:val="00CC2436"/>
    <w:rsid w:val="00CD6B96"/>
    <w:rsid w:val="00D277FF"/>
    <w:rsid w:val="00E26BE8"/>
    <w:rsid w:val="00E7175D"/>
    <w:rsid w:val="00EE1BD7"/>
    <w:rsid w:val="0FA4636E"/>
    <w:rsid w:val="1A167CBA"/>
    <w:rsid w:val="222649DC"/>
    <w:rsid w:val="3F895F16"/>
    <w:rsid w:val="53E9663C"/>
    <w:rsid w:val="781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6D98B31-9CF4-4B76-BC40-9C8611DE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semiHidden/>
    <w:unhideWhenUsed/>
    <w:qFormat/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Standard"/>
    <w:qFormat/>
    <w:pPr>
      <w:spacing w:before="280" w:after="119"/>
      <w:textAlignment w:val="baseline"/>
    </w:p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basedOn w:val="Normalny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3bse">
    <w:name w:val="_3b_se"/>
    <w:basedOn w:val="Domylnaczcionkaakapitu"/>
    <w:qFormat/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35A33-24AB-456D-8CA7-7F7DA4DA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760</Words>
  <Characters>4562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Malinowski</dc:creator>
  <cp:lastModifiedBy>Blaszczak Anna</cp:lastModifiedBy>
  <cp:revision>2</cp:revision>
  <dcterms:created xsi:type="dcterms:W3CDTF">2022-11-08T11:29:00Z</dcterms:created>
  <dcterms:modified xsi:type="dcterms:W3CDTF">2022-11-08T11:29:00Z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1045-11.2.0.11380</vt:lpwstr>
  </property>
  <property fmtid="{D5CDD505-2E9C-101B-9397-08002B2CF9AE}" pid="3" name="ICV">
    <vt:lpwstr>E4074FCE928141DB86C731C87781871E</vt:lpwstr>
  </property>
</Properties>
</file>