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4B3DE063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D83B2C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poz. </w:t>
      </w:r>
      <w:r w:rsidR="00D83B2C">
        <w:rPr>
          <w:rFonts w:ascii="Lato" w:hAnsi="Lato" w:cs="Lato"/>
        </w:rPr>
        <w:t>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5EBFCAC7" w14:textId="77777777" w:rsidR="00CE61A5" w:rsidRPr="00CE61A5" w:rsidRDefault="00CE61A5" w:rsidP="00CE61A5">
      <w:pPr>
        <w:pStyle w:val="Akapitzlist"/>
        <w:numPr>
          <w:ilvl w:val="0"/>
          <w:numId w:val="14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CE61A5">
        <w:rPr>
          <w:rFonts w:ascii="Lato" w:hAnsi="Lato" w:cs="Lato"/>
          <w:sz w:val="22"/>
          <w:szCs w:val="22"/>
        </w:rPr>
        <w:t xml:space="preserve">Przedmiotem Umowy, jest uregulowanie wzajemnych praw i obowiązków Stron, wynikających </w:t>
      </w:r>
      <w:r w:rsidRPr="00CE61A5">
        <w:rPr>
          <w:rFonts w:ascii="Lato" w:hAnsi="Lato" w:cs="Lato"/>
          <w:sz w:val="22"/>
          <w:szCs w:val="22"/>
        </w:rPr>
        <w:br/>
        <w:t>z realizacji Zarządzenia Regionalnego Dyrektora Ochrony Środowiska w Warszawie z dnia 24 marca 2020 r. w sprawie ustanowienia planu ochrony dla rezerwatu przyrody Las Jaworski (Dz. Urz. Woj. Maz. poz. 4218), zwanego dalej „zarządzeniem”.</w:t>
      </w:r>
    </w:p>
    <w:p w14:paraId="7ED31BC4" w14:textId="77777777" w:rsidR="00CE61A5" w:rsidRPr="00CE61A5" w:rsidRDefault="00CE61A5" w:rsidP="00CE61A5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CE61A5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03DD287D" w14:textId="77777777" w:rsidR="00CE61A5" w:rsidRPr="00CE61A5" w:rsidRDefault="00CE61A5" w:rsidP="00CE61A5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CE61A5">
        <w:rPr>
          <w:rFonts w:ascii="Lato" w:hAnsi="Lato" w:cs="Lato"/>
          <w:sz w:val="22"/>
          <w:szCs w:val="22"/>
        </w:rPr>
        <w:t>Wykonawca zobowiązuje się wykonać na rzecz Zamawiającego na terenie rezerwatu przyrody Las Jaworski, działki ewidencyjnej numer 349, położonej w gminie Wierzbno, powiecie węgrowskim, </w:t>
      </w:r>
      <w:r w:rsidRPr="00CE61A5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CE61A5">
        <w:rPr>
          <w:rFonts w:ascii="Lato" w:hAnsi="Lato" w:cs="Lato"/>
          <w:sz w:val="22"/>
          <w:szCs w:val="22"/>
        </w:rPr>
        <w:t>zarządzenia, polegające na: wykoszeniu łąki o powierzchni 1,8 ha wraz z usunięciem samosiewów drzew i krzewów.</w:t>
      </w:r>
    </w:p>
    <w:p w14:paraId="566707AB" w14:textId="6915F20F" w:rsidR="00CE61A5" w:rsidRPr="00CE61A5" w:rsidRDefault="00CE61A5" w:rsidP="00CE61A5">
      <w:pPr>
        <w:pStyle w:val="Akapitzlist"/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CE61A5">
        <w:rPr>
          <w:rFonts w:ascii="Lato" w:hAnsi="Lato" w:cs="Lato"/>
          <w:sz w:val="22"/>
          <w:szCs w:val="22"/>
        </w:rPr>
        <w:t>Pozyskana biomasę należy wywieźć poza rezerwat. W przypadku braku możliwości wywozu biomasy poza granice rezerwatu dopuszcza się jej równomierne rozłożenie poza zakresem działania w miejscach, gdzie nie występują gatunki cenne i rzadkie roślin runa.</w:t>
      </w:r>
    </w:p>
    <w:p w14:paraId="499E172B" w14:textId="77777777" w:rsidR="00CE61A5" w:rsidRPr="00CE61A5" w:rsidRDefault="00CE61A5" w:rsidP="00CE61A5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CE61A5">
        <w:rPr>
          <w:rFonts w:ascii="Lato" w:hAnsi="Lato" w:cs="Lato"/>
          <w:sz w:val="22"/>
          <w:szCs w:val="22"/>
        </w:rPr>
        <w:t>Lokalizacja działań została wskazana na mapie stanowiącej załącznik nr 1 do Umowy.</w:t>
      </w:r>
    </w:p>
    <w:p w14:paraId="2F90FAD1" w14:textId="5E0EA887" w:rsidR="00C219CC" w:rsidRPr="00A95748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A95748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66256A12" w:rsidR="007A2CA5" w:rsidRPr="008B7A29" w:rsidRDefault="00CE61A5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Sławomir Bełko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</w:t>
      </w:r>
      <w:r>
        <w:rPr>
          <w:rFonts w:ascii="Lato" w:hAnsi="Lato" w:cs="Lato"/>
          <w:sz w:val="22"/>
          <w:szCs w:val="22"/>
        </w:rPr>
        <w:t>59</w:t>
      </w:r>
      <w:r w:rsidR="007A2CA5" w:rsidRPr="008B7A29">
        <w:rPr>
          <w:rFonts w:ascii="Lato" w:hAnsi="Lato" w:cs="Lato"/>
          <w:sz w:val="22"/>
          <w:szCs w:val="22"/>
        </w:rPr>
        <w:t xml:space="preserve">, </w:t>
      </w:r>
    </w:p>
    <w:p w14:paraId="4E8F6826" w14:textId="5D762DA9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CE61A5" w:rsidRPr="00E55447">
          <w:rPr>
            <w:rStyle w:val="Hipercze"/>
            <w:rFonts w:ascii="Lato" w:hAnsi="Lato" w:cs="Lato"/>
            <w:sz w:val="22"/>
            <w:szCs w:val="22"/>
          </w:rPr>
          <w:t>slawomir.belko@warszawa.rdos.gov.pl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</w:t>
      </w:r>
      <w:r w:rsidRPr="008B7A29">
        <w:rPr>
          <w:rFonts w:ascii="Lato" w:hAnsi="Lato" w:cs="Lato"/>
        </w:rPr>
        <w:lastRenderedPageBreak/>
        <w:t>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25221FA5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="00CE61A5">
        <w:rPr>
          <w:rFonts w:ascii="Lato" w:eastAsia="Times New Roman" w:hAnsi="Lato" w:cs="Lato"/>
          <w:lang w:eastAsia="pl-PL"/>
        </w:rPr>
        <w:t xml:space="preserve">od </w:t>
      </w:r>
      <w:r w:rsidR="00CE61A5" w:rsidRPr="00CE61A5">
        <w:rPr>
          <w:rFonts w:ascii="Lato" w:eastAsia="Times New Roman" w:hAnsi="Lato" w:cs="Lato"/>
          <w:b/>
          <w:bCs/>
          <w:lang w:eastAsia="pl-PL"/>
        </w:rPr>
        <w:t>31 sierpnia</w:t>
      </w:r>
      <w:r w:rsidR="00CE61A5">
        <w:rPr>
          <w:rFonts w:ascii="Lato" w:eastAsia="Times New Roman" w:hAnsi="Lato" w:cs="Lato"/>
          <w:lang w:eastAsia="pl-PL"/>
        </w:rPr>
        <w:t xml:space="preserve"> </w:t>
      </w:r>
      <w:r w:rsidRPr="00ED69CA">
        <w:rPr>
          <w:rFonts w:ascii="Lato" w:eastAsia="Times New Roman" w:hAnsi="Lato" w:cs="Lato"/>
          <w:b/>
          <w:bCs/>
          <w:lang w:eastAsia="pl-PL"/>
        </w:rPr>
        <w:t>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</w:t>
      </w:r>
      <w:r w:rsidR="00A95748">
        <w:rPr>
          <w:rFonts w:ascii="Lato" w:eastAsia="Times New Roman" w:hAnsi="Lato" w:cs="Lato"/>
          <w:b/>
          <w:bCs/>
          <w:lang w:eastAsia="pl-PL"/>
        </w:rPr>
        <w:t>1 października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0DA48994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CE61A5">
        <w:rPr>
          <w:rFonts w:ascii="Lato" w:hAnsi="Lato" w:cs="Lato"/>
          <w:bCs/>
          <w:sz w:val="22"/>
          <w:szCs w:val="22"/>
        </w:rPr>
        <w:t>Las Jaworski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lastRenderedPageBreak/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późn. </w:t>
      </w:r>
      <w:r w:rsidR="009D7FAF" w:rsidRPr="008B7A29">
        <w:rPr>
          <w:rFonts w:ascii="Lato" w:hAnsi="Lato" w:cs="Lato"/>
          <w:sz w:val="22"/>
          <w:szCs w:val="22"/>
        </w:rPr>
        <w:t>zm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(KSeF).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Zamawiający nie dopuszcza przesyłania innych ustrukturyzowanych dokumentów elektronicznych za wyjątkiem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25808CF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r w:rsidR="006A57D2" w:rsidRPr="008B7A29">
        <w:rPr>
          <w:rFonts w:ascii="Lato" w:hAnsi="Lato" w:cs="Lato"/>
        </w:rPr>
        <w:t>zleceniem,</w:t>
      </w:r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(t.j.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C9981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7C38CF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DDEA0E8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BAF491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84BC29D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E873C6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3858FA1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AB754E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5E4199C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2FD69CE5" w:rsidR="007043C4" w:rsidRPr="008B7A29" w:rsidRDefault="00CE61A5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>
        <w:rPr>
          <w:noProof/>
        </w:rPr>
        <w:drawing>
          <wp:inline distT="0" distB="0" distL="0" distR="0" wp14:anchorId="4C477E6E" wp14:editId="6552A110">
            <wp:extent cx="7969567" cy="5634932"/>
            <wp:effectExtent l="5397" t="0" r="0" b="0"/>
            <wp:docPr id="19392300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93312" cy="565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wyznaczeni do odbioru przedmiotu zamówienia potwierdzają, że Wykonawca (.....................…………………….)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……..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( podpis)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do…………….. zrealizował przedmiot umowy w wymiarze ………….. godzin.**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81CA" w14:textId="77777777" w:rsidR="00216DE7" w:rsidRDefault="00216DE7" w:rsidP="005C1501">
      <w:pPr>
        <w:spacing w:after="0" w:line="240" w:lineRule="auto"/>
      </w:pPr>
      <w:r>
        <w:separator/>
      </w:r>
    </w:p>
  </w:endnote>
  <w:endnote w:type="continuationSeparator" w:id="0">
    <w:p w14:paraId="0065F4CC" w14:textId="77777777" w:rsidR="00216DE7" w:rsidRDefault="00216DE7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7F7A" w14:textId="77777777" w:rsidR="00216DE7" w:rsidRDefault="00216DE7" w:rsidP="005C1501">
      <w:pPr>
        <w:spacing w:after="0" w:line="240" w:lineRule="auto"/>
      </w:pPr>
      <w:r>
        <w:separator/>
      </w:r>
    </w:p>
  </w:footnote>
  <w:footnote w:type="continuationSeparator" w:id="0">
    <w:p w14:paraId="75D49674" w14:textId="77777777" w:rsidR="00216DE7" w:rsidRDefault="00216DE7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16DE7"/>
    <w:rsid w:val="00221D19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1C14"/>
    <w:rsid w:val="003939D9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2968"/>
    <w:rsid w:val="005779A9"/>
    <w:rsid w:val="00581107"/>
    <w:rsid w:val="00583A03"/>
    <w:rsid w:val="005866F4"/>
    <w:rsid w:val="005919B6"/>
    <w:rsid w:val="005A666B"/>
    <w:rsid w:val="005A6F9C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6F8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57D2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64DA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3209"/>
    <w:rsid w:val="007545DA"/>
    <w:rsid w:val="00754FC3"/>
    <w:rsid w:val="0075588B"/>
    <w:rsid w:val="007752F7"/>
    <w:rsid w:val="007875CB"/>
    <w:rsid w:val="00796413"/>
    <w:rsid w:val="007A2CA5"/>
    <w:rsid w:val="007A4ABE"/>
    <w:rsid w:val="007A7FF9"/>
    <w:rsid w:val="007B002B"/>
    <w:rsid w:val="007B7694"/>
    <w:rsid w:val="007C142D"/>
    <w:rsid w:val="007C2889"/>
    <w:rsid w:val="007C6BFA"/>
    <w:rsid w:val="007C6EA4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5671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75928"/>
    <w:rsid w:val="00A95748"/>
    <w:rsid w:val="00AA074E"/>
    <w:rsid w:val="00AA3431"/>
    <w:rsid w:val="00AB1953"/>
    <w:rsid w:val="00AB1A4F"/>
    <w:rsid w:val="00AB377B"/>
    <w:rsid w:val="00AB4085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078C"/>
    <w:rsid w:val="00B21C60"/>
    <w:rsid w:val="00B344C8"/>
    <w:rsid w:val="00B34627"/>
    <w:rsid w:val="00B3565E"/>
    <w:rsid w:val="00B35888"/>
    <w:rsid w:val="00B36AE5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33F7"/>
    <w:rsid w:val="00BB7BCF"/>
    <w:rsid w:val="00BB7BD9"/>
    <w:rsid w:val="00BC6FFA"/>
    <w:rsid w:val="00BE79F8"/>
    <w:rsid w:val="00BE7F65"/>
    <w:rsid w:val="00BF0292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52C87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61A5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83B2C"/>
    <w:rsid w:val="00D92DE1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belko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2964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4</cp:revision>
  <cp:lastPrinted>2022-02-08T09:42:00Z</cp:lastPrinted>
  <dcterms:created xsi:type="dcterms:W3CDTF">2026-06-12T09:57:00Z</dcterms:created>
  <dcterms:modified xsi:type="dcterms:W3CDTF">2026-06-30T10:58:00Z</dcterms:modified>
</cp:coreProperties>
</file>